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63D93E">
      <w:pPr>
        <w:rPr>
          <w:rFonts w:ascii="仿宋_GB2312" w:hAnsi="仿宋_GB2312" w:eastAsia="仿宋_GB2312" w:cs="仿宋_GB2312"/>
          <w:color w:val="auto"/>
          <w:sz w:val="36"/>
          <w:szCs w:val="36"/>
        </w:rPr>
      </w:pPr>
      <w:bookmarkStart w:id="0" w:name="_Hlk57883707"/>
    </w:p>
    <w:p w14:paraId="02BE8749">
      <w:pPr>
        <w:rPr>
          <w:rFonts w:ascii="仿宋_GB2312" w:hAnsi="仿宋_GB2312" w:eastAsia="仿宋_GB2312" w:cs="仿宋_GB2312"/>
          <w:color w:val="auto"/>
          <w:sz w:val="36"/>
          <w:szCs w:val="36"/>
        </w:rPr>
      </w:pPr>
    </w:p>
    <w:p w14:paraId="222C0FC4">
      <w:pPr>
        <w:rPr>
          <w:rFonts w:ascii="仿宋_GB2312" w:hAnsi="仿宋_GB2312" w:eastAsia="仿宋_GB2312" w:cs="仿宋_GB2312"/>
          <w:color w:val="auto"/>
          <w:sz w:val="36"/>
          <w:szCs w:val="36"/>
        </w:rPr>
      </w:pPr>
    </w:p>
    <w:p w14:paraId="6DB7452C">
      <w:pPr>
        <w:rPr>
          <w:rFonts w:ascii="仿宋_GB2312" w:hAnsi="仿宋_GB2312" w:eastAsia="仿宋_GB2312" w:cs="仿宋_GB2312"/>
          <w:color w:val="auto"/>
          <w:sz w:val="36"/>
          <w:szCs w:val="36"/>
        </w:rPr>
      </w:pPr>
    </w:p>
    <w:p w14:paraId="3BA22CB8">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33502C69">
      <w:pPr>
        <w:adjustRightInd w:val="0"/>
        <w:snapToGrid w:val="0"/>
        <w:spacing w:line="288" w:lineRule="auto"/>
        <w:jc w:val="center"/>
        <w:outlineLvl w:val="9"/>
        <w:rPr>
          <w:rFonts w:ascii="华文仿宋" w:hAnsi="华文仿宋" w:eastAsia="华文仿宋" w:cs="华文仿宋"/>
          <w:color w:val="auto"/>
          <w:kern w:val="44"/>
          <w:sz w:val="44"/>
          <w:szCs w:val="44"/>
        </w:rPr>
      </w:pPr>
    </w:p>
    <w:p w14:paraId="32D53ECF">
      <w:pPr>
        <w:jc w:val="center"/>
        <w:rPr>
          <w:rFonts w:eastAsia="仿宋"/>
          <w:color w:val="auto"/>
          <w:sz w:val="52"/>
          <w:szCs w:val="52"/>
        </w:rPr>
      </w:pPr>
    </w:p>
    <w:p w14:paraId="6830F6BD">
      <w:pPr>
        <w:ind w:firstLine="1040"/>
        <w:rPr>
          <w:rFonts w:eastAsia="仿宋"/>
          <w:color w:val="auto"/>
          <w:sz w:val="44"/>
          <w:szCs w:val="44"/>
        </w:rPr>
      </w:pPr>
    </w:p>
    <w:p w14:paraId="169FEF68">
      <w:pPr>
        <w:ind w:firstLine="1040"/>
        <w:rPr>
          <w:rFonts w:eastAsia="仿宋"/>
          <w:color w:val="auto"/>
          <w:sz w:val="44"/>
          <w:szCs w:val="44"/>
        </w:rPr>
      </w:pPr>
    </w:p>
    <w:p w14:paraId="45E3A3E6">
      <w:pPr>
        <w:ind w:firstLine="1040"/>
        <w:rPr>
          <w:rFonts w:eastAsia="仿宋"/>
          <w:color w:val="auto"/>
          <w:sz w:val="44"/>
          <w:szCs w:val="44"/>
        </w:rPr>
      </w:pPr>
    </w:p>
    <w:p w14:paraId="379EA661">
      <w:pPr>
        <w:ind w:firstLine="1040"/>
        <w:rPr>
          <w:rFonts w:eastAsia="仿宋"/>
          <w:color w:val="auto"/>
          <w:sz w:val="44"/>
          <w:szCs w:val="44"/>
        </w:rPr>
      </w:pPr>
    </w:p>
    <w:p w14:paraId="4AD3459E">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eastAsia" w:ascii="Times New Roman" w:hAnsi="Times New Roman" w:eastAsia="仿宋_GB2312"/>
          <w:color w:val="auto"/>
          <w:sz w:val="32"/>
          <w:szCs w:val="32"/>
          <w:u w:val="single"/>
          <w:lang w:val="en-US" w:eastAsia="zh-CN"/>
        </w:rPr>
      </w:pPr>
      <w:r>
        <w:rPr>
          <w:rFonts w:hint="eastAsia" w:ascii="Times New Roman" w:hAnsi="Times New Roman" w:eastAsia="仿宋_GB2312"/>
          <w:color w:val="auto"/>
          <w:sz w:val="32"/>
          <w:szCs w:val="32"/>
        </w:rPr>
        <w:t>项目名称：</w:t>
      </w:r>
      <w:r>
        <w:rPr>
          <w:rFonts w:hint="eastAsia" w:eastAsia="仿宋_GB2312"/>
          <w:color w:val="auto"/>
          <w:sz w:val="32"/>
          <w:szCs w:val="32"/>
          <w:u w:val="single"/>
          <w:lang w:eastAsia="zh-CN"/>
        </w:rPr>
        <w:t>若羌南部矿区羌河三区110千伏输变电工程</w:t>
      </w:r>
    </w:p>
    <w:p w14:paraId="572611AD">
      <w:pPr>
        <w:keepNext w:val="0"/>
        <w:keepLines w:val="0"/>
        <w:pageBreakBefore w:val="0"/>
        <w:widowControl w:val="0"/>
        <w:kinsoku/>
        <w:wordWrap/>
        <w:overflowPunct/>
        <w:topLinePunct w:val="0"/>
        <w:autoSpaceDE/>
        <w:autoSpaceDN/>
        <w:bidi w:val="0"/>
        <w:adjustRightInd w:val="0"/>
        <w:snapToGrid w:val="0"/>
        <w:spacing w:line="288" w:lineRule="auto"/>
        <w:ind w:firstLine="640" w:firstLineChars="200"/>
        <w:textAlignment w:val="auto"/>
        <w:rPr>
          <w:rFonts w:hint="default" w:ascii="Times New Roman" w:hAnsi="Times New Roman" w:eastAsia="仿宋_GB2312"/>
          <w:color w:val="auto"/>
          <w:sz w:val="32"/>
          <w:szCs w:val="32"/>
          <w:u w:val="single"/>
          <w:lang w:val="en-US" w:eastAsia="zh-CN"/>
        </w:rPr>
      </w:pPr>
      <w:r>
        <w:rPr>
          <w:rFonts w:hint="eastAsia" w:ascii="Times New Roman" w:hAnsi="Times New Roman" w:eastAsia="仿宋_GB2312"/>
          <w:color w:val="auto"/>
          <w:sz w:val="32"/>
          <w:szCs w:val="32"/>
        </w:rPr>
        <w:t>建设单位（盖章）：</w:t>
      </w:r>
      <w:r>
        <w:rPr>
          <w:rFonts w:hint="eastAsia" w:eastAsia="仿宋_GB2312"/>
          <w:color w:val="auto"/>
          <w:sz w:val="32"/>
          <w:szCs w:val="32"/>
          <w:u w:val="single"/>
          <w:lang w:val="en-US" w:eastAsia="zh-CN"/>
        </w:rPr>
        <w:t>若羌县发展和改革委员会</w:t>
      </w:r>
    </w:p>
    <w:p w14:paraId="75396F08">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auto"/>
        <w:rPr>
          <w:rFonts w:hint="default" w:ascii="Times New Roman" w:hAnsi="Times New Roman" w:eastAsia="仿宋_GB2312"/>
          <w:color w:val="auto"/>
          <w:sz w:val="36"/>
          <w:szCs w:val="36"/>
          <w:u w:val="single"/>
          <w:lang w:val="en-US" w:eastAsia="zh-CN"/>
        </w:rPr>
      </w:pPr>
    </w:p>
    <w:p w14:paraId="7290B663">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auto"/>
        <w:rPr>
          <w:rFonts w:hint="eastAsia" w:ascii="Times New Roman" w:hAnsi="Times New Roman" w:eastAsia="仿宋_GB2312"/>
          <w:color w:val="auto"/>
          <w:sz w:val="36"/>
          <w:szCs w:val="36"/>
        </w:rPr>
      </w:pPr>
    </w:p>
    <w:p w14:paraId="77868AC3">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auto"/>
        <w:rPr>
          <w:rFonts w:hint="eastAsia" w:ascii="Times New Roman" w:hAnsi="Times New Roman" w:eastAsia="仿宋_GB2312"/>
          <w:color w:val="auto"/>
          <w:sz w:val="36"/>
          <w:szCs w:val="36"/>
        </w:rPr>
      </w:pPr>
    </w:p>
    <w:p w14:paraId="7C5794F3">
      <w:pPr>
        <w:keepNext w:val="0"/>
        <w:keepLines w:val="0"/>
        <w:pageBreakBefore w:val="0"/>
        <w:widowControl w:val="0"/>
        <w:kinsoku/>
        <w:wordWrap/>
        <w:overflowPunct/>
        <w:topLinePunct w:val="0"/>
        <w:autoSpaceDE/>
        <w:autoSpaceDN/>
        <w:bidi w:val="0"/>
        <w:adjustRightInd w:val="0"/>
        <w:snapToGrid w:val="0"/>
        <w:spacing w:line="288" w:lineRule="auto"/>
        <w:ind w:firstLine="0"/>
        <w:textAlignment w:val="auto"/>
        <w:rPr>
          <w:rFonts w:hint="eastAsia" w:ascii="Times New Roman" w:hAnsi="Times New Roman" w:eastAsia="仿宋_GB2312"/>
          <w:color w:val="auto"/>
          <w:sz w:val="36"/>
          <w:szCs w:val="36"/>
        </w:rPr>
      </w:pPr>
    </w:p>
    <w:p w14:paraId="321FD079">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仿宋_GB2312"/>
          <w:color w:val="auto"/>
          <w:sz w:val="36"/>
          <w:szCs w:val="36"/>
          <w:lang w:val="en-US" w:eastAsia="zh-CN"/>
        </w:rPr>
      </w:pPr>
      <w:r>
        <w:rPr>
          <w:rFonts w:hint="eastAsia" w:ascii="Times New Roman" w:hAnsi="Times New Roman" w:eastAsia="仿宋_GB2312"/>
          <w:color w:val="auto"/>
          <w:sz w:val="36"/>
          <w:szCs w:val="36"/>
          <w:lang w:val="en-US" w:eastAsia="zh-CN"/>
        </w:rPr>
        <w:t>编制单位：</w:t>
      </w:r>
      <w:r>
        <w:rPr>
          <w:rFonts w:hint="eastAsia" w:eastAsia="仿宋_GB2312"/>
          <w:color w:val="auto"/>
          <w:sz w:val="36"/>
          <w:szCs w:val="36"/>
          <w:lang w:val="en-US" w:eastAsia="zh-CN"/>
        </w:rPr>
        <w:t>新疆与正信息技术咨询服务有限公司</w:t>
      </w:r>
    </w:p>
    <w:p w14:paraId="456B252D">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eastAsia" w:ascii="Times New Roman" w:hAnsi="Times New Roman" w:eastAsia="仿宋_GB2312"/>
          <w:color w:val="auto"/>
          <w:sz w:val="36"/>
          <w:szCs w:val="36"/>
          <w:u w:val="single"/>
        </w:rPr>
      </w:pPr>
      <w:r>
        <w:rPr>
          <w:rFonts w:hint="eastAsia" w:ascii="Times New Roman" w:hAnsi="Times New Roman" w:eastAsia="仿宋_GB2312"/>
          <w:color w:val="auto"/>
          <w:sz w:val="36"/>
          <w:szCs w:val="36"/>
        </w:rPr>
        <w:t>编制日期：</w:t>
      </w:r>
      <w:r>
        <w:rPr>
          <w:rFonts w:hint="eastAsia" w:ascii="Times New Roman" w:hAnsi="Times New Roman" w:eastAsia="仿宋_GB2312"/>
          <w:color w:val="auto"/>
          <w:sz w:val="36"/>
          <w:szCs w:val="36"/>
          <w:u w:val="none"/>
          <w:lang w:val="en-US" w:eastAsia="zh-CN"/>
        </w:rPr>
        <w:t>202</w:t>
      </w:r>
      <w:r>
        <w:rPr>
          <w:rFonts w:hint="eastAsia" w:eastAsia="仿宋_GB2312"/>
          <w:color w:val="auto"/>
          <w:sz w:val="36"/>
          <w:szCs w:val="36"/>
          <w:u w:val="none"/>
          <w:lang w:val="en-US" w:eastAsia="zh-CN"/>
        </w:rPr>
        <w:t>5</w:t>
      </w:r>
      <w:r>
        <w:rPr>
          <w:rFonts w:hint="eastAsia" w:ascii="Times New Roman" w:hAnsi="Times New Roman" w:eastAsia="仿宋_GB2312"/>
          <w:color w:val="auto"/>
          <w:sz w:val="36"/>
          <w:szCs w:val="36"/>
          <w:u w:val="none"/>
          <w:lang w:val="en-US" w:eastAsia="zh-CN"/>
        </w:rPr>
        <w:t>年</w:t>
      </w:r>
      <w:r>
        <w:rPr>
          <w:rFonts w:hint="eastAsia" w:eastAsia="仿宋_GB2312"/>
          <w:color w:val="auto"/>
          <w:sz w:val="36"/>
          <w:szCs w:val="36"/>
          <w:u w:val="none"/>
          <w:lang w:val="en-US" w:eastAsia="zh-CN"/>
        </w:rPr>
        <w:t>9</w:t>
      </w:r>
      <w:r>
        <w:rPr>
          <w:rFonts w:hint="eastAsia" w:ascii="Times New Roman" w:hAnsi="Times New Roman" w:eastAsia="仿宋_GB2312"/>
          <w:color w:val="auto"/>
          <w:sz w:val="36"/>
          <w:szCs w:val="36"/>
          <w:u w:val="none"/>
          <w:lang w:val="en-US" w:eastAsia="zh-CN"/>
        </w:rPr>
        <w:t>月</w:t>
      </w:r>
    </w:p>
    <w:p w14:paraId="38EB1390">
      <w:pPr>
        <w:keepNext w:val="0"/>
        <w:keepLines w:val="0"/>
        <w:pageBreakBefore w:val="0"/>
        <w:widowControl w:val="0"/>
        <w:kinsoku/>
        <w:wordWrap/>
        <w:overflowPunct/>
        <w:topLinePunct w:val="0"/>
        <w:autoSpaceDE/>
        <w:autoSpaceDN/>
        <w:bidi w:val="0"/>
        <w:ind w:firstLine="0"/>
        <w:textAlignment w:val="auto"/>
        <w:rPr>
          <w:color w:val="auto"/>
        </w:rPr>
        <w:sectPr>
          <w:pgSz w:w="11906" w:h="16838"/>
          <w:pgMar w:top="1440" w:right="1266" w:bottom="1440" w:left="1800" w:header="851" w:footer="992" w:gutter="0"/>
          <w:pgBorders>
            <w:top w:val="none" w:sz="0" w:space="0"/>
            <w:left w:val="none" w:sz="0" w:space="0"/>
            <w:bottom w:val="none" w:sz="0" w:space="0"/>
            <w:right w:val="none" w:sz="0" w:space="0"/>
          </w:pgBorders>
          <w:cols w:space="0" w:num="1"/>
          <w:rtlGutter w:val="0"/>
          <w:docGrid w:type="lines" w:linePitch="312" w:charSpace="0"/>
        </w:sectPr>
      </w:pPr>
    </w:p>
    <w:bookmarkEnd w:id="0"/>
    <w:p w14:paraId="040473C7">
      <w:pPr>
        <w:pStyle w:val="20"/>
        <w:jc w:val="center"/>
        <w:outlineLvl w:val="0"/>
        <w:rPr>
          <w:rFonts w:ascii="黑体" w:hAnsi="黑体" w:eastAsia="黑体"/>
          <w:snapToGrid w:val="0"/>
          <w:color w:val="auto"/>
          <w:sz w:val="30"/>
          <w:szCs w:val="30"/>
        </w:rPr>
      </w:pPr>
      <w:bookmarkStart w:id="1" w:name="_Toc6708"/>
      <w:bookmarkStart w:id="2" w:name="_Toc19663"/>
      <w:r>
        <w:rPr>
          <w:rFonts w:hint="eastAsia" w:ascii="黑体" w:hAnsi="黑体" w:eastAsia="黑体"/>
          <w:snapToGrid w:val="0"/>
          <w:color w:val="auto"/>
          <w:sz w:val="30"/>
          <w:szCs w:val="30"/>
        </w:rPr>
        <w:t>一、建设项目基本情况</w:t>
      </w:r>
      <w:bookmarkEnd w:id="1"/>
      <w:bookmarkEnd w:id="2"/>
    </w:p>
    <w:tbl>
      <w:tblPr>
        <w:tblStyle w:val="22"/>
        <w:tblW w:w="9047"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29"/>
        <w:gridCol w:w="1570"/>
        <w:gridCol w:w="1872"/>
        <w:gridCol w:w="3476"/>
      </w:tblGrid>
      <w:tr w14:paraId="2D3416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2129" w:type="dxa"/>
            <w:noWrap w:val="0"/>
            <w:tcMar>
              <w:top w:w="16" w:type="dxa"/>
              <w:left w:w="16" w:type="dxa"/>
              <w:right w:w="16" w:type="dxa"/>
            </w:tcMar>
            <w:vAlign w:val="center"/>
          </w:tcPr>
          <w:p w14:paraId="47232876">
            <w:pPr>
              <w:adjustRightInd w:val="0"/>
              <w:snapToGrid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建设项目名称</w:t>
            </w:r>
          </w:p>
        </w:tc>
        <w:tc>
          <w:tcPr>
            <w:tcW w:w="6918" w:type="dxa"/>
            <w:gridSpan w:val="3"/>
            <w:noWrap w:val="0"/>
            <w:vAlign w:val="center"/>
          </w:tcPr>
          <w:p w14:paraId="71C202C0">
            <w:pPr>
              <w:adjustRightInd w:val="0"/>
              <w:snapToGrid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eastAsia="zh-CN"/>
              </w:rPr>
              <w:t>若羌南部矿区羌河三区110千伏输变电工程</w:t>
            </w:r>
          </w:p>
        </w:tc>
      </w:tr>
      <w:tr w14:paraId="77B703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2129" w:type="dxa"/>
            <w:noWrap w:val="0"/>
            <w:tcMar>
              <w:top w:w="16" w:type="dxa"/>
              <w:left w:w="16" w:type="dxa"/>
              <w:right w:w="16" w:type="dxa"/>
            </w:tcMar>
            <w:vAlign w:val="center"/>
          </w:tcPr>
          <w:p w14:paraId="40E9C84C">
            <w:pPr>
              <w:adjustRightInd w:val="0"/>
              <w:snapToGrid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项目代码</w:t>
            </w:r>
          </w:p>
        </w:tc>
        <w:tc>
          <w:tcPr>
            <w:tcW w:w="6918" w:type="dxa"/>
            <w:gridSpan w:val="3"/>
            <w:noWrap w:val="0"/>
            <w:vAlign w:val="center"/>
          </w:tcPr>
          <w:p w14:paraId="0B17811B">
            <w:pPr>
              <w:adjustRightInd w:val="0"/>
              <w:snapToGrid w:val="0"/>
              <w:jc w:val="center"/>
              <w:rPr>
                <w:rFonts w:hint="default" w:ascii="Calibri" w:hAnsi="Calibri" w:eastAsia="宋体" w:cs="Calibri"/>
                <w:color w:val="0000FF"/>
                <w:sz w:val="21"/>
                <w:szCs w:val="21"/>
                <w:lang w:val="en-US" w:eastAsia="zh-CN"/>
              </w:rPr>
            </w:pPr>
            <w:r>
              <w:rPr>
                <w:rFonts w:hint="default" w:ascii="Calibri" w:hAnsi="Calibri" w:eastAsia="宋体" w:cs="Calibri"/>
                <w:color w:val="auto"/>
                <w:sz w:val="21"/>
                <w:szCs w:val="21"/>
                <w:lang w:val="en-US" w:eastAsia="zh-CN"/>
              </w:rPr>
              <w:t>2412-652824-04-01-327146</w:t>
            </w:r>
          </w:p>
        </w:tc>
      </w:tr>
      <w:tr w14:paraId="2E13AA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2129" w:type="dxa"/>
            <w:noWrap w:val="0"/>
            <w:tcMar>
              <w:top w:w="16" w:type="dxa"/>
              <w:left w:w="16" w:type="dxa"/>
              <w:right w:w="16" w:type="dxa"/>
            </w:tcMar>
            <w:vAlign w:val="center"/>
          </w:tcPr>
          <w:p w14:paraId="6CAA736E">
            <w:pPr>
              <w:adjustRightInd w:val="0"/>
              <w:snapToGrid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建设单位联系人</w:t>
            </w:r>
          </w:p>
        </w:tc>
        <w:tc>
          <w:tcPr>
            <w:tcW w:w="1570" w:type="dxa"/>
            <w:noWrap w:val="0"/>
            <w:vAlign w:val="center"/>
          </w:tcPr>
          <w:p w14:paraId="3F6E2EB9">
            <w:pPr>
              <w:adjustRightInd w:val="0"/>
              <w:snapToGrid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周杨</w:t>
            </w:r>
          </w:p>
        </w:tc>
        <w:tc>
          <w:tcPr>
            <w:tcW w:w="1872" w:type="dxa"/>
            <w:noWrap w:val="0"/>
            <w:vAlign w:val="center"/>
          </w:tcPr>
          <w:p w14:paraId="67B43BFC">
            <w:pPr>
              <w:adjustRightInd w:val="0"/>
              <w:snapToGrid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联系方式</w:t>
            </w:r>
          </w:p>
        </w:tc>
        <w:tc>
          <w:tcPr>
            <w:tcW w:w="3476" w:type="dxa"/>
            <w:noWrap w:val="0"/>
            <w:vAlign w:val="center"/>
          </w:tcPr>
          <w:p w14:paraId="01017B73">
            <w:pPr>
              <w:adjustRightInd w:val="0"/>
              <w:snapToGrid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18095833443</w:t>
            </w:r>
          </w:p>
        </w:tc>
      </w:tr>
      <w:tr w14:paraId="4B25F8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2129" w:type="dxa"/>
            <w:noWrap w:val="0"/>
            <w:tcMar>
              <w:top w:w="16" w:type="dxa"/>
              <w:left w:w="16" w:type="dxa"/>
              <w:right w:w="16" w:type="dxa"/>
            </w:tcMar>
            <w:vAlign w:val="center"/>
          </w:tcPr>
          <w:p w14:paraId="43A356C8">
            <w:pPr>
              <w:adjustRightInd w:val="0"/>
              <w:snapToGrid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建设地点</w:t>
            </w:r>
          </w:p>
        </w:tc>
        <w:tc>
          <w:tcPr>
            <w:tcW w:w="6918" w:type="dxa"/>
            <w:gridSpan w:val="3"/>
            <w:noWrap w:val="0"/>
            <w:vAlign w:val="center"/>
          </w:tcPr>
          <w:p w14:paraId="7E435387">
            <w:pPr>
              <w:adjustRightInd w:val="0"/>
              <w:snapToGrid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新疆维吾尔自治区巴音郭楞蒙古自治州若羌县县城东南方向，</w:t>
            </w:r>
            <w:r>
              <w:rPr>
                <w:rFonts w:hint="eastAsia" w:ascii="Calibri" w:hAnsi="Calibri" w:cs="Calibri"/>
                <w:color w:val="auto"/>
                <w:sz w:val="21"/>
                <w:szCs w:val="21"/>
                <w:lang w:val="en-US" w:eastAsia="zh-CN"/>
              </w:rPr>
              <w:t>直线距离约70km</w:t>
            </w:r>
          </w:p>
        </w:tc>
      </w:tr>
      <w:tr w14:paraId="7D32D5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2129" w:type="dxa"/>
            <w:noWrap w:val="0"/>
            <w:tcMar>
              <w:top w:w="16" w:type="dxa"/>
              <w:left w:w="16" w:type="dxa"/>
              <w:right w:w="16" w:type="dxa"/>
            </w:tcMar>
            <w:vAlign w:val="center"/>
          </w:tcPr>
          <w:p w14:paraId="0AAB0E17">
            <w:pPr>
              <w:adjustRightInd w:val="0"/>
              <w:snapToGrid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地理坐标</w:t>
            </w:r>
          </w:p>
        </w:tc>
        <w:tc>
          <w:tcPr>
            <w:tcW w:w="6918" w:type="dxa"/>
            <w:gridSpan w:val="3"/>
            <w:noWrap w:val="0"/>
            <w:vAlign w:val="center"/>
          </w:tcPr>
          <w:p w14:paraId="500EAD06">
            <w:pPr>
              <w:adjustRightInd w:val="0"/>
              <w:snapToGrid w:val="0"/>
              <w:jc w:val="center"/>
              <w:rPr>
                <w:rFonts w:hint="default" w:ascii="Calibri" w:hAnsi="Calibri" w:eastAsia="宋体" w:cs="Calibri"/>
                <w:color w:val="auto"/>
                <w:sz w:val="21"/>
                <w:szCs w:val="21"/>
                <w:lang w:val="en-US" w:eastAsia="zh-CN"/>
              </w:rPr>
            </w:pPr>
            <w:r>
              <w:rPr>
                <w:rFonts w:hint="eastAsia" w:ascii="Calibri" w:hAnsi="Calibri" w:cs="Calibri"/>
                <w:color w:val="auto"/>
                <w:sz w:val="21"/>
                <w:szCs w:val="21"/>
                <w:lang w:val="en-US" w:eastAsia="zh-CN"/>
              </w:rPr>
              <w:t>A段：</w:t>
            </w:r>
            <w:r>
              <w:rPr>
                <w:rFonts w:hint="default" w:ascii="Calibri" w:hAnsi="Calibri" w:eastAsia="宋体" w:cs="Calibri"/>
                <w:color w:val="auto"/>
                <w:sz w:val="21"/>
                <w:szCs w:val="21"/>
                <w:lang w:val="en-US" w:eastAsia="zh-CN"/>
              </w:rPr>
              <w:t>起点E88°28′45.627″,N38°26′12.598″，终点E88°27′1.075″,N38°10′14.896″；</w:t>
            </w:r>
          </w:p>
          <w:p w14:paraId="79E12D7F">
            <w:pPr>
              <w:adjustRightInd w:val="0"/>
              <w:snapToGrid w:val="0"/>
              <w:jc w:val="center"/>
              <w:rPr>
                <w:rFonts w:hint="default" w:ascii="Calibri" w:hAnsi="Calibri" w:eastAsia="宋体" w:cs="Calibri"/>
                <w:color w:val="auto"/>
                <w:sz w:val="21"/>
                <w:szCs w:val="21"/>
                <w:lang w:val="en-US" w:eastAsia="zh-CN"/>
              </w:rPr>
            </w:pPr>
            <w:r>
              <w:rPr>
                <w:rFonts w:hint="eastAsia" w:ascii="Calibri" w:hAnsi="Calibri" w:cs="Calibri"/>
                <w:color w:val="auto"/>
                <w:sz w:val="21"/>
                <w:szCs w:val="21"/>
                <w:lang w:val="en-US" w:eastAsia="zh-CN"/>
              </w:rPr>
              <w:t>B段</w:t>
            </w:r>
            <w:r>
              <w:rPr>
                <w:rFonts w:hint="default" w:ascii="Calibri" w:hAnsi="Calibri" w:eastAsia="宋体" w:cs="Calibri"/>
                <w:color w:val="auto"/>
                <w:sz w:val="21"/>
                <w:szCs w:val="21"/>
                <w:lang w:val="en-US" w:eastAsia="zh-CN"/>
              </w:rPr>
              <w:t>：起点E88°27′2.126″,N38°10′14.265″，终点E88°5′41.506″,N38°13′6.634″；</w:t>
            </w:r>
          </w:p>
          <w:p w14:paraId="5B88FBDE">
            <w:pPr>
              <w:adjustRightInd w:val="0"/>
              <w:snapToGrid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变电站站址中心：E88°27′4.255″,</w:t>
            </w:r>
            <w:r>
              <w:rPr>
                <w:rFonts w:hint="eastAsia" w:ascii="Calibri" w:hAnsi="Calibri" w:cs="Calibri"/>
                <w:color w:val="auto"/>
                <w:sz w:val="21"/>
                <w:szCs w:val="21"/>
                <w:lang w:val="en-US" w:eastAsia="zh-CN"/>
              </w:rPr>
              <w:t>N</w:t>
            </w:r>
            <w:r>
              <w:rPr>
                <w:rFonts w:hint="default" w:ascii="Calibri" w:hAnsi="Calibri" w:eastAsia="宋体" w:cs="Calibri"/>
                <w:color w:val="auto"/>
                <w:sz w:val="21"/>
                <w:szCs w:val="21"/>
                <w:lang w:val="en-US" w:eastAsia="zh-CN"/>
              </w:rPr>
              <w:t>38°10′14.980″。</w:t>
            </w:r>
          </w:p>
        </w:tc>
      </w:tr>
      <w:tr w14:paraId="0DECE1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2129" w:type="dxa"/>
            <w:noWrap w:val="0"/>
            <w:tcMar>
              <w:top w:w="16" w:type="dxa"/>
              <w:left w:w="16" w:type="dxa"/>
              <w:right w:w="16" w:type="dxa"/>
            </w:tcMar>
            <w:vAlign w:val="center"/>
          </w:tcPr>
          <w:p w14:paraId="0991B7AD">
            <w:pPr>
              <w:adjustRightInd w:val="0"/>
              <w:snapToGrid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建设项目</w:t>
            </w:r>
          </w:p>
          <w:p w14:paraId="314E3667">
            <w:pPr>
              <w:adjustRightInd w:val="0"/>
              <w:snapToGrid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行业类别</w:t>
            </w:r>
          </w:p>
        </w:tc>
        <w:tc>
          <w:tcPr>
            <w:tcW w:w="1570" w:type="dxa"/>
            <w:noWrap w:val="0"/>
            <w:vAlign w:val="center"/>
          </w:tcPr>
          <w:p w14:paraId="65E574A6">
            <w:pPr>
              <w:adjustRightInd w:val="0"/>
              <w:snapToGrid w:val="0"/>
              <w:jc w:val="center"/>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五十五</w:t>
            </w:r>
            <w:r>
              <w:rPr>
                <w:rFonts w:hint="eastAsia" w:ascii="Calibri" w:hAnsi="Calibri" w:cs="Calibri"/>
                <w:color w:val="auto"/>
                <w:sz w:val="21"/>
                <w:szCs w:val="21"/>
                <w:lang w:val="en-US" w:eastAsia="zh-CN"/>
              </w:rPr>
              <w:t>、</w:t>
            </w:r>
            <w:r>
              <w:rPr>
                <w:rFonts w:hint="default" w:ascii="Calibri" w:hAnsi="Calibri" w:eastAsia="宋体" w:cs="Calibri"/>
                <w:color w:val="auto"/>
                <w:sz w:val="21"/>
                <w:szCs w:val="21"/>
                <w:lang w:val="en-US" w:eastAsia="zh-CN"/>
              </w:rPr>
              <w:t>核与辐射161输变电工程－其他（100千伏以下除外）</w:t>
            </w:r>
          </w:p>
        </w:tc>
        <w:tc>
          <w:tcPr>
            <w:tcW w:w="1872" w:type="dxa"/>
            <w:noWrap w:val="0"/>
            <w:vAlign w:val="center"/>
          </w:tcPr>
          <w:p w14:paraId="5C8A5D07">
            <w:pPr>
              <w:adjustRightInd w:val="0"/>
              <w:snapToGrid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用地（用海）面积（m</w:t>
            </w:r>
            <w:r>
              <w:rPr>
                <w:rFonts w:hint="default" w:ascii="Calibri" w:hAnsi="Calibri" w:eastAsia="宋体" w:cs="Calibri"/>
                <w:color w:val="auto"/>
                <w:sz w:val="21"/>
                <w:szCs w:val="21"/>
                <w:vertAlign w:val="superscript"/>
              </w:rPr>
              <w:t>2</w:t>
            </w:r>
            <w:r>
              <w:rPr>
                <w:rFonts w:hint="default" w:ascii="Calibri" w:hAnsi="Calibri" w:eastAsia="宋体" w:cs="Calibri"/>
                <w:color w:val="auto"/>
                <w:sz w:val="21"/>
                <w:szCs w:val="21"/>
              </w:rPr>
              <w:t>）/长度（km）</w:t>
            </w:r>
          </w:p>
        </w:tc>
        <w:tc>
          <w:tcPr>
            <w:tcW w:w="3476" w:type="dxa"/>
            <w:noWrap w:val="0"/>
            <w:vAlign w:val="center"/>
          </w:tcPr>
          <w:p w14:paraId="142D7F2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Calibri" w:hAnsi="Calibri" w:eastAsia="宋体" w:cs="Calibri"/>
                <w:color w:val="auto"/>
                <w:sz w:val="21"/>
                <w:szCs w:val="21"/>
                <w:lang w:val="en-US" w:eastAsia="zh-CN"/>
              </w:rPr>
            </w:pPr>
            <w:r>
              <w:rPr>
                <w:rStyle w:val="51"/>
                <w:rFonts w:hint="default" w:ascii="Calibri" w:hAnsi="Calibri" w:eastAsia="宋体" w:cs="Calibri"/>
                <w:color w:val="auto"/>
                <w:sz w:val="21"/>
                <w:szCs w:val="21"/>
                <w:lang w:val="en-US" w:eastAsia="zh-CN" w:bidi="ar-SA"/>
              </w:rPr>
              <w:t>占地面积</w:t>
            </w:r>
            <w:r>
              <w:rPr>
                <w:rStyle w:val="51"/>
                <w:rFonts w:hint="eastAsia" w:ascii="Calibri" w:hAnsi="Calibri" w:cs="Calibri"/>
                <w:color w:val="auto"/>
                <w:sz w:val="21"/>
                <w:szCs w:val="21"/>
                <w:lang w:val="en-US" w:eastAsia="zh-CN" w:bidi="ar-SA"/>
              </w:rPr>
              <w:t>236721</w:t>
            </w:r>
            <w:r>
              <w:rPr>
                <w:rStyle w:val="51"/>
                <w:rFonts w:hint="default" w:ascii="Calibri" w:hAnsi="Calibri" w:eastAsia="宋体" w:cs="Calibri"/>
                <w:color w:val="auto"/>
                <w:sz w:val="21"/>
                <w:szCs w:val="21"/>
                <w:lang w:val="en-US" w:eastAsia="zh-CN" w:bidi="ar-SA"/>
              </w:rPr>
              <w:t>m</w:t>
            </w:r>
            <w:r>
              <w:rPr>
                <w:rStyle w:val="51"/>
                <w:rFonts w:hint="default" w:ascii="Calibri" w:hAnsi="Calibri" w:eastAsia="宋体" w:cs="Calibri"/>
                <w:color w:val="auto"/>
                <w:sz w:val="21"/>
                <w:szCs w:val="21"/>
                <w:vertAlign w:val="superscript"/>
                <w:lang w:val="en-US" w:eastAsia="zh-CN" w:bidi="ar-SA"/>
              </w:rPr>
              <w:t>2</w:t>
            </w:r>
            <w:r>
              <w:rPr>
                <w:rStyle w:val="51"/>
                <w:rFonts w:hint="default" w:ascii="Calibri" w:hAnsi="Calibri" w:eastAsia="宋体" w:cs="Calibri"/>
                <w:color w:val="auto"/>
                <w:sz w:val="21"/>
                <w:szCs w:val="21"/>
                <w:lang w:val="en-US" w:eastAsia="zh-CN" w:bidi="ar-SA"/>
              </w:rPr>
              <w:t>，其中永久占地</w:t>
            </w:r>
            <w:r>
              <w:rPr>
                <w:rStyle w:val="51"/>
                <w:rFonts w:hint="eastAsia" w:ascii="Calibri" w:hAnsi="Calibri" w:cs="Calibri"/>
                <w:color w:val="auto"/>
                <w:sz w:val="21"/>
                <w:szCs w:val="21"/>
                <w:lang w:val="en-US" w:eastAsia="zh-CN" w:bidi="ar-SA"/>
              </w:rPr>
              <w:t>12221</w:t>
            </w:r>
            <w:r>
              <w:rPr>
                <w:rStyle w:val="51"/>
                <w:rFonts w:hint="default" w:ascii="Calibri" w:hAnsi="Calibri" w:eastAsia="宋体" w:cs="Calibri"/>
                <w:color w:val="auto"/>
                <w:sz w:val="21"/>
                <w:szCs w:val="21"/>
                <w:lang w:val="en-US" w:eastAsia="zh-CN" w:bidi="ar-SA"/>
              </w:rPr>
              <w:t>m</w:t>
            </w:r>
            <w:r>
              <w:rPr>
                <w:rStyle w:val="51"/>
                <w:rFonts w:hint="default" w:ascii="Calibri" w:hAnsi="Calibri" w:eastAsia="宋体" w:cs="Calibri"/>
                <w:color w:val="auto"/>
                <w:sz w:val="21"/>
                <w:szCs w:val="21"/>
                <w:vertAlign w:val="superscript"/>
                <w:lang w:val="en-US" w:eastAsia="zh-CN" w:bidi="ar-SA"/>
              </w:rPr>
              <w:t>2</w:t>
            </w:r>
            <w:r>
              <w:rPr>
                <w:rStyle w:val="51"/>
                <w:rFonts w:hint="default" w:ascii="Calibri" w:hAnsi="Calibri" w:eastAsia="宋体" w:cs="Calibri"/>
                <w:color w:val="auto"/>
                <w:sz w:val="21"/>
                <w:szCs w:val="21"/>
                <w:lang w:val="en-US" w:eastAsia="zh-CN" w:bidi="ar-SA"/>
              </w:rPr>
              <w:t>，临时占地</w:t>
            </w:r>
            <w:r>
              <w:rPr>
                <w:rStyle w:val="51"/>
                <w:rFonts w:hint="eastAsia" w:ascii="Calibri" w:hAnsi="Calibri" w:cs="Calibri"/>
                <w:color w:val="auto"/>
                <w:sz w:val="21"/>
                <w:szCs w:val="21"/>
                <w:lang w:val="en-US" w:eastAsia="zh-CN" w:bidi="ar-SA"/>
              </w:rPr>
              <w:t>224500</w:t>
            </w:r>
            <w:r>
              <w:rPr>
                <w:rStyle w:val="51"/>
                <w:rFonts w:hint="default" w:ascii="Calibri" w:hAnsi="Calibri" w:eastAsia="宋体" w:cs="Calibri"/>
                <w:color w:val="auto"/>
                <w:sz w:val="21"/>
                <w:szCs w:val="21"/>
                <w:lang w:val="en-US" w:eastAsia="zh-CN" w:bidi="ar-SA"/>
              </w:rPr>
              <w:t>m</w:t>
            </w:r>
            <w:r>
              <w:rPr>
                <w:rStyle w:val="51"/>
                <w:rFonts w:hint="default" w:ascii="Calibri" w:hAnsi="Calibri" w:eastAsia="宋体" w:cs="Calibri"/>
                <w:color w:val="auto"/>
                <w:sz w:val="21"/>
                <w:szCs w:val="21"/>
                <w:vertAlign w:val="superscript"/>
                <w:lang w:val="en-US" w:eastAsia="zh-CN" w:bidi="ar-SA"/>
              </w:rPr>
              <w:t>2</w:t>
            </w:r>
            <w:r>
              <w:rPr>
                <w:rStyle w:val="51"/>
                <w:rFonts w:hint="default" w:ascii="Calibri" w:hAnsi="Calibri" w:eastAsia="宋体" w:cs="Calibri"/>
                <w:color w:val="auto"/>
                <w:sz w:val="21"/>
                <w:szCs w:val="21"/>
                <w:lang w:val="en-US" w:eastAsia="zh-CN" w:bidi="ar-SA"/>
              </w:rPr>
              <w:t>。</w:t>
            </w:r>
            <w:r>
              <w:rPr>
                <w:rFonts w:hint="default" w:ascii="Calibri" w:hAnsi="Calibri" w:eastAsia="宋体" w:cs="Calibri"/>
                <w:color w:val="auto"/>
                <w:sz w:val="21"/>
                <w:szCs w:val="21"/>
                <w:lang w:val="en-US" w:eastAsia="zh-CN"/>
              </w:rPr>
              <w:t>长度：</w:t>
            </w:r>
            <w:r>
              <w:rPr>
                <w:rFonts w:hint="eastAsia" w:ascii="Calibri" w:hAnsi="Calibri" w:cs="Calibri"/>
                <w:color w:val="auto"/>
                <w:sz w:val="21"/>
                <w:szCs w:val="21"/>
                <w:lang w:val="en-US" w:eastAsia="zh-CN"/>
              </w:rPr>
              <w:t>75.1</w:t>
            </w:r>
            <w:r>
              <w:rPr>
                <w:rFonts w:hint="default" w:ascii="Calibri" w:hAnsi="Calibri" w:eastAsia="宋体" w:cs="Calibri"/>
                <w:color w:val="auto"/>
                <w:sz w:val="21"/>
                <w:szCs w:val="21"/>
                <w:lang w:val="en-US" w:eastAsia="zh-CN"/>
              </w:rPr>
              <w:t>km</w:t>
            </w:r>
          </w:p>
        </w:tc>
      </w:tr>
      <w:tr w14:paraId="2FB168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2129" w:type="dxa"/>
            <w:noWrap w:val="0"/>
            <w:tcMar>
              <w:top w:w="16" w:type="dxa"/>
              <w:left w:w="16" w:type="dxa"/>
              <w:right w:w="16" w:type="dxa"/>
            </w:tcMar>
            <w:vAlign w:val="center"/>
          </w:tcPr>
          <w:p w14:paraId="004C4226">
            <w:pPr>
              <w:adjustRightInd w:val="0"/>
              <w:snapToGrid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建设性质</w:t>
            </w:r>
          </w:p>
        </w:tc>
        <w:tc>
          <w:tcPr>
            <w:tcW w:w="1570" w:type="dxa"/>
            <w:noWrap w:val="0"/>
            <w:vAlign w:val="center"/>
          </w:tcPr>
          <w:p w14:paraId="050DFF3C">
            <w:pPr>
              <w:adjustRightInd w:val="0"/>
              <w:snapToGrid w:val="0"/>
              <w:jc w:val="left"/>
              <w:rPr>
                <w:rFonts w:hint="default" w:ascii="Calibri" w:hAnsi="Calibri" w:eastAsia="宋体" w:cs="Calibri"/>
                <w:color w:val="auto"/>
                <w:sz w:val="21"/>
                <w:szCs w:val="21"/>
              </w:rPr>
            </w:pPr>
            <w:r>
              <w:rPr>
                <w:rFonts w:hint="default" w:ascii="Calibri" w:hAnsi="Calibri" w:eastAsia="宋体" w:cs="Calibri"/>
                <w:color w:val="auto"/>
                <w:sz w:val="21"/>
                <w:szCs w:val="21"/>
                <w:lang w:eastAsia="zh-CN"/>
              </w:rPr>
              <w:t>☑</w:t>
            </w:r>
            <w:r>
              <w:rPr>
                <w:rFonts w:hint="default" w:ascii="Calibri" w:hAnsi="Calibri" w:eastAsia="宋体" w:cs="Calibri"/>
                <w:color w:val="auto"/>
                <w:sz w:val="21"/>
                <w:szCs w:val="21"/>
              </w:rPr>
              <w:t>新建（迁建）</w:t>
            </w:r>
          </w:p>
          <w:p w14:paraId="4E67003A">
            <w:pPr>
              <w:adjustRightInd w:val="0"/>
              <w:snapToGrid w:val="0"/>
              <w:jc w:val="left"/>
              <w:rPr>
                <w:rFonts w:hint="default" w:ascii="Calibri" w:hAnsi="Calibri" w:eastAsia="宋体" w:cs="Calibri"/>
                <w:color w:val="auto"/>
                <w:sz w:val="21"/>
                <w:szCs w:val="21"/>
              </w:rPr>
            </w:pPr>
            <w:r>
              <w:rPr>
                <w:rFonts w:hint="default" w:ascii="Calibri" w:hAnsi="Calibri" w:eastAsia="宋体" w:cs="Calibri"/>
                <w:color w:val="auto"/>
                <w:sz w:val="21"/>
                <w:szCs w:val="21"/>
              </w:rPr>
              <w:t>□改建</w:t>
            </w:r>
          </w:p>
          <w:p w14:paraId="155483F4">
            <w:pPr>
              <w:adjustRightInd w:val="0"/>
              <w:snapToGrid w:val="0"/>
              <w:jc w:val="left"/>
              <w:rPr>
                <w:rFonts w:hint="default" w:ascii="Calibri" w:hAnsi="Calibri" w:eastAsia="宋体" w:cs="Calibri"/>
                <w:color w:val="auto"/>
                <w:sz w:val="21"/>
                <w:szCs w:val="21"/>
              </w:rPr>
            </w:pPr>
            <w:r>
              <w:rPr>
                <w:rFonts w:hint="default" w:ascii="Calibri" w:hAnsi="Calibri" w:eastAsia="宋体" w:cs="Calibri"/>
                <w:color w:val="auto"/>
                <w:sz w:val="21"/>
                <w:szCs w:val="21"/>
              </w:rPr>
              <w:t>□扩建</w:t>
            </w:r>
          </w:p>
          <w:p w14:paraId="01B65673">
            <w:pPr>
              <w:adjustRightInd w:val="0"/>
              <w:snapToGrid w:val="0"/>
              <w:jc w:val="left"/>
              <w:rPr>
                <w:rFonts w:hint="default" w:ascii="Calibri" w:hAnsi="Calibri" w:eastAsia="宋体" w:cs="Calibri"/>
                <w:color w:val="auto"/>
                <w:sz w:val="21"/>
                <w:szCs w:val="21"/>
              </w:rPr>
            </w:pPr>
            <w:r>
              <w:rPr>
                <w:rFonts w:hint="default" w:ascii="Calibri" w:hAnsi="Calibri" w:eastAsia="宋体" w:cs="Calibri"/>
                <w:color w:val="auto"/>
                <w:sz w:val="21"/>
                <w:szCs w:val="21"/>
              </w:rPr>
              <w:t>□技术改造</w:t>
            </w:r>
          </w:p>
        </w:tc>
        <w:tc>
          <w:tcPr>
            <w:tcW w:w="1872" w:type="dxa"/>
            <w:noWrap w:val="0"/>
            <w:vAlign w:val="center"/>
          </w:tcPr>
          <w:p w14:paraId="6DABFF65">
            <w:pPr>
              <w:adjustRightInd w:val="0"/>
              <w:snapToGrid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建设项目</w:t>
            </w:r>
          </w:p>
          <w:p w14:paraId="678B0D21">
            <w:pPr>
              <w:adjustRightInd w:val="0"/>
              <w:snapToGrid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申报情形</w:t>
            </w:r>
          </w:p>
        </w:tc>
        <w:tc>
          <w:tcPr>
            <w:tcW w:w="3476" w:type="dxa"/>
            <w:noWrap w:val="0"/>
            <w:vAlign w:val="center"/>
          </w:tcPr>
          <w:p w14:paraId="7285056B">
            <w:pPr>
              <w:adjustRightInd w:val="0"/>
              <w:snapToGrid w:val="0"/>
              <w:jc w:val="left"/>
              <w:rPr>
                <w:rFonts w:hint="default" w:ascii="Calibri" w:hAnsi="Calibri" w:eastAsia="宋体" w:cs="Calibri"/>
                <w:color w:val="auto"/>
                <w:sz w:val="21"/>
                <w:szCs w:val="21"/>
              </w:rPr>
            </w:pPr>
            <w:r>
              <w:rPr>
                <w:rFonts w:hint="default" w:ascii="Calibri" w:hAnsi="Calibri" w:eastAsia="宋体" w:cs="Calibri"/>
                <w:color w:val="auto"/>
                <w:sz w:val="21"/>
                <w:szCs w:val="21"/>
                <w:lang w:eastAsia="zh-CN"/>
              </w:rPr>
              <w:t>☑</w:t>
            </w:r>
            <w:r>
              <w:rPr>
                <w:rFonts w:hint="default" w:ascii="Calibri" w:hAnsi="Calibri" w:eastAsia="宋体" w:cs="Calibri"/>
                <w:color w:val="auto"/>
                <w:sz w:val="21"/>
                <w:szCs w:val="21"/>
              </w:rPr>
              <w:t>首次申报项目</w:t>
            </w:r>
          </w:p>
          <w:p w14:paraId="2637B548">
            <w:pPr>
              <w:adjustRightInd w:val="0"/>
              <w:snapToGrid w:val="0"/>
              <w:jc w:val="left"/>
              <w:rPr>
                <w:rFonts w:hint="default" w:ascii="Calibri" w:hAnsi="Calibri" w:eastAsia="宋体" w:cs="Calibri"/>
                <w:color w:val="auto"/>
                <w:sz w:val="21"/>
                <w:szCs w:val="21"/>
              </w:rPr>
            </w:pPr>
            <w:r>
              <w:rPr>
                <w:rFonts w:hint="default" w:ascii="Calibri" w:hAnsi="Calibri" w:eastAsia="宋体" w:cs="Calibri"/>
                <w:color w:val="auto"/>
                <w:sz w:val="21"/>
                <w:szCs w:val="21"/>
              </w:rPr>
              <w:t>□不予批准后再次申报项目</w:t>
            </w:r>
          </w:p>
          <w:p w14:paraId="25C08CD0">
            <w:pPr>
              <w:adjustRightInd w:val="0"/>
              <w:snapToGrid w:val="0"/>
              <w:jc w:val="left"/>
              <w:rPr>
                <w:rFonts w:hint="default" w:ascii="Calibri" w:hAnsi="Calibri" w:eastAsia="宋体" w:cs="Calibri"/>
                <w:color w:val="auto"/>
                <w:sz w:val="21"/>
                <w:szCs w:val="21"/>
              </w:rPr>
            </w:pPr>
            <w:r>
              <w:rPr>
                <w:rFonts w:hint="default" w:ascii="Calibri" w:hAnsi="Calibri" w:eastAsia="宋体" w:cs="Calibri"/>
                <w:color w:val="auto"/>
                <w:sz w:val="21"/>
                <w:szCs w:val="21"/>
              </w:rPr>
              <w:t>□超五年重新审核项目</w:t>
            </w:r>
          </w:p>
          <w:p w14:paraId="6FE1F5F5">
            <w:pPr>
              <w:adjustRightInd w:val="0"/>
              <w:snapToGrid w:val="0"/>
              <w:rPr>
                <w:rFonts w:hint="default" w:ascii="Calibri" w:hAnsi="Calibri" w:eastAsia="宋体" w:cs="Calibri"/>
                <w:color w:val="auto"/>
                <w:sz w:val="21"/>
                <w:szCs w:val="21"/>
              </w:rPr>
            </w:pPr>
            <w:r>
              <w:rPr>
                <w:rFonts w:hint="default" w:ascii="Calibri" w:hAnsi="Calibri" w:eastAsia="宋体" w:cs="Calibri"/>
                <w:color w:val="auto"/>
                <w:sz w:val="21"/>
                <w:szCs w:val="21"/>
              </w:rPr>
              <w:t>□重大变动重新报批项目</w:t>
            </w:r>
          </w:p>
        </w:tc>
      </w:tr>
      <w:tr w14:paraId="496322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2129" w:type="dxa"/>
            <w:noWrap w:val="0"/>
            <w:tcMar>
              <w:top w:w="16" w:type="dxa"/>
              <w:left w:w="16" w:type="dxa"/>
              <w:right w:w="16" w:type="dxa"/>
            </w:tcMar>
            <w:vAlign w:val="center"/>
          </w:tcPr>
          <w:p w14:paraId="7872B8D7">
            <w:pPr>
              <w:adjustRightInd w:val="0"/>
              <w:snapToGrid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项目审批（核准/</w:t>
            </w:r>
          </w:p>
          <w:p w14:paraId="5826D2DB">
            <w:pPr>
              <w:adjustRightInd w:val="0"/>
              <w:snapToGrid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备案）部门（选填）</w:t>
            </w:r>
          </w:p>
        </w:tc>
        <w:tc>
          <w:tcPr>
            <w:tcW w:w="1570" w:type="dxa"/>
            <w:noWrap w:val="0"/>
            <w:vAlign w:val="center"/>
          </w:tcPr>
          <w:p w14:paraId="58749B51">
            <w:pPr>
              <w:adjustRightInd w:val="0"/>
              <w:snapToGrid w:val="0"/>
              <w:jc w:val="center"/>
              <w:rPr>
                <w:rFonts w:hint="default" w:ascii="Calibri" w:hAnsi="Calibri" w:eastAsia="宋体" w:cs="Calibri"/>
                <w:color w:val="auto"/>
                <w:sz w:val="21"/>
                <w:szCs w:val="21"/>
                <w:lang w:val="en-US" w:eastAsia="zh-CN"/>
              </w:rPr>
            </w:pPr>
            <w:r>
              <w:rPr>
                <w:rFonts w:hint="eastAsia" w:ascii="Calibri" w:hAnsi="Calibri" w:cs="Calibri"/>
                <w:color w:val="auto"/>
                <w:sz w:val="21"/>
                <w:szCs w:val="21"/>
                <w:lang w:val="en-US" w:eastAsia="zh-CN"/>
              </w:rPr>
              <w:t>巴州发展和改革委员会</w:t>
            </w:r>
          </w:p>
        </w:tc>
        <w:tc>
          <w:tcPr>
            <w:tcW w:w="1872" w:type="dxa"/>
            <w:noWrap w:val="0"/>
            <w:vAlign w:val="center"/>
          </w:tcPr>
          <w:p w14:paraId="78FC04A4">
            <w:pPr>
              <w:adjustRightInd w:val="0"/>
              <w:snapToGrid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项目审批（核准/</w:t>
            </w:r>
          </w:p>
          <w:p w14:paraId="49AEAD59">
            <w:pPr>
              <w:adjustRightInd w:val="0"/>
              <w:snapToGrid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备案）文号（选填）</w:t>
            </w:r>
          </w:p>
        </w:tc>
        <w:tc>
          <w:tcPr>
            <w:tcW w:w="3476" w:type="dxa"/>
            <w:noWrap w:val="0"/>
            <w:vAlign w:val="center"/>
          </w:tcPr>
          <w:p w14:paraId="03EF4C5F">
            <w:pPr>
              <w:adjustRightInd w:val="0"/>
              <w:snapToGrid w:val="0"/>
              <w:jc w:val="center"/>
              <w:rPr>
                <w:rFonts w:hint="default" w:ascii="Calibri" w:hAnsi="Calibri" w:eastAsia="宋体" w:cs="Calibri"/>
                <w:color w:val="auto"/>
                <w:sz w:val="21"/>
                <w:szCs w:val="21"/>
                <w:lang w:val="en-US" w:eastAsia="zh-CN"/>
              </w:rPr>
            </w:pPr>
            <w:r>
              <w:rPr>
                <w:rFonts w:hint="eastAsia" w:ascii="Calibri" w:hAnsi="Calibri" w:cs="Calibri"/>
                <w:color w:val="auto"/>
                <w:sz w:val="21"/>
                <w:szCs w:val="21"/>
                <w:lang w:val="en-US" w:eastAsia="zh-CN"/>
              </w:rPr>
              <w:t>巴发改项目〔2025〕115号</w:t>
            </w:r>
          </w:p>
        </w:tc>
      </w:tr>
      <w:tr w14:paraId="72BC08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2129" w:type="dxa"/>
            <w:noWrap w:val="0"/>
            <w:tcMar>
              <w:top w:w="16" w:type="dxa"/>
              <w:left w:w="16" w:type="dxa"/>
              <w:right w:w="16" w:type="dxa"/>
            </w:tcMar>
            <w:vAlign w:val="center"/>
          </w:tcPr>
          <w:p w14:paraId="6138297A">
            <w:pPr>
              <w:adjustRightInd w:val="0"/>
              <w:snapToGrid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总投资（万元）</w:t>
            </w:r>
          </w:p>
        </w:tc>
        <w:tc>
          <w:tcPr>
            <w:tcW w:w="1570" w:type="dxa"/>
            <w:noWrap w:val="0"/>
            <w:vAlign w:val="center"/>
          </w:tcPr>
          <w:p w14:paraId="039C795F">
            <w:pPr>
              <w:adjustRightInd w:val="0"/>
              <w:snapToGrid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11550</w:t>
            </w:r>
          </w:p>
        </w:tc>
        <w:tc>
          <w:tcPr>
            <w:tcW w:w="1872" w:type="dxa"/>
            <w:noWrap w:val="0"/>
            <w:tcMar>
              <w:top w:w="16" w:type="dxa"/>
              <w:left w:w="16" w:type="dxa"/>
              <w:right w:w="16" w:type="dxa"/>
            </w:tcMar>
            <w:vAlign w:val="center"/>
          </w:tcPr>
          <w:p w14:paraId="07ED93FE">
            <w:pPr>
              <w:adjustRightInd w:val="0"/>
              <w:snapToGrid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环保投资（万元）</w:t>
            </w:r>
          </w:p>
        </w:tc>
        <w:tc>
          <w:tcPr>
            <w:tcW w:w="3476" w:type="dxa"/>
            <w:noWrap w:val="0"/>
            <w:vAlign w:val="center"/>
          </w:tcPr>
          <w:p w14:paraId="6608D411">
            <w:pPr>
              <w:adjustRightInd w:val="0"/>
              <w:snapToGrid w:val="0"/>
              <w:jc w:val="center"/>
              <w:rPr>
                <w:rFonts w:hint="default" w:ascii="Calibri" w:hAnsi="Calibri" w:eastAsia="宋体" w:cs="Calibri"/>
                <w:color w:val="auto"/>
                <w:sz w:val="21"/>
                <w:szCs w:val="21"/>
                <w:lang w:val="en-US" w:eastAsia="zh-CN"/>
              </w:rPr>
            </w:pPr>
            <w:r>
              <w:rPr>
                <w:rFonts w:hint="eastAsia" w:ascii="Calibri" w:hAnsi="Calibri" w:cs="Calibri"/>
                <w:color w:val="auto"/>
                <w:sz w:val="21"/>
                <w:szCs w:val="21"/>
                <w:lang w:val="en-US" w:eastAsia="zh-CN"/>
              </w:rPr>
              <w:t>199</w:t>
            </w:r>
          </w:p>
        </w:tc>
      </w:tr>
      <w:tr w14:paraId="04864E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2129" w:type="dxa"/>
            <w:noWrap w:val="0"/>
            <w:tcMar>
              <w:top w:w="16" w:type="dxa"/>
              <w:left w:w="16" w:type="dxa"/>
              <w:right w:w="16" w:type="dxa"/>
            </w:tcMar>
            <w:vAlign w:val="center"/>
          </w:tcPr>
          <w:p w14:paraId="0872B8C3">
            <w:pPr>
              <w:adjustRightInd w:val="0"/>
              <w:snapToGrid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环保投资占比（%）</w:t>
            </w:r>
          </w:p>
        </w:tc>
        <w:tc>
          <w:tcPr>
            <w:tcW w:w="1570" w:type="dxa"/>
            <w:noWrap w:val="0"/>
            <w:vAlign w:val="center"/>
          </w:tcPr>
          <w:p w14:paraId="0608D3D5">
            <w:pPr>
              <w:adjustRightInd w:val="0"/>
              <w:snapToGrid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1.7</w:t>
            </w:r>
          </w:p>
        </w:tc>
        <w:tc>
          <w:tcPr>
            <w:tcW w:w="1872" w:type="dxa"/>
            <w:noWrap w:val="0"/>
            <w:tcMar>
              <w:top w:w="16" w:type="dxa"/>
              <w:left w:w="16" w:type="dxa"/>
              <w:right w:w="16" w:type="dxa"/>
            </w:tcMar>
            <w:vAlign w:val="center"/>
          </w:tcPr>
          <w:p w14:paraId="1A001DA9">
            <w:pPr>
              <w:adjustRightInd w:val="0"/>
              <w:snapToGrid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施工工期</w:t>
            </w:r>
          </w:p>
        </w:tc>
        <w:tc>
          <w:tcPr>
            <w:tcW w:w="3476" w:type="dxa"/>
            <w:noWrap w:val="0"/>
            <w:vAlign w:val="center"/>
          </w:tcPr>
          <w:p w14:paraId="5E4AF061">
            <w:pPr>
              <w:adjustRightInd w:val="0"/>
              <w:snapToGrid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5个月</w:t>
            </w:r>
          </w:p>
        </w:tc>
      </w:tr>
      <w:tr w14:paraId="205B2F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2129" w:type="dxa"/>
            <w:noWrap w:val="0"/>
            <w:tcMar>
              <w:top w:w="16" w:type="dxa"/>
              <w:left w:w="16" w:type="dxa"/>
              <w:right w:w="16" w:type="dxa"/>
            </w:tcMar>
            <w:vAlign w:val="center"/>
          </w:tcPr>
          <w:p w14:paraId="0E380799">
            <w:pPr>
              <w:adjustRightInd w:val="0"/>
              <w:snapToGrid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是否开工建设</w:t>
            </w:r>
          </w:p>
        </w:tc>
        <w:tc>
          <w:tcPr>
            <w:tcW w:w="6918" w:type="dxa"/>
            <w:gridSpan w:val="3"/>
            <w:noWrap w:val="0"/>
            <w:vAlign w:val="center"/>
          </w:tcPr>
          <w:p w14:paraId="4AD5C949">
            <w:pPr>
              <w:adjustRightInd w:val="0"/>
              <w:snapToGrid w:val="0"/>
              <w:ind w:firstLine="105"/>
              <w:jc w:val="left"/>
              <w:rPr>
                <w:rFonts w:hint="default" w:ascii="Calibri" w:hAnsi="Calibri" w:eastAsia="宋体" w:cs="Calibri"/>
                <w:color w:val="auto"/>
                <w:sz w:val="21"/>
                <w:szCs w:val="21"/>
              </w:rPr>
            </w:pPr>
            <w:r>
              <w:rPr>
                <w:rFonts w:hint="default" w:ascii="Calibri" w:hAnsi="Calibri" w:eastAsia="宋体" w:cs="Calibri"/>
                <w:color w:val="auto"/>
                <w:sz w:val="21"/>
                <w:szCs w:val="21"/>
                <w:lang w:eastAsia="zh-CN"/>
              </w:rPr>
              <w:t>☑</w:t>
            </w:r>
            <w:r>
              <w:rPr>
                <w:rFonts w:hint="default" w:ascii="Calibri" w:hAnsi="Calibri" w:eastAsia="宋体" w:cs="Calibri"/>
                <w:color w:val="auto"/>
                <w:sz w:val="21"/>
                <w:szCs w:val="21"/>
              </w:rPr>
              <w:t>否</w:t>
            </w:r>
          </w:p>
          <w:p w14:paraId="5A00208A">
            <w:pPr>
              <w:adjustRightInd w:val="0"/>
              <w:snapToGrid w:val="0"/>
              <w:ind w:firstLine="92"/>
              <w:jc w:val="left"/>
              <w:rPr>
                <w:rFonts w:hint="default" w:ascii="Calibri" w:hAnsi="Calibri" w:eastAsia="宋体" w:cs="Calibri"/>
                <w:color w:val="auto"/>
                <w:sz w:val="21"/>
                <w:szCs w:val="21"/>
              </w:rPr>
            </w:pPr>
            <w:r>
              <w:rPr>
                <w:rFonts w:hint="default" w:ascii="Calibri" w:hAnsi="Calibri" w:eastAsia="宋体" w:cs="Calibri"/>
                <w:color w:val="auto"/>
                <w:sz w:val="21"/>
                <w:szCs w:val="21"/>
              </w:rPr>
              <w:t>□是：</w:t>
            </w:r>
            <w:r>
              <w:rPr>
                <w:rFonts w:hint="default" w:ascii="Calibri" w:hAnsi="Calibri" w:eastAsia="宋体" w:cs="Calibri"/>
                <w:color w:val="auto"/>
                <w:sz w:val="21"/>
                <w:szCs w:val="21"/>
                <w:u w:val="single"/>
              </w:rPr>
              <w:t xml:space="preserve">                             </w:t>
            </w:r>
          </w:p>
        </w:tc>
      </w:tr>
      <w:tr w14:paraId="5EE468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2129" w:type="dxa"/>
            <w:noWrap w:val="0"/>
            <w:tcMar>
              <w:top w:w="16" w:type="dxa"/>
              <w:left w:w="16" w:type="dxa"/>
              <w:right w:w="16" w:type="dxa"/>
            </w:tcMar>
            <w:vAlign w:val="center"/>
          </w:tcPr>
          <w:p w14:paraId="52FF5536">
            <w:pPr>
              <w:autoSpaceDE w:val="0"/>
              <w:autoSpaceDN w:val="0"/>
              <w:adjustRightInd w:val="0"/>
              <w:snapToGrid w:val="0"/>
              <w:jc w:val="center"/>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专项评价设置情况</w:t>
            </w:r>
          </w:p>
        </w:tc>
        <w:tc>
          <w:tcPr>
            <w:tcW w:w="6918" w:type="dxa"/>
            <w:gridSpan w:val="3"/>
            <w:noWrap w:val="0"/>
            <w:tcMar>
              <w:top w:w="16" w:type="dxa"/>
              <w:left w:w="16" w:type="dxa"/>
              <w:right w:w="16" w:type="dxa"/>
            </w:tcMar>
            <w:vAlign w:val="center"/>
          </w:tcPr>
          <w:p w14:paraId="6EFA2A1E">
            <w:pPr>
              <w:autoSpaceDE w:val="0"/>
              <w:autoSpaceDN w:val="0"/>
              <w:adjustRightInd w:val="0"/>
              <w:snapToGrid w:val="0"/>
              <w:jc w:val="center"/>
              <w:rPr>
                <w:rFonts w:hint="default" w:ascii="Calibri" w:hAnsi="Calibri" w:eastAsia="宋体" w:cs="Calibri"/>
                <w:color w:val="auto"/>
                <w:kern w:val="0"/>
                <w:sz w:val="21"/>
                <w:szCs w:val="21"/>
              </w:rPr>
            </w:pPr>
            <w:r>
              <w:rPr>
                <w:rFonts w:hint="default" w:ascii="Calibri" w:hAnsi="Calibri" w:eastAsia="宋体" w:cs="Calibri"/>
                <w:color w:val="auto"/>
                <w:sz w:val="21"/>
                <w:szCs w:val="21"/>
                <w:lang w:val="en-US" w:eastAsia="zh-CN"/>
              </w:rPr>
              <w:t>根据《环境影响评价技术导则 输变电》（HJ24-2020），本项目设置电磁环境影响专题评价</w:t>
            </w:r>
          </w:p>
        </w:tc>
      </w:tr>
      <w:tr w14:paraId="2F0642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3" w:hRule="atLeast"/>
        </w:trPr>
        <w:tc>
          <w:tcPr>
            <w:tcW w:w="2129" w:type="dxa"/>
            <w:noWrap w:val="0"/>
            <w:tcMar>
              <w:top w:w="16" w:type="dxa"/>
              <w:left w:w="16" w:type="dxa"/>
              <w:right w:w="16" w:type="dxa"/>
            </w:tcMar>
            <w:vAlign w:val="center"/>
          </w:tcPr>
          <w:p w14:paraId="7330A1CB">
            <w:pPr>
              <w:autoSpaceDE w:val="0"/>
              <w:autoSpaceDN w:val="0"/>
              <w:adjustRightInd w:val="0"/>
              <w:snapToGrid w:val="0"/>
              <w:jc w:val="center"/>
              <w:rPr>
                <w:rFonts w:hint="default" w:ascii="Calibri" w:hAnsi="Calibri" w:eastAsia="宋体" w:cs="Calibri"/>
                <w:color w:val="auto"/>
                <w:kern w:val="0"/>
                <w:sz w:val="21"/>
                <w:szCs w:val="21"/>
              </w:rPr>
            </w:pPr>
            <w:r>
              <w:rPr>
                <w:rFonts w:hint="default" w:ascii="Calibri" w:hAnsi="Calibri" w:eastAsia="宋体" w:cs="Calibri"/>
                <w:color w:val="auto"/>
                <w:sz w:val="21"/>
                <w:szCs w:val="21"/>
              </w:rPr>
              <w:t>规划情况</w:t>
            </w:r>
          </w:p>
        </w:tc>
        <w:tc>
          <w:tcPr>
            <w:tcW w:w="6918" w:type="dxa"/>
            <w:gridSpan w:val="3"/>
            <w:noWrap w:val="0"/>
            <w:tcMar>
              <w:top w:w="16" w:type="dxa"/>
              <w:left w:w="16" w:type="dxa"/>
              <w:right w:w="16" w:type="dxa"/>
            </w:tcMar>
            <w:vAlign w:val="center"/>
          </w:tcPr>
          <w:p w14:paraId="50DB40CF">
            <w:pPr>
              <w:pStyle w:val="35"/>
              <w:bidi w:val="0"/>
              <w:rPr>
                <w:rFonts w:hint="default" w:ascii="Calibri" w:hAnsi="Calibri" w:eastAsia="宋体" w:cs="Calibri"/>
                <w:color w:val="auto"/>
                <w:kern w:val="0"/>
                <w:sz w:val="21"/>
                <w:szCs w:val="21"/>
              </w:rPr>
            </w:pPr>
            <w:r>
              <w:rPr>
                <w:rFonts w:hint="default" w:ascii="Calibri" w:hAnsi="Calibri" w:eastAsia="宋体" w:cs="Calibri"/>
                <w:color w:val="auto"/>
                <w:sz w:val="21"/>
                <w:szCs w:val="21"/>
                <w:lang w:val="en-US" w:eastAsia="zh-CN"/>
              </w:rPr>
              <w:t>《新疆维吾尔自治区“十四五”电力发展规划》（新发改能源〔2022〕173号）</w:t>
            </w:r>
          </w:p>
        </w:tc>
      </w:tr>
      <w:tr w14:paraId="47C85C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3" w:hRule="atLeast"/>
        </w:trPr>
        <w:tc>
          <w:tcPr>
            <w:tcW w:w="2129" w:type="dxa"/>
            <w:noWrap w:val="0"/>
            <w:tcMar>
              <w:top w:w="16" w:type="dxa"/>
              <w:left w:w="16" w:type="dxa"/>
              <w:right w:w="16" w:type="dxa"/>
            </w:tcMar>
            <w:vAlign w:val="center"/>
          </w:tcPr>
          <w:p w14:paraId="1BAB4C39">
            <w:pPr>
              <w:autoSpaceDE w:val="0"/>
              <w:autoSpaceDN w:val="0"/>
              <w:adjustRightInd w:val="0"/>
              <w:snapToGrid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规划环境影响</w:t>
            </w:r>
          </w:p>
          <w:p w14:paraId="64AF2611">
            <w:pPr>
              <w:autoSpaceDE w:val="0"/>
              <w:autoSpaceDN w:val="0"/>
              <w:adjustRightInd w:val="0"/>
              <w:snapToGrid w:val="0"/>
              <w:jc w:val="center"/>
              <w:rPr>
                <w:rFonts w:hint="default" w:ascii="Calibri" w:hAnsi="Calibri" w:eastAsia="宋体" w:cs="Calibri"/>
                <w:color w:val="auto"/>
                <w:kern w:val="0"/>
                <w:sz w:val="21"/>
                <w:szCs w:val="21"/>
              </w:rPr>
            </w:pPr>
            <w:r>
              <w:rPr>
                <w:rFonts w:hint="default" w:ascii="Calibri" w:hAnsi="Calibri" w:eastAsia="宋体" w:cs="Calibri"/>
                <w:color w:val="auto"/>
                <w:sz w:val="21"/>
                <w:szCs w:val="21"/>
              </w:rPr>
              <w:t>评价情况</w:t>
            </w:r>
          </w:p>
        </w:tc>
        <w:tc>
          <w:tcPr>
            <w:tcW w:w="6918" w:type="dxa"/>
            <w:gridSpan w:val="3"/>
            <w:noWrap w:val="0"/>
            <w:tcMar>
              <w:top w:w="16" w:type="dxa"/>
              <w:left w:w="16" w:type="dxa"/>
              <w:right w:w="16" w:type="dxa"/>
            </w:tcMar>
            <w:vAlign w:val="center"/>
          </w:tcPr>
          <w:p w14:paraId="7D516CF8">
            <w:pPr>
              <w:pStyle w:val="35"/>
              <w:bidi w:val="0"/>
              <w:rPr>
                <w:rFonts w:hint="default" w:ascii="Calibri" w:hAnsi="Calibri" w:eastAsia="宋体" w:cs="Calibri"/>
                <w:color w:val="auto"/>
                <w:kern w:val="0"/>
                <w:sz w:val="21"/>
                <w:szCs w:val="21"/>
              </w:rPr>
            </w:pPr>
            <w:r>
              <w:rPr>
                <w:rFonts w:hint="default" w:ascii="Calibri" w:hAnsi="Calibri" w:eastAsia="宋体" w:cs="Calibri"/>
                <w:color w:val="auto"/>
                <w:sz w:val="21"/>
                <w:szCs w:val="21"/>
                <w:lang w:val="en-US" w:eastAsia="zh-CN"/>
              </w:rPr>
              <w:t>无</w:t>
            </w:r>
          </w:p>
        </w:tc>
      </w:tr>
      <w:tr w14:paraId="07B348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0" w:hRule="atLeast"/>
        </w:trPr>
        <w:tc>
          <w:tcPr>
            <w:tcW w:w="2129" w:type="dxa"/>
            <w:noWrap w:val="0"/>
            <w:tcMar>
              <w:top w:w="16" w:type="dxa"/>
              <w:left w:w="16" w:type="dxa"/>
              <w:right w:w="16" w:type="dxa"/>
            </w:tcMar>
            <w:vAlign w:val="center"/>
          </w:tcPr>
          <w:p w14:paraId="4F0ECB57">
            <w:pPr>
              <w:autoSpaceDE w:val="0"/>
              <w:autoSpaceDN w:val="0"/>
              <w:adjustRightInd w:val="0"/>
              <w:snapToGrid w:val="0"/>
              <w:jc w:val="center"/>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规划及</w:t>
            </w:r>
            <w:r>
              <w:rPr>
                <w:rFonts w:hint="default" w:ascii="Calibri" w:hAnsi="Calibri" w:eastAsia="宋体" w:cs="Calibri"/>
                <w:color w:val="auto"/>
                <w:sz w:val="21"/>
                <w:szCs w:val="21"/>
              </w:rPr>
              <w:t>规划环境影响评价</w:t>
            </w:r>
            <w:r>
              <w:rPr>
                <w:rFonts w:hint="default" w:ascii="Calibri" w:hAnsi="Calibri" w:eastAsia="宋体" w:cs="Calibri"/>
                <w:color w:val="auto"/>
                <w:kern w:val="0"/>
                <w:sz w:val="21"/>
                <w:szCs w:val="21"/>
              </w:rPr>
              <w:t>符合性分析</w:t>
            </w:r>
          </w:p>
        </w:tc>
        <w:tc>
          <w:tcPr>
            <w:tcW w:w="6918" w:type="dxa"/>
            <w:gridSpan w:val="3"/>
            <w:noWrap w:val="0"/>
            <w:tcMar>
              <w:top w:w="16" w:type="dxa"/>
              <w:left w:w="16" w:type="dxa"/>
              <w:right w:w="16" w:type="dxa"/>
            </w:tcMar>
            <w:vAlign w:val="center"/>
          </w:tcPr>
          <w:p w14:paraId="2F94A609">
            <w:pPr>
              <w:pStyle w:val="46"/>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Calibri" w:hAnsi="Calibri" w:eastAsia="宋体" w:cs="Calibri"/>
                <w:color w:val="auto"/>
                <w:sz w:val="24"/>
                <w:szCs w:val="24"/>
                <w:lang w:val="en-US" w:eastAsia="zh-CN"/>
              </w:rPr>
            </w:pPr>
            <w:r>
              <w:rPr>
                <w:rFonts w:hint="default" w:ascii="Calibri" w:hAnsi="Calibri" w:eastAsia="宋体" w:cs="Calibri"/>
                <w:color w:val="auto"/>
                <w:sz w:val="24"/>
                <w:szCs w:val="24"/>
                <w:lang w:val="en-US" w:eastAsia="zh-CN"/>
              </w:rPr>
              <w:t>《新疆维吾尔自治区“十四五”电力发展规划》（新发改能源〔2022﹞173号）中第六章：一、新疆干旱区域面积占比88%以上，生态环境总体较为脆弱，生态保护治理工作任重道远</w:t>
            </w:r>
            <w:r>
              <w:rPr>
                <w:rFonts w:hint="eastAsia" w:ascii="Calibri" w:hAnsi="Calibri" w:cs="Calibri"/>
                <w:color w:val="auto"/>
                <w:sz w:val="24"/>
                <w:szCs w:val="24"/>
                <w:lang w:val="en-US" w:eastAsia="zh-CN"/>
              </w:rPr>
              <w:t>。</w:t>
            </w:r>
            <w:r>
              <w:rPr>
                <w:rFonts w:hint="default" w:ascii="Calibri" w:hAnsi="Calibri" w:eastAsia="宋体" w:cs="Calibri"/>
                <w:color w:val="auto"/>
                <w:sz w:val="24"/>
                <w:szCs w:val="24"/>
                <w:lang w:val="en-US" w:eastAsia="zh-CN"/>
              </w:rPr>
              <w:t>规划项目的实施需消耗大量煤炭资源、水资源、土地资源，将对当地的生态环境构成一定压力。煤电、生物质能发电项目建成后存在大气污染、噪声、固体废物排放等环境影响，同时存在较大规模二氧化碳排放量。水电、风电、太阳能发电、抽水储能等清洁电源对大气污染、水污染影响较小，对生态环境有一定影响。输变电项目运行时对环境存在电磁和噪声影响。新疆自然保护区、风景名胜区、水源地等环境敏感区多，电力项目规划建设需深入考虑对环境敏感区的影响。</w:t>
            </w:r>
          </w:p>
          <w:p w14:paraId="7465D02C">
            <w:pPr>
              <w:pStyle w:val="46"/>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Calibri" w:hAnsi="Calibri" w:eastAsia="宋体" w:cs="Calibri"/>
                <w:color w:val="auto"/>
                <w:sz w:val="24"/>
                <w:szCs w:val="24"/>
                <w:lang w:val="en-US" w:eastAsia="zh-CN"/>
              </w:rPr>
            </w:pPr>
            <w:r>
              <w:rPr>
                <w:rFonts w:hint="default" w:ascii="Calibri" w:hAnsi="Calibri" w:eastAsia="宋体" w:cs="Calibri"/>
                <w:color w:val="auto"/>
                <w:sz w:val="24"/>
                <w:szCs w:val="24"/>
                <w:lang w:val="en-US" w:eastAsia="zh-CN"/>
              </w:rPr>
              <w:t>本项目新建1条同塔双回单边挂线</w:t>
            </w:r>
            <w:r>
              <w:rPr>
                <w:rFonts w:hint="eastAsia" w:ascii="Calibri" w:hAnsi="Calibri" w:cs="Calibri"/>
                <w:color w:val="auto"/>
                <w:sz w:val="24"/>
                <w:szCs w:val="24"/>
                <w:lang w:val="en-US" w:eastAsia="zh-CN"/>
              </w:rPr>
              <w:t>110kV</w:t>
            </w:r>
            <w:r>
              <w:rPr>
                <w:rFonts w:hint="default" w:ascii="Calibri" w:hAnsi="Calibri" w:eastAsia="宋体" w:cs="Calibri"/>
                <w:color w:val="auto"/>
                <w:sz w:val="24"/>
                <w:szCs w:val="24"/>
                <w:lang w:val="en-US" w:eastAsia="zh-CN"/>
              </w:rPr>
              <w:t>线路、1条单回</w:t>
            </w:r>
            <w:r>
              <w:rPr>
                <w:rFonts w:hint="eastAsia" w:ascii="Calibri" w:hAnsi="Calibri" w:cs="Calibri"/>
                <w:color w:val="auto"/>
                <w:sz w:val="24"/>
                <w:szCs w:val="24"/>
                <w:lang w:val="en-US" w:eastAsia="zh-CN"/>
              </w:rPr>
              <w:t>110kV</w:t>
            </w:r>
            <w:r>
              <w:rPr>
                <w:rFonts w:hint="default" w:ascii="Calibri" w:hAnsi="Calibri" w:eastAsia="宋体" w:cs="Calibri"/>
                <w:color w:val="auto"/>
                <w:sz w:val="24"/>
                <w:szCs w:val="24"/>
                <w:lang w:val="en-US" w:eastAsia="zh-CN"/>
              </w:rPr>
              <w:t>供电线路和1座110kV变电站，规划主变容量2×50MVA，本期建成1×50MVA。项目评价范围内无电磁环境敏感目标，无声环境保护目标。经现状监测，项目区工频电场强度、工频磁感应强度满足《电磁环境控制限值》（GB8702-2014）中限值要求，符合《新疆维吾尔自治区“十四五”电力发展规划》（新发改能源〔2022﹞173号）要求。</w:t>
            </w:r>
          </w:p>
          <w:p w14:paraId="07B19A93">
            <w:pPr>
              <w:pStyle w:val="46"/>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default" w:ascii="Calibri" w:hAnsi="Calibri" w:eastAsia="宋体" w:cs="Calibri"/>
                <w:color w:val="auto"/>
                <w:sz w:val="24"/>
                <w:szCs w:val="24"/>
                <w:lang w:val="en-US" w:eastAsia="zh-CN"/>
              </w:rPr>
            </w:pPr>
            <w:r>
              <w:rPr>
                <w:rFonts w:hint="default" w:ascii="Calibri" w:hAnsi="Calibri" w:eastAsia="宋体" w:cs="Calibri"/>
                <w:color w:val="auto"/>
                <w:kern w:val="0"/>
                <w:sz w:val="24"/>
                <w:szCs w:val="24"/>
                <w:lang w:val="en-US" w:eastAsia="zh-CN" w:bidi="ar-SA"/>
              </w:rPr>
              <w:t>二、</w:t>
            </w:r>
            <w:r>
              <w:rPr>
                <w:rFonts w:hint="default" w:ascii="Calibri" w:hAnsi="Calibri" w:eastAsia="宋体" w:cs="Calibri"/>
                <w:color w:val="auto"/>
                <w:sz w:val="24"/>
                <w:szCs w:val="24"/>
                <w:lang w:val="en-US" w:eastAsia="zh-CN"/>
              </w:rPr>
              <w:t>科学规划化石能源、可再生能源电力项目规模，不断提高各类自然资源综合利用水平，降低水资源、土地资源消耗强度，减少生态环境影响。项目选址主动避让了环境敏感及保护目标，严格执行生态环境分区管控要求，落实不同环境管控单元要求。</w:t>
            </w:r>
          </w:p>
          <w:p w14:paraId="5C9C69C6">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both"/>
              <w:textAlignment w:val="auto"/>
              <w:rPr>
                <w:rFonts w:hint="default" w:ascii="Calibri" w:hAnsi="Calibri" w:eastAsia="宋体" w:cs="Calibri"/>
                <w:color w:val="auto"/>
                <w:kern w:val="0"/>
                <w:sz w:val="21"/>
                <w:szCs w:val="21"/>
              </w:rPr>
            </w:pPr>
            <w:r>
              <w:rPr>
                <w:rFonts w:hint="default" w:ascii="Calibri" w:hAnsi="Calibri" w:eastAsia="宋体" w:cs="Calibri"/>
                <w:color w:val="auto"/>
                <w:sz w:val="24"/>
                <w:szCs w:val="24"/>
                <w:lang w:val="en-US" w:eastAsia="zh-CN"/>
              </w:rPr>
              <w:t>本项目架空输电线路周边无环境保护目标，施工期及运营期严格执行生态环境分区管控要求。</w:t>
            </w:r>
          </w:p>
        </w:tc>
      </w:tr>
      <w:tr w14:paraId="0B4D2E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2129" w:type="dxa"/>
            <w:noWrap w:val="0"/>
            <w:tcMar>
              <w:top w:w="16" w:type="dxa"/>
              <w:left w:w="16" w:type="dxa"/>
              <w:right w:w="16" w:type="dxa"/>
            </w:tcMar>
            <w:vAlign w:val="center"/>
          </w:tcPr>
          <w:p w14:paraId="48396190">
            <w:pPr>
              <w:autoSpaceDE w:val="0"/>
              <w:autoSpaceDN w:val="0"/>
              <w:adjustRightInd w:val="0"/>
              <w:snapToGrid w:val="0"/>
              <w:jc w:val="center"/>
              <w:rPr>
                <w:rFonts w:hint="default" w:ascii="Calibri" w:hAnsi="Calibri" w:eastAsia="宋体" w:cs="Calibri"/>
                <w:color w:val="auto"/>
                <w:kern w:val="0"/>
                <w:sz w:val="21"/>
                <w:szCs w:val="21"/>
              </w:rPr>
            </w:pPr>
            <w:bookmarkStart w:id="3" w:name="_Hlk56690880"/>
            <w:r>
              <w:rPr>
                <w:rFonts w:hint="default" w:ascii="Calibri" w:hAnsi="Calibri" w:eastAsia="宋体" w:cs="Calibri"/>
                <w:color w:val="auto"/>
                <w:kern w:val="0"/>
                <w:sz w:val="21"/>
                <w:szCs w:val="21"/>
              </w:rPr>
              <w:t>其他符合性分析</w:t>
            </w:r>
            <w:bookmarkEnd w:id="3"/>
          </w:p>
        </w:tc>
        <w:tc>
          <w:tcPr>
            <w:tcW w:w="6918" w:type="dxa"/>
            <w:gridSpan w:val="3"/>
            <w:noWrap w:val="0"/>
            <w:tcMar>
              <w:top w:w="16" w:type="dxa"/>
              <w:left w:w="16" w:type="dxa"/>
              <w:right w:w="16" w:type="dxa"/>
            </w:tcMar>
            <w:vAlign w:val="center"/>
          </w:tcPr>
          <w:p w14:paraId="6FF7BC4C">
            <w:pPr>
              <w:pStyle w:val="36"/>
              <w:keepNext w:val="0"/>
              <w:keepLines w:val="0"/>
              <w:pageBreakBefore w:val="0"/>
              <w:widowControl w:val="0"/>
              <w:kinsoku/>
              <w:wordWrap/>
              <w:overflowPunct/>
              <w:topLinePunct w:val="0"/>
              <w:bidi w:val="0"/>
              <w:spacing w:line="520" w:lineRule="exact"/>
              <w:ind w:firstLine="482" w:firstLineChars="200"/>
              <w:textAlignment w:val="auto"/>
              <w:rPr>
                <w:rFonts w:hint="default" w:ascii="Calibri" w:hAnsi="Calibri" w:eastAsia="宋体" w:cs="Calibri"/>
                <w:color w:val="auto"/>
                <w:sz w:val="24"/>
                <w:szCs w:val="24"/>
              </w:rPr>
            </w:pPr>
            <w:r>
              <w:rPr>
                <w:rFonts w:hint="eastAsia" w:ascii="Calibri" w:hAnsi="Calibri" w:cs="Calibri"/>
                <w:color w:val="auto"/>
                <w:sz w:val="24"/>
                <w:szCs w:val="24"/>
                <w:lang w:eastAsia="zh-CN"/>
              </w:rPr>
              <w:t>1.</w:t>
            </w:r>
            <w:r>
              <w:rPr>
                <w:rFonts w:hint="default" w:ascii="Calibri" w:hAnsi="Calibri" w:eastAsia="宋体" w:cs="Calibri"/>
                <w:color w:val="auto"/>
                <w:sz w:val="24"/>
                <w:szCs w:val="24"/>
              </w:rPr>
              <w:t>与产业政策相符性</w:t>
            </w:r>
          </w:p>
          <w:p w14:paraId="1C4B267C">
            <w:pPr>
              <w:pStyle w:val="10"/>
              <w:keepNext w:val="0"/>
              <w:keepLines w:val="0"/>
              <w:pageBreakBefore w:val="0"/>
              <w:widowControl w:val="0"/>
              <w:kinsoku/>
              <w:wordWrap/>
              <w:overflowPunct/>
              <w:topLinePunct w:val="0"/>
              <w:bidi w:val="0"/>
              <w:spacing w:line="520" w:lineRule="exact"/>
              <w:ind w:firstLine="480" w:firstLineChars="200"/>
              <w:textAlignment w:val="auto"/>
              <w:rPr>
                <w:rFonts w:hint="default" w:ascii="Calibri" w:hAnsi="Calibri" w:eastAsia="宋体" w:cs="Calibri"/>
                <w:color w:val="auto"/>
                <w:sz w:val="24"/>
                <w:szCs w:val="24"/>
                <w:lang w:val="en-US" w:eastAsia="zh-CN"/>
              </w:rPr>
            </w:pPr>
            <w:r>
              <w:rPr>
                <w:rFonts w:hint="default" w:ascii="Calibri" w:hAnsi="Calibri" w:eastAsia="宋体" w:cs="Calibri"/>
                <w:color w:val="auto"/>
                <w:sz w:val="24"/>
                <w:szCs w:val="24"/>
              </w:rPr>
              <w:t>本</w:t>
            </w:r>
            <w:r>
              <w:rPr>
                <w:rFonts w:hint="default" w:ascii="Calibri" w:hAnsi="Calibri" w:eastAsia="宋体" w:cs="Calibri"/>
                <w:color w:val="auto"/>
                <w:sz w:val="24"/>
                <w:szCs w:val="24"/>
                <w:lang w:eastAsia="zh-CN"/>
              </w:rPr>
              <w:t>项目</w:t>
            </w:r>
            <w:r>
              <w:rPr>
                <w:rFonts w:hint="default" w:ascii="Calibri" w:hAnsi="Calibri" w:eastAsia="宋体" w:cs="Calibri"/>
                <w:color w:val="auto"/>
                <w:sz w:val="24"/>
                <w:szCs w:val="24"/>
              </w:rPr>
              <w:t>为</w:t>
            </w:r>
            <w:r>
              <w:rPr>
                <w:rFonts w:hint="default" w:ascii="Calibri" w:hAnsi="Calibri" w:eastAsia="宋体" w:cs="Calibri"/>
                <w:color w:val="auto"/>
                <w:sz w:val="24"/>
                <w:szCs w:val="24"/>
                <w:lang w:val="en-US" w:eastAsia="zh-CN"/>
              </w:rPr>
              <w:t>输变电工程</w:t>
            </w:r>
            <w:r>
              <w:rPr>
                <w:rFonts w:hint="default" w:ascii="Calibri" w:hAnsi="Calibri" w:eastAsia="宋体" w:cs="Calibri"/>
                <w:color w:val="auto"/>
                <w:sz w:val="24"/>
                <w:szCs w:val="24"/>
              </w:rPr>
              <w:t>，根据</w:t>
            </w:r>
            <w:r>
              <w:rPr>
                <w:rFonts w:hint="default" w:ascii="Calibri" w:hAnsi="Calibri" w:eastAsia="宋体" w:cs="Calibri"/>
                <w:color w:val="auto"/>
                <w:sz w:val="24"/>
                <w:szCs w:val="24"/>
                <w:lang w:val="en-US" w:eastAsia="zh-CN"/>
              </w:rPr>
              <w:t>中华人民共和国国家发展和改革委员会第7号令</w:t>
            </w:r>
            <w:r>
              <w:rPr>
                <w:rFonts w:hint="default" w:ascii="Calibri" w:hAnsi="Calibri" w:eastAsia="宋体" w:cs="Calibri"/>
                <w:color w:val="auto"/>
                <w:sz w:val="24"/>
                <w:szCs w:val="24"/>
              </w:rPr>
              <w:t>《产业结构调整指导目录（</w:t>
            </w:r>
            <w:r>
              <w:rPr>
                <w:rFonts w:hint="default" w:ascii="Calibri" w:hAnsi="Calibri" w:eastAsia="宋体" w:cs="Calibri"/>
                <w:color w:val="auto"/>
                <w:sz w:val="24"/>
                <w:szCs w:val="24"/>
                <w:lang w:val="en-US" w:eastAsia="zh-CN"/>
              </w:rPr>
              <w:t>2024</w:t>
            </w:r>
            <w:r>
              <w:rPr>
                <w:rFonts w:hint="default" w:ascii="Calibri" w:hAnsi="Calibri" w:eastAsia="宋体" w:cs="Calibri"/>
                <w:color w:val="auto"/>
                <w:sz w:val="24"/>
                <w:szCs w:val="24"/>
              </w:rPr>
              <w:t>年本）》</w:t>
            </w:r>
            <w:r>
              <w:rPr>
                <w:rFonts w:hint="default" w:ascii="Calibri" w:hAnsi="Calibri" w:eastAsia="宋体" w:cs="Calibri"/>
                <w:color w:val="auto"/>
                <w:sz w:val="24"/>
                <w:szCs w:val="24"/>
                <w:lang w:eastAsia="zh-CN"/>
              </w:rPr>
              <w:t>，</w:t>
            </w:r>
            <w:r>
              <w:rPr>
                <w:rFonts w:hint="default" w:ascii="Calibri" w:hAnsi="Calibri" w:eastAsia="宋体" w:cs="Calibri"/>
                <w:color w:val="auto"/>
                <w:sz w:val="24"/>
                <w:szCs w:val="24"/>
                <w:lang w:val="en-US" w:eastAsia="zh-CN"/>
              </w:rPr>
              <w:t>本项目属于其中“第一类鼓励类”项目中的“四、电力2、电力基础设施建设”。因此，本项目符合国家产业政策。</w:t>
            </w:r>
          </w:p>
          <w:p w14:paraId="1FF6F549">
            <w:pPr>
              <w:pStyle w:val="36"/>
              <w:keepNext w:val="0"/>
              <w:keepLines w:val="0"/>
              <w:pageBreakBefore w:val="0"/>
              <w:widowControl w:val="0"/>
              <w:numPr>
                <w:ilvl w:val="0"/>
                <w:numId w:val="1"/>
              </w:numPr>
              <w:kinsoku/>
              <w:wordWrap/>
              <w:overflowPunct/>
              <w:topLinePunct w:val="0"/>
              <w:bidi w:val="0"/>
              <w:spacing w:line="520" w:lineRule="exact"/>
              <w:ind w:firstLine="482" w:firstLineChars="200"/>
              <w:textAlignment w:val="auto"/>
              <w:rPr>
                <w:rFonts w:hint="default" w:ascii="Calibri" w:hAnsi="Calibri" w:eastAsia="宋体" w:cs="Calibri"/>
                <w:color w:val="auto"/>
                <w:sz w:val="24"/>
                <w:szCs w:val="24"/>
                <w:lang w:val="en-US" w:eastAsia="zh-CN"/>
              </w:rPr>
            </w:pPr>
            <w:r>
              <w:rPr>
                <w:rFonts w:hint="default" w:ascii="Calibri" w:hAnsi="Calibri" w:eastAsia="宋体" w:cs="Calibri"/>
                <w:color w:val="auto"/>
                <w:sz w:val="24"/>
                <w:szCs w:val="24"/>
                <w:lang w:val="en-US" w:eastAsia="zh-CN"/>
              </w:rPr>
              <w:t>生态环境分区管控要求符合性判定</w:t>
            </w:r>
          </w:p>
          <w:p w14:paraId="2624583E">
            <w:pPr>
              <w:pStyle w:val="10"/>
              <w:keepNext w:val="0"/>
              <w:keepLines w:val="0"/>
              <w:pageBreakBefore w:val="0"/>
              <w:widowControl w:val="0"/>
              <w:kinsoku/>
              <w:wordWrap/>
              <w:overflowPunct/>
              <w:topLinePunct w:val="0"/>
              <w:bidi w:val="0"/>
              <w:spacing w:line="520" w:lineRule="exact"/>
              <w:textAlignment w:val="auto"/>
              <w:rPr>
                <w:rFonts w:hint="default" w:ascii="Calibri" w:hAnsi="Calibri" w:eastAsia="宋体" w:cs="Calibri"/>
                <w:color w:val="auto"/>
                <w:sz w:val="24"/>
                <w:szCs w:val="24"/>
                <w:lang w:val="en-US" w:eastAsia="zh-CN"/>
              </w:rPr>
            </w:pPr>
            <w:r>
              <w:rPr>
                <w:rFonts w:hint="default" w:ascii="Calibri" w:hAnsi="Calibri" w:eastAsia="宋体" w:cs="Calibri"/>
                <w:color w:val="auto"/>
                <w:sz w:val="24"/>
                <w:szCs w:val="24"/>
                <w:lang w:val="en-US" w:eastAsia="zh-CN"/>
              </w:rPr>
              <w:t>《关于印发新疆维吾尔自治区生态环境分区管控动态更新成果的通知》（新环环评发〔2024〕157</w:t>
            </w:r>
            <w:r>
              <w:rPr>
                <w:rFonts w:hint="eastAsia" w:ascii="Calibri" w:hAnsi="Calibri" w:cs="Calibri"/>
                <w:color w:val="auto"/>
                <w:sz w:val="24"/>
                <w:szCs w:val="24"/>
                <w:lang w:val="en-US" w:eastAsia="zh-CN"/>
              </w:rPr>
              <w:t>号</w:t>
            </w:r>
            <w:r>
              <w:rPr>
                <w:rFonts w:hint="default" w:ascii="Calibri" w:hAnsi="Calibri" w:eastAsia="宋体" w:cs="Calibri"/>
                <w:color w:val="auto"/>
                <w:sz w:val="24"/>
                <w:szCs w:val="24"/>
                <w:lang w:val="en-US" w:eastAsia="zh-CN"/>
              </w:rPr>
              <w:t>），符合性分析如下。</w:t>
            </w:r>
          </w:p>
          <w:p w14:paraId="45AB2409">
            <w:pPr>
              <w:pStyle w:val="10"/>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Calibri" w:hAnsi="Calibri" w:eastAsia="宋体" w:cs="Calibri"/>
                <w:b/>
                <w:bCs/>
                <w:color w:val="auto"/>
                <w:sz w:val="24"/>
                <w:szCs w:val="24"/>
                <w:lang w:val="en-US" w:eastAsia="zh-CN"/>
              </w:rPr>
            </w:pPr>
            <w:r>
              <w:rPr>
                <w:rFonts w:hint="default" w:ascii="Calibri" w:hAnsi="Calibri" w:eastAsia="宋体" w:cs="Calibri"/>
                <w:b/>
                <w:bCs/>
                <w:color w:val="auto"/>
                <w:sz w:val="24"/>
                <w:szCs w:val="24"/>
                <w:lang w:val="en-US" w:eastAsia="zh-CN"/>
              </w:rPr>
              <w:t>表1-1    本项目与《关于印发新疆维吾尔自治区生态环境分区管控动态更新成果的通知》（新环环评发〔2024〕157</w:t>
            </w:r>
            <w:r>
              <w:rPr>
                <w:rFonts w:hint="eastAsia" w:ascii="Calibri" w:hAnsi="Calibri" w:cs="Calibri"/>
                <w:b/>
                <w:bCs/>
                <w:color w:val="auto"/>
                <w:sz w:val="24"/>
                <w:szCs w:val="24"/>
                <w:lang w:val="en-US" w:eastAsia="zh-CN"/>
              </w:rPr>
              <w:t>号</w:t>
            </w:r>
            <w:r>
              <w:rPr>
                <w:rFonts w:hint="default" w:ascii="Calibri" w:hAnsi="Calibri" w:eastAsia="宋体" w:cs="Calibri"/>
                <w:b/>
                <w:bCs/>
                <w:color w:val="auto"/>
                <w:sz w:val="24"/>
                <w:szCs w:val="24"/>
                <w:lang w:val="en-US" w:eastAsia="zh-CN"/>
              </w:rPr>
              <w:t>）符合性分析一览表</w:t>
            </w:r>
          </w:p>
          <w:tbl>
            <w:tblPr>
              <w:tblStyle w:val="2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32"/>
              <w:gridCol w:w="709"/>
              <w:gridCol w:w="2748"/>
              <w:gridCol w:w="2163"/>
              <w:gridCol w:w="713"/>
            </w:tblGrid>
            <w:tr w14:paraId="00242B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5" w:hRule="atLeast"/>
                <w:jc w:val="center"/>
              </w:trPr>
              <w:tc>
                <w:tcPr>
                  <w:tcW w:w="2905" w:type="pct"/>
                  <w:gridSpan w:val="3"/>
                  <w:noWrap w:val="0"/>
                  <w:vAlign w:val="center"/>
                </w:tcPr>
                <w:p w14:paraId="537E2DB6">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r>
                    <w:rPr>
                      <w:rFonts w:hint="default" w:ascii="Calibri" w:hAnsi="Calibri" w:eastAsia="宋体" w:cs="Calibri"/>
                      <w:iCs/>
                      <w:color w:val="auto"/>
                      <w:kern w:val="0"/>
                      <w:sz w:val="21"/>
                      <w:szCs w:val="21"/>
                    </w:rPr>
                    <w:t>文件要求</w:t>
                  </w:r>
                </w:p>
              </w:tc>
              <w:tc>
                <w:tcPr>
                  <w:tcW w:w="1575" w:type="pct"/>
                  <w:noWrap w:val="0"/>
                  <w:vAlign w:val="center"/>
                </w:tcPr>
                <w:p w14:paraId="4BE30BDC">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r>
                    <w:rPr>
                      <w:rFonts w:hint="default" w:ascii="Calibri" w:hAnsi="Calibri" w:eastAsia="宋体" w:cs="Calibri"/>
                      <w:iCs/>
                      <w:color w:val="auto"/>
                      <w:kern w:val="0"/>
                      <w:sz w:val="21"/>
                      <w:szCs w:val="21"/>
                    </w:rPr>
                    <w:t>本项目</w:t>
                  </w:r>
                </w:p>
              </w:tc>
              <w:tc>
                <w:tcPr>
                  <w:tcW w:w="519" w:type="pct"/>
                  <w:noWrap w:val="0"/>
                  <w:vAlign w:val="center"/>
                </w:tcPr>
                <w:p w14:paraId="1FF8F60A">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r>
                    <w:rPr>
                      <w:rFonts w:hint="default" w:ascii="Calibri" w:hAnsi="Calibri" w:eastAsia="宋体" w:cs="Calibri"/>
                      <w:iCs/>
                      <w:color w:val="auto"/>
                      <w:kern w:val="0"/>
                      <w:sz w:val="21"/>
                      <w:szCs w:val="21"/>
                    </w:rPr>
                    <w:t>符合性</w:t>
                  </w:r>
                </w:p>
              </w:tc>
            </w:tr>
            <w:tr w14:paraId="278FB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68" w:hRule="atLeast"/>
                <w:jc w:val="center"/>
              </w:trPr>
              <w:tc>
                <w:tcPr>
                  <w:tcW w:w="387" w:type="pct"/>
                  <w:vMerge w:val="restart"/>
                  <w:noWrap w:val="0"/>
                  <w:vAlign w:val="center"/>
                </w:tcPr>
                <w:p w14:paraId="562ADFB1">
                  <w:pPr>
                    <w:keepNext w:val="0"/>
                    <w:keepLines w:val="0"/>
                    <w:pageBreakBefore w:val="0"/>
                    <w:widowControl w:val="0"/>
                    <w:kinsoku/>
                    <w:wordWrap/>
                    <w:overflowPunct/>
                    <w:topLinePunct w:val="0"/>
                    <w:autoSpaceDE/>
                    <w:autoSpaceDN/>
                    <w:bidi w:val="0"/>
                    <w:adjustRightInd/>
                    <w:snapToGrid/>
                    <w:textAlignment w:val="auto"/>
                    <w:rPr>
                      <w:rFonts w:hint="default" w:ascii="Calibri" w:hAnsi="Calibri" w:eastAsia="宋体" w:cs="Calibri"/>
                      <w:color w:val="auto"/>
                      <w:sz w:val="21"/>
                      <w:szCs w:val="21"/>
                    </w:rPr>
                  </w:pPr>
                  <w:r>
                    <w:rPr>
                      <w:rFonts w:hint="default" w:ascii="Calibri" w:hAnsi="Calibri" w:eastAsia="宋体" w:cs="Calibri"/>
                      <w:iCs/>
                      <w:color w:val="auto"/>
                      <w:kern w:val="0"/>
                      <w:sz w:val="21"/>
                      <w:szCs w:val="21"/>
                      <w:lang w:val="en-US" w:eastAsia="zh-CN"/>
                    </w:rPr>
                    <w:t>空间布局约束</w:t>
                  </w:r>
                </w:p>
              </w:tc>
              <w:tc>
                <w:tcPr>
                  <w:tcW w:w="516" w:type="pct"/>
                  <w:vMerge w:val="restart"/>
                  <w:noWrap w:val="0"/>
                  <w:vAlign w:val="center"/>
                </w:tcPr>
                <w:p w14:paraId="3C1C64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highlight w:val="none"/>
                      <w:lang w:eastAsia="zh-CN"/>
                    </w:rPr>
                  </w:pPr>
                  <w:r>
                    <w:rPr>
                      <w:rFonts w:hint="default" w:ascii="Calibri" w:hAnsi="Calibri" w:eastAsia="宋体" w:cs="Calibri"/>
                      <w:color w:val="auto"/>
                      <w:kern w:val="0"/>
                      <w:sz w:val="21"/>
                      <w:szCs w:val="21"/>
                      <w:highlight w:val="none"/>
                      <w:lang w:val="en-US" w:eastAsia="zh-CN"/>
                    </w:rPr>
                    <w:t>禁止开发建设</w:t>
                  </w:r>
                </w:p>
              </w:tc>
              <w:tc>
                <w:tcPr>
                  <w:tcW w:w="2001" w:type="pct"/>
                  <w:noWrap w:val="0"/>
                  <w:vAlign w:val="center"/>
                </w:tcPr>
                <w:p w14:paraId="57115A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禁止新建、扩建《产业结构调整指导目录</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2024年本</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》中淘汰类项目。禁止引入《市场准入负面清单</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2022年版</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》禁止准入类事项。</w:t>
                  </w:r>
                </w:p>
              </w:tc>
              <w:tc>
                <w:tcPr>
                  <w:tcW w:w="1575" w:type="pct"/>
                  <w:noWrap w:val="0"/>
                  <w:vAlign w:val="center"/>
                </w:tcPr>
                <w:p w14:paraId="4C09FF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lang w:eastAsia="zh-CN"/>
                    </w:rPr>
                  </w:pPr>
                  <w:r>
                    <w:rPr>
                      <w:rFonts w:hint="default" w:ascii="Calibri" w:hAnsi="Calibri" w:eastAsia="宋体" w:cs="Calibri"/>
                      <w:color w:val="auto"/>
                      <w:sz w:val="21"/>
                      <w:szCs w:val="21"/>
                    </w:rPr>
                    <w:t>本</w:t>
                  </w:r>
                  <w:r>
                    <w:rPr>
                      <w:rFonts w:hint="default" w:ascii="Calibri" w:hAnsi="Calibri" w:eastAsia="宋体" w:cs="Calibri"/>
                      <w:color w:val="auto"/>
                      <w:sz w:val="21"/>
                      <w:szCs w:val="21"/>
                      <w:lang w:eastAsia="zh-CN"/>
                    </w:rPr>
                    <w:t>项目</w:t>
                  </w:r>
                  <w:r>
                    <w:rPr>
                      <w:rFonts w:hint="default" w:ascii="Calibri" w:hAnsi="Calibri" w:eastAsia="宋体" w:cs="Calibri"/>
                      <w:color w:val="auto"/>
                      <w:sz w:val="21"/>
                      <w:szCs w:val="21"/>
                    </w:rPr>
                    <w:t>为</w:t>
                  </w:r>
                  <w:r>
                    <w:rPr>
                      <w:rFonts w:hint="default" w:ascii="Calibri" w:hAnsi="Calibri" w:eastAsia="宋体" w:cs="Calibri"/>
                      <w:color w:val="auto"/>
                      <w:sz w:val="21"/>
                      <w:szCs w:val="21"/>
                      <w:lang w:val="en-US" w:eastAsia="zh-CN"/>
                    </w:rPr>
                    <w:t>输变电工程</w:t>
                  </w:r>
                  <w:r>
                    <w:rPr>
                      <w:rFonts w:hint="default" w:ascii="Calibri" w:hAnsi="Calibri" w:eastAsia="宋体" w:cs="Calibri"/>
                      <w:color w:val="auto"/>
                      <w:sz w:val="21"/>
                      <w:szCs w:val="21"/>
                    </w:rPr>
                    <w:t>，根据</w:t>
                  </w:r>
                  <w:r>
                    <w:rPr>
                      <w:rFonts w:hint="default" w:ascii="Calibri" w:hAnsi="Calibri" w:eastAsia="宋体" w:cs="Calibri"/>
                      <w:color w:val="auto"/>
                      <w:sz w:val="21"/>
                      <w:szCs w:val="21"/>
                      <w:lang w:val="en-US" w:eastAsia="zh-CN"/>
                    </w:rPr>
                    <w:t>中华人民共和国国家发展和改革委员会第7号令</w:t>
                  </w:r>
                  <w:r>
                    <w:rPr>
                      <w:rFonts w:hint="default" w:ascii="Calibri" w:hAnsi="Calibri" w:eastAsia="宋体" w:cs="Calibri"/>
                      <w:color w:val="auto"/>
                      <w:sz w:val="21"/>
                      <w:szCs w:val="21"/>
                    </w:rPr>
                    <w:t>《产业结构调整指导目录（</w:t>
                  </w:r>
                  <w:r>
                    <w:rPr>
                      <w:rFonts w:hint="default" w:ascii="Calibri" w:hAnsi="Calibri" w:eastAsia="宋体" w:cs="Calibri"/>
                      <w:color w:val="auto"/>
                      <w:sz w:val="21"/>
                      <w:szCs w:val="21"/>
                      <w:lang w:val="en-US" w:eastAsia="zh-CN"/>
                    </w:rPr>
                    <w:t>2024</w:t>
                  </w:r>
                  <w:r>
                    <w:rPr>
                      <w:rFonts w:hint="default" w:ascii="Calibri" w:hAnsi="Calibri" w:eastAsia="宋体" w:cs="Calibri"/>
                      <w:color w:val="auto"/>
                      <w:sz w:val="21"/>
                      <w:szCs w:val="21"/>
                    </w:rPr>
                    <w:t>年本）》</w:t>
                  </w:r>
                  <w:r>
                    <w:rPr>
                      <w:rFonts w:hint="default" w:ascii="Calibri" w:hAnsi="Calibri" w:eastAsia="宋体" w:cs="Calibri"/>
                      <w:color w:val="auto"/>
                      <w:sz w:val="21"/>
                      <w:szCs w:val="21"/>
                      <w:lang w:eastAsia="zh-CN"/>
                    </w:rPr>
                    <w:t>，</w:t>
                  </w:r>
                  <w:r>
                    <w:rPr>
                      <w:rFonts w:hint="default" w:ascii="Calibri" w:hAnsi="Calibri" w:eastAsia="宋体" w:cs="Calibri"/>
                      <w:color w:val="auto"/>
                      <w:sz w:val="21"/>
                      <w:szCs w:val="21"/>
                      <w:lang w:val="en-US" w:eastAsia="zh-CN"/>
                    </w:rPr>
                    <w:t>本项目属于其中“第一类鼓励类”项目中的“四、电力2、电力基础设施建设”。因此，本项目符合国家产业政策。</w:t>
                  </w:r>
                </w:p>
              </w:tc>
              <w:tc>
                <w:tcPr>
                  <w:tcW w:w="519" w:type="pct"/>
                  <w:noWrap w:val="0"/>
                  <w:vAlign w:val="center"/>
                </w:tcPr>
                <w:p w14:paraId="208767CB">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r>
                    <w:rPr>
                      <w:rFonts w:hint="default" w:ascii="Calibri" w:hAnsi="Calibri" w:eastAsia="宋体" w:cs="Calibri"/>
                      <w:iCs/>
                      <w:color w:val="auto"/>
                      <w:kern w:val="0"/>
                      <w:sz w:val="21"/>
                      <w:szCs w:val="21"/>
                    </w:rPr>
                    <w:t>符合</w:t>
                  </w:r>
                </w:p>
              </w:tc>
            </w:tr>
            <w:tr w14:paraId="761441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96" w:hRule="atLeast"/>
                <w:jc w:val="center"/>
              </w:trPr>
              <w:tc>
                <w:tcPr>
                  <w:tcW w:w="387" w:type="pct"/>
                  <w:vMerge w:val="continue"/>
                  <w:noWrap w:val="0"/>
                  <w:vAlign w:val="center"/>
                </w:tcPr>
                <w:p w14:paraId="438A4B0E">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lang w:val="en-US" w:eastAsia="zh-CN"/>
                    </w:rPr>
                  </w:pPr>
                </w:p>
              </w:tc>
              <w:tc>
                <w:tcPr>
                  <w:tcW w:w="516" w:type="pct"/>
                  <w:vMerge w:val="continue"/>
                  <w:noWrap w:val="0"/>
                  <w:vAlign w:val="center"/>
                </w:tcPr>
                <w:p w14:paraId="405E20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p>
              </w:tc>
              <w:tc>
                <w:tcPr>
                  <w:tcW w:w="2001" w:type="pct"/>
                  <w:noWrap w:val="0"/>
                  <w:vAlign w:val="center"/>
                </w:tcPr>
                <w:p w14:paraId="71C33E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禁止在饮用水水源保护区、风景名胜区、自然保护区的核心区和缓冲区、城镇居民区、文化教育科学研究区等人口集中区域以及</w:t>
                  </w:r>
                  <w:r>
                    <w:rPr>
                      <w:rFonts w:hint="default" w:ascii="Calibri" w:hAnsi="Calibri" w:eastAsia="宋体" w:cs="Calibri"/>
                      <w:color w:val="auto"/>
                      <w:kern w:val="0"/>
                      <w:sz w:val="21"/>
                      <w:szCs w:val="21"/>
                      <w:lang w:eastAsia="zh-CN"/>
                    </w:rPr>
                    <w:t>法律法规</w:t>
                  </w:r>
                  <w:r>
                    <w:rPr>
                      <w:rFonts w:hint="default" w:ascii="Calibri" w:hAnsi="Calibri" w:eastAsia="宋体" w:cs="Calibri"/>
                      <w:color w:val="auto"/>
                      <w:kern w:val="0"/>
                      <w:sz w:val="21"/>
                      <w:szCs w:val="21"/>
                    </w:rPr>
                    <w:t>规定的其他禁止养殖区域建设畜禽养殖场、养殖小区。</w:t>
                  </w:r>
                </w:p>
              </w:tc>
              <w:tc>
                <w:tcPr>
                  <w:tcW w:w="1575" w:type="pct"/>
                  <w:noWrap w:val="0"/>
                  <w:vAlign w:val="center"/>
                </w:tcPr>
                <w:p w14:paraId="200519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lang w:val="en-US" w:eastAsia="zh-CN"/>
                    </w:rPr>
                  </w:pPr>
                  <w:r>
                    <w:rPr>
                      <w:rFonts w:hint="default" w:ascii="Calibri" w:hAnsi="Calibri" w:eastAsia="宋体" w:cs="Calibri"/>
                      <w:color w:val="auto"/>
                      <w:kern w:val="0"/>
                      <w:sz w:val="21"/>
                      <w:szCs w:val="21"/>
                      <w:lang w:val="en-US" w:eastAsia="zh-CN"/>
                    </w:rPr>
                    <w:t>本项目不涉及</w:t>
                  </w:r>
                  <w:r>
                    <w:rPr>
                      <w:rFonts w:hint="default" w:ascii="Calibri" w:hAnsi="Calibri" w:eastAsia="宋体" w:cs="Calibri"/>
                      <w:color w:val="auto"/>
                      <w:kern w:val="0"/>
                      <w:sz w:val="21"/>
                      <w:szCs w:val="21"/>
                    </w:rPr>
                    <w:t>饮用水水源保护区、风景名胜区、自然保护区的核心区和缓冲区、城镇居民区、文化教育科学研究区等人口集中区域</w:t>
                  </w:r>
                  <w:r>
                    <w:rPr>
                      <w:rFonts w:hint="default" w:ascii="Calibri" w:hAnsi="Calibri" w:eastAsia="宋体" w:cs="Calibri"/>
                      <w:color w:val="auto"/>
                      <w:kern w:val="0"/>
                      <w:sz w:val="21"/>
                      <w:szCs w:val="21"/>
                      <w:lang w:eastAsia="zh-CN"/>
                    </w:rPr>
                    <w:t>。</w:t>
                  </w:r>
                </w:p>
              </w:tc>
              <w:tc>
                <w:tcPr>
                  <w:tcW w:w="519" w:type="pct"/>
                  <w:noWrap w:val="0"/>
                  <w:vAlign w:val="center"/>
                </w:tcPr>
                <w:p w14:paraId="0173FF81">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r>
                    <w:rPr>
                      <w:rFonts w:hint="default" w:ascii="Calibri" w:hAnsi="Calibri" w:eastAsia="宋体" w:cs="Calibri"/>
                      <w:iCs/>
                      <w:color w:val="auto"/>
                      <w:kern w:val="0"/>
                      <w:sz w:val="21"/>
                      <w:szCs w:val="21"/>
                    </w:rPr>
                    <w:t>符合</w:t>
                  </w:r>
                </w:p>
              </w:tc>
            </w:tr>
            <w:tr w14:paraId="6DE617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87" w:type="pct"/>
                  <w:vMerge w:val="continue"/>
                  <w:noWrap w:val="0"/>
                  <w:vAlign w:val="center"/>
                </w:tcPr>
                <w:p w14:paraId="2A1506AA">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p>
              </w:tc>
              <w:tc>
                <w:tcPr>
                  <w:tcW w:w="516" w:type="pct"/>
                  <w:vMerge w:val="continue"/>
                  <w:noWrap w:val="0"/>
                  <w:vAlign w:val="center"/>
                </w:tcPr>
                <w:p w14:paraId="492F8E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lang w:eastAsia="zh-CN"/>
                    </w:rPr>
                  </w:pPr>
                </w:p>
              </w:tc>
              <w:tc>
                <w:tcPr>
                  <w:tcW w:w="2001" w:type="pct"/>
                  <w:noWrap w:val="0"/>
                  <w:vAlign w:val="center"/>
                </w:tcPr>
                <w:p w14:paraId="773A7D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禁止在自治区行政区域内引进能</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水</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耗不符合相关国家标准中准入值要求且污染物排放和环境风险防控不符合国家</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地方</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标准及有关产业准入条件的高污染</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排放</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、高能</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水</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耗、高环境风险的工业项目。</w:t>
                  </w:r>
                </w:p>
              </w:tc>
              <w:tc>
                <w:tcPr>
                  <w:tcW w:w="1575" w:type="pct"/>
                  <w:noWrap w:val="0"/>
                  <w:vAlign w:val="center"/>
                </w:tcPr>
                <w:p w14:paraId="4AF4F1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lang w:val="en-US" w:eastAsia="zh-CN"/>
                    </w:rPr>
                  </w:pPr>
                  <w:r>
                    <w:rPr>
                      <w:rFonts w:hint="default" w:ascii="Calibri" w:hAnsi="Calibri" w:eastAsia="宋体" w:cs="Calibri"/>
                      <w:color w:val="auto"/>
                      <w:kern w:val="0"/>
                      <w:sz w:val="21"/>
                      <w:szCs w:val="21"/>
                      <w:lang w:val="en-US" w:eastAsia="zh-CN"/>
                    </w:rPr>
                    <w:t>本项目不属于</w:t>
                  </w:r>
                  <w:r>
                    <w:rPr>
                      <w:rFonts w:hint="default" w:ascii="Calibri" w:hAnsi="Calibri" w:eastAsia="宋体" w:cs="Calibri"/>
                      <w:color w:val="auto"/>
                      <w:kern w:val="0"/>
                      <w:sz w:val="21"/>
                      <w:szCs w:val="21"/>
                    </w:rPr>
                    <w:t>高污染</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排放</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、高能</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水</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耗、高环境风险的工业项目。</w:t>
                  </w:r>
                </w:p>
              </w:tc>
              <w:tc>
                <w:tcPr>
                  <w:tcW w:w="519" w:type="pct"/>
                  <w:noWrap w:val="0"/>
                  <w:vAlign w:val="center"/>
                </w:tcPr>
                <w:p w14:paraId="0E1C9705">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r>
                    <w:rPr>
                      <w:rFonts w:hint="default" w:ascii="Calibri" w:hAnsi="Calibri" w:eastAsia="宋体" w:cs="Calibri"/>
                      <w:iCs/>
                      <w:color w:val="auto"/>
                      <w:kern w:val="0"/>
                      <w:sz w:val="21"/>
                      <w:szCs w:val="21"/>
                    </w:rPr>
                    <w:t>符合</w:t>
                  </w:r>
                </w:p>
              </w:tc>
            </w:tr>
            <w:tr w14:paraId="64A034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87" w:type="pct"/>
                  <w:vMerge w:val="continue"/>
                  <w:noWrap w:val="0"/>
                  <w:vAlign w:val="center"/>
                </w:tcPr>
                <w:p w14:paraId="3420E08F">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p>
              </w:tc>
              <w:tc>
                <w:tcPr>
                  <w:tcW w:w="516" w:type="pct"/>
                  <w:vMerge w:val="continue"/>
                  <w:noWrap w:val="0"/>
                  <w:vAlign w:val="center"/>
                </w:tcPr>
                <w:p w14:paraId="6356E5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highlight w:val="none"/>
                      <w:lang w:eastAsia="zh-CN"/>
                    </w:rPr>
                  </w:pPr>
                </w:p>
              </w:tc>
              <w:tc>
                <w:tcPr>
                  <w:tcW w:w="2001" w:type="pct"/>
                  <w:noWrap w:val="0"/>
                  <w:vAlign w:val="center"/>
                </w:tcPr>
                <w:p w14:paraId="687808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highlight w:val="none"/>
                    </w:rPr>
                  </w:pPr>
                  <w:r>
                    <w:rPr>
                      <w:rFonts w:hint="default" w:ascii="Calibri" w:hAnsi="Calibri" w:eastAsia="宋体" w:cs="Calibri"/>
                      <w:color w:val="auto"/>
                      <w:kern w:val="0"/>
                      <w:sz w:val="21"/>
                      <w:szCs w:val="21"/>
                      <w:highlight w:val="none"/>
                    </w:rPr>
                    <w:t>严格执行危险化学品“禁限控”目录，新建危险化学品生产项目必须进入一般或较低安全风险的化工园区</w:t>
                  </w:r>
                  <w:r>
                    <w:rPr>
                      <w:rFonts w:hint="eastAsia" w:ascii="Calibri" w:hAnsi="Calibri" w:cs="Calibri"/>
                      <w:color w:val="auto"/>
                      <w:kern w:val="0"/>
                      <w:sz w:val="21"/>
                      <w:szCs w:val="21"/>
                      <w:highlight w:val="none"/>
                      <w:lang w:eastAsia="zh-CN"/>
                    </w:rPr>
                    <w:t>（</w:t>
                  </w:r>
                  <w:r>
                    <w:rPr>
                      <w:rFonts w:hint="default" w:ascii="Calibri" w:hAnsi="Calibri" w:eastAsia="宋体" w:cs="Calibri"/>
                      <w:color w:val="auto"/>
                      <w:kern w:val="0"/>
                      <w:sz w:val="21"/>
                      <w:szCs w:val="21"/>
                      <w:highlight w:val="none"/>
                    </w:rPr>
                    <w:t>与其他行业生产装置配套建设的项目除外</w:t>
                  </w:r>
                  <w:r>
                    <w:rPr>
                      <w:rFonts w:hint="eastAsia" w:ascii="Calibri" w:hAnsi="Calibri" w:cs="Calibri"/>
                      <w:color w:val="auto"/>
                      <w:kern w:val="0"/>
                      <w:sz w:val="21"/>
                      <w:szCs w:val="21"/>
                      <w:highlight w:val="none"/>
                      <w:lang w:eastAsia="zh-CN"/>
                    </w:rPr>
                    <w:t>）</w:t>
                  </w:r>
                  <w:r>
                    <w:rPr>
                      <w:rFonts w:hint="default" w:ascii="Calibri" w:hAnsi="Calibri" w:eastAsia="宋体" w:cs="Calibri"/>
                      <w:color w:val="auto"/>
                      <w:kern w:val="0"/>
                      <w:sz w:val="21"/>
                      <w:szCs w:val="21"/>
                      <w:highlight w:val="none"/>
                    </w:rPr>
                    <w:t>，引导其他石化化工项目在化工园区发展</w:t>
                  </w:r>
                  <w:r>
                    <w:rPr>
                      <w:rFonts w:hint="default" w:ascii="Calibri" w:hAnsi="Calibri" w:eastAsia="宋体" w:cs="Calibri"/>
                      <w:color w:val="auto"/>
                      <w:kern w:val="0"/>
                      <w:sz w:val="21"/>
                      <w:szCs w:val="21"/>
                      <w:highlight w:val="none"/>
                      <w:lang w:eastAsia="zh-CN"/>
                    </w:rPr>
                    <w:t>。</w:t>
                  </w:r>
                </w:p>
              </w:tc>
              <w:tc>
                <w:tcPr>
                  <w:tcW w:w="1575" w:type="pct"/>
                  <w:noWrap w:val="0"/>
                  <w:vAlign w:val="center"/>
                </w:tcPr>
                <w:p w14:paraId="437327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highlight w:val="none"/>
                      <w:lang w:val="en-US" w:eastAsia="zh-CN"/>
                    </w:rPr>
                  </w:pPr>
                  <w:r>
                    <w:rPr>
                      <w:rFonts w:hint="default" w:ascii="Calibri" w:hAnsi="Calibri" w:eastAsia="宋体" w:cs="Calibri"/>
                      <w:color w:val="auto"/>
                      <w:kern w:val="0"/>
                      <w:sz w:val="21"/>
                      <w:szCs w:val="21"/>
                      <w:highlight w:val="none"/>
                      <w:lang w:val="en-US" w:eastAsia="zh-CN"/>
                    </w:rPr>
                    <w:t>本项目不属于</w:t>
                  </w:r>
                  <w:r>
                    <w:rPr>
                      <w:rFonts w:hint="default" w:ascii="Calibri" w:hAnsi="Calibri" w:eastAsia="宋体" w:cs="Calibri"/>
                      <w:color w:val="auto"/>
                      <w:kern w:val="0"/>
                      <w:sz w:val="21"/>
                      <w:szCs w:val="21"/>
                      <w:highlight w:val="none"/>
                    </w:rPr>
                    <w:t>危险化学品生产项目</w:t>
                  </w:r>
                  <w:r>
                    <w:rPr>
                      <w:rFonts w:hint="default" w:ascii="Calibri" w:hAnsi="Calibri" w:eastAsia="宋体" w:cs="Calibri"/>
                      <w:color w:val="auto"/>
                      <w:kern w:val="0"/>
                      <w:sz w:val="21"/>
                      <w:szCs w:val="21"/>
                      <w:highlight w:val="none"/>
                      <w:lang w:eastAsia="zh-CN"/>
                    </w:rPr>
                    <w:t>。</w:t>
                  </w:r>
                </w:p>
              </w:tc>
              <w:tc>
                <w:tcPr>
                  <w:tcW w:w="519" w:type="pct"/>
                  <w:noWrap w:val="0"/>
                  <w:vAlign w:val="center"/>
                </w:tcPr>
                <w:p w14:paraId="204FF57C">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r>
                    <w:rPr>
                      <w:rFonts w:hint="default" w:ascii="Calibri" w:hAnsi="Calibri" w:eastAsia="宋体" w:cs="Calibri"/>
                      <w:iCs/>
                      <w:color w:val="auto"/>
                      <w:kern w:val="0"/>
                      <w:sz w:val="21"/>
                      <w:szCs w:val="21"/>
                    </w:rPr>
                    <w:t>符合</w:t>
                  </w:r>
                </w:p>
              </w:tc>
            </w:tr>
            <w:tr w14:paraId="55B104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noWrap w:val="0"/>
                  <w:vAlign w:val="center"/>
                </w:tcPr>
                <w:p w14:paraId="6C9B8B5F">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lang w:val="en-US" w:eastAsia="zh-CN"/>
                    </w:rPr>
                  </w:pPr>
                </w:p>
              </w:tc>
              <w:tc>
                <w:tcPr>
                  <w:tcW w:w="516" w:type="pct"/>
                  <w:vMerge w:val="restart"/>
                  <w:noWrap w:val="0"/>
                  <w:vAlign w:val="center"/>
                </w:tcPr>
                <w:p w14:paraId="1C104C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iCs/>
                      <w:color w:val="auto"/>
                      <w:kern w:val="0"/>
                      <w:sz w:val="21"/>
                      <w:szCs w:val="21"/>
                      <w:lang w:val="en-US" w:eastAsia="zh-CN"/>
                    </w:rPr>
                    <w:t>限制开发建设的活动</w:t>
                  </w:r>
                </w:p>
              </w:tc>
              <w:tc>
                <w:tcPr>
                  <w:tcW w:w="2001" w:type="pct"/>
                  <w:noWrap w:val="0"/>
                  <w:vAlign w:val="center"/>
                </w:tcPr>
                <w:p w14:paraId="2D03B2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严格控制缺水地区、水污染严重区域和敏感区域高耗水、高污染行业发展。</w:t>
                  </w:r>
                </w:p>
              </w:tc>
              <w:tc>
                <w:tcPr>
                  <w:tcW w:w="1575" w:type="pct"/>
                  <w:noWrap w:val="0"/>
                  <w:vAlign w:val="center"/>
                </w:tcPr>
                <w:p w14:paraId="00E6F6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lang w:val="en-US" w:eastAsia="zh-CN"/>
                    </w:rPr>
                    <w:t>本项目不属于</w:t>
                  </w:r>
                  <w:r>
                    <w:rPr>
                      <w:rFonts w:hint="default" w:ascii="Calibri" w:hAnsi="Calibri" w:eastAsia="宋体" w:cs="Calibri"/>
                      <w:color w:val="auto"/>
                      <w:kern w:val="0"/>
                      <w:sz w:val="21"/>
                      <w:szCs w:val="21"/>
                    </w:rPr>
                    <w:t>高耗水、高污染行业。</w:t>
                  </w:r>
                </w:p>
              </w:tc>
              <w:tc>
                <w:tcPr>
                  <w:tcW w:w="519" w:type="pct"/>
                  <w:noWrap w:val="0"/>
                  <w:vAlign w:val="center"/>
                </w:tcPr>
                <w:p w14:paraId="2D414480">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r>
                    <w:rPr>
                      <w:rFonts w:hint="default" w:ascii="Calibri" w:hAnsi="Calibri" w:eastAsia="宋体" w:cs="Calibri"/>
                      <w:iCs/>
                      <w:color w:val="auto"/>
                      <w:kern w:val="0"/>
                      <w:sz w:val="21"/>
                      <w:szCs w:val="21"/>
                    </w:rPr>
                    <w:t>符合</w:t>
                  </w:r>
                </w:p>
              </w:tc>
            </w:tr>
            <w:tr w14:paraId="670802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noWrap w:val="0"/>
                  <w:vAlign w:val="center"/>
                </w:tcPr>
                <w:p w14:paraId="55D71EF6">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p>
              </w:tc>
              <w:tc>
                <w:tcPr>
                  <w:tcW w:w="516" w:type="pct"/>
                  <w:vMerge w:val="continue"/>
                  <w:noWrap w:val="0"/>
                  <w:vAlign w:val="center"/>
                </w:tcPr>
                <w:p w14:paraId="39217E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p>
              </w:tc>
              <w:tc>
                <w:tcPr>
                  <w:tcW w:w="2001" w:type="pct"/>
                  <w:noWrap w:val="0"/>
                  <w:vAlign w:val="center"/>
                </w:tcPr>
                <w:p w14:paraId="163C71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1575" w:type="pct"/>
                  <w:noWrap w:val="0"/>
                  <w:vAlign w:val="center"/>
                </w:tcPr>
                <w:p w14:paraId="722DB7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lang w:val="en-US" w:eastAsia="zh-CN"/>
                    </w:rPr>
                  </w:pPr>
                  <w:r>
                    <w:rPr>
                      <w:rFonts w:hint="default" w:ascii="Calibri" w:hAnsi="Calibri" w:eastAsia="宋体" w:cs="Calibri"/>
                      <w:color w:val="auto"/>
                      <w:kern w:val="0"/>
                      <w:sz w:val="21"/>
                      <w:szCs w:val="21"/>
                      <w:lang w:val="en-US" w:eastAsia="zh-CN"/>
                    </w:rPr>
                    <w:t>本项目未占用基本农田、耕地、林地。</w:t>
                  </w:r>
                </w:p>
              </w:tc>
              <w:tc>
                <w:tcPr>
                  <w:tcW w:w="519" w:type="pct"/>
                  <w:noWrap w:val="0"/>
                  <w:vAlign w:val="center"/>
                </w:tcPr>
                <w:p w14:paraId="59B0CD2F">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r>
                    <w:rPr>
                      <w:rFonts w:hint="default" w:ascii="Calibri" w:hAnsi="Calibri" w:eastAsia="宋体" w:cs="Calibri"/>
                      <w:iCs/>
                      <w:color w:val="auto"/>
                      <w:kern w:val="0"/>
                      <w:sz w:val="21"/>
                      <w:szCs w:val="21"/>
                    </w:rPr>
                    <w:t>符合</w:t>
                  </w:r>
                </w:p>
              </w:tc>
            </w:tr>
            <w:tr w14:paraId="63650C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noWrap w:val="0"/>
                  <w:vAlign w:val="center"/>
                </w:tcPr>
                <w:p w14:paraId="104C049D">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p>
              </w:tc>
              <w:tc>
                <w:tcPr>
                  <w:tcW w:w="516" w:type="pct"/>
                  <w:noWrap w:val="0"/>
                  <w:vAlign w:val="center"/>
                </w:tcPr>
                <w:p w14:paraId="404E04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不符合空间布局要求活动的退出要求</w:t>
                  </w:r>
                </w:p>
              </w:tc>
              <w:tc>
                <w:tcPr>
                  <w:tcW w:w="2001" w:type="pct"/>
                  <w:noWrap w:val="0"/>
                  <w:vAlign w:val="center"/>
                </w:tcPr>
                <w:p w14:paraId="3AC0A7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任何单位和个人不得在水源涵养区、饮用水水源保护区内和河流、湖泊、水库周围建设重化工、涉重金属等工业污染项目</w:t>
                  </w:r>
                  <w:r>
                    <w:rPr>
                      <w:rFonts w:hint="default" w:ascii="Calibri" w:hAnsi="Calibri" w:eastAsia="宋体" w:cs="Calibri"/>
                      <w:color w:val="auto"/>
                      <w:kern w:val="0"/>
                      <w:sz w:val="21"/>
                      <w:szCs w:val="21"/>
                      <w:lang w:eastAsia="zh-CN"/>
                    </w:rPr>
                    <w:t>；</w:t>
                  </w:r>
                  <w:r>
                    <w:rPr>
                      <w:rFonts w:hint="default" w:ascii="Calibri" w:hAnsi="Calibri" w:eastAsia="宋体" w:cs="Calibri"/>
                      <w:color w:val="auto"/>
                      <w:kern w:val="0"/>
                      <w:sz w:val="21"/>
                      <w:szCs w:val="21"/>
                    </w:rPr>
                    <w:t>对已建成的工业污染项目，当地人民政府应当组织限期搬迁。</w:t>
                  </w:r>
                </w:p>
              </w:tc>
              <w:tc>
                <w:tcPr>
                  <w:tcW w:w="1575" w:type="pct"/>
                  <w:noWrap w:val="0"/>
                  <w:vAlign w:val="center"/>
                </w:tcPr>
                <w:p w14:paraId="391D02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lang w:val="en-US" w:eastAsia="zh-CN"/>
                    </w:rPr>
                  </w:pPr>
                  <w:r>
                    <w:rPr>
                      <w:rFonts w:hint="default" w:ascii="Calibri" w:hAnsi="Calibri" w:eastAsia="宋体" w:cs="Calibri"/>
                      <w:color w:val="auto"/>
                      <w:kern w:val="0"/>
                      <w:sz w:val="21"/>
                      <w:szCs w:val="21"/>
                      <w:lang w:val="en-US" w:eastAsia="zh-CN"/>
                    </w:rPr>
                    <w:t>本项目为新建项目，不属于</w:t>
                  </w:r>
                  <w:r>
                    <w:rPr>
                      <w:rFonts w:hint="default" w:ascii="Calibri" w:hAnsi="Calibri" w:eastAsia="宋体" w:cs="Calibri"/>
                      <w:color w:val="auto"/>
                      <w:kern w:val="0"/>
                      <w:sz w:val="21"/>
                      <w:szCs w:val="21"/>
                    </w:rPr>
                    <w:t>重化工、涉重金属等工业污染项目</w:t>
                  </w:r>
                  <w:r>
                    <w:rPr>
                      <w:rFonts w:hint="default" w:ascii="Calibri" w:hAnsi="Calibri" w:eastAsia="宋体" w:cs="Calibri"/>
                      <w:color w:val="auto"/>
                      <w:kern w:val="0"/>
                      <w:sz w:val="21"/>
                      <w:szCs w:val="21"/>
                      <w:lang w:eastAsia="zh-CN"/>
                    </w:rPr>
                    <w:t>。</w:t>
                  </w:r>
                </w:p>
              </w:tc>
              <w:tc>
                <w:tcPr>
                  <w:tcW w:w="519" w:type="pct"/>
                  <w:noWrap w:val="0"/>
                  <w:vAlign w:val="center"/>
                </w:tcPr>
                <w:p w14:paraId="28A66C09">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r>
                    <w:rPr>
                      <w:rFonts w:hint="default" w:ascii="Calibri" w:hAnsi="Calibri" w:eastAsia="宋体" w:cs="Calibri"/>
                      <w:iCs/>
                      <w:color w:val="auto"/>
                      <w:kern w:val="0"/>
                      <w:sz w:val="21"/>
                      <w:szCs w:val="21"/>
                    </w:rPr>
                    <w:t>符合</w:t>
                  </w:r>
                </w:p>
              </w:tc>
            </w:tr>
            <w:tr w14:paraId="698F9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noWrap w:val="0"/>
                  <w:vAlign w:val="center"/>
                </w:tcPr>
                <w:p w14:paraId="34CFA9B3">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p>
              </w:tc>
              <w:tc>
                <w:tcPr>
                  <w:tcW w:w="516" w:type="pct"/>
                  <w:noWrap w:val="0"/>
                  <w:vAlign w:val="center"/>
                </w:tcPr>
                <w:p w14:paraId="69FDB1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eastAsia" w:ascii="Calibri" w:hAnsi="Calibri" w:cs="Calibri"/>
                      <w:color w:val="auto"/>
                      <w:kern w:val="0"/>
                      <w:sz w:val="21"/>
                      <w:szCs w:val="21"/>
                      <w:lang w:eastAsia="zh-CN"/>
                    </w:rPr>
                    <w:t>其他</w:t>
                  </w:r>
                  <w:r>
                    <w:rPr>
                      <w:rFonts w:hint="default" w:ascii="Calibri" w:hAnsi="Calibri" w:eastAsia="宋体" w:cs="Calibri"/>
                      <w:color w:val="auto"/>
                      <w:kern w:val="0"/>
                      <w:sz w:val="21"/>
                      <w:szCs w:val="21"/>
                    </w:rPr>
                    <w:t>布局要求</w:t>
                  </w:r>
                </w:p>
              </w:tc>
              <w:tc>
                <w:tcPr>
                  <w:tcW w:w="2001" w:type="pct"/>
                  <w:noWrap w:val="0"/>
                  <w:vAlign w:val="center"/>
                </w:tcPr>
                <w:p w14:paraId="7B122C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新建、扩建石化、化工、焦化、有色金属冶炼、平板玻璃项目应布设在依法合规设立并经规划环评的产业园区。</w:t>
                  </w:r>
                </w:p>
              </w:tc>
              <w:tc>
                <w:tcPr>
                  <w:tcW w:w="1575" w:type="pct"/>
                  <w:noWrap w:val="0"/>
                  <w:vAlign w:val="center"/>
                </w:tcPr>
                <w:p w14:paraId="2DA38F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lang w:val="en-US" w:eastAsia="zh-CN"/>
                    </w:rPr>
                    <w:t>本项目不属于</w:t>
                  </w:r>
                  <w:r>
                    <w:rPr>
                      <w:rFonts w:hint="default" w:ascii="Calibri" w:hAnsi="Calibri" w:eastAsia="宋体" w:cs="Calibri"/>
                      <w:color w:val="auto"/>
                      <w:kern w:val="0"/>
                      <w:sz w:val="21"/>
                      <w:szCs w:val="21"/>
                    </w:rPr>
                    <w:t>石化、化工、焦化、有色金属冶炼、平板玻璃项目</w:t>
                  </w:r>
                  <w:r>
                    <w:rPr>
                      <w:rFonts w:hint="default" w:ascii="Calibri" w:hAnsi="Calibri" w:eastAsia="宋体" w:cs="Calibri"/>
                      <w:color w:val="auto"/>
                      <w:kern w:val="0"/>
                      <w:sz w:val="21"/>
                      <w:szCs w:val="21"/>
                      <w:lang w:eastAsia="zh-CN"/>
                    </w:rPr>
                    <w:t>。</w:t>
                  </w:r>
                </w:p>
              </w:tc>
              <w:tc>
                <w:tcPr>
                  <w:tcW w:w="519" w:type="pct"/>
                  <w:noWrap w:val="0"/>
                  <w:vAlign w:val="center"/>
                </w:tcPr>
                <w:p w14:paraId="4BBE1A4B">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r>
                    <w:rPr>
                      <w:rFonts w:hint="default" w:ascii="Calibri" w:hAnsi="Calibri" w:eastAsia="宋体" w:cs="Calibri"/>
                      <w:iCs/>
                      <w:color w:val="auto"/>
                      <w:kern w:val="0"/>
                      <w:sz w:val="21"/>
                      <w:szCs w:val="21"/>
                    </w:rPr>
                    <w:t>符合</w:t>
                  </w:r>
                </w:p>
              </w:tc>
            </w:tr>
            <w:tr w14:paraId="64EB55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restart"/>
                  <w:noWrap w:val="0"/>
                  <w:vAlign w:val="center"/>
                </w:tcPr>
                <w:p w14:paraId="52B2CD73">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r>
                    <w:rPr>
                      <w:rFonts w:hint="default" w:ascii="Calibri" w:hAnsi="Calibri" w:eastAsia="宋体" w:cs="Calibri"/>
                      <w:iCs/>
                      <w:color w:val="auto"/>
                      <w:kern w:val="0"/>
                      <w:sz w:val="21"/>
                      <w:szCs w:val="21"/>
                    </w:rPr>
                    <w:t>污染物排放管控</w:t>
                  </w:r>
                </w:p>
              </w:tc>
              <w:tc>
                <w:tcPr>
                  <w:tcW w:w="516" w:type="pct"/>
                  <w:vMerge w:val="restart"/>
                  <w:noWrap w:val="0"/>
                  <w:vAlign w:val="center"/>
                </w:tcPr>
                <w:p w14:paraId="59ACEB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污染物削减/替代要求</w:t>
                  </w:r>
                </w:p>
              </w:tc>
              <w:tc>
                <w:tcPr>
                  <w:tcW w:w="2001" w:type="pct"/>
                  <w:noWrap w:val="0"/>
                  <w:vAlign w:val="center"/>
                </w:tcPr>
                <w:p w14:paraId="1AEEB7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新、改、扩建重点行业建设项目应符合“三线一单”、</w:t>
                  </w:r>
                  <w:r>
                    <w:rPr>
                      <w:rFonts w:hint="default" w:ascii="Calibri" w:hAnsi="Calibri" w:eastAsia="宋体" w:cs="Calibri"/>
                      <w:color w:val="auto"/>
                      <w:kern w:val="0"/>
                      <w:sz w:val="21"/>
                      <w:szCs w:val="21"/>
                      <w:lang w:val="en-US" w:eastAsia="zh-CN"/>
                    </w:rPr>
                    <w:t>产</w:t>
                  </w:r>
                  <w:r>
                    <w:rPr>
                      <w:rFonts w:hint="default" w:ascii="Calibri" w:hAnsi="Calibri" w:eastAsia="宋体" w:cs="Calibri"/>
                      <w:color w:val="auto"/>
                      <w:kern w:val="0"/>
                      <w:sz w:val="21"/>
                      <w:szCs w:val="21"/>
                    </w:rPr>
                    <w:t>业政策、区域环评、规划环评和行业环境准入管控要求。重点区域的新、改、扩建重点行业建设项目应遵循重点重金属污染物排放“减量替代”原则。</w:t>
                  </w:r>
                </w:p>
              </w:tc>
              <w:tc>
                <w:tcPr>
                  <w:tcW w:w="1575" w:type="pct"/>
                  <w:noWrap w:val="0"/>
                  <w:vAlign w:val="center"/>
                </w:tcPr>
                <w:p w14:paraId="5DCCA1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lang w:val="en-US" w:eastAsia="zh-CN"/>
                    </w:rPr>
                    <w:t>本项目属于新建项目，符合《新疆维吾尔自治区“十四五”电力发展规划》（新发改能源〔2022〕173号）、《关于印发巴音郭楞蒙古自治州“三线一单”生态环境分区管控方案的通知》（巴政办发〔2021〕32号）。</w:t>
                  </w:r>
                </w:p>
              </w:tc>
              <w:tc>
                <w:tcPr>
                  <w:tcW w:w="519" w:type="pct"/>
                  <w:noWrap w:val="0"/>
                  <w:vAlign w:val="center"/>
                </w:tcPr>
                <w:p w14:paraId="1761B69A">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r>
                    <w:rPr>
                      <w:rFonts w:hint="default" w:ascii="Calibri" w:hAnsi="Calibri" w:eastAsia="宋体" w:cs="Calibri"/>
                      <w:iCs/>
                      <w:color w:val="auto"/>
                      <w:kern w:val="0"/>
                      <w:sz w:val="21"/>
                      <w:szCs w:val="21"/>
                    </w:rPr>
                    <w:t>符合</w:t>
                  </w:r>
                </w:p>
              </w:tc>
            </w:tr>
            <w:tr w14:paraId="46A7B9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noWrap w:val="0"/>
                  <w:vAlign w:val="center"/>
                </w:tcPr>
                <w:p w14:paraId="23DBC7E6">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p>
              </w:tc>
              <w:tc>
                <w:tcPr>
                  <w:tcW w:w="516" w:type="pct"/>
                  <w:vMerge w:val="continue"/>
                  <w:noWrap w:val="0"/>
                  <w:vAlign w:val="center"/>
                </w:tcPr>
                <w:p w14:paraId="6A7C37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p>
              </w:tc>
              <w:tc>
                <w:tcPr>
                  <w:tcW w:w="2001" w:type="pct"/>
                  <w:noWrap w:val="0"/>
                  <w:vAlign w:val="center"/>
                </w:tcPr>
                <w:p w14:paraId="2C87DF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实施重点行业氮氧化物等污染物深度治理。持续推进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重点涉气排放企业逐步取消烟气旁路，因安全生产无法取消的，安装在线监控系统。</w:t>
                  </w:r>
                </w:p>
              </w:tc>
              <w:tc>
                <w:tcPr>
                  <w:tcW w:w="1575" w:type="pct"/>
                  <w:noWrap w:val="0"/>
                  <w:vAlign w:val="center"/>
                </w:tcPr>
                <w:p w14:paraId="7F9E79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lang w:val="en-US" w:eastAsia="zh-CN"/>
                    </w:rPr>
                  </w:pPr>
                  <w:r>
                    <w:rPr>
                      <w:rFonts w:hint="default" w:ascii="Calibri" w:hAnsi="Calibri" w:eastAsia="宋体" w:cs="Calibri"/>
                      <w:color w:val="auto"/>
                      <w:kern w:val="0"/>
                      <w:sz w:val="21"/>
                      <w:szCs w:val="21"/>
                      <w:lang w:val="en-US" w:eastAsia="zh-CN"/>
                    </w:rPr>
                    <w:t>本项目施工期废气仅施工扬尘，运营期不涉及废气污染物的排放。不涉及其他废气排放。</w:t>
                  </w:r>
                </w:p>
              </w:tc>
              <w:tc>
                <w:tcPr>
                  <w:tcW w:w="519" w:type="pct"/>
                  <w:noWrap w:val="0"/>
                  <w:vAlign w:val="center"/>
                </w:tcPr>
                <w:p w14:paraId="333ACEE0">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lang w:val="en-US" w:eastAsia="zh-CN"/>
                    </w:rPr>
                  </w:pPr>
                  <w:r>
                    <w:rPr>
                      <w:rFonts w:hint="default" w:ascii="Calibri" w:hAnsi="Calibri" w:eastAsia="宋体" w:cs="Calibri"/>
                      <w:iCs/>
                      <w:color w:val="auto"/>
                      <w:kern w:val="0"/>
                      <w:sz w:val="21"/>
                      <w:szCs w:val="21"/>
                      <w:lang w:val="en-US" w:eastAsia="zh-CN"/>
                    </w:rPr>
                    <w:t>符合</w:t>
                  </w:r>
                </w:p>
              </w:tc>
            </w:tr>
            <w:tr w14:paraId="06CC10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noWrap w:val="0"/>
                  <w:vAlign w:val="center"/>
                </w:tcPr>
                <w:p w14:paraId="52CC8FC6">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p>
              </w:tc>
              <w:tc>
                <w:tcPr>
                  <w:tcW w:w="516" w:type="pct"/>
                  <w:vMerge w:val="continue"/>
                  <w:noWrap w:val="0"/>
                  <w:vAlign w:val="center"/>
                </w:tcPr>
                <w:p w14:paraId="6E2B82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p>
              </w:tc>
              <w:tc>
                <w:tcPr>
                  <w:tcW w:w="2001" w:type="pct"/>
                  <w:noWrap w:val="0"/>
                  <w:vAlign w:val="center"/>
                </w:tcPr>
                <w:p w14:paraId="3CBC9D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强化重点区域大气污染联防联控，合理确定产业布局，推动区域内统一产业准入和排放标准。实施水泥行业错峰生产，推进散煤整治、挥发性有机污染物综合治理、钢铁、水泥、焦化和燃煤工业锅炉行业超低排放改造、燃气锅炉低氨燃烧改造、工业园区内轨道运输</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大宗货物“公转铁”</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、柴油货车治理、锅炉</w:t>
                  </w:r>
                  <w:r>
                    <w:rPr>
                      <w:rFonts w:hint="default" w:ascii="Calibri" w:hAnsi="Calibri" w:eastAsia="宋体" w:cs="Calibri"/>
                      <w:color w:val="auto"/>
                      <w:kern w:val="0"/>
                      <w:sz w:val="21"/>
                      <w:szCs w:val="21"/>
                      <w:lang w:eastAsia="zh-CN"/>
                    </w:rPr>
                    <w:t>、</w:t>
                  </w:r>
                  <w:r>
                    <w:rPr>
                      <w:rFonts w:hint="default" w:ascii="Calibri" w:hAnsi="Calibri" w:eastAsia="宋体" w:cs="Calibri"/>
                      <w:color w:val="auto"/>
                      <w:kern w:val="0"/>
                      <w:sz w:val="21"/>
                      <w:szCs w:val="21"/>
                    </w:rPr>
                    <w:t>炉</w:t>
                  </w:r>
                  <w:r>
                    <w:rPr>
                      <w:rFonts w:hint="default" w:ascii="Calibri" w:hAnsi="Calibri" w:eastAsia="宋体" w:cs="Calibri"/>
                      <w:color w:val="auto"/>
                      <w:kern w:val="0"/>
                      <w:sz w:val="21"/>
                      <w:szCs w:val="21"/>
                      <w:lang w:val="en-US" w:eastAsia="zh-CN"/>
                    </w:rPr>
                    <w:t>窑</w:t>
                  </w:r>
                  <w:r>
                    <w:rPr>
                      <w:rFonts w:hint="default" w:ascii="Calibri" w:hAnsi="Calibri" w:eastAsia="宋体" w:cs="Calibri"/>
                      <w:color w:val="auto"/>
                      <w:kern w:val="0"/>
                      <w:sz w:val="21"/>
                      <w:szCs w:val="21"/>
                    </w:rPr>
                    <w:t>综合治理等工程项目。全面推行绿色施工，持续推动城市建成区重污染企业搬迁或关闭退出。</w:t>
                  </w:r>
                </w:p>
              </w:tc>
              <w:tc>
                <w:tcPr>
                  <w:tcW w:w="1575" w:type="pct"/>
                  <w:noWrap w:val="0"/>
                  <w:vAlign w:val="center"/>
                </w:tcPr>
                <w:p w14:paraId="1A4EB9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lang w:val="en-US" w:eastAsia="zh-CN"/>
                    </w:rPr>
                  </w:pPr>
                  <w:r>
                    <w:rPr>
                      <w:rFonts w:hint="default" w:ascii="Calibri" w:hAnsi="Calibri" w:eastAsia="宋体" w:cs="Calibri"/>
                      <w:color w:val="auto"/>
                      <w:kern w:val="0"/>
                      <w:sz w:val="21"/>
                      <w:szCs w:val="21"/>
                      <w:lang w:val="en-US" w:eastAsia="zh-CN"/>
                    </w:rPr>
                    <w:t>本项目位于若羌县，不在库尔勒</w:t>
                  </w:r>
                  <w:r>
                    <w:rPr>
                      <w:rFonts w:hint="default" w:ascii="Calibri" w:hAnsi="Calibri" w:eastAsia="宋体" w:cs="Calibri"/>
                      <w:color w:val="auto"/>
                      <w:kern w:val="0"/>
                      <w:sz w:val="21"/>
                      <w:szCs w:val="21"/>
                    </w:rPr>
                    <w:t>大气污染联防联控</w:t>
                  </w:r>
                  <w:r>
                    <w:rPr>
                      <w:rFonts w:hint="default" w:ascii="Calibri" w:hAnsi="Calibri" w:eastAsia="宋体" w:cs="Calibri"/>
                      <w:color w:val="auto"/>
                      <w:kern w:val="0"/>
                      <w:sz w:val="21"/>
                      <w:szCs w:val="21"/>
                      <w:lang w:val="en-US" w:eastAsia="zh-CN"/>
                    </w:rPr>
                    <w:t>区域。</w:t>
                  </w:r>
                </w:p>
              </w:tc>
              <w:tc>
                <w:tcPr>
                  <w:tcW w:w="519" w:type="pct"/>
                  <w:noWrap w:val="0"/>
                  <w:vAlign w:val="center"/>
                </w:tcPr>
                <w:p w14:paraId="730FADA7">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r>
                    <w:rPr>
                      <w:rFonts w:hint="default" w:ascii="Calibri" w:hAnsi="Calibri" w:eastAsia="宋体" w:cs="Calibri"/>
                      <w:iCs/>
                      <w:color w:val="auto"/>
                      <w:kern w:val="0"/>
                      <w:sz w:val="21"/>
                      <w:szCs w:val="21"/>
                      <w:lang w:val="en-US" w:eastAsia="zh-CN"/>
                    </w:rPr>
                    <w:t>符合</w:t>
                  </w:r>
                </w:p>
              </w:tc>
            </w:tr>
            <w:tr w14:paraId="1CA730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noWrap w:val="0"/>
                  <w:vAlign w:val="center"/>
                </w:tcPr>
                <w:p w14:paraId="264D650E">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p>
              </w:tc>
              <w:tc>
                <w:tcPr>
                  <w:tcW w:w="516" w:type="pct"/>
                  <w:vMerge w:val="continue"/>
                  <w:noWrap w:val="0"/>
                  <w:vAlign w:val="center"/>
                </w:tcPr>
                <w:p w14:paraId="5883F5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p>
              </w:tc>
              <w:tc>
                <w:tcPr>
                  <w:tcW w:w="2001" w:type="pct"/>
                  <w:noWrap w:val="0"/>
                  <w:vAlign w:val="center"/>
                </w:tcPr>
                <w:p w14:paraId="4553FD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强化用水定额管理。推进地下水超采综合治理。开展河湖生态流量</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水量</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确定工作，强化生态用水保障。</w:t>
                  </w:r>
                </w:p>
              </w:tc>
              <w:tc>
                <w:tcPr>
                  <w:tcW w:w="1575" w:type="pct"/>
                  <w:noWrap w:val="0"/>
                  <w:vAlign w:val="center"/>
                </w:tcPr>
                <w:p w14:paraId="62F304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lang w:val="en-US" w:eastAsia="zh-CN"/>
                    </w:rPr>
                  </w:pPr>
                  <w:r>
                    <w:rPr>
                      <w:rFonts w:hint="default" w:ascii="Calibri" w:hAnsi="Calibri" w:eastAsia="宋体" w:cs="Calibri"/>
                      <w:color w:val="auto"/>
                      <w:kern w:val="0"/>
                      <w:sz w:val="21"/>
                      <w:szCs w:val="21"/>
                      <w:lang w:val="en-US" w:eastAsia="zh-CN"/>
                    </w:rPr>
                    <w:t>本项目不涉及地下水开采。</w:t>
                  </w:r>
                </w:p>
              </w:tc>
              <w:tc>
                <w:tcPr>
                  <w:tcW w:w="519" w:type="pct"/>
                  <w:noWrap w:val="0"/>
                  <w:vAlign w:val="center"/>
                </w:tcPr>
                <w:p w14:paraId="34B13D83">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r>
                    <w:rPr>
                      <w:rFonts w:hint="default" w:ascii="Calibri" w:hAnsi="Calibri" w:eastAsia="宋体" w:cs="Calibri"/>
                      <w:iCs/>
                      <w:color w:val="auto"/>
                      <w:kern w:val="0"/>
                      <w:sz w:val="21"/>
                      <w:szCs w:val="21"/>
                      <w:lang w:val="en-US" w:eastAsia="zh-CN"/>
                    </w:rPr>
                    <w:t>符合</w:t>
                  </w:r>
                </w:p>
              </w:tc>
            </w:tr>
            <w:tr w14:paraId="71A81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restart"/>
                  <w:noWrap w:val="0"/>
                  <w:vAlign w:val="center"/>
                </w:tcPr>
                <w:p w14:paraId="5ED8925D">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r>
                    <w:rPr>
                      <w:rFonts w:hint="default" w:ascii="Calibri" w:hAnsi="Calibri" w:eastAsia="宋体" w:cs="Calibri"/>
                      <w:iCs/>
                      <w:color w:val="auto"/>
                      <w:kern w:val="0"/>
                      <w:sz w:val="21"/>
                      <w:szCs w:val="21"/>
                    </w:rPr>
                    <w:t>环境风险防控</w:t>
                  </w:r>
                </w:p>
              </w:tc>
              <w:tc>
                <w:tcPr>
                  <w:tcW w:w="516" w:type="pct"/>
                  <w:vMerge w:val="restart"/>
                  <w:noWrap w:val="0"/>
                  <w:vAlign w:val="center"/>
                </w:tcPr>
                <w:p w14:paraId="52C26C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联防联控要求</w:t>
                  </w:r>
                </w:p>
              </w:tc>
              <w:tc>
                <w:tcPr>
                  <w:tcW w:w="2001" w:type="pct"/>
                  <w:noWrap w:val="0"/>
                  <w:vAlign w:val="center"/>
                </w:tcPr>
                <w:p w14:paraId="0C4A06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加强新污染物多环境介质协同治理。排放重点管控新污染物的企事业单位应采取污染控制措施，达到相关污染物排放标准及环境质量目标要求</w:t>
                  </w:r>
                  <w:r>
                    <w:rPr>
                      <w:rFonts w:hint="default" w:ascii="Calibri" w:hAnsi="Calibri" w:eastAsia="宋体" w:cs="Calibri"/>
                      <w:color w:val="auto"/>
                      <w:kern w:val="0"/>
                      <w:sz w:val="21"/>
                      <w:szCs w:val="21"/>
                      <w:lang w:eastAsia="zh-CN"/>
                    </w:rPr>
                    <w:t>；</w:t>
                  </w:r>
                  <w:r>
                    <w:rPr>
                      <w:rFonts w:hint="default" w:ascii="Calibri" w:hAnsi="Calibri" w:eastAsia="宋体" w:cs="Calibri"/>
                      <w:color w:val="auto"/>
                      <w:kern w:val="0"/>
                      <w:sz w:val="21"/>
                      <w:szCs w:val="21"/>
                    </w:rPr>
                    <w:t>按照排污许可管理有关要求，依法申领排污许可证或填写排污登记表，并在其中载明执行的污染控制标准要求及采取的污染控制措施。排放重点管控新污染物的企事业单位和其他生产经营者应按照相关法律法规要求，对排放</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污</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口及其周边环境定期开展环境监测，评估环境风险，排查整治环境安全隐患，依法公开新污染物信息，采取措施防范环境风险。土壤污染重点监管单位应严格控制有毒有害物质排放，建立土壤污染隐患排查制度防止有毒有害物质渗漏、流失、扬散。</w:t>
                  </w:r>
                </w:p>
              </w:tc>
              <w:tc>
                <w:tcPr>
                  <w:tcW w:w="1575" w:type="pct"/>
                  <w:noWrap w:val="0"/>
                  <w:vAlign w:val="center"/>
                </w:tcPr>
                <w:p w14:paraId="51582B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lang w:val="en-US" w:eastAsia="zh-CN"/>
                    </w:rPr>
                  </w:pPr>
                  <w:r>
                    <w:rPr>
                      <w:rFonts w:hint="default" w:ascii="Calibri" w:hAnsi="Calibri" w:eastAsia="宋体" w:cs="Calibri"/>
                      <w:color w:val="auto"/>
                      <w:kern w:val="0"/>
                      <w:sz w:val="21"/>
                      <w:szCs w:val="21"/>
                      <w:lang w:val="en-US" w:eastAsia="zh-CN"/>
                    </w:rPr>
                    <w:t>本项目变电站设置</w:t>
                  </w:r>
                  <w:r>
                    <w:rPr>
                      <w:rFonts w:hint="default" w:ascii="Calibri" w:hAnsi="Calibri" w:eastAsia="宋体" w:cs="Calibri"/>
                      <w:color w:val="auto"/>
                      <w:sz w:val="21"/>
                      <w:szCs w:val="21"/>
                    </w:rPr>
                    <w:t>事故油池</w:t>
                  </w:r>
                  <w:r>
                    <w:rPr>
                      <w:rFonts w:hint="default" w:ascii="Calibri" w:hAnsi="Calibri" w:eastAsia="宋体" w:cs="Calibri"/>
                      <w:color w:val="auto"/>
                      <w:sz w:val="21"/>
                      <w:szCs w:val="21"/>
                      <w:lang w:eastAsia="zh-CN"/>
                    </w:rPr>
                    <w:t>、</w:t>
                  </w:r>
                  <w:r>
                    <w:rPr>
                      <w:rFonts w:hint="eastAsia" w:ascii="Calibri" w:hAnsi="Calibri" w:cs="Calibri"/>
                      <w:color w:val="auto"/>
                      <w:sz w:val="21"/>
                      <w:szCs w:val="21"/>
                      <w:lang w:val="en-US" w:eastAsia="zh-CN"/>
                    </w:rPr>
                    <w:t>危险废物贮存库</w:t>
                  </w:r>
                  <w:r>
                    <w:rPr>
                      <w:rFonts w:hint="default" w:ascii="Calibri" w:hAnsi="Calibri" w:eastAsia="宋体" w:cs="Calibri"/>
                      <w:color w:val="auto"/>
                      <w:sz w:val="21"/>
                      <w:szCs w:val="21"/>
                      <w:lang w:eastAsia="zh-CN"/>
                    </w:rPr>
                    <w:t>，</w:t>
                  </w:r>
                  <w:r>
                    <w:rPr>
                      <w:rFonts w:hint="default" w:ascii="Calibri" w:hAnsi="Calibri" w:eastAsia="宋体" w:cs="Calibri"/>
                      <w:color w:val="auto"/>
                      <w:sz w:val="21"/>
                      <w:szCs w:val="21"/>
                    </w:rPr>
                    <w:t>防渗层为至少1m厚粘土层（渗透系数≤10</w:t>
                  </w:r>
                  <w:r>
                    <w:rPr>
                      <w:rFonts w:hint="eastAsia" w:ascii="Calibri" w:hAnsi="Calibri" w:cs="Calibri"/>
                      <w:color w:val="auto"/>
                      <w:sz w:val="21"/>
                      <w:szCs w:val="21"/>
                      <w:vertAlign w:val="superscript"/>
                      <w:lang w:eastAsia="zh-CN"/>
                    </w:rPr>
                    <w:t>-</w:t>
                  </w:r>
                  <w:r>
                    <w:rPr>
                      <w:rFonts w:hint="default" w:ascii="Calibri" w:hAnsi="Calibri" w:eastAsia="宋体" w:cs="Calibri"/>
                      <w:color w:val="auto"/>
                      <w:sz w:val="21"/>
                      <w:szCs w:val="21"/>
                      <w:vertAlign w:val="superscript"/>
                    </w:rPr>
                    <w:t>7</w:t>
                  </w:r>
                  <w:r>
                    <w:rPr>
                      <w:rFonts w:hint="default" w:ascii="Calibri" w:hAnsi="Calibri" w:eastAsia="宋体" w:cs="Calibri"/>
                      <w:color w:val="auto"/>
                      <w:sz w:val="21"/>
                      <w:szCs w:val="21"/>
                    </w:rPr>
                    <w:t>cm/s），或2mm厚高密度聚乙烯，或至少2mm厚的其他人工材料，渗透系数≤10</w:t>
                  </w:r>
                  <w:r>
                    <w:rPr>
                      <w:rFonts w:hint="eastAsia" w:ascii="Calibri" w:hAnsi="Calibri" w:cs="Calibri"/>
                      <w:color w:val="auto"/>
                      <w:sz w:val="21"/>
                      <w:szCs w:val="21"/>
                      <w:vertAlign w:val="superscript"/>
                      <w:lang w:eastAsia="zh-CN"/>
                    </w:rPr>
                    <w:t>-</w:t>
                  </w:r>
                  <w:r>
                    <w:rPr>
                      <w:rFonts w:hint="default" w:ascii="Calibri" w:hAnsi="Calibri" w:eastAsia="宋体" w:cs="Calibri"/>
                      <w:color w:val="auto"/>
                      <w:sz w:val="21"/>
                      <w:szCs w:val="21"/>
                      <w:vertAlign w:val="superscript"/>
                    </w:rPr>
                    <w:t>10</w:t>
                  </w:r>
                  <w:r>
                    <w:rPr>
                      <w:rFonts w:hint="default" w:ascii="Calibri" w:hAnsi="Calibri" w:eastAsia="宋体" w:cs="Calibri"/>
                      <w:color w:val="auto"/>
                      <w:sz w:val="21"/>
                      <w:szCs w:val="21"/>
                    </w:rPr>
                    <w:t>cm/s，</w:t>
                  </w:r>
                  <w:r>
                    <w:rPr>
                      <w:rFonts w:hint="default" w:ascii="Calibri" w:hAnsi="Calibri" w:eastAsia="宋体" w:cs="Calibri"/>
                      <w:color w:val="auto"/>
                      <w:sz w:val="21"/>
                      <w:szCs w:val="21"/>
                      <w:lang w:val="en-US" w:eastAsia="zh-CN"/>
                    </w:rPr>
                    <w:t>能</w:t>
                  </w:r>
                  <w:r>
                    <w:rPr>
                      <w:rFonts w:hint="default" w:ascii="Calibri" w:hAnsi="Calibri" w:eastAsia="宋体" w:cs="Calibri"/>
                      <w:color w:val="auto"/>
                      <w:sz w:val="21"/>
                      <w:szCs w:val="21"/>
                    </w:rPr>
                    <w:t>满足《危险废物贮存污染控制标准》（GB18597-20</w:t>
                  </w:r>
                  <w:r>
                    <w:rPr>
                      <w:rFonts w:hint="default" w:ascii="Calibri" w:hAnsi="Calibri" w:eastAsia="宋体" w:cs="Calibri"/>
                      <w:color w:val="auto"/>
                      <w:sz w:val="21"/>
                      <w:szCs w:val="21"/>
                      <w:lang w:val="en-US" w:eastAsia="zh-CN"/>
                    </w:rPr>
                    <w:t>23</w:t>
                  </w:r>
                  <w:r>
                    <w:rPr>
                      <w:rFonts w:hint="default" w:ascii="Calibri" w:hAnsi="Calibri" w:eastAsia="宋体" w:cs="Calibri"/>
                      <w:color w:val="auto"/>
                      <w:sz w:val="21"/>
                      <w:szCs w:val="21"/>
                    </w:rPr>
                    <w:t>）。</w:t>
                  </w:r>
                  <w:r>
                    <w:rPr>
                      <w:rFonts w:hint="default" w:ascii="Calibri" w:hAnsi="Calibri" w:eastAsia="宋体" w:cs="Calibri"/>
                      <w:color w:val="auto"/>
                      <w:sz w:val="21"/>
                      <w:szCs w:val="21"/>
                      <w:lang w:val="en-US" w:eastAsia="zh-CN"/>
                    </w:rPr>
                    <w:t>采取上述防渗措施可预防变电站事故废油泄漏对土壤、地下水造成污染。</w:t>
                  </w:r>
                </w:p>
              </w:tc>
              <w:tc>
                <w:tcPr>
                  <w:tcW w:w="519" w:type="pct"/>
                  <w:noWrap w:val="0"/>
                  <w:vAlign w:val="center"/>
                </w:tcPr>
                <w:p w14:paraId="0D69376B">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r>
                    <w:rPr>
                      <w:rFonts w:hint="default" w:ascii="Calibri" w:hAnsi="Calibri" w:eastAsia="宋体" w:cs="Calibri"/>
                      <w:iCs/>
                      <w:color w:val="auto"/>
                      <w:kern w:val="0"/>
                      <w:sz w:val="21"/>
                      <w:szCs w:val="21"/>
                      <w:lang w:val="en-US" w:eastAsia="zh-CN"/>
                    </w:rPr>
                    <w:t>符合</w:t>
                  </w:r>
                </w:p>
              </w:tc>
            </w:tr>
            <w:tr w14:paraId="6706F1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noWrap w:val="0"/>
                  <w:vAlign w:val="center"/>
                </w:tcPr>
                <w:p w14:paraId="3E47EF78">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p>
              </w:tc>
              <w:tc>
                <w:tcPr>
                  <w:tcW w:w="516" w:type="pct"/>
                  <w:vMerge w:val="continue"/>
                  <w:noWrap w:val="0"/>
                  <w:vAlign w:val="center"/>
                </w:tcPr>
                <w:p w14:paraId="5E4E00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p>
              </w:tc>
              <w:tc>
                <w:tcPr>
                  <w:tcW w:w="2001" w:type="pct"/>
                  <w:noWrap w:val="0"/>
                  <w:vAlign w:val="center"/>
                </w:tcPr>
                <w:p w14:paraId="725BAA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加强环境风险预警防控。加强涉危险废物企业、涉重金属企业、化工园区、集中式饮用水水源地及重点流域环境风险调查评估，实施分类分级风险管控，协同推进重点区域、流域生态环境污染综合防治、风险防控与生态修复。</w:t>
                  </w:r>
                </w:p>
              </w:tc>
              <w:tc>
                <w:tcPr>
                  <w:tcW w:w="1575" w:type="pct"/>
                  <w:noWrap w:val="0"/>
                  <w:vAlign w:val="center"/>
                </w:tcPr>
                <w:p w14:paraId="15C981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lang w:val="en-US"/>
                    </w:rPr>
                  </w:pPr>
                  <w:r>
                    <w:rPr>
                      <w:rFonts w:hint="default" w:ascii="Calibri" w:hAnsi="Calibri" w:eastAsia="宋体" w:cs="Calibri"/>
                      <w:color w:val="auto"/>
                      <w:kern w:val="0"/>
                      <w:sz w:val="21"/>
                      <w:szCs w:val="21"/>
                      <w:lang w:val="en-US" w:eastAsia="zh-CN"/>
                    </w:rPr>
                    <w:t>本项目变电站设置事故油池、</w:t>
                  </w:r>
                  <w:r>
                    <w:rPr>
                      <w:rFonts w:hint="eastAsia" w:ascii="Calibri" w:hAnsi="Calibri" w:cs="Calibri"/>
                      <w:color w:val="auto"/>
                      <w:kern w:val="0"/>
                      <w:sz w:val="21"/>
                      <w:szCs w:val="21"/>
                      <w:lang w:val="en-US" w:eastAsia="zh-CN"/>
                    </w:rPr>
                    <w:t>危险废物贮存库</w:t>
                  </w:r>
                  <w:r>
                    <w:rPr>
                      <w:rFonts w:hint="default" w:ascii="Calibri" w:hAnsi="Calibri" w:eastAsia="宋体" w:cs="Calibri"/>
                      <w:color w:val="auto"/>
                      <w:kern w:val="0"/>
                      <w:sz w:val="21"/>
                      <w:szCs w:val="21"/>
                      <w:lang w:val="en-US" w:eastAsia="zh-CN"/>
                    </w:rPr>
                    <w:t>，按要求做好防渗，定期委托有资质单位清运，</w:t>
                  </w:r>
                  <w:r>
                    <w:rPr>
                      <w:rFonts w:hint="default" w:ascii="Calibri" w:hAnsi="Calibri" w:eastAsia="宋体" w:cs="Calibri"/>
                      <w:color w:val="auto"/>
                      <w:sz w:val="21"/>
                      <w:szCs w:val="21"/>
                      <w:lang w:val="en-US" w:eastAsia="zh-CN"/>
                    </w:rPr>
                    <w:t>正常情况下</w:t>
                  </w:r>
                  <w:r>
                    <w:rPr>
                      <w:rFonts w:hint="default" w:ascii="Calibri" w:hAnsi="Calibri" w:eastAsia="宋体" w:cs="Calibri"/>
                      <w:color w:val="auto"/>
                      <w:kern w:val="0"/>
                      <w:sz w:val="21"/>
                      <w:szCs w:val="21"/>
                      <w:lang w:val="en-US" w:eastAsia="zh-CN"/>
                    </w:rPr>
                    <w:t>不会对土壤、地下水造成影响。</w:t>
                  </w:r>
                </w:p>
              </w:tc>
              <w:tc>
                <w:tcPr>
                  <w:tcW w:w="519" w:type="pct"/>
                  <w:noWrap w:val="0"/>
                  <w:vAlign w:val="center"/>
                </w:tcPr>
                <w:p w14:paraId="5E3BED50">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r>
                    <w:rPr>
                      <w:rFonts w:hint="default" w:ascii="Calibri" w:hAnsi="Calibri" w:eastAsia="宋体" w:cs="Calibri"/>
                      <w:iCs/>
                      <w:color w:val="auto"/>
                      <w:kern w:val="0"/>
                      <w:sz w:val="21"/>
                      <w:szCs w:val="21"/>
                      <w:lang w:val="en-US" w:eastAsia="zh-CN"/>
                    </w:rPr>
                    <w:t>符合</w:t>
                  </w:r>
                </w:p>
              </w:tc>
            </w:tr>
            <w:tr w14:paraId="38024C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noWrap w:val="0"/>
                  <w:vAlign w:val="center"/>
                </w:tcPr>
                <w:p w14:paraId="30DA7250">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p>
              </w:tc>
              <w:tc>
                <w:tcPr>
                  <w:tcW w:w="516" w:type="pct"/>
                  <w:vMerge w:val="continue"/>
                  <w:noWrap w:val="0"/>
                  <w:vAlign w:val="center"/>
                </w:tcPr>
                <w:p w14:paraId="4156D4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p>
              </w:tc>
              <w:tc>
                <w:tcPr>
                  <w:tcW w:w="2001" w:type="pct"/>
                  <w:noWrap w:val="0"/>
                  <w:vAlign w:val="center"/>
                </w:tcPr>
                <w:p w14:paraId="22DD7A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1575" w:type="pct"/>
                  <w:noWrap w:val="0"/>
                  <w:vAlign w:val="center"/>
                </w:tcPr>
                <w:p w14:paraId="3CA96C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lang w:val="en-US" w:eastAsia="zh-CN"/>
                    </w:rPr>
                  </w:pPr>
                  <w:r>
                    <w:rPr>
                      <w:rFonts w:hint="default" w:ascii="Calibri" w:hAnsi="Calibri" w:eastAsia="宋体" w:cs="Calibri"/>
                      <w:color w:val="auto"/>
                      <w:kern w:val="0"/>
                      <w:sz w:val="21"/>
                      <w:szCs w:val="21"/>
                      <w:lang w:val="en-US" w:eastAsia="zh-CN"/>
                    </w:rPr>
                    <w:t>本项目变电站设置事故油池、</w:t>
                  </w:r>
                  <w:r>
                    <w:rPr>
                      <w:rFonts w:hint="eastAsia" w:ascii="Calibri" w:hAnsi="Calibri" w:cs="Calibri"/>
                      <w:color w:val="auto"/>
                      <w:kern w:val="0"/>
                      <w:sz w:val="21"/>
                      <w:szCs w:val="21"/>
                      <w:lang w:val="en-US" w:eastAsia="zh-CN"/>
                    </w:rPr>
                    <w:t>危险废物贮存库</w:t>
                  </w:r>
                  <w:r>
                    <w:rPr>
                      <w:rFonts w:hint="default" w:ascii="Calibri" w:hAnsi="Calibri" w:eastAsia="宋体" w:cs="Calibri"/>
                      <w:color w:val="auto"/>
                      <w:kern w:val="0"/>
                      <w:sz w:val="21"/>
                      <w:szCs w:val="21"/>
                      <w:lang w:val="en-US" w:eastAsia="zh-CN"/>
                    </w:rPr>
                    <w:t>，可以满足发生事故后风险管控要求。</w:t>
                  </w:r>
                </w:p>
              </w:tc>
              <w:tc>
                <w:tcPr>
                  <w:tcW w:w="519" w:type="pct"/>
                  <w:noWrap w:val="0"/>
                  <w:vAlign w:val="center"/>
                </w:tcPr>
                <w:p w14:paraId="7CEDE3A4">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r>
                    <w:rPr>
                      <w:rFonts w:hint="default" w:ascii="Calibri" w:hAnsi="Calibri" w:eastAsia="宋体" w:cs="Calibri"/>
                      <w:iCs/>
                      <w:color w:val="auto"/>
                      <w:kern w:val="0"/>
                      <w:sz w:val="21"/>
                      <w:szCs w:val="21"/>
                      <w:lang w:val="en-US" w:eastAsia="zh-CN"/>
                    </w:rPr>
                    <w:t>符合</w:t>
                  </w:r>
                </w:p>
              </w:tc>
            </w:tr>
            <w:tr w14:paraId="266893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restart"/>
                  <w:noWrap w:val="0"/>
                  <w:vAlign w:val="center"/>
                </w:tcPr>
                <w:p w14:paraId="19F7160C">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lang w:val="en-US" w:eastAsia="zh-CN"/>
                    </w:rPr>
                  </w:pPr>
                  <w:r>
                    <w:rPr>
                      <w:rFonts w:hint="default" w:ascii="Calibri" w:hAnsi="Calibri" w:eastAsia="宋体" w:cs="Calibri"/>
                      <w:iCs/>
                      <w:color w:val="auto"/>
                      <w:kern w:val="0"/>
                      <w:sz w:val="21"/>
                      <w:szCs w:val="21"/>
                      <w:lang w:val="en-US" w:eastAsia="zh-CN"/>
                    </w:rPr>
                    <w:t>资源利用要求</w:t>
                  </w:r>
                </w:p>
              </w:tc>
              <w:tc>
                <w:tcPr>
                  <w:tcW w:w="516" w:type="pct"/>
                  <w:noWrap w:val="0"/>
                  <w:vAlign w:val="center"/>
                </w:tcPr>
                <w:p w14:paraId="51CC3A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lang w:val="en-US" w:eastAsia="zh-CN"/>
                    </w:rPr>
                  </w:pPr>
                  <w:r>
                    <w:rPr>
                      <w:rFonts w:hint="default" w:ascii="Calibri" w:hAnsi="Calibri" w:eastAsia="宋体" w:cs="Calibri"/>
                      <w:color w:val="auto"/>
                      <w:kern w:val="0"/>
                      <w:sz w:val="21"/>
                      <w:szCs w:val="21"/>
                      <w:lang w:val="en-US" w:eastAsia="zh-CN"/>
                    </w:rPr>
                    <w:t>水资源</w:t>
                  </w:r>
                </w:p>
              </w:tc>
              <w:tc>
                <w:tcPr>
                  <w:tcW w:w="2001" w:type="pct"/>
                  <w:noWrap w:val="0"/>
                  <w:vAlign w:val="center"/>
                </w:tcPr>
                <w:p w14:paraId="2A7FFE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地下水资源利用实行总量控制和水位控制。取用地下水资源，应当按照国家和自治区有关规定申请取水许可。地下水利用应当以浅层地下水为主。</w:t>
                  </w:r>
                </w:p>
              </w:tc>
              <w:tc>
                <w:tcPr>
                  <w:tcW w:w="1575" w:type="pct"/>
                  <w:noWrap w:val="0"/>
                  <w:vAlign w:val="center"/>
                </w:tcPr>
                <w:p w14:paraId="356755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lang w:val="en-US" w:eastAsia="zh-CN"/>
                    </w:rPr>
                    <w:t>本项目不涉及地下水开采。</w:t>
                  </w:r>
                </w:p>
              </w:tc>
              <w:tc>
                <w:tcPr>
                  <w:tcW w:w="519" w:type="pct"/>
                  <w:noWrap w:val="0"/>
                  <w:vAlign w:val="center"/>
                </w:tcPr>
                <w:p w14:paraId="2C95860E">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r>
                    <w:rPr>
                      <w:rFonts w:hint="default" w:ascii="Calibri" w:hAnsi="Calibri" w:eastAsia="宋体" w:cs="Calibri"/>
                      <w:iCs/>
                      <w:color w:val="auto"/>
                      <w:kern w:val="0"/>
                      <w:sz w:val="21"/>
                      <w:szCs w:val="21"/>
                      <w:lang w:val="en-US" w:eastAsia="zh-CN"/>
                    </w:rPr>
                    <w:t>符合</w:t>
                  </w:r>
                </w:p>
              </w:tc>
            </w:tr>
            <w:tr w14:paraId="39F9C6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noWrap w:val="0"/>
                  <w:vAlign w:val="center"/>
                </w:tcPr>
                <w:p w14:paraId="5205ADCF">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p>
              </w:tc>
              <w:tc>
                <w:tcPr>
                  <w:tcW w:w="516" w:type="pct"/>
                  <w:noWrap w:val="0"/>
                  <w:vAlign w:val="center"/>
                </w:tcPr>
                <w:p w14:paraId="66270A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能源利用</w:t>
                  </w:r>
                </w:p>
              </w:tc>
              <w:tc>
                <w:tcPr>
                  <w:tcW w:w="2001" w:type="pct"/>
                  <w:noWrap w:val="0"/>
                  <w:vAlign w:val="center"/>
                </w:tcPr>
                <w:p w14:paraId="6B2F66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鼓励使用清洁能源或电厂热力、工业余热等替代锅炉、炉</w:t>
                  </w:r>
                  <w:r>
                    <w:rPr>
                      <w:rFonts w:hint="default" w:ascii="Calibri" w:hAnsi="Calibri" w:eastAsia="宋体" w:cs="Calibri"/>
                      <w:color w:val="auto"/>
                      <w:kern w:val="0"/>
                      <w:sz w:val="21"/>
                      <w:szCs w:val="21"/>
                      <w:lang w:val="en-US" w:eastAsia="zh-CN"/>
                    </w:rPr>
                    <w:t>窑</w:t>
                  </w:r>
                  <w:r>
                    <w:rPr>
                      <w:rFonts w:hint="default" w:ascii="Calibri" w:hAnsi="Calibri" w:eastAsia="宋体" w:cs="Calibri"/>
                      <w:color w:val="auto"/>
                      <w:kern w:val="0"/>
                      <w:sz w:val="21"/>
                      <w:szCs w:val="21"/>
                    </w:rPr>
                    <w:t>燃料用煤。</w:t>
                  </w:r>
                </w:p>
              </w:tc>
              <w:tc>
                <w:tcPr>
                  <w:tcW w:w="1575" w:type="pct"/>
                  <w:noWrap w:val="0"/>
                  <w:vAlign w:val="center"/>
                </w:tcPr>
                <w:p w14:paraId="41ACDD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lang w:val="en-US" w:eastAsia="zh-CN"/>
                    </w:rPr>
                    <w:t>本项目燃料不涉及使用燃煤。</w:t>
                  </w:r>
                </w:p>
              </w:tc>
              <w:tc>
                <w:tcPr>
                  <w:tcW w:w="519" w:type="pct"/>
                  <w:noWrap w:val="0"/>
                  <w:vAlign w:val="center"/>
                </w:tcPr>
                <w:p w14:paraId="0D989144">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r>
                    <w:rPr>
                      <w:rFonts w:hint="default" w:ascii="Calibri" w:hAnsi="Calibri" w:eastAsia="宋体" w:cs="Calibri"/>
                      <w:iCs/>
                      <w:color w:val="auto"/>
                      <w:kern w:val="0"/>
                      <w:sz w:val="21"/>
                      <w:szCs w:val="21"/>
                      <w:lang w:val="en-US" w:eastAsia="zh-CN"/>
                    </w:rPr>
                    <w:t>符合</w:t>
                  </w:r>
                </w:p>
              </w:tc>
            </w:tr>
            <w:tr w14:paraId="563D03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noWrap w:val="0"/>
                  <w:vAlign w:val="center"/>
                </w:tcPr>
                <w:p w14:paraId="170D85CB">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p>
              </w:tc>
              <w:tc>
                <w:tcPr>
                  <w:tcW w:w="516" w:type="pct"/>
                  <w:noWrap w:val="0"/>
                  <w:vAlign w:val="center"/>
                </w:tcPr>
                <w:p w14:paraId="2177BE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禁燃区要求</w:t>
                  </w:r>
                </w:p>
              </w:tc>
              <w:tc>
                <w:tcPr>
                  <w:tcW w:w="2001" w:type="pct"/>
                  <w:noWrap w:val="0"/>
                  <w:vAlign w:val="center"/>
                </w:tcPr>
                <w:p w14:paraId="221568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在禁燃区内，禁止销售、燃用高污染燃料</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禁止新建、扩建燃用高污染燃料的设施。已建成的，应当在规定期限内改用清洁能源。</w:t>
                  </w:r>
                </w:p>
              </w:tc>
              <w:tc>
                <w:tcPr>
                  <w:tcW w:w="1575" w:type="pct"/>
                  <w:noWrap w:val="0"/>
                  <w:vAlign w:val="center"/>
                </w:tcPr>
                <w:p w14:paraId="75931C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lang w:val="en-US" w:eastAsia="zh-CN"/>
                    </w:rPr>
                    <w:t>本项目不使用</w:t>
                  </w:r>
                  <w:r>
                    <w:rPr>
                      <w:rFonts w:hint="default" w:ascii="Calibri" w:hAnsi="Calibri" w:eastAsia="宋体" w:cs="Calibri"/>
                      <w:color w:val="auto"/>
                      <w:kern w:val="0"/>
                      <w:sz w:val="21"/>
                      <w:szCs w:val="21"/>
                    </w:rPr>
                    <w:t>高污染燃料的设施。</w:t>
                  </w:r>
                </w:p>
              </w:tc>
              <w:tc>
                <w:tcPr>
                  <w:tcW w:w="519" w:type="pct"/>
                  <w:noWrap w:val="0"/>
                  <w:vAlign w:val="center"/>
                </w:tcPr>
                <w:p w14:paraId="55C94C02">
                  <w:pPr>
                    <w:keepNext w:val="0"/>
                    <w:keepLines w:val="0"/>
                    <w:pageBreakBefore w:val="0"/>
                    <w:widowControl w:val="0"/>
                    <w:tabs>
                      <w:tab w:val="right" w:leader="middleDot" w:pos="7938"/>
                    </w:tabs>
                    <w:kinsoku/>
                    <w:wordWrap/>
                    <w:overflowPunct/>
                    <w:topLinePunct w:val="0"/>
                    <w:autoSpaceDE/>
                    <w:autoSpaceDN/>
                    <w:bidi w:val="0"/>
                    <w:adjustRightInd/>
                    <w:snapToGrid/>
                    <w:spacing w:line="240" w:lineRule="auto"/>
                    <w:ind w:firstLine="0" w:firstLineChars="0"/>
                    <w:jc w:val="center"/>
                    <w:textAlignment w:val="auto"/>
                    <w:rPr>
                      <w:rFonts w:hint="default" w:ascii="Calibri" w:hAnsi="Calibri" w:eastAsia="宋体" w:cs="Calibri"/>
                      <w:iCs/>
                      <w:color w:val="auto"/>
                      <w:kern w:val="0"/>
                      <w:sz w:val="21"/>
                      <w:szCs w:val="21"/>
                    </w:rPr>
                  </w:pPr>
                  <w:r>
                    <w:rPr>
                      <w:rFonts w:hint="default" w:ascii="Calibri" w:hAnsi="Calibri" w:eastAsia="宋体" w:cs="Calibri"/>
                      <w:iCs/>
                      <w:color w:val="auto"/>
                      <w:kern w:val="0"/>
                      <w:sz w:val="21"/>
                      <w:szCs w:val="21"/>
                      <w:lang w:val="en-US" w:eastAsia="zh-CN"/>
                    </w:rPr>
                    <w:t>符合</w:t>
                  </w:r>
                </w:p>
              </w:tc>
            </w:tr>
          </w:tbl>
          <w:p w14:paraId="5FAAADAA">
            <w:pPr>
              <w:pStyle w:val="10"/>
              <w:bidi w:val="0"/>
              <w:rPr>
                <w:rFonts w:hint="default" w:ascii="Calibri" w:hAnsi="Calibri" w:eastAsia="宋体" w:cs="Calibri"/>
                <w:color w:val="auto"/>
                <w:sz w:val="24"/>
                <w:szCs w:val="24"/>
                <w:lang w:val="en-US" w:eastAsia="zh-CN"/>
              </w:rPr>
            </w:pPr>
            <w:r>
              <w:rPr>
                <w:rFonts w:hint="default" w:ascii="Calibri" w:hAnsi="Calibri" w:eastAsia="宋体" w:cs="Calibri"/>
                <w:color w:val="auto"/>
                <w:sz w:val="24"/>
                <w:szCs w:val="24"/>
                <w:lang w:val="en-US" w:eastAsia="zh-CN"/>
              </w:rPr>
              <w:t>根据新疆维吾尔自治区生态环境厅2021年7月发布的《关于印发（新疆维吾尔自治区七大片区“三线一单”生态环境分区管控要求）的通知》（新环环评发〔2021〕162号），全区划分为七大片区，包括北疆北部（塔城地区、阿勒泰地区）、伊犁河谷、克奎乌－博州、乌昌石、吐哈、天山南坡（巴州、阿克苏地区）和南疆三地州片区，本工程所在区域属于天山南坡片区，该片区管控要求见表1-2。</w:t>
            </w:r>
          </w:p>
          <w:p w14:paraId="07C3CF98">
            <w:pPr>
              <w:pStyle w:val="36"/>
              <w:keepNext w:val="0"/>
              <w:keepLines w:val="0"/>
              <w:pageBreakBefore w:val="0"/>
              <w:widowControl w:val="0"/>
              <w:kinsoku/>
              <w:wordWrap/>
              <w:overflowPunct/>
              <w:topLinePunct w:val="0"/>
              <w:autoSpaceDE w:val="0"/>
              <w:autoSpaceDN w:val="0"/>
              <w:bidi w:val="0"/>
              <w:adjustRightInd w:val="0"/>
              <w:snapToGrid w:val="0"/>
              <w:spacing w:line="480" w:lineRule="exact"/>
              <w:jc w:val="center"/>
              <w:textAlignment w:val="auto"/>
              <w:rPr>
                <w:rFonts w:hint="default" w:ascii="Calibri" w:hAnsi="Calibri" w:eastAsia="宋体" w:cs="Calibri"/>
                <w:color w:val="auto"/>
                <w:sz w:val="24"/>
                <w:szCs w:val="24"/>
                <w:lang w:val="en-US" w:eastAsia="zh-CN"/>
              </w:rPr>
            </w:pPr>
            <w:r>
              <w:rPr>
                <w:rFonts w:hint="default" w:ascii="Calibri" w:hAnsi="Calibri" w:eastAsia="宋体" w:cs="Calibri"/>
                <w:color w:val="auto"/>
                <w:sz w:val="24"/>
                <w:szCs w:val="24"/>
                <w:lang w:val="en-US" w:eastAsia="zh-CN"/>
              </w:rPr>
              <w:t>表1-2    新疆维吾尔自治区七大片区“三线一单”生态环境分区管控（天山南坡片区）要求符合性分析表</w:t>
            </w:r>
          </w:p>
          <w:tbl>
            <w:tblPr>
              <w:tblStyle w:val="23"/>
              <w:tblW w:w="4998"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605"/>
              <w:gridCol w:w="3603"/>
              <w:gridCol w:w="1477"/>
              <w:gridCol w:w="578"/>
            </w:tblGrid>
            <w:tr w14:paraId="48B2C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884" w:type="pct"/>
                  <w:gridSpan w:val="2"/>
                  <w:noWrap w:val="0"/>
                  <w:vAlign w:val="center"/>
                </w:tcPr>
                <w:p w14:paraId="16B8CBC8">
                  <w:pPr>
                    <w:pStyle w:val="35"/>
                    <w:bidi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名称</w:t>
                  </w:r>
                </w:p>
              </w:tc>
              <w:tc>
                <w:tcPr>
                  <w:tcW w:w="2620" w:type="pct"/>
                  <w:noWrap w:val="0"/>
                  <w:vAlign w:val="center"/>
                </w:tcPr>
                <w:p w14:paraId="75AD0758">
                  <w:pPr>
                    <w:pStyle w:val="35"/>
                    <w:bidi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管控要求</w:t>
                  </w:r>
                </w:p>
              </w:tc>
              <w:tc>
                <w:tcPr>
                  <w:tcW w:w="1074" w:type="pct"/>
                  <w:noWrap w:val="0"/>
                  <w:vAlign w:val="center"/>
                </w:tcPr>
                <w:p w14:paraId="38C7E5E9">
                  <w:pPr>
                    <w:pStyle w:val="35"/>
                    <w:bidi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符合性分析</w:t>
                  </w:r>
                </w:p>
              </w:tc>
              <w:tc>
                <w:tcPr>
                  <w:tcW w:w="420" w:type="pct"/>
                  <w:noWrap w:val="0"/>
                  <w:vAlign w:val="center"/>
                </w:tcPr>
                <w:p w14:paraId="45C5A662">
                  <w:pPr>
                    <w:pStyle w:val="35"/>
                    <w:bidi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是否符合</w:t>
                  </w:r>
                </w:p>
              </w:tc>
            </w:tr>
            <w:tr w14:paraId="785B7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4" w:type="pct"/>
                  <w:vMerge w:val="restart"/>
                  <w:noWrap w:val="0"/>
                  <w:vAlign w:val="center"/>
                </w:tcPr>
                <w:p w14:paraId="7D396F0A">
                  <w:pPr>
                    <w:pStyle w:val="35"/>
                    <w:bidi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总体要求</w:t>
                  </w:r>
                </w:p>
              </w:tc>
              <w:tc>
                <w:tcPr>
                  <w:tcW w:w="439" w:type="pct"/>
                  <w:noWrap w:val="0"/>
                  <w:vAlign w:val="center"/>
                </w:tcPr>
                <w:p w14:paraId="35D922F3">
                  <w:pPr>
                    <w:pStyle w:val="35"/>
                    <w:bidi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rPr>
                    <w:t>空间布局约束</w:t>
                  </w:r>
                </w:p>
              </w:tc>
              <w:tc>
                <w:tcPr>
                  <w:tcW w:w="2620" w:type="pct"/>
                  <w:noWrap w:val="0"/>
                  <w:vAlign w:val="center"/>
                </w:tcPr>
                <w:p w14:paraId="4DF19FF9">
                  <w:pPr>
                    <w:pStyle w:val="35"/>
                    <w:bidi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rPr>
                    <w:t>严格执行国家、自治区产业政策和环境准入要求，严禁“三高”项目进新疆，坚决遏制“两高”项目盲目发展。不得在水源涵养区、饮用水水源保护区内和河流、湖泊、水库周围建设重化工、涉重金属等工业污染项目。推动项目集聚发展，新建、改建、扩建工业项目原则上应布置于由县级及以上人民政府批准建立、环境保护基础设施完善的产业园区、工业聚集区或规划矿区，并且符合相关规划和规划环评要求</w:t>
                  </w:r>
                  <w:r>
                    <w:rPr>
                      <w:rFonts w:hint="default" w:ascii="Calibri" w:hAnsi="Calibri" w:eastAsia="宋体" w:cs="Calibri"/>
                      <w:color w:val="auto"/>
                      <w:sz w:val="21"/>
                      <w:szCs w:val="21"/>
                      <w:lang w:eastAsia="zh-CN"/>
                    </w:rPr>
                    <w:t>。</w:t>
                  </w:r>
                </w:p>
              </w:tc>
              <w:tc>
                <w:tcPr>
                  <w:tcW w:w="1074" w:type="pct"/>
                  <w:noWrap w:val="0"/>
                  <w:vAlign w:val="center"/>
                </w:tcPr>
                <w:p w14:paraId="320FF5F8">
                  <w:pPr>
                    <w:pStyle w:val="35"/>
                    <w:bidi w:val="0"/>
                    <w:jc w:val="center"/>
                    <w:rPr>
                      <w:rFonts w:hint="default" w:ascii="Calibri" w:hAnsi="Calibri" w:eastAsia="宋体" w:cs="Calibri"/>
                      <w:color w:val="auto"/>
                      <w:sz w:val="21"/>
                      <w:szCs w:val="21"/>
                      <w:highlight w:val="yellow"/>
                      <w:lang w:val="en-US" w:eastAsia="zh-CN"/>
                    </w:rPr>
                  </w:pPr>
                  <w:r>
                    <w:rPr>
                      <w:rFonts w:hint="default" w:ascii="Calibri" w:hAnsi="Calibri" w:eastAsia="宋体" w:cs="Calibri"/>
                      <w:color w:val="auto"/>
                      <w:sz w:val="21"/>
                      <w:szCs w:val="21"/>
                      <w:highlight w:val="none"/>
                      <w:lang w:val="en-US" w:eastAsia="zh-CN"/>
                    </w:rPr>
                    <w:t>项目属于《产业结构调整指导目录（2024年本）》鼓励类。项目不属于“三高”“两高”项目，符合国家产业政策。</w:t>
                  </w:r>
                </w:p>
              </w:tc>
              <w:tc>
                <w:tcPr>
                  <w:tcW w:w="420" w:type="pct"/>
                  <w:noWrap w:val="0"/>
                  <w:vAlign w:val="center"/>
                </w:tcPr>
                <w:p w14:paraId="10791F1A">
                  <w:pPr>
                    <w:pStyle w:val="35"/>
                    <w:bidi w:val="0"/>
                    <w:jc w:val="center"/>
                    <w:rPr>
                      <w:rFonts w:hint="default" w:ascii="Calibri" w:hAnsi="Calibri" w:eastAsia="宋体" w:cs="Calibri"/>
                      <w:color w:val="auto"/>
                      <w:sz w:val="21"/>
                      <w:szCs w:val="21"/>
                      <w:highlight w:val="yellow"/>
                      <w:lang w:val="en-US" w:eastAsia="zh-CN"/>
                    </w:rPr>
                  </w:pPr>
                  <w:r>
                    <w:rPr>
                      <w:rFonts w:hint="default" w:ascii="Calibri" w:hAnsi="Calibri" w:eastAsia="宋体" w:cs="Calibri"/>
                      <w:color w:val="auto"/>
                      <w:sz w:val="21"/>
                      <w:szCs w:val="21"/>
                      <w:highlight w:val="none"/>
                      <w:lang w:val="en-US" w:eastAsia="zh-CN"/>
                    </w:rPr>
                    <w:t>符合</w:t>
                  </w:r>
                </w:p>
              </w:tc>
            </w:tr>
            <w:tr w14:paraId="1F24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trPr>
              <w:tc>
                <w:tcPr>
                  <w:tcW w:w="444" w:type="pct"/>
                  <w:vMerge w:val="continue"/>
                  <w:noWrap w:val="0"/>
                  <w:vAlign w:val="center"/>
                </w:tcPr>
                <w:p w14:paraId="645FB4D1">
                  <w:pPr>
                    <w:pStyle w:val="35"/>
                    <w:bidi w:val="0"/>
                    <w:jc w:val="center"/>
                    <w:rPr>
                      <w:rFonts w:hint="default" w:ascii="Calibri" w:hAnsi="Calibri" w:eastAsia="宋体" w:cs="Calibri"/>
                      <w:color w:val="auto"/>
                      <w:sz w:val="21"/>
                      <w:szCs w:val="21"/>
                      <w:lang w:val="en-US" w:eastAsia="zh-CN"/>
                    </w:rPr>
                  </w:pPr>
                </w:p>
              </w:tc>
              <w:tc>
                <w:tcPr>
                  <w:tcW w:w="439" w:type="pct"/>
                  <w:noWrap w:val="0"/>
                  <w:vAlign w:val="center"/>
                </w:tcPr>
                <w:p w14:paraId="49335551">
                  <w:pPr>
                    <w:pStyle w:val="35"/>
                    <w:bidi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污染物排放管控</w:t>
                  </w:r>
                </w:p>
              </w:tc>
              <w:tc>
                <w:tcPr>
                  <w:tcW w:w="2620" w:type="pct"/>
                  <w:noWrap w:val="0"/>
                  <w:vAlign w:val="center"/>
                </w:tcPr>
                <w:p w14:paraId="788C836E">
                  <w:pPr>
                    <w:pStyle w:val="35"/>
                    <w:bidi w:val="0"/>
                    <w:jc w:val="center"/>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深化行业污染源头治理，深入开展火电行业减排，全力推进钢铁行业超低排放改造，有序推进石化行业“泄漏检测与修复”技术改造。强化煤化工、石化、有机化工、表面涂装、包装印刷等重点行业挥发性有机物控制。深入开展燃煤锅炉污染综合整治，深化工业炉窑综合治理。加强“散乱污”企业综合整治。优化区域交通运输结构，加快货物运输绿色转型，做好车油联合管控。以改善流域水环境质量为核心，强化源头控制，“河</w:t>
                  </w:r>
                  <w:r>
                    <w:rPr>
                      <w:rFonts w:hint="eastAsia" w:ascii="Calibri" w:hAnsi="Calibri" w:cs="Calibri"/>
                      <w:color w:val="auto"/>
                      <w:sz w:val="21"/>
                      <w:szCs w:val="21"/>
                      <w:lang w:eastAsia="zh-CN"/>
                    </w:rPr>
                    <w:t>（</w:t>
                  </w:r>
                  <w:r>
                    <w:rPr>
                      <w:rFonts w:hint="default" w:ascii="Calibri" w:hAnsi="Calibri" w:eastAsia="宋体" w:cs="Calibri"/>
                      <w:color w:val="auto"/>
                      <w:sz w:val="21"/>
                      <w:szCs w:val="21"/>
                    </w:rPr>
                    <w:t>湖</w:t>
                  </w:r>
                  <w:r>
                    <w:rPr>
                      <w:rFonts w:hint="eastAsia" w:ascii="Calibri" w:hAnsi="Calibri" w:cs="Calibri"/>
                      <w:color w:val="auto"/>
                      <w:sz w:val="21"/>
                      <w:szCs w:val="21"/>
                      <w:lang w:eastAsia="zh-CN"/>
                    </w:rPr>
                    <w:t>）</w:t>
                  </w:r>
                  <w:r>
                    <w:rPr>
                      <w:rFonts w:hint="default" w:ascii="Calibri" w:hAnsi="Calibri" w:eastAsia="宋体" w:cs="Calibri"/>
                      <w:color w:val="auto"/>
                      <w:sz w:val="21"/>
                      <w:szCs w:val="21"/>
                    </w:rPr>
                    <w:t>一策”精准施治，减少水污染物排放，持续改善水环境质量。强化园区</w:t>
                  </w:r>
                  <w:r>
                    <w:rPr>
                      <w:rFonts w:hint="eastAsia" w:ascii="Calibri" w:hAnsi="Calibri" w:cs="Calibri"/>
                      <w:color w:val="auto"/>
                      <w:sz w:val="21"/>
                      <w:szCs w:val="21"/>
                      <w:lang w:eastAsia="zh-CN"/>
                    </w:rPr>
                    <w:t>（</w:t>
                  </w:r>
                  <w:r>
                    <w:rPr>
                      <w:rFonts w:hint="default" w:ascii="Calibri" w:hAnsi="Calibri" w:eastAsia="宋体" w:cs="Calibri"/>
                      <w:color w:val="auto"/>
                      <w:sz w:val="21"/>
                      <w:szCs w:val="21"/>
                    </w:rPr>
                    <w:t>工业集聚区</w:t>
                  </w:r>
                  <w:r>
                    <w:rPr>
                      <w:rFonts w:hint="eastAsia" w:ascii="Calibri" w:hAnsi="Calibri" w:cs="Calibri"/>
                      <w:color w:val="auto"/>
                      <w:sz w:val="21"/>
                      <w:szCs w:val="21"/>
                      <w:lang w:eastAsia="zh-CN"/>
                    </w:rPr>
                    <w:t>）</w:t>
                  </w:r>
                  <w:r>
                    <w:rPr>
                      <w:rFonts w:hint="default" w:ascii="Calibri" w:hAnsi="Calibri" w:eastAsia="宋体" w:cs="Calibri"/>
                      <w:color w:val="auto"/>
                      <w:sz w:val="21"/>
                      <w:szCs w:val="21"/>
                    </w:rPr>
                    <w:t>水污染防治，不断提高工业用水重复利用率。加快实施城镇污水处理设施提质增效，补齐生活污水收集和处理设施短板，提高再生水回用比例。持续推进农业农村污染防治。提升土壤环境监管能力，加强污染地块安全利用监管。强化工矿用地管理，严格建设用地</w:t>
                  </w:r>
                  <w:r>
                    <w:rPr>
                      <w:rFonts w:hint="default" w:ascii="Calibri" w:hAnsi="Calibri" w:eastAsia="宋体" w:cs="Calibri"/>
                      <w:color w:val="auto"/>
                      <w:sz w:val="21"/>
                      <w:szCs w:val="21"/>
                      <w:lang w:val="en-US" w:eastAsia="zh-CN"/>
                    </w:rPr>
                    <w:t>土</w:t>
                  </w:r>
                  <w:r>
                    <w:rPr>
                      <w:rFonts w:hint="default" w:ascii="Calibri" w:hAnsi="Calibri" w:eastAsia="宋体" w:cs="Calibri"/>
                      <w:color w:val="auto"/>
                      <w:sz w:val="21"/>
                      <w:szCs w:val="21"/>
                    </w:rPr>
                    <w:t>壤环境风险管控。加强农用地土壤污染源头控制，科学施用化肥农药，提高农膜回收率</w:t>
                  </w:r>
                  <w:r>
                    <w:rPr>
                      <w:rFonts w:hint="default" w:ascii="Calibri" w:hAnsi="Calibri" w:eastAsia="宋体" w:cs="Calibri"/>
                      <w:color w:val="auto"/>
                      <w:sz w:val="21"/>
                      <w:szCs w:val="21"/>
                      <w:lang w:eastAsia="zh-CN"/>
                    </w:rPr>
                    <w:t>。</w:t>
                  </w:r>
                </w:p>
              </w:tc>
              <w:tc>
                <w:tcPr>
                  <w:tcW w:w="1074" w:type="pct"/>
                  <w:noWrap w:val="0"/>
                  <w:vAlign w:val="center"/>
                </w:tcPr>
                <w:p w14:paraId="513DB94B">
                  <w:pPr>
                    <w:pStyle w:val="35"/>
                    <w:bidi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本项目设计阶段即选取适宜的杆塔、导线、相序布置等，以减少工频电场、工频磁场对环境的影响，满足国家标准要求。</w:t>
                  </w:r>
                </w:p>
              </w:tc>
              <w:tc>
                <w:tcPr>
                  <w:tcW w:w="420" w:type="pct"/>
                  <w:noWrap w:val="0"/>
                  <w:vAlign w:val="center"/>
                </w:tcPr>
                <w:p w14:paraId="7E973850">
                  <w:pPr>
                    <w:pStyle w:val="35"/>
                    <w:bidi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符合</w:t>
                  </w:r>
                </w:p>
              </w:tc>
            </w:tr>
            <w:tr w14:paraId="327F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444" w:type="pct"/>
                  <w:vMerge w:val="continue"/>
                  <w:noWrap w:val="0"/>
                  <w:vAlign w:val="center"/>
                </w:tcPr>
                <w:p w14:paraId="1A56352B">
                  <w:pPr>
                    <w:pStyle w:val="35"/>
                    <w:bidi w:val="0"/>
                    <w:jc w:val="center"/>
                    <w:rPr>
                      <w:rFonts w:hint="default" w:ascii="Calibri" w:hAnsi="Calibri" w:eastAsia="宋体" w:cs="Calibri"/>
                      <w:color w:val="auto"/>
                      <w:sz w:val="21"/>
                      <w:szCs w:val="21"/>
                      <w:lang w:val="en-US" w:eastAsia="zh-CN"/>
                    </w:rPr>
                  </w:pPr>
                </w:p>
              </w:tc>
              <w:tc>
                <w:tcPr>
                  <w:tcW w:w="439" w:type="pct"/>
                  <w:noWrap w:val="0"/>
                  <w:vAlign w:val="center"/>
                </w:tcPr>
                <w:p w14:paraId="24B8E514">
                  <w:pPr>
                    <w:pStyle w:val="35"/>
                    <w:bidi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环境风险防控</w:t>
                  </w:r>
                </w:p>
              </w:tc>
              <w:tc>
                <w:tcPr>
                  <w:tcW w:w="2620" w:type="pct"/>
                  <w:noWrap w:val="0"/>
                  <w:vAlign w:val="center"/>
                </w:tcPr>
                <w:p w14:paraId="31102BDC">
                  <w:pPr>
                    <w:pStyle w:val="35"/>
                    <w:bidi w:val="0"/>
                    <w:jc w:val="center"/>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禁止在化工园区外新建、扩建危险化学品生产项目。严格落实危险废物处置相关要求。加强重点流域水环境风险管控，保障水环境安全</w:t>
                  </w:r>
                  <w:r>
                    <w:rPr>
                      <w:rFonts w:hint="default" w:ascii="Calibri" w:hAnsi="Calibri" w:eastAsia="宋体" w:cs="Calibri"/>
                      <w:color w:val="auto"/>
                      <w:sz w:val="21"/>
                      <w:szCs w:val="21"/>
                      <w:lang w:eastAsia="zh-CN"/>
                    </w:rPr>
                    <w:t>。</w:t>
                  </w:r>
                </w:p>
              </w:tc>
              <w:tc>
                <w:tcPr>
                  <w:tcW w:w="1074" w:type="pct"/>
                  <w:noWrap w:val="0"/>
                  <w:vAlign w:val="center"/>
                </w:tcPr>
                <w:p w14:paraId="2151A32A">
                  <w:pPr>
                    <w:pStyle w:val="35"/>
                    <w:bidi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本项目为电力基础设施建设项目，不属于危险化学品生产项目，选址周围无河流水域。</w:t>
                  </w:r>
                </w:p>
              </w:tc>
              <w:tc>
                <w:tcPr>
                  <w:tcW w:w="420" w:type="pct"/>
                  <w:noWrap w:val="0"/>
                  <w:vAlign w:val="center"/>
                </w:tcPr>
                <w:p w14:paraId="3AEDB2E4">
                  <w:pPr>
                    <w:pStyle w:val="35"/>
                    <w:bidi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符合</w:t>
                  </w:r>
                </w:p>
              </w:tc>
            </w:tr>
            <w:tr w14:paraId="0666D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444" w:type="pct"/>
                  <w:vMerge w:val="continue"/>
                  <w:noWrap w:val="0"/>
                  <w:vAlign w:val="center"/>
                </w:tcPr>
                <w:p w14:paraId="5CEF2444">
                  <w:pPr>
                    <w:pStyle w:val="35"/>
                    <w:bidi w:val="0"/>
                    <w:jc w:val="center"/>
                    <w:rPr>
                      <w:rFonts w:hint="default" w:ascii="Calibri" w:hAnsi="Calibri" w:eastAsia="宋体" w:cs="Calibri"/>
                      <w:color w:val="auto"/>
                      <w:sz w:val="21"/>
                      <w:szCs w:val="21"/>
                      <w:lang w:val="en-US" w:eastAsia="zh-CN"/>
                    </w:rPr>
                  </w:pPr>
                </w:p>
              </w:tc>
              <w:tc>
                <w:tcPr>
                  <w:tcW w:w="439" w:type="pct"/>
                  <w:noWrap w:val="0"/>
                  <w:vAlign w:val="center"/>
                </w:tcPr>
                <w:p w14:paraId="5F27A6EA">
                  <w:pPr>
                    <w:pStyle w:val="35"/>
                    <w:bidi w:val="0"/>
                    <w:jc w:val="center"/>
                    <w:rPr>
                      <w:rFonts w:hint="default" w:ascii="Calibri" w:hAnsi="Calibri" w:eastAsia="宋体" w:cs="Calibri"/>
                      <w:color w:val="auto"/>
                      <w:sz w:val="21"/>
                      <w:szCs w:val="21"/>
                    </w:rPr>
                  </w:pPr>
                  <w:r>
                    <w:rPr>
                      <w:rFonts w:hint="default" w:ascii="Calibri" w:hAnsi="Calibri" w:eastAsia="宋体" w:cs="Calibri"/>
                      <w:color w:val="auto"/>
                      <w:sz w:val="21"/>
                      <w:szCs w:val="21"/>
                    </w:rPr>
                    <w:t>资源利用效率</w:t>
                  </w:r>
                </w:p>
              </w:tc>
              <w:tc>
                <w:tcPr>
                  <w:tcW w:w="2620" w:type="pct"/>
                  <w:noWrap w:val="0"/>
                  <w:vAlign w:val="center"/>
                </w:tcPr>
                <w:p w14:paraId="64D01A88">
                  <w:pPr>
                    <w:pStyle w:val="35"/>
                    <w:bidi w:val="0"/>
                    <w:jc w:val="center"/>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优化能源结构，控制煤炭等化石能源使用量，鼓励使用清洁能源，协同推进减污降碳。全面实施节水工程，合理开发利用水资源，提升水资源利用效率，保障生态用水，严防地下水超采</w:t>
                  </w:r>
                  <w:r>
                    <w:rPr>
                      <w:rFonts w:hint="default" w:ascii="Calibri" w:hAnsi="Calibri" w:eastAsia="宋体" w:cs="Calibri"/>
                      <w:color w:val="auto"/>
                      <w:sz w:val="21"/>
                      <w:szCs w:val="21"/>
                      <w:lang w:eastAsia="zh-CN"/>
                    </w:rPr>
                    <w:t>。</w:t>
                  </w:r>
                </w:p>
              </w:tc>
              <w:tc>
                <w:tcPr>
                  <w:tcW w:w="1074" w:type="pct"/>
                  <w:noWrap w:val="0"/>
                  <w:vAlign w:val="center"/>
                </w:tcPr>
                <w:p w14:paraId="625E3661">
                  <w:pPr>
                    <w:pStyle w:val="35"/>
                    <w:bidi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本项目不涉及煤炭资源的使用。不涉及地下水开采。</w:t>
                  </w:r>
                </w:p>
              </w:tc>
              <w:tc>
                <w:tcPr>
                  <w:tcW w:w="420" w:type="pct"/>
                  <w:noWrap w:val="0"/>
                  <w:vAlign w:val="center"/>
                </w:tcPr>
                <w:p w14:paraId="7C902B5C">
                  <w:pPr>
                    <w:pStyle w:val="35"/>
                    <w:bidi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符合</w:t>
                  </w:r>
                </w:p>
              </w:tc>
            </w:tr>
            <w:tr w14:paraId="0685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4" w:hRule="atLeast"/>
              </w:trPr>
              <w:tc>
                <w:tcPr>
                  <w:tcW w:w="444" w:type="pct"/>
                  <w:vMerge w:val="continue"/>
                  <w:noWrap w:val="0"/>
                  <w:vAlign w:val="center"/>
                </w:tcPr>
                <w:p w14:paraId="10A48F41">
                  <w:pPr>
                    <w:pStyle w:val="35"/>
                    <w:bidi w:val="0"/>
                    <w:jc w:val="center"/>
                    <w:rPr>
                      <w:rFonts w:hint="default" w:ascii="Calibri" w:hAnsi="Calibri" w:eastAsia="宋体" w:cs="Calibri"/>
                      <w:color w:val="auto"/>
                      <w:sz w:val="21"/>
                      <w:szCs w:val="21"/>
                      <w:lang w:val="en-US" w:eastAsia="zh-CN"/>
                    </w:rPr>
                  </w:pPr>
                </w:p>
              </w:tc>
              <w:tc>
                <w:tcPr>
                  <w:tcW w:w="439" w:type="pct"/>
                  <w:noWrap w:val="0"/>
                  <w:vAlign w:val="center"/>
                </w:tcPr>
                <w:p w14:paraId="0A0CE3AE">
                  <w:pPr>
                    <w:pStyle w:val="35"/>
                    <w:bidi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天山南坡片区管控要求（含巴州）</w:t>
                  </w:r>
                </w:p>
              </w:tc>
              <w:tc>
                <w:tcPr>
                  <w:tcW w:w="2620" w:type="pct"/>
                  <w:noWrap w:val="0"/>
                  <w:vAlign w:val="center"/>
                </w:tcPr>
                <w:p w14:paraId="2A5DF8FF">
                  <w:pPr>
                    <w:pStyle w:val="35"/>
                    <w:bidi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切实保护托木尔峰和天山南坡中段冰雪水源及生物多样性保护生态功能区内的托木尔峰自然景观、高山冰川、野生动物、森林和草原，合理利用天然草地，稳步推进草原减牧，加强保护区管理，维护自然景观和生物多样性。</w:t>
                  </w:r>
                </w:p>
                <w:p w14:paraId="0A0BE778">
                  <w:pPr>
                    <w:pStyle w:val="35"/>
                    <w:bidi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重点做好塔里木盆地北缘荒漠化防治。加强荒漠植被及河岸荒漠林保护，规范油气勘探开发作业，建立油田和公路扰动区域工程与生物相结合的防风固沙体系，逐步形成生态屏障。</w:t>
                  </w:r>
                </w:p>
                <w:p w14:paraId="62E32A94">
                  <w:pPr>
                    <w:pStyle w:val="35"/>
                    <w:bidi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推进塔里木河用水结构、维护塔里木河、博斯坦湖基本生态用水。</w:t>
                  </w:r>
                </w:p>
                <w:p w14:paraId="241B3B4E">
                  <w:pPr>
                    <w:pStyle w:val="35"/>
                    <w:bidi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加强塔里木河流域水环境风险管控。加大博斯腾湖污染源头达标排放治理和监督力度，实施博斯腾湖综合治理。</w:t>
                  </w:r>
                </w:p>
              </w:tc>
              <w:tc>
                <w:tcPr>
                  <w:tcW w:w="1074" w:type="pct"/>
                  <w:noWrap w:val="0"/>
                  <w:vAlign w:val="center"/>
                </w:tcPr>
                <w:p w14:paraId="450101B3">
                  <w:pPr>
                    <w:pStyle w:val="35"/>
                    <w:bidi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本项目为电力基础设施建设项目，项目周边为</w:t>
                  </w:r>
                  <w:r>
                    <w:rPr>
                      <w:rFonts w:hint="eastAsia" w:ascii="Calibri" w:hAnsi="Calibri" w:cs="Calibri"/>
                      <w:color w:val="auto"/>
                      <w:sz w:val="21"/>
                      <w:szCs w:val="21"/>
                      <w:lang w:val="en-US" w:eastAsia="zh-CN"/>
                    </w:rPr>
                    <w:t>未利用地</w:t>
                  </w:r>
                  <w:r>
                    <w:rPr>
                      <w:rFonts w:hint="default" w:ascii="Calibri" w:hAnsi="Calibri" w:eastAsia="宋体" w:cs="Calibri"/>
                      <w:color w:val="auto"/>
                      <w:sz w:val="21"/>
                      <w:szCs w:val="21"/>
                      <w:lang w:val="en-US" w:eastAsia="zh-CN"/>
                    </w:rPr>
                    <w:t>，不涉及重要植被。施工期对环境影响，随施工期结束，对环境的影响逐步减少，直至消失；项目运营期生态以自然恢复为主；项目建成后有电磁辐射，符合选址选线等相关技术要求和《输变电建设项目环境保护技术要求》（HJ1113-2020），可减缓对环境的影响。不涉及自然景观、高山冰川、野生动物、森林和草原、塔里木河、博斯腾湖。</w:t>
                  </w:r>
                </w:p>
              </w:tc>
              <w:tc>
                <w:tcPr>
                  <w:tcW w:w="420" w:type="pct"/>
                  <w:noWrap w:val="0"/>
                  <w:vAlign w:val="center"/>
                </w:tcPr>
                <w:p w14:paraId="33032CE6">
                  <w:pPr>
                    <w:pStyle w:val="35"/>
                    <w:bidi w:val="0"/>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符合</w:t>
                  </w:r>
                </w:p>
              </w:tc>
            </w:tr>
          </w:tbl>
          <w:p w14:paraId="30A9B470">
            <w:pPr>
              <w:pStyle w:val="10"/>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Calibri" w:hAnsi="Calibri" w:eastAsia="宋体" w:cs="Calibri"/>
                <w:color w:val="auto"/>
                <w:sz w:val="24"/>
                <w:szCs w:val="24"/>
                <w:lang w:val="en-US" w:eastAsia="zh-CN"/>
              </w:rPr>
            </w:pPr>
            <w:r>
              <w:rPr>
                <w:rFonts w:hint="default" w:ascii="Calibri" w:hAnsi="Calibri" w:eastAsia="宋体" w:cs="Calibri"/>
                <w:color w:val="auto"/>
                <w:sz w:val="24"/>
                <w:szCs w:val="24"/>
                <w:lang w:val="en-US" w:eastAsia="zh-CN"/>
              </w:rPr>
              <w:t>根据《巴音郭楞蒙古自治州“三线一单”生态环境分区管控动态更新成果（2023）》（巴政办发〔2024〕32号），该分区管控要求见表1-3。</w:t>
            </w:r>
          </w:p>
          <w:p w14:paraId="22050FF8">
            <w:pPr>
              <w:pStyle w:val="10"/>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Calibri" w:hAnsi="Calibri" w:eastAsia="宋体" w:cs="Calibri"/>
                <w:b/>
                <w:bCs/>
                <w:color w:val="auto"/>
                <w:sz w:val="24"/>
                <w:szCs w:val="24"/>
                <w:lang w:val="en-US" w:eastAsia="zh-CN"/>
              </w:rPr>
            </w:pPr>
            <w:r>
              <w:rPr>
                <w:rFonts w:hint="default" w:ascii="Calibri" w:hAnsi="Calibri" w:eastAsia="宋体" w:cs="Calibri"/>
                <w:b/>
                <w:bCs/>
                <w:color w:val="auto"/>
                <w:sz w:val="24"/>
                <w:szCs w:val="24"/>
                <w:lang w:val="en-US" w:eastAsia="zh-CN"/>
              </w:rPr>
              <w:t>表1-3    《巴音郭楞蒙古自治州“三线一单”生态环境分区管控动态更新成果（2023）》（巴政办发〔2024〕32号）符合分析</w:t>
            </w:r>
          </w:p>
          <w:tbl>
            <w:tblPr>
              <w:tblStyle w:val="23"/>
              <w:tblW w:w="4995"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34"/>
              <w:gridCol w:w="584"/>
              <w:gridCol w:w="2772"/>
              <w:gridCol w:w="2104"/>
              <w:gridCol w:w="369"/>
            </w:tblGrid>
            <w:tr w14:paraId="6CD30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65" w:hRule="atLeast"/>
                <w:jc w:val="center"/>
              </w:trPr>
              <w:tc>
                <w:tcPr>
                  <w:tcW w:w="752" w:type="pct"/>
                  <w:tcBorders>
                    <w:tl2br w:val="nil"/>
                    <w:tr2bl w:val="nil"/>
                  </w:tcBorders>
                  <w:noWrap w:val="0"/>
                  <w:vAlign w:val="center"/>
                </w:tcPr>
                <w:p w14:paraId="4002450A">
                  <w:pPr>
                    <w:autoSpaceDE w:val="0"/>
                    <w:autoSpaceDN w:val="0"/>
                    <w:adjustRightInd w:val="0"/>
                    <w:snapToGrid w:val="0"/>
                    <w:jc w:val="center"/>
                    <w:rPr>
                      <w:rFonts w:hint="default" w:ascii="Calibri" w:hAnsi="Calibri" w:eastAsia="宋体" w:cs="Calibri"/>
                      <w:bCs/>
                      <w:color w:val="auto"/>
                      <w:sz w:val="21"/>
                      <w:szCs w:val="21"/>
                    </w:rPr>
                  </w:pPr>
                  <w:r>
                    <w:rPr>
                      <w:rFonts w:hint="default" w:ascii="Calibri" w:hAnsi="Calibri" w:eastAsia="宋体" w:cs="Calibri"/>
                      <w:bCs/>
                      <w:color w:val="auto"/>
                      <w:sz w:val="21"/>
                      <w:szCs w:val="21"/>
                    </w:rPr>
                    <w:t>文件名称</w:t>
                  </w:r>
                </w:p>
              </w:tc>
              <w:tc>
                <w:tcPr>
                  <w:tcW w:w="425" w:type="pct"/>
                  <w:tcBorders>
                    <w:tl2br w:val="nil"/>
                    <w:tr2bl w:val="nil"/>
                  </w:tcBorders>
                  <w:noWrap w:val="0"/>
                  <w:vAlign w:val="center"/>
                </w:tcPr>
                <w:p w14:paraId="73DAA772">
                  <w:pPr>
                    <w:autoSpaceDE w:val="0"/>
                    <w:autoSpaceDN w:val="0"/>
                    <w:adjustRightInd w:val="0"/>
                    <w:snapToGrid w:val="0"/>
                    <w:jc w:val="center"/>
                    <w:rPr>
                      <w:rFonts w:hint="default" w:ascii="Calibri" w:hAnsi="Calibri" w:eastAsia="宋体" w:cs="Calibri"/>
                      <w:bCs/>
                      <w:color w:val="auto"/>
                      <w:sz w:val="21"/>
                      <w:szCs w:val="21"/>
                    </w:rPr>
                  </w:pPr>
                  <w:r>
                    <w:rPr>
                      <w:rFonts w:hint="default" w:ascii="Calibri" w:hAnsi="Calibri" w:eastAsia="宋体" w:cs="Calibri"/>
                      <w:bCs/>
                      <w:color w:val="auto"/>
                      <w:sz w:val="21"/>
                      <w:szCs w:val="21"/>
                    </w:rPr>
                    <w:t>类别</w:t>
                  </w:r>
                </w:p>
              </w:tc>
              <w:tc>
                <w:tcPr>
                  <w:tcW w:w="2020" w:type="pct"/>
                  <w:tcBorders>
                    <w:tl2br w:val="nil"/>
                    <w:tr2bl w:val="nil"/>
                  </w:tcBorders>
                  <w:noWrap w:val="0"/>
                  <w:vAlign w:val="center"/>
                </w:tcPr>
                <w:p w14:paraId="3E032AA5">
                  <w:pPr>
                    <w:autoSpaceDE w:val="0"/>
                    <w:autoSpaceDN w:val="0"/>
                    <w:adjustRightInd w:val="0"/>
                    <w:snapToGrid w:val="0"/>
                    <w:jc w:val="center"/>
                    <w:rPr>
                      <w:rFonts w:hint="default" w:ascii="Calibri" w:hAnsi="Calibri" w:eastAsia="宋体" w:cs="Calibri"/>
                      <w:bCs/>
                      <w:color w:val="auto"/>
                      <w:sz w:val="21"/>
                      <w:szCs w:val="21"/>
                    </w:rPr>
                  </w:pPr>
                  <w:r>
                    <w:rPr>
                      <w:rFonts w:hint="default" w:ascii="Calibri" w:hAnsi="Calibri" w:eastAsia="宋体" w:cs="Calibri"/>
                      <w:bCs/>
                      <w:color w:val="auto"/>
                      <w:sz w:val="21"/>
                      <w:szCs w:val="21"/>
                    </w:rPr>
                    <w:t>文件要求</w:t>
                  </w:r>
                </w:p>
              </w:tc>
              <w:tc>
                <w:tcPr>
                  <w:tcW w:w="1532" w:type="pct"/>
                  <w:tcBorders>
                    <w:tl2br w:val="nil"/>
                    <w:tr2bl w:val="nil"/>
                  </w:tcBorders>
                  <w:noWrap w:val="0"/>
                  <w:vAlign w:val="center"/>
                </w:tcPr>
                <w:p w14:paraId="69D2F999">
                  <w:pPr>
                    <w:autoSpaceDE w:val="0"/>
                    <w:autoSpaceDN w:val="0"/>
                    <w:adjustRightInd w:val="0"/>
                    <w:snapToGrid w:val="0"/>
                    <w:jc w:val="center"/>
                    <w:rPr>
                      <w:rFonts w:hint="default" w:ascii="Calibri" w:hAnsi="Calibri" w:eastAsia="宋体" w:cs="Calibri"/>
                      <w:bCs/>
                      <w:color w:val="auto"/>
                      <w:sz w:val="21"/>
                      <w:szCs w:val="21"/>
                      <w:lang w:eastAsia="zh-CN"/>
                    </w:rPr>
                  </w:pPr>
                  <w:r>
                    <w:rPr>
                      <w:rFonts w:hint="default" w:ascii="Calibri" w:hAnsi="Calibri" w:eastAsia="宋体" w:cs="Calibri"/>
                      <w:bCs/>
                      <w:color w:val="auto"/>
                      <w:sz w:val="21"/>
                      <w:szCs w:val="21"/>
                      <w:lang w:eastAsia="zh-CN"/>
                    </w:rPr>
                    <w:t>本项目</w:t>
                  </w:r>
                </w:p>
              </w:tc>
              <w:tc>
                <w:tcPr>
                  <w:tcW w:w="268" w:type="pct"/>
                  <w:tcBorders>
                    <w:tl2br w:val="nil"/>
                    <w:tr2bl w:val="nil"/>
                  </w:tcBorders>
                  <w:noWrap w:val="0"/>
                  <w:vAlign w:val="center"/>
                </w:tcPr>
                <w:p w14:paraId="6B1BB58E">
                  <w:pPr>
                    <w:autoSpaceDE w:val="0"/>
                    <w:autoSpaceDN w:val="0"/>
                    <w:adjustRightInd w:val="0"/>
                    <w:snapToGrid w:val="0"/>
                    <w:jc w:val="center"/>
                    <w:rPr>
                      <w:rFonts w:hint="default" w:ascii="Calibri" w:hAnsi="Calibri" w:eastAsia="宋体" w:cs="Calibri"/>
                      <w:bCs/>
                      <w:color w:val="auto"/>
                      <w:sz w:val="21"/>
                      <w:szCs w:val="21"/>
                    </w:rPr>
                  </w:pPr>
                  <w:r>
                    <w:rPr>
                      <w:rFonts w:hint="default" w:ascii="Calibri" w:hAnsi="Calibri" w:eastAsia="宋体" w:cs="Calibri"/>
                      <w:bCs/>
                      <w:color w:val="auto"/>
                      <w:sz w:val="21"/>
                      <w:szCs w:val="21"/>
                    </w:rPr>
                    <w:t>符合性</w:t>
                  </w:r>
                </w:p>
              </w:tc>
            </w:tr>
            <w:tr w14:paraId="522A1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663" w:hRule="atLeast"/>
                <w:jc w:val="center"/>
              </w:trPr>
              <w:tc>
                <w:tcPr>
                  <w:tcW w:w="752" w:type="pct"/>
                  <w:vMerge w:val="restart"/>
                  <w:tcBorders>
                    <w:tl2br w:val="nil"/>
                    <w:tr2bl w:val="nil"/>
                  </w:tcBorders>
                  <w:noWrap w:val="0"/>
                  <w:vAlign w:val="center"/>
                </w:tcPr>
                <w:p w14:paraId="7CF60B86">
                  <w:pPr>
                    <w:autoSpaceDE w:val="0"/>
                    <w:autoSpaceDN w:val="0"/>
                    <w:adjustRightInd w:val="0"/>
                    <w:snapToGrid w:val="0"/>
                    <w:jc w:val="center"/>
                    <w:rPr>
                      <w:rFonts w:hint="default" w:ascii="Calibri" w:hAnsi="Calibri" w:eastAsia="宋体" w:cs="Calibri"/>
                      <w:bCs/>
                      <w:color w:val="auto"/>
                      <w:sz w:val="21"/>
                      <w:szCs w:val="21"/>
                    </w:rPr>
                  </w:pPr>
                  <w:r>
                    <w:rPr>
                      <w:rFonts w:hint="default" w:ascii="Calibri" w:hAnsi="Calibri" w:eastAsia="宋体" w:cs="Calibri"/>
                      <w:bCs/>
                      <w:color w:val="auto"/>
                      <w:sz w:val="21"/>
                      <w:szCs w:val="21"/>
                    </w:rPr>
                    <w:t>《巴音郭楞蒙古自治州“三线一单”生态环境分区管控</w:t>
                  </w:r>
                  <w:r>
                    <w:rPr>
                      <w:rFonts w:hint="default" w:ascii="Calibri" w:hAnsi="Calibri" w:eastAsia="宋体" w:cs="Calibri"/>
                      <w:bCs/>
                      <w:color w:val="auto"/>
                      <w:sz w:val="21"/>
                      <w:szCs w:val="21"/>
                      <w:lang w:val="en-US" w:eastAsia="zh-CN"/>
                    </w:rPr>
                    <w:t>动态更新成果（2023）</w:t>
                  </w:r>
                  <w:r>
                    <w:rPr>
                      <w:rFonts w:hint="default" w:ascii="Calibri" w:hAnsi="Calibri" w:eastAsia="宋体" w:cs="Calibri"/>
                      <w:bCs/>
                      <w:color w:val="auto"/>
                      <w:sz w:val="21"/>
                      <w:szCs w:val="21"/>
                    </w:rPr>
                    <w:t>》（巴政办发〔202</w:t>
                  </w:r>
                  <w:r>
                    <w:rPr>
                      <w:rFonts w:hint="default" w:ascii="Calibri" w:hAnsi="Calibri" w:eastAsia="宋体" w:cs="Calibri"/>
                      <w:bCs/>
                      <w:color w:val="auto"/>
                      <w:sz w:val="21"/>
                      <w:szCs w:val="21"/>
                      <w:lang w:val="en-US" w:eastAsia="zh-CN"/>
                    </w:rPr>
                    <w:t>4</w:t>
                  </w:r>
                  <w:r>
                    <w:rPr>
                      <w:rFonts w:hint="default" w:ascii="Calibri" w:hAnsi="Calibri" w:eastAsia="宋体" w:cs="Calibri"/>
                      <w:bCs/>
                      <w:color w:val="auto"/>
                      <w:sz w:val="21"/>
                      <w:szCs w:val="21"/>
                    </w:rPr>
                    <w:t>〕32号）</w:t>
                  </w:r>
                </w:p>
              </w:tc>
              <w:tc>
                <w:tcPr>
                  <w:tcW w:w="425" w:type="pct"/>
                  <w:tcBorders>
                    <w:tl2br w:val="nil"/>
                    <w:tr2bl w:val="nil"/>
                  </w:tcBorders>
                  <w:noWrap w:val="0"/>
                  <w:vAlign w:val="center"/>
                </w:tcPr>
                <w:p w14:paraId="57203B39">
                  <w:pPr>
                    <w:pStyle w:val="5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auto"/>
                    <w:rPr>
                      <w:rFonts w:hint="default" w:ascii="Calibri" w:hAnsi="Calibri" w:eastAsia="宋体" w:cs="Calibri"/>
                      <w:bCs/>
                      <w:color w:val="auto"/>
                      <w:sz w:val="21"/>
                      <w:szCs w:val="21"/>
                    </w:rPr>
                  </w:pPr>
                  <w:r>
                    <w:rPr>
                      <w:rFonts w:hint="default" w:ascii="Calibri" w:hAnsi="Calibri" w:eastAsia="宋体" w:cs="Calibri"/>
                      <w:bCs/>
                      <w:color w:val="auto"/>
                      <w:sz w:val="21"/>
                      <w:szCs w:val="21"/>
                      <w:highlight w:val="none"/>
                      <w:lang w:val="en-US" w:eastAsia="zh-CN"/>
                    </w:rPr>
                    <w:t>空间布局约束</w:t>
                  </w:r>
                </w:p>
              </w:tc>
              <w:tc>
                <w:tcPr>
                  <w:tcW w:w="2020" w:type="pct"/>
                  <w:tcBorders>
                    <w:tl2br w:val="nil"/>
                    <w:tr2bl w:val="nil"/>
                  </w:tcBorders>
                  <w:noWrap w:val="0"/>
                  <w:vAlign w:val="center"/>
                </w:tcPr>
                <w:p w14:paraId="656B53EC">
                  <w:pPr>
                    <w:pStyle w:val="5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Calibri" w:hAnsi="Calibri" w:eastAsia="宋体" w:cs="Calibri"/>
                      <w:bCs/>
                      <w:color w:val="auto"/>
                      <w:sz w:val="21"/>
                      <w:szCs w:val="21"/>
                      <w:highlight w:val="none"/>
                      <w:lang w:val="en-US" w:eastAsia="zh-CN"/>
                    </w:rPr>
                  </w:pPr>
                  <w:r>
                    <w:rPr>
                      <w:rFonts w:hint="default" w:ascii="Calibri" w:hAnsi="Calibri" w:eastAsia="宋体" w:cs="Calibri"/>
                      <w:bCs/>
                      <w:color w:val="auto"/>
                      <w:sz w:val="21"/>
                      <w:szCs w:val="21"/>
                      <w:highlight w:val="none"/>
                      <w:lang w:val="en-US" w:eastAsia="zh-CN"/>
                    </w:rPr>
                    <w:t>1.4 禁止在自治州行政区域内引进能（水）耗不符合相关国家标准中准入值要求，且污染物排放和环境风险防控不符合国家（地方）标准及有关产业准入条件的高污染（排放）、高能（水）耗、高环境风险的工业项目。</w:t>
                  </w:r>
                </w:p>
                <w:p w14:paraId="27944D4E">
                  <w:pPr>
                    <w:pStyle w:val="5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Calibri" w:hAnsi="Calibri" w:eastAsia="宋体" w:cs="Calibri"/>
                      <w:bCs/>
                      <w:color w:val="auto"/>
                      <w:sz w:val="21"/>
                      <w:szCs w:val="21"/>
                      <w:lang w:eastAsia="zh-CN"/>
                    </w:rPr>
                  </w:pPr>
                  <w:r>
                    <w:rPr>
                      <w:rFonts w:hint="default" w:ascii="Calibri" w:hAnsi="Calibri" w:eastAsia="宋体" w:cs="Calibri"/>
                      <w:bCs/>
                      <w:color w:val="auto"/>
                      <w:sz w:val="21"/>
                      <w:szCs w:val="21"/>
                      <w:highlight w:val="none"/>
                      <w:lang w:val="en-US" w:eastAsia="zh-CN"/>
                    </w:rPr>
                    <w:t>1.12 【生态红线禁止类】生态保护红线内，自然保护地核心保护区原则上禁止人为活动，其他区域严格禁止开发性、生产性建设活动。</w:t>
                  </w:r>
                </w:p>
              </w:tc>
              <w:tc>
                <w:tcPr>
                  <w:tcW w:w="1532" w:type="pct"/>
                  <w:tcBorders>
                    <w:tl2br w:val="nil"/>
                    <w:tr2bl w:val="nil"/>
                  </w:tcBorders>
                  <w:noWrap w:val="0"/>
                  <w:vAlign w:val="center"/>
                </w:tcPr>
                <w:p w14:paraId="1C24F272">
                  <w:pPr>
                    <w:autoSpaceDE w:val="0"/>
                    <w:autoSpaceDN w:val="0"/>
                    <w:adjustRightInd w:val="0"/>
                    <w:snapToGrid w:val="0"/>
                    <w:jc w:val="center"/>
                    <w:rPr>
                      <w:rFonts w:hint="default" w:ascii="Calibri" w:hAnsi="Calibri" w:eastAsia="宋体" w:cs="Calibri"/>
                      <w:bCs/>
                      <w:color w:val="auto"/>
                      <w:sz w:val="21"/>
                      <w:szCs w:val="21"/>
                      <w:lang w:val="en-US" w:eastAsia="zh-CN"/>
                    </w:rPr>
                  </w:pPr>
                  <w:r>
                    <w:rPr>
                      <w:rFonts w:hint="default" w:ascii="Calibri" w:hAnsi="Calibri" w:eastAsia="宋体" w:cs="Calibri"/>
                      <w:bCs/>
                      <w:color w:val="auto"/>
                      <w:sz w:val="21"/>
                      <w:szCs w:val="21"/>
                    </w:rPr>
                    <w:t>本项目</w:t>
                  </w:r>
                  <w:r>
                    <w:rPr>
                      <w:rFonts w:hint="default" w:ascii="Calibri" w:hAnsi="Calibri" w:eastAsia="宋体" w:cs="Calibri"/>
                      <w:bCs/>
                      <w:color w:val="auto"/>
                      <w:sz w:val="21"/>
                      <w:szCs w:val="21"/>
                      <w:lang w:val="en-US" w:eastAsia="zh-CN"/>
                    </w:rPr>
                    <w:t>不属于</w:t>
                  </w:r>
                  <w:r>
                    <w:rPr>
                      <w:rFonts w:hint="default" w:ascii="Calibri" w:hAnsi="Calibri" w:eastAsia="宋体" w:cs="Calibri"/>
                      <w:bCs/>
                      <w:color w:val="auto"/>
                      <w:sz w:val="21"/>
                      <w:szCs w:val="21"/>
                      <w:highlight w:val="none"/>
                      <w:lang w:val="en-US" w:eastAsia="zh-CN"/>
                    </w:rPr>
                    <w:t>高污染（排放）、高能（水）耗、高环境风险的工业项目</w:t>
                  </w:r>
                  <w:r>
                    <w:rPr>
                      <w:rFonts w:hint="default" w:ascii="Calibri" w:hAnsi="Calibri" w:eastAsia="宋体" w:cs="Calibri"/>
                      <w:bCs/>
                      <w:color w:val="auto"/>
                      <w:sz w:val="21"/>
                      <w:szCs w:val="21"/>
                      <w:lang w:eastAsia="zh-CN"/>
                    </w:rPr>
                    <w:t>。</w:t>
                  </w:r>
                  <w:r>
                    <w:rPr>
                      <w:rFonts w:hint="default" w:ascii="Calibri" w:hAnsi="Calibri" w:eastAsia="宋体" w:cs="Calibri"/>
                      <w:bCs/>
                      <w:color w:val="auto"/>
                      <w:sz w:val="21"/>
                      <w:szCs w:val="21"/>
                      <w:lang w:val="en-US" w:eastAsia="zh-CN"/>
                    </w:rPr>
                    <w:t>本项目选址范围不涉及</w:t>
                  </w:r>
                  <w:r>
                    <w:rPr>
                      <w:rFonts w:hint="default" w:ascii="Calibri" w:hAnsi="Calibri" w:eastAsia="宋体" w:cs="Calibri"/>
                      <w:bCs/>
                      <w:color w:val="auto"/>
                      <w:sz w:val="21"/>
                      <w:szCs w:val="21"/>
                      <w:highlight w:val="none"/>
                      <w:lang w:val="en-US" w:eastAsia="zh-CN"/>
                    </w:rPr>
                    <w:t>生态保护红线、自然保护地核心保护区。</w:t>
                  </w:r>
                </w:p>
              </w:tc>
              <w:tc>
                <w:tcPr>
                  <w:tcW w:w="268" w:type="pct"/>
                  <w:tcBorders>
                    <w:tl2br w:val="nil"/>
                    <w:tr2bl w:val="nil"/>
                  </w:tcBorders>
                  <w:noWrap w:val="0"/>
                  <w:vAlign w:val="center"/>
                </w:tcPr>
                <w:p w14:paraId="4E820ADF">
                  <w:pPr>
                    <w:autoSpaceDE w:val="0"/>
                    <w:autoSpaceDN w:val="0"/>
                    <w:adjustRightInd w:val="0"/>
                    <w:snapToGrid w:val="0"/>
                    <w:jc w:val="center"/>
                    <w:rPr>
                      <w:rFonts w:hint="default" w:ascii="Calibri" w:hAnsi="Calibri" w:eastAsia="宋体" w:cs="Calibri"/>
                      <w:bCs/>
                      <w:color w:val="auto"/>
                      <w:sz w:val="21"/>
                      <w:szCs w:val="21"/>
                    </w:rPr>
                  </w:pPr>
                  <w:r>
                    <w:rPr>
                      <w:rFonts w:hint="default" w:ascii="Calibri" w:hAnsi="Calibri" w:eastAsia="宋体" w:cs="Calibri"/>
                      <w:bCs/>
                      <w:color w:val="auto"/>
                      <w:sz w:val="21"/>
                      <w:szCs w:val="21"/>
                    </w:rPr>
                    <w:t>符合</w:t>
                  </w:r>
                </w:p>
              </w:tc>
            </w:tr>
            <w:tr w14:paraId="5C85C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9" w:hRule="atLeast"/>
                <w:jc w:val="center"/>
              </w:trPr>
              <w:tc>
                <w:tcPr>
                  <w:tcW w:w="752" w:type="pct"/>
                  <w:vMerge w:val="continue"/>
                  <w:tcBorders>
                    <w:tl2br w:val="nil"/>
                    <w:tr2bl w:val="nil"/>
                  </w:tcBorders>
                  <w:noWrap w:val="0"/>
                  <w:vAlign w:val="center"/>
                </w:tcPr>
                <w:p w14:paraId="5AF2AF4C">
                  <w:pPr>
                    <w:autoSpaceDE w:val="0"/>
                    <w:autoSpaceDN w:val="0"/>
                    <w:adjustRightInd w:val="0"/>
                    <w:snapToGrid w:val="0"/>
                    <w:jc w:val="center"/>
                    <w:rPr>
                      <w:rFonts w:hint="default" w:ascii="Calibri" w:hAnsi="Calibri" w:eastAsia="宋体" w:cs="Calibri"/>
                      <w:bCs/>
                      <w:color w:val="auto"/>
                      <w:sz w:val="21"/>
                      <w:szCs w:val="21"/>
                    </w:rPr>
                  </w:pPr>
                </w:p>
              </w:tc>
              <w:tc>
                <w:tcPr>
                  <w:tcW w:w="425" w:type="pct"/>
                  <w:tcBorders>
                    <w:tl2br w:val="nil"/>
                    <w:tr2bl w:val="nil"/>
                  </w:tcBorders>
                  <w:noWrap w:val="0"/>
                  <w:vAlign w:val="center"/>
                </w:tcPr>
                <w:p w14:paraId="759C4642">
                  <w:pPr>
                    <w:pStyle w:val="5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auto"/>
                    <w:rPr>
                      <w:rFonts w:hint="default" w:ascii="Calibri" w:hAnsi="Calibri" w:eastAsia="宋体" w:cs="Calibri"/>
                      <w:bCs/>
                      <w:color w:val="auto"/>
                      <w:sz w:val="21"/>
                      <w:szCs w:val="21"/>
                    </w:rPr>
                  </w:pPr>
                  <w:r>
                    <w:rPr>
                      <w:rFonts w:hint="default" w:ascii="Calibri" w:hAnsi="Calibri" w:eastAsia="宋体" w:cs="Calibri"/>
                      <w:bCs/>
                      <w:color w:val="auto"/>
                      <w:sz w:val="21"/>
                      <w:szCs w:val="21"/>
                      <w:highlight w:val="none"/>
                      <w:lang w:val="en-US" w:eastAsia="zh-CN"/>
                    </w:rPr>
                    <w:t>污染排放管控</w:t>
                  </w:r>
                </w:p>
              </w:tc>
              <w:tc>
                <w:tcPr>
                  <w:tcW w:w="2020" w:type="pct"/>
                  <w:tcBorders>
                    <w:tl2br w:val="nil"/>
                    <w:tr2bl w:val="nil"/>
                  </w:tcBorders>
                  <w:noWrap w:val="0"/>
                  <w:vAlign w:val="center"/>
                </w:tcPr>
                <w:p w14:paraId="44065AE0">
                  <w:pPr>
                    <w:pStyle w:val="5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Calibri" w:hAnsi="Calibri" w:eastAsia="宋体" w:cs="Calibri"/>
                      <w:bCs/>
                      <w:color w:val="auto"/>
                      <w:sz w:val="21"/>
                      <w:szCs w:val="21"/>
                      <w:highlight w:val="none"/>
                    </w:rPr>
                  </w:pPr>
                  <w:r>
                    <w:rPr>
                      <w:rFonts w:hint="default" w:ascii="Calibri" w:hAnsi="Calibri" w:eastAsia="宋体" w:cs="Calibri"/>
                      <w:bCs/>
                      <w:color w:val="auto"/>
                      <w:sz w:val="21"/>
                      <w:szCs w:val="21"/>
                      <w:highlight w:val="none"/>
                      <w:lang w:val="en-US" w:eastAsia="zh-CN"/>
                    </w:rPr>
                    <w:t>2.1 水源涵养和生物多样性维护型重点生态功能区水质达到地表水、地下水I类，空气质量达到一级</w:t>
                  </w:r>
                  <w:r>
                    <w:rPr>
                      <w:rFonts w:hint="default" w:ascii="Calibri" w:hAnsi="Calibri" w:eastAsia="宋体" w:cs="Calibri"/>
                      <w:bCs/>
                      <w:color w:val="auto"/>
                      <w:sz w:val="21"/>
                      <w:szCs w:val="21"/>
                      <w:highlight w:val="none"/>
                    </w:rPr>
                    <w:t>；</w:t>
                  </w:r>
                </w:p>
                <w:p w14:paraId="29E1AEE6">
                  <w:pPr>
                    <w:pStyle w:val="5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Calibri" w:hAnsi="Calibri" w:eastAsia="宋体" w:cs="Calibri"/>
                      <w:bCs/>
                      <w:color w:val="auto"/>
                      <w:sz w:val="21"/>
                      <w:szCs w:val="21"/>
                      <w:highlight w:val="none"/>
                      <w:lang w:val="en-US" w:eastAsia="zh-CN"/>
                    </w:rPr>
                  </w:pPr>
                  <w:r>
                    <w:rPr>
                      <w:rFonts w:hint="default" w:ascii="Calibri" w:hAnsi="Calibri" w:eastAsia="宋体" w:cs="Calibri"/>
                      <w:bCs/>
                      <w:color w:val="auto"/>
                      <w:sz w:val="21"/>
                      <w:szCs w:val="21"/>
                      <w:highlight w:val="none"/>
                      <w:lang w:val="en-US" w:eastAsia="zh-CN"/>
                    </w:rPr>
                    <w:t>2.4 钢铁、建材、有色金属、石油、化工、制药、矿产开采等企业，应当加强精细化管理，采取集中收集处理等措施，严格控制粉尘和气态污染物的排放。</w:t>
                  </w:r>
                </w:p>
                <w:p w14:paraId="53ACCF7F">
                  <w:pPr>
                    <w:pStyle w:val="5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Calibri" w:hAnsi="Calibri" w:eastAsia="宋体" w:cs="Calibri"/>
                      <w:bCs/>
                      <w:color w:val="auto"/>
                      <w:sz w:val="21"/>
                      <w:szCs w:val="21"/>
                      <w:highlight w:val="none"/>
                    </w:rPr>
                  </w:pPr>
                  <w:r>
                    <w:rPr>
                      <w:rFonts w:hint="default" w:ascii="Calibri" w:hAnsi="Calibri" w:eastAsia="宋体" w:cs="Calibri"/>
                      <w:bCs/>
                      <w:color w:val="auto"/>
                      <w:sz w:val="21"/>
                      <w:szCs w:val="21"/>
                      <w:highlight w:val="none"/>
                      <w:lang w:val="en-US" w:eastAsia="zh-CN"/>
                    </w:rPr>
                    <w:t>工业生产企业应当采取密闭、围挡、遮盖、清扫、洒水等措施，减少内部物料的堆存、传输、装卸等环节产生的粉尘和气态污染物的排放。</w:t>
                  </w:r>
                </w:p>
                <w:p w14:paraId="0765EA0E">
                  <w:pPr>
                    <w:keepNext w:val="0"/>
                    <w:keepLines w:val="0"/>
                    <w:widowControl/>
                    <w:suppressLineNumbers w:val="0"/>
                    <w:spacing w:before="0" w:beforeAutospacing="0" w:after="0" w:afterAutospacing="0"/>
                    <w:ind w:left="0" w:leftChars="0" w:right="0" w:rightChars="0"/>
                    <w:jc w:val="center"/>
                    <w:rPr>
                      <w:rFonts w:hint="default" w:ascii="Calibri" w:hAnsi="Calibri" w:eastAsia="宋体" w:cs="Calibri"/>
                      <w:bCs/>
                      <w:color w:val="auto"/>
                      <w:sz w:val="21"/>
                      <w:szCs w:val="21"/>
                      <w:lang w:eastAsia="zh-CN"/>
                    </w:rPr>
                  </w:pPr>
                  <w:r>
                    <w:rPr>
                      <w:rFonts w:hint="default" w:ascii="Calibri" w:hAnsi="Calibri" w:eastAsia="宋体" w:cs="Calibri"/>
                      <w:bCs/>
                      <w:color w:val="auto"/>
                      <w:sz w:val="21"/>
                      <w:szCs w:val="21"/>
                      <w:highlight w:val="none"/>
                    </w:rPr>
                    <w:t>逐步减少颗粒物排放，PM</w:t>
                  </w:r>
                  <w:r>
                    <w:rPr>
                      <w:rFonts w:hint="default" w:ascii="Calibri" w:hAnsi="Calibri" w:eastAsia="宋体" w:cs="Calibri"/>
                      <w:bCs/>
                      <w:color w:val="auto"/>
                      <w:sz w:val="21"/>
                      <w:szCs w:val="21"/>
                      <w:highlight w:val="none"/>
                      <w:vertAlign w:val="subscript"/>
                    </w:rPr>
                    <w:t>10</w:t>
                  </w:r>
                  <w:r>
                    <w:rPr>
                      <w:rFonts w:hint="default" w:ascii="Calibri" w:hAnsi="Calibri" w:eastAsia="宋体" w:cs="Calibri"/>
                      <w:bCs/>
                      <w:color w:val="auto"/>
                      <w:sz w:val="21"/>
                      <w:szCs w:val="21"/>
                      <w:highlight w:val="none"/>
                    </w:rPr>
                    <w:t>、PM</w:t>
                  </w:r>
                  <w:r>
                    <w:rPr>
                      <w:rFonts w:hint="default" w:ascii="Calibri" w:hAnsi="Calibri" w:eastAsia="宋体" w:cs="Calibri"/>
                      <w:bCs/>
                      <w:color w:val="auto"/>
                      <w:sz w:val="21"/>
                      <w:szCs w:val="21"/>
                      <w:highlight w:val="none"/>
                      <w:vertAlign w:val="subscript"/>
                    </w:rPr>
                    <w:t>2.5</w:t>
                  </w:r>
                  <w:r>
                    <w:rPr>
                      <w:rFonts w:hint="default" w:ascii="Calibri" w:hAnsi="Calibri" w:eastAsia="宋体" w:cs="Calibri"/>
                      <w:bCs/>
                      <w:color w:val="auto"/>
                      <w:sz w:val="21"/>
                      <w:szCs w:val="21"/>
                      <w:highlight w:val="none"/>
                    </w:rPr>
                    <w:t>平均浓度分别低于81</w:t>
                  </w:r>
                  <w:r>
                    <w:rPr>
                      <w:rFonts w:hint="default" w:ascii="Calibri" w:hAnsi="Calibri" w:eastAsia="宋体" w:cs="Calibri"/>
                      <w:color w:val="auto"/>
                      <w:kern w:val="2"/>
                      <w:sz w:val="21"/>
                      <w:szCs w:val="21"/>
                      <w:highlight w:val="none"/>
                      <w:lang w:val="en-US" w:eastAsia="zh-CN" w:bidi="ar"/>
                    </w:rPr>
                    <w:t>μg/m³</w:t>
                  </w:r>
                  <w:r>
                    <w:rPr>
                      <w:rFonts w:hint="default" w:ascii="Calibri" w:hAnsi="Calibri" w:eastAsia="宋体" w:cs="Calibri"/>
                      <w:bCs/>
                      <w:color w:val="auto"/>
                      <w:sz w:val="21"/>
                      <w:szCs w:val="21"/>
                      <w:highlight w:val="none"/>
                      <w:lang w:eastAsia="zh-CN"/>
                    </w:rPr>
                    <w:t>、</w:t>
                  </w:r>
                  <w:r>
                    <w:rPr>
                      <w:rFonts w:hint="default" w:ascii="Calibri" w:hAnsi="Calibri" w:eastAsia="宋体" w:cs="Calibri"/>
                      <w:bCs/>
                      <w:color w:val="auto"/>
                      <w:sz w:val="21"/>
                      <w:szCs w:val="21"/>
                      <w:highlight w:val="none"/>
                    </w:rPr>
                    <w:t>31.5</w:t>
                  </w:r>
                  <w:r>
                    <w:rPr>
                      <w:rFonts w:hint="default" w:ascii="Calibri" w:hAnsi="Calibri" w:eastAsia="宋体" w:cs="Calibri"/>
                      <w:color w:val="auto"/>
                      <w:kern w:val="2"/>
                      <w:sz w:val="21"/>
                      <w:szCs w:val="21"/>
                      <w:highlight w:val="none"/>
                      <w:lang w:val="en-US" w:eastAsia="zh-CN" w:bidi="ar"/>
                    </w:rPr>
                    <w:t>μg/m³</w:t>
                  </w:r>
                  <w:r>
                    <w:rPr>
                      <w:rFonts w:hint="default" w:ascii="Calibri" w:hAnsi="Calibri" w:eastAsia="宋体" w:cs="Calibri"/>
                      <w:bCs/>
                      <w:color w:val="auto"/>
                      <w:sz w:val="21"/>
                      <w:szCs w:val="21"/>
                      <w:highlight w:val="none"/>
                      <w:lang w:eastAsia="zh-CN"/>
                    </w:rPr>
                    <w:t>（</w:t>
                  </w:r>
                  <w:r>
                    <w:rPr>
                      <w:rFonts w:hint="default" w:ascii="Calibri" w:hAnsi="Calibri" w:eastAsia="宋体" w:cs="Calibri"/>
                      <w:bCs/>
                      <w:color w:val="auto"/>
                      <w:sz w:val="21"/>
                      <w:szCs w:val="21"/>
                      <w:highlight w:val="none"/>
                    </w:rPr>
                    <w:t>库尔勒市，扣除沙尘天气影响），空气优良天数比例大于75.2%（库尔勒市），重污染天数持续减少，沙尘影响严重地区做好防风固沙、生态环境保护修复等工作；全州土壤环境质量保持稳定，受污染耕地安全利用率达到98%以上，污染地块安全利用率不低于93%，土壤环境风险得到进一步管控。</w:t>
                  </w:r>
                </w:p>
              </w:tc>
              <w:tc>
                <w:tcPr>
                  <w:tcW w:w="1532" w:type="pct"/>
                  <w:tcBorders>
                    <w:tl2br w:val="nil"/>
                    <w:tr2bl w:val="nil"/>
                  </w:tcBorders>
                  <w:noWrap w:val="0"/>
                  <w:vAlign w:val="center"/>
                </w:tcPr>
                <w:p w14:paraId="21C01B86">
                  <w:pPr>
                    <w:keepNext w:val="0"/>
                    <w:keepLines w:val="0"/>
                    <w:widowControl/>
                    <w:suppressLineNumbers w:val="0"/>
                    <w:jc w:val="center"/>
                    <w:rPr>
                      <w:rFonts w:hint="default" w:ascii="Calibri" w:hAnsi="Calibri" w:eastAsia="宋体" w:cs="Calibri"/>
                      <w:bCs/>
                      <w:color w:val="auto"/>
                      <w:sz w:val="21"/>
                      <w:szCs w:val="21"/>
                      <w:lang w:val="en-US" w:eastAsia="zh-CN"/>
                    </w:rPr>
                  </w:pPr>
                  <w:r>
                    <w:rPr>
                      <w:rFonts w:hint="default" w:ascii="Calibri" w:hAnsi="Calibri" w:eastAsia="宋体" w:cs="Calibri"/>
                      <w:color w:val="auto"/>
                      <w:kern w:val="0"/>
                      <w:sz w:val="21"/>
                      <w:szCs w:val="21"/>
                    </w:rPr>
                    <w:t>本项目为输变电</w:t>
                  </w:r>
                  <w:r>
                    <w:rPr>
                      <w:rFonts w:hint="default" w:ascii="Calibri" w:hAnsi="Calibri" w:eastAsia="宋体" w:cs="Calibri"/>
                      <w:color w:val="auto"/>
                      <w:kern w:val="0"/>
                      <w:sz w:val="21"/>
                      <w:szCs w:val="21"/>
                      <w:lang w:val="en-US" w:eastAsia="zh-CN"/>
                    </w:rPr>
                    <w:t>工程</w:t>
                  </w:r>
                  <w:r>
                    <w:rPr>
                      <w:rFonts w:hint="default" w:ascii="Calibri" w:hAnsi="Calibri" w:eastAsia="宋体" w:cs="Calibri"/>
                      <w:color w:val="auto"/>
                      <w:kern w:val="0"/>
                      <w:sz w:val="21"/>
                      <w:szCs w:val="21"/>
                    </w:rPr>
                    <w:t>，运营期无</w:t>
                  </w:r>
                  <w:r>
                    <w:rPr>
                      <w:rFonts w:hint="default" w:ascii="Calibri" w:hAnsi="Calibri" w:eastAsia="宋体" w:cs="Calibri"/>
                      <w:color w:val="auto"/>
                      <w:kern w:val="0"/>
                      <w:sz w:val="21"/>
                      <w:szCs w:val="21"/>
                      <w:lang w:val="en-US" w:eastAsia="zh-CN"/>
                    </w:rPr>
                    <w:t>废气</w:t>
                  </w:r>
                  <w:r>
                    <w:rPr>
                      <w:rFonts w:hint="default" w:ascii="Calibri" w:hAnsi="Calibri" w:eastAsia="宋体" w:cs="Calibri"/>
                      <w:color w:val="auto"/>
                      <w:kern w:val="0"/>
                      <w:sz w:val="21"/>
                      <w:szCs w:val="21"/>
                    </w:rPr>
                    <w:t>、</w:t>
                  </w:r>
                  <w:r>
                    <w:rPr>
                      <w:rFonts w:hint="default" w:ascii="Calibri" w:hAnsi="Calibri" w:eastAsia="宋体" w:cs="Calibri"/>
                      <w:color w:val="auto"/>
                      <w:kern w:val="0"/>
                      <w:sz w:val="21"/>
                      <w:szCs w:val="21"/>
                      <w:lang w:val="en-US" w:eastAsia="zh-CN"/>
                    </w:rPr>
                    <w:t>废</w:t>
                  </w:r>
                  <w:r>
                    <w:rPr>
                      <w:rFonts w:hint="default" w:ascii="Calibri" w:hAnsi="Calibri" w:eastAsia="宋体" w:cs="Calibri"/>
                      <w:color w:val="auto"/>
                      <w:kern w:val="0"/>
                      <w:sz w:val="21"/>
                      <w:szCs w:val="21"/>
                    </w:rPr>
                    <w:t>水等污染物排放</w:t>
                  </w:r>
                  <w:r>
                    <w:rPr>
                      <w:rFonts w:hint="default" w:ascii="Calibri" w:hAnsi="Calibri" w:eastAsia="宋体" w:cs="Calibri"/>
                      <w:color w:val="auto"/>
                      <w:kern w:val="0"/>
                      <w:sz w:val="21"/>
                      <w:szCs w:val="21"/>
                      <w:lang w:eastAsia="zh-CN"/>
                    </w:rPr>
                    <w:t>，</w:t>
                  </w:r>
                  <w:r>
                    <w:rPr>
                      <w:rFonts w:hint="default" w:ascii="Calibri" w:hAnsi="Calibri" w:eastAsia="宋体" w:cs="Calibri"/>
                      <w:color w:val="auto"/>
                      <w:kern w:val="0"/>
                      <w:sz w:val="21"/>
                      <w:szCs w:val="21"/>
                    </w:rPr>
                    <w:t>对区域环境空气质量、水环境</w:t>
                  </w:r>
                  <w:r>
                    <w:rPr>
                      <w:rFonts w:hint="default" w:ascii="Calibri" w:hAnsi="Calibri" w:eastAsia="宋体" w:cs="Calibri"/>
                      <w:color w:val="auto"/>
                      <w:kern w:val="0"/>
                      <w:sz w:val="21"/>
                      <w:szCs w:val="21"/>
                      <w:lang w:val="en-US" w:eastAsia="zh-CN"/>
                    </w:rPr>
                    <w:t>质量无影响</w:t>
                  </w:r>
                  <w:r>
                    <w:rPr>
                      <w:rFonts w:hint="default" w:ascii="Calibri" w:hAnsi="Calibri" w:eastAsia="宋体" w:cs="Calibri"/>
                      <w:color w:val="auto"/>
                      <w:kern w:val="0"/>
                      <w:sz w:val="21"/>
                      <w:szCs w:val="21"/>
                    </w:rPr>
                    <w:t>，</w:t>
                  </w:r>
                  <w:r>
                    <w:rPr>
                      <w:rFonts w:hint="default" w:ascii="Calibri" w:hAnsi="Calibri" w:eastAsia="宋体" w:cs="Calibri"/>
                      <w:color w:val="auto"/>
                      <w:kern w:val="0"/>
                      <w:sz w:val="21"/>
                      <w:szCs w:val="21"/>
                      <w:lang w:val="en-US" w:eastAsia="zh-CN"/>
                    </w:rPr>
                    <w:t>固废妥善处置</w:t>
                  </w:r>
                  <w:r>
                    <w:rPr>
                      <w:rFonts w:hint="default" w:ascii="Calibri" w:hAnsi="Calibri" w:eastAsia="宋体" w:cs="Calibri"/>
                      <w:color w:val="auto"/>
                      <w:kern w:val="0"/>
                      <w:sz w:val="21"/>
                      <w:szCs w:val="21"/>
                      <w:lang w:eastAsia="zh-CN"/>
                    </w:rPr>
                    <w:t>，</w:t>
                  </w:r>
                  <w:r>
                    <w:rPr>
                      <w:rFonts w:hint="default" w:ascii="Calibri" w:hAnsi="Calibri" w:eastAsia="宋体" w:cs="Calibri"/>
                      <w:color w:val="auto"/>
                      <w:kern w:val="0"/>
                      <w:sz w:val="21"/>
                      <w:szCs w:val="21"/>
                    </w:rPr>
                    <w:t>不会对工程周边区域土壤环境造成影响，不</w:t>
                  </w:r>
                  <w:r>
                    <w:rPr>
                      <w:rFonts w:hint="default" w:ascii="Calibri" w:hAnsi="Calibri" w:eastAsia="宋体" w:cs="Calibri"/>
                      <w:color w:val="auto"/>
                      <w:kern w:val="0"/>
                      <w:sz w:val="21"/>
                      <w:szCs w:val="21"/>
                      <w:lang w:val="en-US" w:eastAsia="zh-CN"/>
                    </w:rPr>
                    <w:t>会</w:t>
                  </w:r>
                  <w:r>
                    <w:rPr>
                      <w:rFonts w:hint="default" w:ascii="Calibri" w:hAnsi="Calibri" w:eastAsia="宋体" w:cs="Calibri"/>
                      <w:color w:val="auto"/>
                      <w:kern w:val="0"/>
                      <w:sz w:val="21"/>
                      <w:szCs w:val="21"/>
                    </w:rPr>
                    <w:t>突破所在</w:t>
                  </w:r>
                  <w:r>
                    <w:rPr>
                      <w:rFonts w:hint="default" w:ascii="Calibri" w:hAnsi="Calibri" w:eastAsia="宋体" w:cs="Calibri"/>
                      <w:color w:val="auto"/>
                      <w:kern w:val="0"/>
                      <w:sz w:val="21"/>
                      <w:szCs w:val="21"/>
                      <w:lang w:val="en-US" w:eastAsia="zh-CN"/>
                    </w:rPr>
                    <w:t>地区</w:t>
                  </w:r>
                  <w:r>
                    <w:rPr>
                      <w:rFonts w:hint="default" w:ascii="Calibri" w:hAnsi="Calibri" w:eastAsia="宋体" w:cs="Calibri"/>
                      <w:color w:val="auto"/>
                      <w:kern w:val="0"/>
                      <w:sz w:val="21"/>
                      <w:szCs w:val="21"/>
                    </w:rPr>
                    <w:t>环境质量底线</w:t>
                  </w:r>
                  <w:r>
                    <w:rPr>
                      <w:rFonts w:hint="default" w:ascii="Calibri" w:hAnsi="Calibri" w:eastAsia="宋体" w:cs="Calibri"/>
                      <w:color w:val="auto"/>
                      <w:kern w:val="0"/>
                      <w:sz w:val="21"/>
                      <w:szCs w:val="21"/>
                      <w:lang w:eastAsia="zh-CN"/>
                    </w:rPr>
                    <w:t>。</w:t>
                  </w:r>
                  <w:r>
                    <w:rPr>
                      <w:rFonts w:hint="default" w:ascii="Calibri" w:hAnsi="Calibri" w:eastAsia="宋体" w:cs="Calibri"/>
                      <w:color w:val="auto"/>
                      <w:kern w:val="0"/>
                      <w:sz w:val="21"/>
                      <w:szCs w:val="21"/>
                      <w:lang w:val="en-US" w:eastAsia="zh-CN"/>
                    </w:rPr>
                    <w:t>施工期废水、固废妥善处置，施工扬尘采取抑尘措施，采取了生态环境保护措施（表土收集堆放，施工结束时覆在表层，以利恢复植被，及时清理现场，尽可能恢复原状地貌等措施）。施工期生活污水执行《农村生活污水处理排放标准》</w:t>
                  </w:r>
                  <w:r>
                    <w:rPr>
                      <w:rFonts w:hint="eastAsia" w:ascii="Calibri" w:hAnsi="Calibri" w:cs="Calibri"/>
                      <w:color w:val="auto"/>
                      <w:kern w:val="0"/>
                      <w:sz w:val="21"/>
                      <w:szCs w:val="21"/>
                      <w:lang w:val="en-US" w:eastAsia="zh-CN"/>
                    </w:rPr>
                    <w:t>（</w:t>
                  </w:r>
                  <w:r>
                    <w:rPr>
                      <w:rFonts w:hint="default" w:ascii="Calibri" w:hAnsi="Calibri" w:eastAsia="宋体" w:cs="Calibri"/>
                      <w:color w:val="auto"/>
                      <w:kern w:val="0"/>
                      <w:sz w:val="21"/>
                      <w:szCs w:val="21"/>
                      <w:lang w:val="en-US" w:eastAsia="zh-CN"/>
                    </w:rPr>
                    <w:t>DB654275-2019</w:t>
                  </w:r>
                  <w:r>
                    <w:rPr>
                      <w:rFonts w:hint="eastAsia" w:ascii="Calibri" w:hAnsi="Calibri" w:cs="Calibri"/>
                      <w:color w:val="auto"/>
                      <w:kern w:val="0"/>
                      <w:sz w:val="21"/>
                      <w:szCs w:val="21"/>
                      <w:lang w:val="en-US" w:eastAsia="zh-CN"/>
                    </w:rPr>
                    <w:t>）</w:t>
                  </w:r>
                  <w:r>
                    <w:rPr>
                      <w:rFonts w:hint="default" w:ascii="Calibri" w:hAnsi="Calibri" w:eastAsia="宋体" w:cs="Calibri"/>
                      <w:color w:val="auto"/>
                      <w:kern w:val="0"/>
                      <w:sz w:val="21"/>
                      <w:szCs w:val="21"/>
                      <w:lang w:val="en-US" w:eastAsia="zh-CN"/>
                    </w:rPr>
                    <w:t>，用于绿化、生态恢复；运营期无废水产生。</w:t>
                  </w:r>
                  <w:r>
                    <w:rPr>
                      <w:rFonts w:hint="default" w:ascii="Calibri" w:hAnsi="Calibri" w:eastAsia="宋体" w:cs="Calibri"/>
                      <w:color w:val="auto"/>
                      <w:kern w:val="0"/>
                      <w:sz w:val="21"/>
                      <w:szCs w:val="21"/>
                      <w:lang w:val="en-US" w:eastAsia="zh-CN" w:bidi="ar-SA"/>
                    </w:rPr>
                    <w:t>事故油池及</w:t>
                  </w:r>
                  <w:r>
                    <w:rPr>
                      <w:rFonts w:hint="eastAsia" w:ascii="Calibri" w:hAnsi="Calibri" w:cs="Calibri"/>
                      <w:color w:val="auto"/>
                      <w:kern w:val="0"/>
                      <w:sz w:val="21"/>
                      <w:szCs w:val="21"/>
                      <w:lang w:val="en-US" w:eastAsia="zh-CN" w:bidi="ar-SA"/>
                    </w:rPr>
                    <w:t>危险废物贮存库</w:t>
                  </w:r>
                  <w:r>
                    <w:rPr>
                      <w:rFonts w:hint="default" w:ascii="Calibri" w:hAnsi="Calibri" w:eastAsia="宋体" w:cs="Calibri"/>
                      <w:color w:val="auto"/>
                      <w:kern w:val="0"/>
                      <w:sz w:val="21"/>
                      <w:szCs w:val="21"/>
                      <w:lang w:val="en-US" w:eastAsia="zh-CN" w:bidi="ar-SA"/>
                    </w:rPr>
                    <w:t>应进行基础防渗，防渗层为至少1m厚黏土层</w:t>
                  </w:r>
                  <w:r>
                    <w:rPr>
                      <w:rFonts w:hint="eastAsia" w:ascii="Calibri" w:hAnsi="Calibri" w:cs="Calibri"/>
                      <w:color w:val="auto"/>
                      <w:kern w:val="0"/>
                      <w:sz w:val="21"/>
                      <w:szCs w:val="21"/>
                      <w:lang w:val="en-US" w:eastAsia="zh-CN" w:bidi="ar-SA"/>
                    </w:rPr>
                    <w:t>（</w:t>
                  </w:r>
                  <w:r>
                    <w:rPr>
                      <w:rFonts w:hint="default" w:ascii="Calibri" w:hAnsi="Calibri" w:eastAsia="宋体" w:cs="Calibri"/>
                      <w:color w:val="auto"/>
                      <w:kern w:val="0"/>
                      <w:sz w:val="21"/>
                      <w:szCs w:val="21"/>
                      <w:lang w:val="en-US" w:eastAsia="zh-CN" w:bidi="ar-SA"/>
                    </w:rPr>
                    <w:t>渗透系数不大于10</w:t>
                  </w:r>
                  <w:r>
                    <w:rPr>
                      <w:rFonts w:hint="eastAsia" w:ascii="Calibri" w:hAnsi="Calibri" w:cs="Calibri"/>
                      <w:color w:val="auto"/>
                      <w:kern w:val="0"/>
                      <w:sz w:val="21"/>
                      <w:szCs w:val="21"/>
                      <w:vertAlign w:val="superscript"/>
                      <w:lang w:val="en-US" w:eastAsia="zh-CN" w:bidi="ar-SA"/>
                    </w:rPr>
                    <w:t>-</w:t>
                  </w:r>
                  <w:r>
                    <w:rPr>
                      <w:rFonts w:hint="default" w:ascii="Calibri" w:hAnsi="Calibri" w:eastAsia="宋体" w:cs="Calibri"/>
                      <w:color w:val="auto"/>
                      <w:kern w:val="0"/>
                      <w:sz w:val="21"/>
                      <w:szCs w:val="21"/>
                      <w:vertAlign w:val="superscript"/>
                      <w:lang w:val="en-US" w:eastAsia="zh-CN" w:bidi="ar-SA"/>
                    </w:rPr>
                    <w:t>7</w:t>
                  </w:r>
                  <w:r>
                    <w:rPr>
                      <w:rFonts w:hint="default" w:ascii="Calibri" w:hAnsi="Calibri" w:eastAsia="宋体" w:cs="Calibri"/>
                      <w:color w:val="auto"/>
                      <w:kern w:val="0"/>
                      <w:sz w:val="21"/>
                      <w:szCs w:val="21"/>
                      <w:lang w:val="en-US" w:eastAsia="zh-CN" w:bidi="ar-SA"/>
                    </w:rPr>
                    <w:t>cm/s</w:t>
                  </w:r>
                  <w:r>
                    <w:rPr>
                      <w:rFonts w:hint="eastAsia" w:ascii="Calibri" w:hAnsi="Calibri" w:cs="Calibri"/>
                      <w:color w:val="auto"/>
                      <w:kern w:val="0"/>
                      <w:sz w:val="21"/>
                      <w:szCs w:val="21"/>
                      <w:lang w:val="en-US" w:eastAsia="zh-CN" w:bidi="ar-SA"/>
                    </w:rPr>
                    <w:t>）</w:t>
                  </w:r>
                  <w:r>
                    <w:rPr>
                      <w:rFonts w:hint="default" w:ascii="Calibri" w:hAnsi="Calibri" w:eastAsia="宋体" w:cs="Calibri"/>
                      <w:color w:val="auto"/>
                      <w:kern w:val="0"/>
                      <w:sz w:val="21"/>
                      <w:szCs w:val="21"/>
                      <w:lang w:val="en-US" w:eastAsia="zh-CN" w:bidi="ar-SA"/>
                    </w:rPr>
                    <w:t>，或至少2mm厚高密度聚乙烯膜等人工防渗材料</w:t>
                  </w:r>
                  <w:r>
                    <w:rPr>
                      <w:rFonts w:hint="eastAsia" w:ascii="Calibri" w:hAnsi="Calibri" w:cs="Calibri"/>
                      <w:color w:val="auto"/>
                      <w:kern w:val="0"/>
                      <w:sz w:val="21"/>
                      <w:szCs w:val="21"/>
                      <w:lang w:val="en-US" w:eastAsia="zh-CN" w:bidi="ar-SA"/>
                    </w:rPr>
                    <w:t>（</w:t>
                  </w:r>
                  <w:r>
                    <w:rPr>
                      <w:rFonts w:hint="default" w:ascii="Calibri" w:hAnsi="Calibri" w:eastAsia="宋体" w:cs="Calibri"/>
                      <w:color w:val="auto"/>
                      <w:kern w:val="0"/>
                      <w:sz w:val="21"/>
                      <w:szCs w:val="21"/>
                      <w:lang w:val="en-US" w:eastAsia="zh-CN" w:bidi="ar-SA"/>
                    </w:rPr>
                    <w:t>透系数不大于10</w:t>
                  </w:r>
                  <w:r>
                    <w:rPr>
                      <w:rFonts w:hint="eastAsia" w:ascii="Calibri" w:hAnsi="Calibri" w:cs="Calibri"/>
                      <w:color w:val="auto"/>
                      <w:kern w:val="0"/>
                      <w:sz w:val="21"/>
                      <w:szCs w:val="21"/>
                      <w:vertAlign w:val="superscript"/>
                      <w:lang w:val="en-US" w:eastAsia="zh-CN" w:bidi="ar-SA"/>
                    </w:rPr>
                    <w:t>-</w:t>
                  </w:r>
                  <w:r>
                    <w:rPr>
                      <w:rFonts w:hint="default" w:ascii="Calibri" w:hAnsi="Calibri" w:eastAsia="宋体" w:cs="Calibri"/>
                      <w:color w:val="auto"/>
                      <w:kern w:val="0"/>
                      <w:sz w:val="21"/>
                      <w:szCs w:val="21"/>
                      <w:vertAlign w:val="superscript"/>
                      <w:lang w:val="en-US" w:eastAsia="zh-CN" w:bidi="ar-SA"/>
                    </w:rPr>
                    <w:t>10</w:t>
                  </w:r>
                  <w:r>
                    <w:rPr>
                      <w:rFonts w:hint="default" w:ascii="Calibri" w:hAnsi="Calibri" w:eastAsia="宋体" w:cs="Calibri"/>
                      <w:color w:val="auto"/>
                      <w:kern w:val="0"/>
                      <w:sz w:val="21"/>
                      <w:szCs w:val="21"/>
                      <w:lang w:val="en-US" w:eastAsia="zh-CN" w:bidi="ar-SA"/>
                    </w:rPr>
                    <w:t>cm/s</w:t>
                  </w:r>
                  <w:r>
                    <w:rPr>
                      <w:rFonts w:hint="eastAsia" w:ascii="Calibri" w:hAnsi="Calibri" w:cs="Calibri"/>
                      <w:color w:val="auto"/>
                      <w:kern w:val="0"/>
                      <w:sz w:val="21"/>
                      <w:szCs w:val="21"/>
                      <w:lang w:val="en-US" w:eastAsia="zh-CN" w:bidi="ar-SA"/>
                    </w:rPr>
                    <w:t>）</w:t>
                  </w:r>
                  <w:r>
                    <w:rPr>
                      <w:rFonts w:hint="default" w:ascii="Calibri" w:hAnsi="Calibri" w:eastAsia="宋体" w:cs="Calibri"/>
                      <w:color w:val="auto"/>
                      <w:sz w:val="21"/>
                      <w:szCs w:val="21"/>
                    </w:rPr>
                    <w:t>，综合防渗措施能满足《危险废物贮存污染控制标准》（GB18597-20</w:t>
                  </w:r>
                  <w:r>
                    <w:rPr>
                      <w:rFonts w:hint="default" w:ascii="Calibri" w:hAnsi="Calibri" w:eastAsia="宋体" w:cs="Calibri"/>
                      <w:color w:val="auto"/>
                      <w:sz w:val="21"/>
                      <w:szCs w:val="21"/>
                      <w:lang w:val="en-US" w:eastAsia="zh-CN"/>
                    </w:rPr>
                    <w:t>23</w:t>
                  </w:r>
                  <w:r>
                    <w:rPr>
                      <w:rFonts w:hint="default" w:ascii="Calibri" w:hAnsi="Calibri" w:eastAsia="宋体" w:cs="Calibri"/>
                      <w:color w:val="auto"/>
                      <w:sz w:val="21"/>
                      <w:szCs w:val="21"/>
                    </w:rPr>
                    <w:t>）。</w:t>
                  </w:r>
                  <w:r>
                    <w:rPr>
                      <w:rFonts w:hint="default" w:ascii="Calibri" w:hAnsi="Calibri" w:eastAsia="宋体" w:cs="Calibri"/>
                      <w:color w:val="auto"/>
                      <w:sz w:val="21"/>
                      <w:szCs w:val="21"/>
                      <w:lang w:val="en-US" w:eastAsia="zh-CN"/>
                    </w:rPr>
                    <w:t>事故油、</w:t>
                  </w:r>
                  <w:r>
                    <w:rPr>
                      <w:rFonts w:hint="eastAsia" w:ascii="Calibri" w:hAnsi="Calibri" w:cs="Calibri"/>
                      <w:color w:val="auto"/>
                      <w:sz w:val="21"/>
                      <w:szCs w:val="21"/>
                      <w:lang w:eastAsia="zh-CN"/>
                    </w:rPr>
                    <w:t>废铅酸蓄电池</w:t>
                  </w:r>
                  <w:r>
                    <w:rPr>
                      <w:rFonts w:hint="default" w:ascii="Calibri" w:hAnsi="Calibri" w:eastAsia="宋体" w:cs="Calibri"/>
                      <w:color w:val="auto"/>
                      <w:sz w:val="21"/>
                      <w:szCs w:val="21"/>
                    </w:rPr>
                    <w:t>由有资质单位回收处理。</w:t>
                  </w:r>
                  <w:r>
                    <w:rPr>
                      <w:rFonts w:hint="default" w:ascii="Calibri" w:hAnsi="Calibri" w:eastAsia="宋体" w:cs="Calibri"/>
                      <w:color w:val="auto"/>
                      <w:sz w:val="21"/>
                      <w:szCs w:val="21"/>
                      <w:lang w:val="en-US" w:eastAsia="zh-CN"/>
                    </w:rPr>
                    <w:t>采取上述措施，可以避免对土壤及地下水造成污染影响。</w:t>
                  </w:r>
                </w:p>
              </w:tc>
              <w:tc>
                <w:tcPr>
                  <w:tcW w:w="268" w:type="pct"/>
                  <w:tcBorders>
                    <w:tl2br w:val="nil"/>
                    <w:tr2bl w:val="nil"/>
                  </w:tcBorders>
                  <w:noWrap w:val="0"/>
                  <w:vAlign w:val="center"/>
                </w:tcPr>
                <w:p w14:paraId="6A94B9F7">
                  <w:pPr>
                    <w:autoSpaceDE w:val="0"/>
                    <w:autoSpaceDN w:val="0"/>
                    <w:adjustRightInd w:val="0"/>
                    <w:snapToGrid w:val="0"/>
                    <w:jc w:val="center"/>
                    <w:rPr>
                      <w:rFonts w:hint="default" w:ascii="Calibri" w:hAnsi="Calibri" w:eastAsia="宋体" w:cs="Calibri"/>
                      <w:bCs/>
                      <w:color w:val="auto"/>
                      <w:sz w:val="21"/>
                      <w:szCs w:val="21"/>
                    </w:rPr>
                  </w:pPr>
                  <w:r>
                    <w:rPr>
                      <w:rFonts w:hint="default" w:ascii="Calibri" w:hAnsi="Calibri" w:eastAsia="宋体" w:cs="Calibri"/>
                      <w:bCs/>
                      <w:color w:val="auto"/>
                      <w:sz w:val="21"/>
                      <w:szCs w:val="21"/>
                    </w:rPr>
                    <w:t>符合</w:t>
                  </w:r>
                </w:p>
              </w:tc>
            </w:tr>
            <w:tr w14:paraId="68385E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56" w:hRule="atLeast"/>
                <w:jc w:val="center"/>
              </w:trPr>
              <w:tc>
                <w:tcPr>
                  <w:tcW w:w="752" w:type="pct"/>
                  <w:vMerge w:val="continue"/>
                  <w:tcBorders>
                    <w:tl2br w:val="nil"/>
                    <w:tr2bl w:val="nil"/>
                  </w:tcBorders>
                  <w:noWrap w:val="0"/>
                  <w:vAlign w:val="center"/>
                </w:tcPr>
                <w:p w14:paraId="4A0FE3A3">
                  <w:pPr>
                    <w:autoSpaceDE w:val="0"/>
                    <w:autoSpaceDN w:val="0"/>
                    <w:adjustRightInd w:val="0"/>
                    <w:snapToGrid w:val="0"/>
                    <w:jc w:val="center"/>
                    <w:rPr>
                      <w:rFonts w:hint="default" w:ascii="Calibri" w:hAnsi="Calibri" w:eastAsia="宋体" w:cs="Calibri"/>
                      <w:bCs/>
                      <w:color w:val="auto"/>
                      <w:sz w:val="21"/>
                      <w:szCs w:val="21"/>
                    </w:rPr>
                  </w:pPr>
                </w:p>
              </w:tc>
              <w:tc>
                <w:tcPr>
                  <w:tcW w:w="425" w:type="pct"/>
                  <w:tcBorders>
                    <w:tl2br w:val="nil"/>
                    <w:tr2bl w:val="nil"/>
                  </w:tcBorders>
                  <w:noWrap w:val="0"/>
                  <w:vAlign w:val="center"/>
                </w:tcPr>
                <w:p w14:paraId="2E9FDFD4">
                  <w:pPr>
                    <w:pStyle w:val="55"/>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auto"/>
                    <w:rPr>
                      <w:rFonts w:hint="default" w:ascii="Calibri" w:hAnsi="Calibri" w:eastAsia="宋体" w:cs="Calibri"/>
                      <w:bCs/>
                      <w:color w:val="auto"/>
                      <w:sz w:val="21"/>
                      <w:szCs w:val="21"/>
                    </w:rPr>
                  </w:pPr>
                  <w:r>
                    <w:rPr>
                      <w:rFonts w:hint="default" w:ascii="Calibri" w:hAnsi="Calibri" w:eastAsia="宋体" w:cs="Calibri"/>
                      <w:bCs/>
                      <w:color w:val="auto"/>
                      <w:sz w:val="21"/>
                      <w:szCs w:val="21"/>
                      <w:highlight w:val="none"/>
                    </w:rPr>
                    <w:t>资源利用上线</w:t>
                  </w:r>
                </w:p>
              </w:tc>
              <w:tc>
                <w:tcPr>
                  <w:tcW w:w="2020" w:type="pct"/>
                  <w:tcBorders>
                    <w:tl2br w:val="nil"/>
                    <w:tr2bl w:val="nil"/>
                  </w:tcBorders>
                  <w:noWrap w:val="0"/>
                  <w:vAlign w:val="center"/>
                </w:tcPr>
                <w:p w14:paraId="159C345A">
                  <w:pPr>
                    <w:pStyle w:val="5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Calibri" w:hAnsi="Calibri" w:eastAsia="宋体" w:cs="Calibri"/>
                      <w:bCs/>
                      <w:color w:val="auto"/>
                      <w:sz w:val="21"/>
                      <w:szCs w:val="21"/>
                      <w:lang w:eastAsia="zh-CN"/>
                    </w:rPr>
                  </w:pPr>
                  <w:r>
                    <w:rPr>
                      <w:rFonts w:hint="default" w:ascii="Calibri" w:hAnsi="Calibri" w:eastAsia="宋体" w:cs="Calibri"/>
                      <w:bCs/>
                      <w:color w:val="auto"/>
                      <w:sz w:val="21"/>
                      <w:szCs w:val="21"/>
                      <w:highlight w:val="none"/>
                    </w:rPr>
                    <w:t>强化节约集约利用，持续提升资源能源利用效率，水资源、土地资源、能源消耗等达到国家、自治区下达的总量和强度控制目标。加快低碳发展，提升碳汇能力，做好</w:t>
                  </w:r>
                  <w:r>
                    <w:rPr>
                      <w:rFonts w:hint="default" w:ascii="Calibri" w:hAnsi="Calibri" w:eastAsia="宋体" w:cs="Calibri"/>
                      <w:bCs/>
                      <w:color w:val="auto"/>
                      <w:sz w:val="21"/>
                      <w:szCs w:val="21"/>
                      <w:highlight w:val="none"/>
                      <w:lang w:eastAsia="zh-CN"/>
                    </w:rPr>
                    <w:t>碳达峰碳中和</w:t>
                  </w:r>
                  <w:r>
                    <w:rPr>
                      <w:rFonts w:hint="default" w:ascii="Calibri" w:hAnsi="Calibri" w:eastAsia="宋体" w:cs="Calibri"/>
                      <w:bCs/>
                      <w:color w:val="auto"/>
                      <w:sz w:val="21"/>
                      <w:szCs w:val="21"/>
                      <w:highlight w:val="none"/>
                    </w:rPr>
                    <w:t>工作。</w:t>
                  </w:r>
                </w:p>
              </w:tc>
              <w:tc>
                <w:tcPr>
                  <w:tcW w:w="1532" w:type="pct"/>
                  <w:tcBorders>
                    <w:tl2br w:val="nil"/>
                    <w:tr2bl w:val="nil"/>
                  </w:tcBorders>
                  <w:noWrap w:val="0"/>
                  <w:vAlign w:val="center"/>
                </w:tcPr>
                <w:p w14:paraId="66C48013">
                  <w:pPr>
                    <w:autoSpaceDE w:val="0"/>
                    <w:autoSpaceDN w:val="0"/>
                    <w:adjustRightInd w:val="0"/>
                    <w:snapToGrid w:val="0"/>
                    <w:jc w:val="center"/>
                    <w:rPr>
                      <w:rFonts w:hint="default" w:ascii="Calibri" w:hAnsi="Calibri" w:eastAsia="宋体" w:cs="Calibri"/>
                      <w:bCs/>
                      <w:color w:val="auto"/>
                      <w:sz w:val="21"/>
                      <w:szCs w:val="21"/>
                    </w:rPr>
                  </w:pPr>
                  <w:r>
                    <w:rPr>
                      <w:rFonts w:hint="default" w:ascii="Calibri" w:hAnsi="Calibri" w:eastAsia="宋体" w:cs="Calibri"/>
                      <w:bCs/>
                      <w:color w:val="auto"/>
                      <w:sz w:val="21"/>
                      <w:szCs w:val="21"/>
                    </w:rPr>
                    <w:t>本项目为</w:t>
                  </w:r>
                  <w:r>
                    <w:rPr>
                      <w:rFonts w:hint="default" w:ascii="Calibri" w:hAnsi="Calibri" w:eastAsia="宋体" w:cs="Calibri"/>
                      <w:color w:val="auto"/>
                      <w:kern w:val="0"/>
                      <w:sz w:val="21"/>
                      <w:szCs w:val="21"/>
                    </w:rPr>
                    <w:t>输变电</w:t>
                  </w:r>
                  <w:r>
                    <w:rPr>
                      <w:rFonts w:hint="default" w:ascii="Calibri" w:hAnsi="Calibri" w:eastAsia="宋体" w:cs="Calibri"/>
                      <w:color w:val="auto"/>
                      <w:kern w:val="0"/>
                      <w:sz w:val="21"/>
                      <w:szCs w:val="21"/>
                      <w:lang w:val="en-US" w:eastAsia="zh-CN"/>
                    </w:rPr>
                    <w:t>工程</w:t>
                  </w:r>
                  <w:r>
                    <w:rPr>
                      <w:rFonts w:hint="default" w:ascii="Calibri" w:hAnsi="Calibri" w:eastAsia="宋体" w:cs="Calibri"/>
                      <w:bCs/>
                      <w:color w:val="auto"/>
                      <w:sz w:val="21"/>
                      <w:szCs w:val="21"/>
                    </w:rPr>
                    <w:t>，工程属于点状占地，占地面积较小，造成的自然资源</w:t>
                  </w:r>
                  <w:r>
                    <w:rPr>
                      <w:rFonts w:hint="default" w:ascii="Calibri" w:hAnsi="Calibri" w:eastAsia="宋体" w:cs="Calibri"/>
                      <w:bCs/>
                      <w:color w:val="auto"/>
                      <w:sz w:val="21"/>
                      <w:szCs w:val="21"/>
                      <w:lang w:eastAsia="zh-CN"/>
                    </w:rPr>
                    <w:t>损失</w:t>
                  </w:r>
                  <w:r>
                    <w:rPr>
                      <w:rFonts w:hint="default" w:ascii="Calibri" w:hAnsi="Calibri" w:eastAsia="宋体" w:cs="Calibri"/>
                      <w:bCs/>
                      <w:color w:val="auto"/>
                      <w:sz w:val="21"/>
                      <w:szCs w:val="21"/>
                    </w:rPr>
                    <w:t>量较小。项目所在地不属于资源、能源紧缺区域，项目运营期无能源消耗，不会超过划定的资源利用上线，可以满足资源利用要求</w:t>
                  </w:r>
                </w:p>
              </w:tc>
              <w:tc>
                <w:tcPr>
                  <w:tcW w:w="268" w:type="pct"/>
                  <w:tcBorders>
                    <w:tl2br w:val="nil"/>
                    <w:tr2bl w:val="nil"/>
                  </w:tcBorders>
                  <w:noWrap w:val="0"/>
                  <w:vAlign w:val="center"/>
                </w:tcPr>
                <w:p w14:paraId="039B1411">
                  <w:pPr>
                    <w:autoSpaceDE w:val="0"/>
                    <w:autoSpaceDN w:val="0"/>
                    <w:adjustRightInd w:val="0"/>
                    <w:snapToGrid w:val="0"/>
                    <w:jc w:val="center"/>
                    <w:rPr>
                      <w:rFonts w:hint="default" w:ascii="Calibri" w:hAnsi="Calibri" w:eastAsia="宋体" w:cs="Calibri"/>
                      <w:bCs/>
                      <w:color w:val="auto"/>
                      <w:sz w:val="21"/>
                      <w:szCs w:val="21"/>
                    </w:rPr>
                  </w:pPr>
                  <w:r>
                    <w:rPr>
                      <w:rFonts w:hint="default" w:ascii="Calibri" w:hAnsi="Calibri" w:eastAsia="宋体" w:cs="Calibri"/>
                      <w:bCs/>
                      <w:color w:val="auto"/>
                      <w:sz w:val="21"/>
                      <w:szCs w:val="21"/>
                    </w:rPr>
                    <w:t>符合</w:t>
                  </w:r>
                </w:p>
              </w:tc>
            </w:tr>
          </w:tbl>
          <w:p w14:paraId="649655FD">
            <w:pPr>
              <w:pStyle w:val="10"/>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Calibri" w:hAnsi="Calibri" w:eastAsia="宋体" w:cs="Calibri"/>
                <w:color w:val="auto"/>
                <w:sz w:val="24"/>
                <w:szCs w:val="24"/>
                <w:lang w:val="en-US" w:eastAsia="zh-CN"/>
              </w:rPr>
            </w:pPr>
            <w:r>
              <w:rPr>
                <w:rFonts w:hint="default" w:ascii="Calibri" w:hAnsi="Calibri" w:eastAsia="宋体" w:cs="Calibri"/>
                <w:color w:val="auto"/>
                <w:sz w:val="24"/>
                <w:szCs w:val="24"/>
                <w:lang w:val="en-US" w:eastAsia="zh-CN"/>
              </w:rPr>
              <w:t>《巴音郭楞蒙古自治州“三线一单”生态环境分区管控动态更新成果（2023）》（巴政办发〔2024〕32号）中“若羌县生态环境准入清单”符合性分析，</w:t>
            </w:r>
            <w:r>
              <w:rPr>
                <w:rFonts w:hint="eastAsia" w:ascii="Calibri" w:hAnsi="Calibri" w:cs="Calibri"/>
                <w:color w:val="auto"/>
                <w:sz w:val="24"/>
                <w:szCs w:val="24"/>
                <w:lang w:val="en-US" w:eastAsia="zh-CN"/>
              </w:rPr>
              <w:t>项目在巴州管控单元分类见附图6，符合性分析见</w:t>
            </w:r>
            <w:r>
              <w:rPr>
                <w:rFonts w:hint="default" w:ascii="Calibri" w:hAnsi="Calibri" w:eastAsia="宋体" w:cs="Calibri"/>
                <w:color w:val="auto"/>
                <w:sz w:val="24"/>
                <w:szCs w:val="24"/>
                <w:lang w:val="en-US" w:eastAsia="zh-CN"/>
              </w:rPr>
              <w:t>表1-4。</w:t>
            </w:r>
          </w:p>
          <w:p w14:paraId="772476CF">
            <w:pPr>
              <w:pStyle w:val="10"/>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Calibri" w:hAnsi="Calibri" w:eastAsia="宋体" w:cs="Calibri"/>
                <w:b/>
                <w:bCs/>
                <w:color w:val="auto"/>
                <w:sz w:val="24"/>
                <w:szCs w:val="24"/>
                <w:lang w:val="en-US" w:eastAsia="zh-CN"/>
              </w:rPr>
            </w:pPr>
            <w:r>
              <w:rPr>
                <w:rFonts w:hint="default" w:ascii="Calibri" w:hAnsi="Calibri" w:eastAsia="宋体" w:cs="Calibri"/>
                <w:b/>
                <w:bCs/>
                <w:color w:val="auto"/>
                <w:sz w:val="24"/>
                <w:szCs w:val="24"/>
                <w:lang w:val="en-US" w:eastAsia="zh-CN"/>
              </w:rPr>
              <w:t>表1-4    项目与“巴州生态环境准入清单”符合性分析一览表</w:t>
            </w:r>
          </w:p>
          <w:tbl>
            <w:tblPr>
              <w:tblStyle w:val="23"/>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11"/>
              <w:gridCol w:w="4189"/>
              <w:gridCol w:w="1642"/>
              <w:gridCol w:w="528"/>
            </w:tblGrid>
            <w:tr w14:paraId="0A50A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2" w:hRule="atLeast"/>
                <w:jc w:val="center"/>
              </w:trPr>
              <w:tc>
                <w:tcPr>
                  <w:tcW w:w="3420" w:type="pct"/>
                  <w:gridSpan w:val="2"/>
                  <w:tcBorders>
                    <w:bottom w:val="single" w:color="auto" w:sz="4" w:space="0"/>
                    <w:tl2br w:val="nil"/>
                    <w:tr2bl w:val="nil"/>
                  </w:tcBorders>
                  <w:noWrap w:val="0"/>
                  <w:vAlign w:val="center"/>
                </w:tcPr>
                <w:p w14:paraId="3FB45887">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若羌县一般管控区ZH65282430001</w:t>
                  </w:r>
                </w:p>
              </w:tc>
              <w:tc>
                <w:tcPr>
                  <w:tcW w:w="1195" w:type="pct"/>
                  <w:vMerge w:val="restart"/>
                  <w:tcBorders>
                    <w:tl2br w:val="nil"/>
                    <w:tr2bl w:val="nil"/>
                  </w:tcBorders>
                  <w:noWrap w:val="0"/>
                  <w:vAlign w:val="center"/>
                </w:tcPr>
                <w:p w14:paraId="7415CB82">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rPr>
                    <w:t>本项目情况</w:t>
                  </w:r>
                </w:p>
              </w:tc>
              <w:tc>
                <w:tcPr>
                  <w:tcW w:w="384" w:type="pct"/>
                  <w:vMerge w:val="restart"/>
                  <w:tcBorders>
                    <w:tl2br w:val="nil"/>
                    <w:tr2bl w:val="nil"/>
                  </w:tcBorders>
                  <w:noWrap w:val="0"/>
                  <w:vAlign w:val="center"/>
                </w:tcPr>
                <w:p w14:paraId="600F5C79">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rPr>
                    <w:t>符合性</w:t>
                  </w:r>
                </w:p>
              </w:tc>
            </w:tr>
            <w:tr w14:paraId="6DBEC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3420" w:type="pct"/>
                  <w:gridSpan w:val="2"/>
                  <w:tcBorders>
                    <w:top w:val="single" w:color="auto" w:sz="4" w:space="0"/>
                    <w:tl2br w:val="nil"/>
                    <w:tr2bl w:val="nil"/>
                  </w:tcBorders>
                  <w:noWrap w:val="0"/>
                  <w:vAlign w:val="center"/>
                </w:tcPr>
                <w:p w14:paraId="6FED2F09">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rPr>
                    <w:t>管控要求</w:t>
                  </w:r>
                </w:p>
              </w:tc>
              <w:tc>
                <w:tcPr>
                  <w:tcW w:w="1195" w:type="pct"/>
                  <w:vMerge w:val="continue"/>
                  <w:tcBorders>
                    <w:tl2br w:val="nil"/>
                    <w:tr2bl w:val="nil"/>
                  </w:tcBorders>
                  <w:noWrap w:val="0"/>
                  <w:vAlign w:val="center"/>
                </w:tcPr>
                <w:p w14:paraId="4E6CD69B">
                  <w:pPr>
                    <w:pStyle w:val="35"/>
                    <w:bidi w:val="0"/>
                    <w:rPr>
                      <w:rFonts w:hint="default" w:ascii="Calibri" w:hAnsi="Calibri" w:eastAsia="宋体" w:cs="Calibri"/>
                      <w:color w:val="auto"/>
                      <w:sz w:val="21"/>
                      <w:szCs w:val="21"/>
                    </w:rPr>
                  </w:pPr>
                </w:p>
              </w:tc>
              <w:tc>
                <w:tcPr>
                  <w:tcW w:w="384" w:type="pct"/>
                  <w:vMerge w:val="continue"/>
                  <w:tcBorders>
                    <w:tl2br w:val="nil"/>
                    <w:tr2bl w:val="nil"/>
                  </w:tcBorders>
                  <w:noWrap w:val="0"/>
                  <w:vAlign w:val="center"/>
                </w:tcPr>
                <w:p w14:paraId="5C3606C7">
                  <w:pPr>
                    <w:pStyle w:val="35"/>
                    <w:bidi w:val="0"/>
                    <w:rPr>
                      <w:rFonts w:hint="default" w:ascii="Calibri" w:hAnsi="Calibri" w:eastAsia="宋体" w:cs="Calibri"/>
                      <w:color w:val="auto"/>
                      <w:sz w:val="21"/>
                      <w:szCs w:val="21"/>
                    </w:rPr>
                  </w:pPr>
                </w:p>
              </w:tc>
            </w:tr>
            <w:tr w14:paraId="75A1F1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445" w:type="pct"/>
                  <w:tcBorders>
                    <w:tl2br w:val="nil"/>
                    <w:tr2bl w:val="nil"/>
                  </w:tcBorders>
                  <w:noWrap w:val="0"/>
                  <w:vAlign w:val="center"/>
                </w:tcPr>
                <w:p w14:paraId="047C4181">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rPr>
                    <w:t>空间布局约束</w:t>
                  </w:r>
                </w:p>
              </w:tc>
              <w:tc>
                <w:tcPr>
                  <w:tcW w:w="4088" w:type="dxa"/>
                  <w:tcBorders>
                    <w:tl2br w:val="nil"/>
                    <w:tr2bl w:val="nil"/>
                  </w:tcBorders>
                  <w:noWrap w:val="0"/>
                  <w:vAlign w:val="center"/>
                </w:tcPr>
                <w:p w14:paraId="05066274">
                  <w:pPr>
                    <w:spacing w:line="240" w:lineRule="auto"/>
                    <w:ind w:firstLine="0" w:firstLineChars="0"/>
                    <w:jc w:val="center"/>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1.建设项目用地原则上不得占用基本农田，确需占用基本农田的建设项目须符合《中华人民共和国基本农田保护条例》中相关要求，占用耕地、林地或草地的建设项目须按照国家、自治区相关补偿要求进行补偿。</w:t>
                  </w:r>
                </w:p>
                <w:p w14:paraId="4E8B6A8D">
                  <w:pPr>
                    <w:spacing w:line="240" w:lineRule="auto"/>
                    <w:ind w:firstLine="0" w:firstLineChars="0"/>
                    <w:jc w:val="center"/>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2.对违反资源环境法律法规、规划，污染环境、破坏生态、乱采滥挖的露天矿山，依法整治；对污染治理不规范的露天矿山，依法责令停产整治，对拒不停产或擅自恢复生产的依法强制关闭；对责任主体灭失的露天矿山，要加强修复绿化、减尘抑尘。</w:t>
                  </w:r>
                </w:p>
                <w:p w14:paraId="16F12C4E">
                  <w:pPr>
                    <w:spacing w:line="240" w:lineRule="auto"/>
                    <w:ind w:firstLine="0" w:firstLineChars="0"/>
                    <w:jc w:val="center"/>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3.永久基本农田集中区域禁止规划新建可能造成土壤污染的建设项目。涉及有毒有害物质可能造成土壤污染的新</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改、扩</w:t>
                  </w:r>
                  <w:r>
                    <w:rPr>
                      <w:rFonts w:hint="eastAsia" w:ascii="Calibri" w:hAnsi="Calibri" w:cs="Calibri"/>
                      <w:color w:val="auto"/>
                      <w:kern w:val="0"/>
                      <w:sz w:val="21"/>
                      <w:szCs w:val="21"/>
                      <w:lang w:eastAsia="zh-CN"/>
                    </w:rPr>
                    <w:t>）</w:t>
                  </w:r>
                  <w:r>
                    <w:rPr>
                      <w:rFonts w:hint="default" w:ascii="Calibri" w:hAnsi="Calibri" w:eastAsia="宋体" w:cs="Calibri"/>
                      <w:color w:val="auto"/>
                      <w:kern w:val="0"/>
                      <w:sz w:val="21"/>
                      <w:szCs w:val="21"/>
                    </w:rPr>
                    <w:t>建项目，提出并落实土壤和地下水污染防治要求。</w:t>
                  </w:r>
                </w:p>
                <w:p w14:paraId="0DF11996">
                  <w:pPr>
                    <w:spacing w:line="240" w:lineRule="auto"/>
                    <w:ind w:firstLine="0" w:firstLineChars="0"/>
                    <w:jc w:val="center"/>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4.严格执行畜禽养殖禁养区规定，根据区域用地和消纳水平，合理确定养殖规模。</w:t>
                  </w:r>
                </w:p>
                <w:p w14:paraId="2300342F">
                  <w:pPr>
                    <w:spacing w:line="240" w:lineRule="auto"/>
                    <w:ind w:firstLine="0" w:firstLineChars="0"/>
                    <w:jc w:val="center"/>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5.禁止向沙漠、滩涂、盐碱地、沼泽地等非法排污、倾倒有毒有害物质。</w:t>
                  </w:r>
                </w:p>
                <w:p w14:paraId="162A1482">
                  <w:pPr>
                    <w:spacing w:line="240" w:lineRule="auto"/>
                    <w:ind w:firstLine="0" w:firstLineChars="0"/>
                    <w:jc w:val="center"/>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6.禁止利用渗坑、裂隙、溶洞或者采用稀释等方法处置危险废物。</w:t>
                  </w:r>
                </w:p>
                <w:p w14:paraId="5B76E236">
                  <w:pPr>
                    <w:spacing w:line="240" w:lineRule="auto"/>
                    <w:ind w:firstLine="0" w:firstLineChars="0"/>
                    <w:jc w:val="center"/>
                    <w:rPr>
                      <w:rFonts w:hint="default" w:ascii="Calibri" w:hAnsi="Calibri" w:eastAsia="宋体" w:cs="Calibri"/>
                      <w:color w:val="auto"/>
                      <w:sz w:val="21"/>
                      <w:szCs w:val="21"/>
                      <w:lang w:val="en-US" w:eastAsia="zh-CN"/>
                    </w:rPr>
                  </w:pPr>
                  <w:r>
                    <w:rPr>
                      <w:rFonts w:hint="default" w:ascii="Calibri" w:hAnsi="Calibri" w:eastAsia="宋体" w:cs="Calibri"/>
                      <w:color w:val="auto"/>
                      <w:kern w:val="0"/>
                      <w:sz w:val="21"/>
                      <w:szCs w:val="21"/>
                    </w:rPr>
                    <w:t>7.金属和非金属矿山采选企业新建、改建、扩建执行《新疆维吾尔自治区重点行业环境准入条件（修订）》相关要求。</w:t>
                  </w:r>
                </w:p>
              </w:tc>
              <w:tc>
                <w:tcPr>
                  <w:tcW w:w="1195" w:type="pct"/>
                  <w:tcBorders>
                    <w:tl2br w:val="nil"/>
                    <w:tr2bl w:val="nil"/>
                  </w:tcBorders>
                  <w:noWrap w:val="0"/>
                  <w:vAlign w:val="center"/>
                </w:tcPr>
                <w:p w14:paraId="23E59430">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本项目不占用基本农田</w:t>
                  </w:r>
                  <w:r>
                    <w:rPr>
                      <w:rFonts w:hint="default" w:ascii="Calibri" w:hAnsi="Calibri" w:eastAsia="宋体" w:cs="Calibri"/>
                      <w:color w:val="auto"/>
                      <w:sz w:val="21"/>
                      <w:szCs w:val="21"/>
                      <w:lang w:eastAsia="zh-CN"/>
                    </w:rPr>
                    <w:t>。</w:t>
                  </w:r>
                  <w:r>
                    <w:rPr>
                      <w:rFonts w:hint="default" w:ascii="Calibri" w:hAnsi="Calibri" w:eastAsia="宋体" w:cs="Calibri"/>
                      <w:color w:val="auto"/>
                      <w:sz w:val="21"/>
                      <w:szCs w:val="21"/>
                      <w:lang w:val="en-US" w:eastAsia="zh-CN"/>
                    </w:rPr>
                    <w:t>本项目不属于新建矿山工程、不属于</w:t>
                  </w:r>
                  <w:r>
                    <w:rPr>
                      <w:rFonts w:hint="default" w:ascii="Calibri" w:hAnsi="Calibri" w:eastAsia="宋体" w:cs="Calibri"/>
                      <w:color w:val="auto"/>
                      <w:kern w:val="0"/>
                      <w:sz w:val="21"/>
                      <w:szCs w:val="21"/>
                    </w:rPr>
                    <w:t>畜禽养殖</w:t>
                  </w:r>
                  <w:r>
                    <w:rPr>
                      <w:rFonts w:hint="default" w:ascii="Calibri" w:hAnsi="Calibri" w:eastAsia="宋体" w:cs="Calibri"/>
                      <w:color w:val="auto"/>
                      <w:kern w:val="0"/>
                      <w:sz w:val="21"/>
                      <w:szCs w:val="21"/>
                      <w:lang w:val="en-US" w:eastAsia="zh-CN"/>
                    </w:rPr>
                    <w:t>业、不涉及施工废水外排。运营期危险废物有废电池和废变压器油，设置事故油池、</w:t>
                  </w:r>
                  <w:r>
                    <w:rPr>
                      <w:rFonts w:hint="eastAsia" w:ascii="Calibri" w:hAnsi="Calibri" w:cs="Calibri"/>
                      <w:color w:val="auto"/>
                      <w:kern w:val="0"/>
                      <w:sz w:val="21"/>
                      <w:szCs w:val="21"/>
                      <w:lang w:val="en-US" w:eastAsia="zh-CN"/>
                    </w:rPr>
                    <w:t>危险废物贮存库</w:t>
                  </w:r>
                  <w:r>
                    <w:rPr>
                      <w:rFonts w:hint="default" w:ascii="Calibri" w:hAnsi="Calibri" w:eastAsia="宋体" w:cs="Calibri"/>
                      <w:color w:val="auto"/>
                      <w:kern w:val="0"/>
                      <w:sz w:val="21"/>
                      <w:szCs w:val="21"/>
                      <w:lang w:val="en-US" w:eastAsia="zh-CN"/>
                    </w:rPr>
                    <w:t>，做防渗处理后暂时存放危废，定期交由有资质单位处置。</w:t>
                  </w:r>
                </w:p>
              </w:tc>
              <w:tc>
                <w:tcPr>
                  <w:tcW w:w="384" w:type="pct"/>
                  <w:tcBorders>
                    <w:tl2br w:val="nil"/>
                    <w:tr2bl w:val="nil"/>
                  </w:tcBorders>
                  <w:noWrap w:val="0"/>
                  <w:vAlign w:val="center"/>
                </w:tcPr>
                <w:p w14:paraId="5DC07213">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rPr>
                    <w:t>符合</w:t>
                  </w:r>
                </w:p>
              </w:tc>
            </w:tr>
            <w:tr w14:paraId="0A6F64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0" w:hRule="atLeast"/>
                <w:jc w:val="center"/>
              </w:trPr>
              <w:tc>
                <w:tcPr>
                  <w:tcW w:w="445" w:type="pct"/>
                  <w:tcBorders>
                    <w:tl2br w:val="nil"/>
                    <w:tr2bl w:val="nil"/>
                  </w:tcBorders>
                  <w:noWrap w:val="0"/>
                  <w:vAlign w:val="center"/>
                </w:tcPr>
                <w:p w14:paraId="7B9FFF04">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rPr>
                    <w:t>污染物排放管控</w:t>
                  </w:r>
                </w:p>
              </w:tc>
              <w:tc>
                <w:tcPr>
                  <w:tcW w:w="4088" w:type="dxa"/>
                  <w:tcBorders>
                    <w:tl2br w:val="nil"/>
                    <w:tr2bl w:val="nil"/>
                  </w:tcBorders>
                  <w:noWrap w:val="0"/>
                  <w:vAlign w:val="center"/>
                </w:tcPr>
                <w:p w14:paraId="7FC378FF">
                  <w:pPr>
                    <w:spacing w:line="240" w:lineRule="auto"/>
                    <w:ind w:firstLine="0" w:firstLineChars="0"/>
                    <w:jc w:val="center"/>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1.强化畜禽粪污资源化利用，改善养殖场通风环境，提高畜禽粪污综合利用率，减少氨挥发排放。鼓励和支持散养密集区实行畜禽粪污分户收集、集中处理。</w:t>
                  </w:r>
                </w:p>
                <w:p w14:paraId="0539807C">
                  <w:pPr>
                    <w:spacing w:line="240" w:lineRule="auto"/>
                    <w:ind w:firstLine="0" w:firstLineChars="0"/>
                    <w:jc w:val="center"/>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2.严格控制林地、草地、园地农药使用量，禁止使用高毒、高残留农药。</w:t>
                  </w:r>
                </w:p>
                <w:p w14:paraId="18C32F31">
                  <w:pPr>
                    <w:spacing w:line="240" w:lineRule="auto"/>
                    <w:ind w:firstLine="0" w:firstLineChars="0"/>
                    <w:jc w:val="center"/>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3.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完善秸秆收储运用体系，形成布局合理、多元利用的秸秆综合利用格局。</w:t>
                  </w:r>
                </w:p>
                <w:p w14:paraId="7BD401AF">
                  <w:pPr>
                    <w:spacing w:line="240" w:lineRule="auto"/>
                    <w:ind w:firstLine="0" w:firstLineChars="0"/>
                    <w:jc w:val="center"/>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4.对化学品生产企业、工业集聚区、尾矿库、矿山开采区、危险废物处置场、垃圾填埋场等地下水污染源及周边区域，逐步开展地下水环境状况调查评估，加强风险管控。</w:t>
                  </w:r>
                </w:p>
                <w:p w14:paraId="35505107">
                  <w:pPr>
                    <w:spacing w:line="240" w:lineRule="auto"/>
                    <w:ind w:firstLine="0" w:firstLineChars="0"/>
                    <w:jc w:val="center"/>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5.严控土壤重金属污染，加强油（气）田开发土壤污染防治，以历史遗留工业企业污染场地为重点，开展土壤污染风险管控与修复工程。</w:t>
                  </w:r>
                </w:p>
                <w:p w14:paraId="44AB5504">
                  <w:pPr>
                    <w:spacing w:line="240" w:lineRule="auto"/>
                    <w:ind w:firstLine="0" w:firstLineChars="0"/>
                    <w:jc w:val="center"/>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6.因地制宜推进农村厕所革命，分类分区推进农村生活污水治理，全面提升农村生活垃圾治理水平，建立健全农村人居环境长效管护机制。实施化肥农药减量增效行动和农膜回收、秸秆综合利用行动。加强种养结合，整县推进畜禽粪污资源化利用。</w:t>
                  </w:r>
                </w:p>
                <w:p w14:paraId="3898F6F4">
                  <w:pPr>
                    <w:spacing w:line="240" w:lineRule="auto"/>
                    <w:ind w:firstLine="0" w:firstLineChars="0"/>
                    <w:jc w:val="center"/>
                    <w:rPr>
                      <w:rFonts w:hint="default" w:ascii="Calibri" w:hAnsi="Calibri" w:eastAsia="宋体" w:cs="Calibri"/>
                      <w:color w:val="auto"/>
                      <w:sz w:val="21"/>
                      <w:szCs w:val="21"/>
                    </w:rPr>
                  </w:pPr>
                  <w:r>
                    <w:rPr>
                      <w:rFonts w:hint="default" w:ascii="Calibri" w:hAnsi="Calibri" w:eastAsia="宋体" w:cs="Calibri"/>
                      <w:color w:val="auto"/>
                      <w:kern w:val="0"/>
                      <w:sz w:val="21"/>
                      <w:szCs w:val="21"/>
                    </w:rPr>
                    <w:t>7.矿山采选污染物排放执行相应行业标准。稳步推进废水循环利用技术改造升级。采选产生废水排放有行业标准的执行行业标准，否则执行《污水综合排放标准》（GB8978）。采选活动矿石转运、破碎、筛分等粉尘产生工序，应配备抑尘、除尘设备，除尘效率不低于99%，有效控制无组织粉尘排放。采选矿各环节废气排放有行业标准的执行行业标准，否则执行《大气污染物综合排放标准》（GB16297）。一般固体废弃物应根据《</w:t>
                  </w:r>
                  <w:r>
                    <w:rPr>
                      <w:rFonts w:hint="default" w:ascii="Calibri" w:hAnsi="Calibri" w:eastAsia="宋体" w:cs="Calibri"/>
                      <w:color w:val="auto"/>
                      <w:kern w:val="0"/>
                      <w:sz w:val="21"/>
                      <w:szCs w:val="21"/>
                      <w:lang w:eastAsia="zh-CN"/>
                    </w:rPr>
                    <w:t>一般工业固体废物贮存和填埋污染控制标准</w:t>
                  </w:r>
                  <w:r>
                    <w:rPr>
                      <w:rFonts w:hint="default" w:ascii="Calibri" w:hAnsi="Calibri" w:eastAsia="宋体" w:cs="Calibri"/>
                      <w:color w:val="auto"/>
                      <w:kern w:val="0"/>
                      <w:sz w:val="21"/>
                      <w:szCs w:val="21"/>
                    </w:rPr>
                    <w:t>》（</w:t>
                  </w:r>
                  <w:r>
                    <w:rPr>
                      <w:rFonts w:hint="default" w:ascii="Calibri" w:hAnsi="Calibri" w:eastAsia="宋体" w:cs="Calibri"/>
                      <w:color w:val="auto"/>
                      <w:kern w:val="0"/>
                      <w:sz w:val="21"/>
                      <w:szCs w:val="21"/>
                      <w:lang w:eastAsia="zh-CN"/>
                    </w:rPr>
                    <w:t>GB 18599-2020</w:t>
                  </w:r>
                  <w:r>
                    <w:rPr>
                      <w:rFonts w:hint="default" w:ascii="Calibri" w:hAnsi="Calibri" w:eastAsia="宋体" w:cs="Calibri"/>
                      <w:color w:val="auto"/>
                      <w:kern w:val="0"/>
                      <w:sz w:val="21"/>
                      <w:szCs w:val="21"/>
                    </w:rPr>
                    <w:t>）进行管理，属危险废物的按危险废物相关要求依法进行管理，其贮存设施须符合《危险废物贮存污染控制标准》（GB18597）。矿山生态环境保护和恢复要达到《</w:t>
                  </w:r>
                  <w:r>
                    <w:rPr>
                      <w:rFonts w:hint="default" w:ascii="Calibri" w:hAnsi="Calibri" w:eastAsia="宋体" w:cs="Calibri"/>
                      <w:color w:val="auto"/>
                      <w:kern w:val="0"/>
                      <w:sz w:val="21"/>
                      <w:szCs w:val="21"/>
                      <w:lang w:eastAsia="zh-CN"/>
                    </w:rPr>
                    <w:t>矿山生态环境保护与恢复治理技术规范（试行）</w:t>
                  </w:r>
                  <w:r>
                    <w:rPr>
                      <w:rFonts w:hint="default" w:ascii="Calibri" w:hAnsi="Calibri" w:eastAsia="宋体" w:cs="Calibri"/>
                      <w:color w:val="auto"/>
                      <w:kern w:val="0"/>
                      <w:sz w:val="21"/>
                      <w:szCs w:val="21"/>
                    </w:rPr>
                    <w:t>》（</w:t>
                  </w:r>
                  <w:r>
                    <w:rPr>
                      <w:rFonts w:hint="default" w:ascii="Calibri" w:hAnsi="Calibri" w:eastAsia="宋体" w:cs="Calibri"/>
                      <w:color w:val="auto"/>
                      <w:kern w:val="0"/>
                      <w:sz w:val="21"/>
                      <w:szCs w:val="21"/>
                      <w:lang w:eastAsia="zh-CN"/>
                    </w:rPr>
                    <w:t>HJ 651-2013</w:t>
                  </w:r>
                  <w:r>
                    <w:rPr>
                      <w:rFonts w:hint="default" w:ascii="Calibri" w:hAnsi="Calibri" w:eastAsia="宋体" w:cs="Calibri"/>
                      <w:color w:val="auto"/>
                      <w:kern w:val="0"/>
                      <w:sz w:val="21"/>
                      <w:szCs w:val="21"/>
                    </w:rPr>
                    <w:t>）及其他有关环保法律法规的相关要求。</w:t>
                  </w:r>
                </w:p>
              </w:tc>
              <w:tc>
                <w:tcPr>
                  <w:tcW w:w="1195" w:type="pct"/>
                  <w:tcBorders>
                    <w:tl2br w:val="nil"/>
                    <w:tr2bl w:val="nil"/>
                  </w:tcBorders>
                  <w:noWrap w:val="0"/>
                  <w:vAlign w:val="center"/>
                </w:tcPr>
                <w:p w14:paraId="3C08DA50">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项目不涉及畜禽粪的排放；不属于种植业；不属于化工行业；不涉及重金属污染；不属于农业项目；不属于矿山开采项目；</w:t>
                  </w:r>
                  <w:r>
                    <w:rPr>
                      <w:rFonts w:hint="default" w:ascii="Calibri" w:hAnsi="Calibri" w:eastAsia="宋体" w:cs="Calibri"/>
                      <w:color w:val="auto"/>
                      <w:kern w:val="0"/>
                      <w:sz w:val="21"/>
                      <w:szCs w:val="21"/>
                      <w:lang w:val="en-US" w:eastAsia="zh-CN"/>
                    </w:rPr>
                    <w:t>本项目变电站设置</w:t>
                  </w:r>
                  <w:r>
                    <w:rPr>
                      <w:rFonts w:hint="default" w:ascii="Calibri" w:hAnsi="Calibri" w:eastAsia="宋体" w:cs="Calibri"/>
                      <w:color w:val="auto"/>
                      <w:sz w:val="21"/>
                      <w:szCs w:val="21"/>
                    </w:rPr>
                    <w:t>事故油池</w:t>
                  </w:r>
                  <w:r>
                    <w:rPr>
                      <w:rFonts w:hint="default" w:ascii="Calibri" w:hAnsi="Calibri" w:eastAsia="宋体" w:cs="Calibri"/>
                      <w:color w:val="auto"/>
                      <w:sz w:val="21"/>
                      <w:szCs w:val="21"/>
                      <w:lang w:eastAsia="zh-CN"/>
                    </w:rPr>
                    <w:t>、</w:t>
                  </w:r>
                  <w:r>
                    <w:rPr>
                      <w:rFonts w:hint="eastAsia" w:ascii="Calibri" w:hAnsi="Calibri" w:cs="Calibri"/>
                      <w:color w:val="auto"/>
                      <w:sz w:val="21"/>
                      <w:szCs w:val="21"/>
                      <w:lang w:val="en-US" w:eastAsia="zh-CN"/>
                    </w:rPr>
                    <w:t>危险废物贮存库</w:t>
                  </w:r>
                  <w:r>
                    <w:rPr>
                      <w:rFonts w:hint="default" w:ascii="Calibri" w:hAnsi="Calibri" w:eastAsia="宋体" w:cs="Calibri"/>
                      <w:color w:val="auto"/>
                      <w:sz w:val="21"/>
                      <w:szCs w:val="21"/>
                      <w:lang w:eastAsia="zh-CN"/>
                    </w:rPr>
                    <w:t>，</w:t>
                  </w:r>
                  <w:r>
                    <w:rPr>
                      <w:rFonts w:hint="default" w:ascii="Calibri" w:hAnsi="Calibri" w:eastAsia="宋体" w:cs="Calibri"/>
                      <w:color w:val="auto"/>
                      <w:sz w:val="21"/>
                      <w:szCs w:val="21"/>
                    </w:rPr>
                    <w:t>防渗层为至少1m厚粘土层（渗透系数≤10</w:t>
                  </w:r>
                  <w:r>
                    <w:rPr>
                      <w:rFonts w:hint="eastAsia" w:ascii="Calibri" w:hAnsi="Calibri" w:cs="Calibri"/>
                      <w:color w:val="auto"/>
                      <w:sz w:val="21"/>
                      <w:szCs w:val="21"/>
                      <w:vertAlign w:val="superscript"/>
                      <w:lang w:eastAsia="zh-CN"/>
                    </w:rPr>
                    <w:t>-</w:t>
                  </w:r>
                  <w:r>
                    <w:rPr>
                      <w:rFonts w:hint="default" w:ascii="Calibri" w:hAnsi="Calibri" w:eastAsia="宋体" w:cs="Calibri"/>
                      <w:color w:val="auto"/>
                      <w:sz w:val="21"/>
                      <w:szCs w:val="21"/>
                      <w:vertAlign w:val="superscript"/>
                    </w:rPr>
                    <w:t>7</w:t>
                  </w:r>
                  <w:r>
                    <w:rPr>
                      <w:rFonts w:hint="default" w:ascii="Calibri" w:hAnsi="Calibri" w:eastAsia="宋体" w:cs="Calibri"/>
                      <w:color w:val="auto"/>
                      <w:sz w:val="21"/>
                      <w:szCs w:val="21"/>
                    </w:rPr>
                    <w:t>cm/s），或2mm厚高密度聚乙烯，或至少2mm厚的其他人工材料，渗透系数≤10</w:t>
                  </w:r>
                  <w:r>
                    <w:rPr>
                      <w:rFonts w:hint="eastAsia" w:ascii="Calibri" w:hAnsi="Calibri" w:cs="Calibri"/>
                      <w:color w:val="auto"/>
                      <w:sz w:val="21"/>
                      <w:szCs w:val="21"/>
                      <w:vertAlign w:val="superscript"/>
                      <w:lang w:eastAsia="zh-CN"/>
                    </w:rPr>
                    <w:t>-</w:t>
                  </w:r>
                  <w:r>
                    <w:rPr>
                      <w:rFonts w:hint="default" w:ascii="Calibri" w:hAnsi="Calibri" w:eastAsia="宋体" w:cs="Calibri"/>
                      <w:color w:val="auto"/>
                      <w:sz w:val="21"/>
                      <w:szCs w:val="21"/>
                      <w:vertAlign w:val="superscript"/>
                    </w:rPr>
                    <w:t>10</w:t>
                  </w:r>
                  <w:r>
                    <w:rPr>
                      <w:rFonts w:hint="default" w:ascii="Calibri" w:hAnsi="Calibri" w:eastAsia="宋体" w:cs="Calibri"/>
                      <w:color w:val="auto"/>
                      <w:sz w:val="21"/>
                      <w:szCs w:val="21"/>
                    </w:rPr>
                    <w:t>cm/s，综合防渗措施能满足《危险废物贮存污染控制标准》（GB18597-20</w:t>
                  </w:r>
                  <w:r>
                    <w:rPr>
                      <w:rFonts w:hint="default" w:ascii="Calibri" w:hAnsi="Calibri" w:eastAsia="宋体" w:cs="Calibri"/>
                      <w:color w:val="auto"/>
                      <w:sz w:val="21"/>
                      <w:szCs w:val="21"/>
                      <w:lang w:val="en-US" w:eastAsia="zh-CN"/>
                    </w:rPr>
                    <w:t>23</w:t>
                  </w:r>
                  <w:r>
                    <w:rPr>
                      <w:rFonts w:hint="default" w:ascii="Calibri" w:hAnsi="Calibri" w:eastAsia="宋体" w:cs="Calibri"/>
                      <w:color w:val="auto"/>
                      <w:sz w:val="21"/>
                      <w:szCs w:val="21"/>
                    </w:rPr>
                    <w:t>）。</w:t>
                  </w:r>
                  <w:r>
                    <w:rPr>
                      <w:rFonts w:hint="default" w:ascii="Calibri" w:hAnsi="Calibri" w:eastAsia="宋体" w:cs="Calibri"/>
                      <w:color w:val="auto"/>
                      <w:sz w:val="21"/>
                      <w:szCs w:val="21"/>
                      <w:lang w:val="en-US" w:eastAsia="zh-CN"/>
                    </w:rPr>
                    <w:t>采取上述防渗措施可预防变电站事故废油泄漏对土壤、地下水造成污染。</w:t>
                  </w:r>
                </w:p>
              </w:tc>
              <w:tc>
                <w:tcPr>
                  <w:tcW w:w="384" w:type="pct"/>
                  <w:tcBorders>
                    <w:tl2br w:val="nil"/>
                    <w:tr2bl w:val="nil"/>
                  </w:tcBorders>
                  <w:noWrap w:val="0"/>
                  <w:vAlign w:val="center"/>
                </w:tcPr>
                <w:p w14:paraId="3601E423">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符合</w:t>
                  </w:r>
                </w:p>
              </w:tc>
            </w:tr>
            <w:tr w14:paraId="1FFD60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0" w:hRule="atLeast"/>
                <w:jc w:val="center"/>
              </w:trPr>
              <w:tc>
                <w:tcPr>
                  <w:tcW w:w="445" w:type="pct"/>
                  <w:tcBorders>
                    <w:tl2br w:val="nil"/>
                    <w:tr2bl w:val="nil"/>
                  </w:tcBorders>
                  <w:noWrap w:val="0"/>
                  <w:vAlign w:val="center"/>
                </w:tcPr>
                <w:p w14:paraId="32364564">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环境风险防控</w:t>
                  </w:r>
                </w:p>
              </w:tc>
              <w:tc>
                <w:tcPr>
                  <w:tcW w:w="4088" w:type="dxa"/>
                  <w:tcBorders>
                    <w:tl2br w:val="nil"/>
                    <w:tr2bl w:val="nil"/>
                  </w:tcBorders>
                  <w:noWrap w:val="0"/>
                  <w:vAlign w:val="center"/>
                </w:tcPr>
                <w:p w14:paraId="320A5F74">
                  <w:pPr>
                    <w:spacing w:line="240" w:lineRule="auto"/>
                    <w:ind w:firstLine="0" w:firstLineChars="0"/>
                    <w:jc w:val="center"/>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1.加强对矿山、油田等矿产资源开采影响区域内未利用地的环境监管，发现土壤污染问题的，要坚决查处，并及时督促有关单位采取有效防治措施消除或减轻污染。</w:t>
                  </w:r>
                </w:p>
                <w:p w14:paraId="49579387">
                  <w:pPr>
                    <w:spacing w:line="240" w:lineRule="auto"/>
                    <w:ind w:firstLine="0" w:firstLineChars="0"/>
                    <w:jc w:val="center"/>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2.对排查出的危库和病库以及风险评估有严重环境安全隐患的尾矿库，要求企业完善污染治理设施、进行治理和修复。全面整治历史遗留尾矿库，完善覆膜、压土、排洪、堤坝加固等隐患治理和闭库措施。</w:t>
                  </w:r>
                </w:p>
                <w:p w14:paraId="0444A1C2">
                  <w:pPr>
                    <w:spacing w:line="240" w:lineRule="auto"/>
                    <w:ind w:firstLine="0" w:firstLineChars="0"/>
                    <w:jc w:val="center"/>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3.依法推行农用地分类管理制度，强化受污染耕地安全利用和风险管控。因地制宜制定实施安全利用方案，鼓励采取种植结构调整等措施，确保受污染耕地全部实现安全利用。</w:t>
                  </w:r>
                </w:p>
                <w:p w14:paraId="3C9E09FD">
                  <w:pPr>
                    <w:spacing w:line="240" w:lineRule="auto"/>
                    <w:ind w:firstLine="0" w:firstLineChars="0"/>
                    <w:jc w:val="center"/>
                    <w:rPr>
                      <w:rFonts w:hint="default" w:ascii="Calibri" w:hAnsi="Calibri" w:eastAsia="宋体" w:cs="Calibri"/>
                      <w:color w:val="auto"/>
                      <w:sz w:val="21"/>
                      <w:szCs w:val="21"/>
                      <w:lang w:val="en-US" w:eastAsia="zh-CN"/>
                    </w:rPr>
                  </w:pPr>
                  <w:r>
                    <w:rPr>
                      <w:rFonts w:hint="default" w:ascii="Calibri" w:hAnsi="Calibri" w:eastAsia="宋体" w:cs="Calibri"/>
                      <w:color w:val="auto"/>
                      <w:kern w:val="0"/>
                      <w:sz w:val="21"/>
                      <w:szCs w:val="21"/>
                    </w:rPr>
                    <w:t>4.定期对企业及周边土壤进行监测；对不符合法律法规和相关标准要求的，应当根据监测结果，要求运营单位采取相应改进措施。土壤环境监管重点行业企业拆除生产设施设备、构筑物和污染治理设施，要事先制定残留污染物清理和安全处置方案，并报所在地县级生态环境、工业和信息化部门备案；要严格按照有关规定实施安全处理处置，防范拆除活动污染土壤。</w:t>
                  </w:r>
                </w:p>
              </w:tc>
              <w:tc>
                <w:tcPr>
                  <w:tcW w:w="1195" w:type="pct"/>
                  <w:tcBorders>
                    <w:tl2br w:val="nil"/>
                    <w:tr2bl w:val="nil"/>
                  </w:tcBorders>
                  <w:noWrap w:val="0"/>
                  <w:vAlign w:val="center"/>
                </w:tcPr>
                <w:p w14:paraId="0C6CAD7A">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本项目为电力基础设施建设项目，不涉及制药、化工、造纸、采选、制革、印染、电镀、农药等重点行业企业。</w:t>
                  </w:r>
                </w:p>
              </w:tc>
              <w:tc>
                <w:tcPr>
                  <w:tcW w:w="384" w:type="pct"/>
                  <w:tcBorders>
                    <w:tl2br w:val="nil"/>
                    <w:tr2bl w:val="nil"/>
                  </w:tcBorders>
                  <w:noWrap w:val="0"/>
                  <w:vAlign w:val="center"/>
                </w:tcPr>
                <w:p w14:paraId="6E5EEC31">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符合</w:t>
                  </w:r>
                </w:p>
              </w:tc>
            </w:tr>
            <w:tr w14:paraId="36C16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445" w:type="pct"/>
                  <w:tcBorders>
                    <w:tl2br w:val="nil"/>
                    <w:tr2bl w:val="nil"/>
                  </w:tcBorders>
                  <w:noWrap w:val="0"/>
                  <w:vAlign w:val="center"/>
                </w:tcPr>
                <w:p w14:paraId="4D139C66">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资源利用效率</w:t>
                  </w:r>
                </w:p>
              </w:tc>
              <w:tc>
                <w:tcPr>
                  <w:tcW w:w="4088" w:type="dxa"/>
                  <w:tcBorders>
                    <w:tl2br w:val="nil"/>
                    <w:tr2bl w:val="nil"/>
                  </w:tcBorders>
                  <w:noWrap w:val="0"/>
                  <w:vAlign w:val="center"/>
                </w:tcPr>
                <w:p w14:paraId="75C8F5E7">
                  <w:pPr>
                    <w:spacing w:line="240" w:lineRule="auto"/>
                    <w:ind w:firstLine="0" w:firstLineChars="0"/>
                    <w:jc w:val="center"/>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1.全面推进秸秆综合利用，鼓励秸秆资源化、饲料化、肥料化利用，推动秸秆还田与离田收集。</w:t>
                  </w:r>
                </w:p>
                <w:p w14:paraId="63C2B849">
                  <w:pPr>
                    <w:spacing w:line="240" w:lineRule="auto"/>
                    <w:ind w:firstLine="0" w:firstLineChars="0"/>
                    <w:jc w:val="center"/>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2.减少化肥农药使用量，增加有机肥使用量，实现化肥农药使用量负增长。</w:t>
                  </w:r>
                </w:p>
                <w:p w14:paraId="534E085D">
                  <w:pPr>
                    <w:spacing w:line="240" w:lineRule="auto"/>
                    <w:ind w:firstLine="0" w:firstLineChars="0"/>
                    <w:jc w:val="center"/>
                    <w:rPr>
                      <w:rFonts w:hint="default" w:ascii="Calibri" w:hAnsi="Calibri" w:eastAsia="宋体" w:cs="Calibri"/>
                      <w:color w:val="auto"/>
                      <w:kern w:val="0"/>
                      <w:sz w:val="21"/>
                      <w:szCs w:val="21"/>
                    </w:rPr>
                  </w:pPr>
                  <w:r>
                    <w:rPr>
                      <w:rFonts w:hint="default" w:ascii="Calibri" w:hAnsi="Calibri" w:eastAsia="宋体" w:cs="Calibri"/>
                      <w:color w:val="auto"/>
                      <w:kern w:val="0"/>
                      <w:sz w:val="21"/>
                      <w:szCs w:val="21"/>
                    </w:rPr>
                    <w:t>3.推广渠道防渗、管道输水、喷灌、微灌等节水灌溉技术，完善灌溉用水计量设施。推进规模化高效节水灌溉，推广农作物节水抗旱技术。建立灌区墒情测报网络，提高农业用水效率，降低农业用水比重。</w:t>
                  </w:r>
                </w:p>
                <w:p w14:paraId="695816D5">
                  <w:pPr>
                    <w:spacing w:line="240" w:lineRule="auto"/>
                    <w:ind w:firstLine="0" w:firstLineChars="0"/>
                    <w:jc w:val="center"/>
                    <w:rPr>
                      <w:rFonts w:hint="default" w:ascii="Calibri" w:hAnsi="Calibri" w:eastAsia="宋体" w:cs="Calibri"/>
                      <w:color w:val="auto"/>
                      <w:sz w:val="21"/>
                      <w:szCs w:val="21"/>
                      <w:lang w:val="en-US" w:eastAsia="zh-CN"/>
                    </w:rPr>
                  </w:pPr>
                  <w:r>
                    <w:rPr>
                      <w:rFonts w:hint="default" w:ascii="Calibri" w:hAnsi="Calibri" w:eastAsia="宋体" w:cs="Calibri"/>
                      <w:color w:val="auto"/>
                      <w:kern w:val="0"/>
                      <w:sz w:val="21"/>
                      <w:szCs w:val="21"/>
                    </w:rPr>
                    <w:t>4.废石综合回用、尾矿砂利用率参考《新疆维吾尔自治区重点行业环境准入条件（修订）》等相关文件要求。</w:t>
                  </w:r>
                </w:p>
              </w:tc>
              <w:tc>
                <w:tcPr>
                  <w:tcW w:w="1195" w:type="pct"/>
                  <w:tcBorders>
                    <w:tl2br w:val="nil"/>
                    <w:tr2bl w:val="nil"/>
                  </w:tcBorders>
                  <w:noWrap w:val="0"/>
                  <w:vAlign w:val="center"/>
                </w:tcPr>
                <w:p w14:paraId="1E012E75">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本项目属于</w:t>
                  </w:r>
                  <w:r>
                    <w:rPr>
                      <w:rFonts w:hint="default" w:ascii="Calibri" w:hAnsi="Calibri" w:eastAsia="宋体" w:cs="Calibri"/>
                      <w:color w:val="auto"/>
                      <w:kern w:val="0"/>
                      <w:sz w:val="21"/>
                      <w:szCs w:val="21"/>
                    </w:rPr>
                    <w:t>输变电</w:t>
                  </w:r>
                  <w:r>
                    <w:rPr>
                      <w:rFonts w:hint="default" w:ascii="Calibri" w:hAnsi="Calibri" w:eastAsia="宋体" w:cs="Calibri"/>
                      <w:color w:val="auto"/>
                      <w:kern w:val="0"/>
                      <w:sz w:val="21"/>
                      <w:szCs w:val="21"/>
                      <w:lang w:val="en-US" w:eastAsia="zh-CN"/>
                    </w:rPr>
                    <w:t>工程</w:t>
                  </w:r>
                  <w:r>
                    <w:rPr>
                      <w:rFonts w:hint="default" w:ascii="Calibri" w:hAnsi="Calibri" w:eastAsia="宋体" w:cs="Calibri"/>
                      <w:color w:val="auto"/>
                      <w:sz w:val="21"/>
                      <w:szCs w:val="21"/>
                      <w:lang w:val="en-US" w:eastAsia="zh-CN"/>
                    </w:rPr>
                    <w:t>。不涉及</w:t>
                  </w:r>
                  <w:r>
                    <w:rPr>
                      <w:rFonts w:hint="default" w:ascii="Calibri" w:hAnsi="Calibri" w:eastAsia="宋体" w:cs="Calibri"/>
                      <w:color w:val="auto"/>
                      <w:kern w:val="0"/>
                      <w:sz w:val="21"/>
                      <w:szCs w:val="21"/>
                    </w:rPr>
                    <w:t>秸秆综合利用</w:t>
                  </w:r>
                  <w:r>
                    <w:rPr>
                      <w:rFonts w:hint="default" w:ascii="Calibri" w:hAnsi="Calibri" w:eastAsia="宋体" w:cs="Calibri"/>
                      <w:color w:val="auto"/>
                      <w:sz w:val="21"/>
                      <w:szCs w:val="21"/>
                      <w:lang w:val="en-US" w:eastAsia="zh-CN"/>
                    </w:rPr>
                    <w:t>、不涉及废石及尾矿砂。</w:t>
                  </w:r>
                </w:p>
              </w:tc>
              <w:tc>
                <w:tcPr>
                  <w:tcW w:w="384" w:type="pct"/>
                  <w:tcBorders>
                    <w:tl2br w:val="nil"/>
                    <w:tr2bl w:val="nil"/>
                  </w:tcBorders>
                  <w:noWrap w:val="0"/>
                  <w:vAlign w:val="center"/>
                </w:tcPr>
                <w:p w14:paraId="6C0D0363">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w:t>
                  </w:r>
                </w:p>
              </w:tc>
            </w:tr>
          </w:tbl>
          <w:p w14:paraId="02E99BDB">
            <w:pPr>
              <w:pStyle w:val="10"/>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default" w:ascii="Calibri" w:hAnsi="Calibri" w:eastAsia="宋体" w:cs="Calibri"/>
                <w:color w:val="auto"/>
                <w:sz w:val="24"/>
                <w:szCs w:val="24"/>
                <w:lang w:val="en-US" w:eastAsia="zh-CN"/>
              </w:rPr>
            </w:pPr>
            <w:r>
              <w:rPr>
                <w:rFonts w:hint="default" w:ascii="Calibri" w:hAnsi="Calibri" w:eastAsia="宋体" w:cs="Calibri"/>
                <w:color w:val="auto"/>
                <w:sz w:val="24"/>
                <w:szCs w:val="24"/>
                <w:lang w:val="en-US" w:eastAsia="zh-CN"/>
              </w:rPr>
              <w:t>综上所述，本项目与《巴音郭楞蒙古自治州“三线一单”生态环境分区管控动态更新成果（2023）》（巴政办发〔2024〕32号）中“若羌县生态环境准入清单”相关要求相符。</w:t>
            </w:r>
          </w:p>
          <w:p w14:paraId="668054B8">
            <w:pPr>
              <w:pStyle w:val="36"/>
              <w:keepNext w:val="0"/>
              <w:keepLines w:val="0"/>
              <w:pageBreakBefore w:val="0"/>
              <w:widowControl w:val="0"/>
              <w:kinsoku/>
              <w:wordWrap/>
              <w:overflowPunct/>
              <w:topLinePunct w:val="0"/>
              <w:bidi w:val="0"/>
              <w:spacing w:line="520" w:lineRule="exact"/>
              <w:ind w:firstLine="482" w:firstLineChars="200"/>
              <w:textAlignment w:val="auto"/>
              <w:rPr>
                <w:rFonts w:hint="default" w:ascii="Calibri" w:hAnsi="Calibri" w:eastAsia="宋体" w:cs="Calibri"/>
                <w:color w:val="auto"/>
                <w:sz w:val="24"/>
                <w:szCs w:val="24"/>
                <w:lang w:val="en-US" w:eastAsia="zh-CN"/>
              </w:rPr>
            </w:pPr>
            <w:r>
              <w:rPr>
                <w:rFonts w:hint="eastAsia" w:ascii="Calibri" w:hAnsi="Calibri" w:cs="Calibri"/>
                <w:color w:val="auto"/>
                <w:sz w:val="24"/>
                <w:szCs w:val="24"/>
                <w:lang w:val="en-US" w:eastAsia="zh-CN"/>
              </w:rPr>
              <w:t>3、</w:t>
            </w:r>
            <w:r>
              <w:rPr>
                <w:rFonts w:hint="default" w:ascii="Calibri" w:hAnsi="Calibri" w:eastAsia="宋体" w:cs="Calibri"/>
                <w:color w:val="auto"/>
                <w:sz w:val="24"/>
                <w:szCs w:val="24"/>
                <w:lang w:val="en-US" w:eastAsia="zh-CN"/>
              </w:rPr>
              <w:t>与《输变电建设项目环境保护技术要求》（HJ1113-2020）相关要求的符合性</w:t>
            </w:r>
          </w:p>
          <w:p w14:paraId="50CB99E4">
            <w:pPr>
              <w:pStyle w:val="10"/>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default" w:ascii="Calibri" w:hAnsi="Calibri" w:eastAsia="宋体" w:cs="Calibri"/>
                <w:color w:val="auto"/>
                <w:sz w:val="24"/>
                <w:szCs w:val="24"/>
                <w:lang w:val="en-US" w:eastAsia="zh-CN"/>
              </w:rPr>
            </w:pPr>
            <w:r>
              <w:rPr>
                <w:rFonts w:hint="default" w:ascii="Calibri" w:hAnsi="Calibri" w:eastAsia="宋体" w:cs="Calibri"/>
                <w:color w:val="auto"/>
                <w:sz w:val="24"/>
                <w:szCs w:val="24"/>
                <w:lang w:val="en-US" w:eastAsia="zh-CN"/>
              </w:rPr>
              <w:t>根据《输变电建设项目环境保护技术要求》（HJ1113-2020）中选址选线、设计等相关要求，对比分析相关符合性分析：</w:t>
            </w:r>
          </w:p>
          <w:p w14:paraId="24828EB3">
            <w:pPr>
              <w:pStyle w:val="10"/>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Calibri" w:hAnsi="Calibri" w:eastAsia="宋体" w:cs="Calibri"/>
                <w:color w:val="auto"/>
                <w:sz w:val="24"/>
                <w:szCs w:val="24"/>
                <w:lang w:val="en-US" w:eastAsia="zh-CN"/>
              </w:rPr>
            </w:pPr>
            <w:r>
              <w:rPr>
                <w:rFonts w:hint="default" w:ascii="Calibri" w:hAnsi="Calibri" w:eastAsia="宋体" w:cs="Calibri"/>
                <w:b/>
                <w:bCs/>
                <w:color w:val="auto"/>
                <w:sz w:val="24"/>
                <w:szCs w:val="24"/>
                <w:lang w:val="en-US" w:eastAsia="zh-CN"/>
              </w:rPr>
              <w:t>表1-5    本项目与《输变电建设项目环境保护技术要求》符合性分析</w:t>
            </w:r>
          </w:p>
          <w:tbl>
            <w:tblPr>
              <w:tblStyle w:val="22"/>
              <w:tblW w:w="498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57"/>
              <w:gridCol w:w="520"/>
              <w:gridCol w:w="3607"/>
              <w:gridCol w:w="1789"/>
              <w:gridCol w:w="582"/>
            </w:tblGrid>
            <w:tr w14:paraId="7FA9F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9" w:hRule="atLeast"/>
                <w:jc w:val="center"/>
              </w:trPr>
              <w:tc>
                <w:tcPr>
                  <w:tcW w:w="260" w:type="pct"/>
                  <w:tcBorders>
                    <w:tl2br w:val="nil"/>
                    <w:tr2bl w:val="nil"/>
                  </w:tcBorders>
                  <w:noWrap w:val="0"/>
                  <w:vAlign w:val="center"/>
                </w:tcPr>
                <w:p w14:paraId="75B8A699">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rPr>
                    <w:t>序号</w:t>
                  </w:r>
                </w:p>
              </w:tc>
              <w:tc>
                <w:tcPr>
                  <w:tcW w:w="378" w:type="pct"/>
                  <w:tcBorders>
                    <w:tl2br w:val="nil"/>
                    <w:tr2bl w:val="nil"/>
                  </w:tcBorders>
                  <w:noWrap w:val="0"/>
                  <w:vAlign w:val="center"/>
                </w:tcPr>
                <w:p w14:paraId="321602F5">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rPr>
                    <w:t>内容</w:t>
                  </w:r>
                </w:p>
              </w:tc>
              <w:tc>
                <w:tcPr>
                  <w:tcW w:w="2631" w:type="pct"/>
                  <w:tcBorders>
                    <w:tl2br w:val="nil"/>
                    <w:tr2bl w:val="nil"/>
                  </w:tcBorders>
                  <w:noWrap w:val="0"/>
                  <w:vAlign w:val="center"/>
                </w:tcPr>
                <w:p w14:paraId="063A4448">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rPr>
                    <w:t>HJ</w:t>
                  </w:r>
                  <w:r>
                    <w:rPr>
                      <w:rFonts w:hint="default" w:ascii="Calibri" w:hAnsi="Calibri" w:eastAsia="宋体" w:cs="Calibri"/>
                      <w:color w:val="auto"/>
                      <w:sz w:val="21"/>
                      <w:szCs w:val="21"/>
                      <w:lang w:val="en-US" w:eastAsia="zh-CN"/>
                    </w:rPr>
                    <w:t xml:space="preserve"> </w:t>
                  </w:r>
                  <w:r>
                    <w:rPr>
                      <w:rFonts w:hint="default" w:ascii="Calibri" w:hAnsi="Calibri" w:eastAsia="宋体" w:cs="Calibri"/>
                      <w:color w:val="auto"/>
                      <w:sz w:val="21"/>
                      <w:szCs w:val="21"/>
                    </w:rPr>
                    <w:t>1113-2020 具体要求</w:t>
                  </w:r>
                </w:p>
              </w:tc>
              <w:tc>
                <w:tcPr>
                  <w:tcW w:w="1304" w:type="pct"/>
                  <w:tcBorders>
                    <w:tl2br w:val="nil"/>
                    <w:tr2bl w:val="nil"/>
                  </w:tcBorders>
                  <w:noWrap w:val="0"/>
                  <w:vAlign w:val="center"/>
                </w:tcPr>
                <w:p w14:paraId="11D95629">
                  <w:pPr>
                    <w:pStyle w:val="35"/>
                    <w:bidi w:val="0"/>
                    <w:rPr>
                      <w:rFonts w:hint="default" w:ascii="Calibri" w:hAnsi="Calibri" w:eastAsia="宋体" w:cs="Calibri"/>
                      <w:color w:val="auto"/>
                      <w:sz w:val="21"/>
                      <w:szCs w:val="21"/>
                      <w:lang w:eastAsia="zh-CN"/>
                    </w:rPr>
                  </w:pPr>
                  <w:r>
                    <w:rPr>
                      <w:rFonts w:hint="default" w:ascii="Calibri" w:hAnsi="Calibri" w:eastAsia="宋体" w:cs="Calibri"/>
                      <w:color w:val="auto"/>
                      <w:sz w:val="21"/>
                      <w:szCs w:val="21"/>
                      <w:lang w:eastAsia="zh-CN"/>
                    </w:rPr>
                    <w:t>本项目</w:t>
                  </w:r>
                </w:p>
              </w:tc>
              <w:tc>
                <w:tcPr>
                  <w:tcW w:w="424" w:type="pct"/>
                  <w:tcBorders>
                    <w:tl2br w:val="nil"/>
                    <w:tr2bl w:val="nil"/>
                  </w:tcBorders>
                  <w:noWrap w:val="0"/>
                  <w:vAlign w:val="center"/>
                </w:tcPr>
                <w:p w14:paraId="741FC5FD">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符合性分析</w:t>
                  </w:r>
                </w:p>
              </w:tc>
            </w:tr>
            <w:tr w14:paraId="6C1B8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0" w:hRule="atLeast"/>
                <w:jc w:val="center"/>
              </w:trPr>
              <w:tc>
                <w:tcPr>
                  <w:tcW w:w="260" w:type="pct"/>
                  <w:tcBorders>
                    <w:tl2br w:val="nil"/>
                    <w:tr2bl w:val="nil"/>
                  </w:tcBorders>
                  <w:noWrap w:val="0"/>
                  <w:vAlign w:val="center"/>
                </w:tcPr>
                <w:p w14:paraId="620A1030">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rPr>
                    <w:t>1</w:t>
                  </w:r>
                </w:p>
              </w:tc>
              <w:tc>
                <w:tcPr>
                  <w:tcW w:w="378" w:type="pct"/>
                  <w:tcBorders>
                    <w:tl2br w:val="nil"/>
                    <w:tr2bl w:val="nil"/>
                  </w:tcBorders>
                  <w:noWrap w:val="0"/>
                  <w:vAlign w:val="center"/>
                </w:tcPr>
                <w:p w14:paraId="6F10EB87">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rPr>
                    <w:t>基本规定</w:t>
                  </w:r>
                </w:p>
              </w:tc>
              <w:tc>
                <w:tcPr>
                  <w:tcW w:w="2631" w:type="pct"/>
                  <w:tcBorders>
                    <w:tl2br w:val="nil"/>
                    <w:tr2bl w:val="nil"/>
                  </w:tcBorders>
                  <w:noWrap w:val="0"/>
                  <w:vAlign w:val="center"/>
                </w:tcPr>
                <w:p w14:paraId="4E9FABE2">
                  <w:pPr>
                    <w:pStyle w:val="35"/>
                    <w:bidi w:val="0"/>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输变电建设项目需要配套建设的环境保护设施，必须与主体工程同时设计、同时施工、同时投产使用</w:t>
                  </w:r>
                  <w:r>
                    <w:rPr>
                      <w:rFonts w:hint="default" w:ascii="Calibri" w:hAnsi="Calibri" w:eastAsia="宋体" w:cs="Calibri"/>
                      <w:color w:val="auto"/>
                      <w:sz w:val="21"/>
                      <w:szCs w:val="21"/>
                      <w:lang w:eastAsia="zh-CN"/>
                    </w:rPr>
                    <w:t>。</w:t>
                  </w:r>
                </w:p>
              </w:tc>
              <w:tc>
                <w:tcPr>
                  <w:tcW w:w="1304" w:type="pct"/>
                  <w:tcBorders>
                    <w:tl2br w:val="nil"/>
                    <w:tr2bl w:val="nil"/>
                  </w:tcBorders>
                  <w:noWrap w:val="0"/>
                  <w:vAlign w:val="center"/>
                </w:tcPr>
                <w:p w14:paraId="7FF0EBFE">
                  <w:pPr>
                    <w:pStyle w:val="35"/>
                    <w:bidi w:val="0"/>
                    <w:rPr>
                      <w:rFonts w:hint="default" w:ascii="Calibri" w:hAnsi="Calibri" w:eastAsia="宋体" w:cs="Calibri"/>
                      <w:color w:val="auto"/>
                      <w:sz w:val="21"/>
                      <w:szCs w:val="21"/>
                      <w:lang w:eastAsia="zh-CN"/>
                    </w:rPr>
                  </w:pPr>
                  <w:r>
                    <w:rPr>
                      <w:rFonts w:hint="default" w:ascii="Calibri" w:hAnsi="Calibri" w:eastAsia="宋体" w:cs="Calibri"/>
                      <w:color w:val="auto"/>
                      <w:sz w:val="21"/>
                      <w:szCs w:val="21"/>
                      <w:lang w:eastAsia="zh-CN"/>
                    </w:rPr>
                    <w:t>本项目</w:t>
                  </w:r>
                  <w:r>
                    <w:rPr>
                      <w:rFonts w:hint="default" w:ascii="Calibri" w:hAnsi="Calibri" w:eastAsia="宋体" w:cs="Calibri"/>
                      <w:color w:val="auto"/>
                      <w:sz w:val="21"/>
                      <w:szCs w:val="21"/>
                    </w:rPr>
                    <w:t>环境保护设施，与主体工程同时设计、同时施工、同时投产使用</w:t>
                  </w:r>
                  <w:r>
                    <w:rPr>
                      <w:rFonts w:hint="default" w:ascii="Calibri" w:hAnsi="Calibri" w:eastAsia="宋体" w:cs="Calibri"/>
                      <w:color w:val="auto"/>
                      <w:sz w:val="21"/>
                      <w:szCs w:val="21"/>
                      <w:lang w:eastAsia="zh-CN"/>
                    </w:rPr>
                    <w:t>。</w:t>
                  </w:r>
                </w:p>
              </w:tc>
              <w:tc>
                <w:tcPr>
                  <w:tcW w:w="424" w:type="pct"/>
                  <w:tcBorders>
                    <w:tl2br w:val="nil"/>
                    <w:tr2bl w:val="nil"/>
                  </w:tcBorders>
                  <w:noWrap w:val="0"/>
                  <w:vAlign w:val="center"/>
                </w:tcPr>
                <w:p w14:paraId="7E3E8747">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符合</w:t>
                  </w:r>
                </w:p>
              </w:tc>
            </w:tr>
            <w:tr w14:paraId="6B1F9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8" w:hRule="atLeast"/>
                <w:jc w:val="center"/>
              </w:trPr>
              <w:tc>
                <w:tcPr>
                  <w:tcW w:w="260" w:type="pct"/>
                  <w:vMerge w:val="restart"/>
                  <w:tcBorders>
                    <w:tl2br w:val="nil"/>
                    <w:tr2bl w:val="nil"/>
                  </w:tcBorders>
                  <w:noWrap w:val="0"/>
                  <w:vAlign w:val="center"/>
                </w:tcPr>
                <w:p w14:paraId="4E914624">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rPr>
                    <w:t>2</w:t>
                  </w:r>
                </w:p>
              </w:tc>
              <w:tc>
                <w:tcPr>
                  <w:tcW w:w="378" w:type="pct"/>
                  <w:vMerge w:val="restart"/>
                  <w:tcBorders>
                    <w:tl2br w:val="nil"/>
                    <w:tr2bl w:val="nil"/>
                  </w:tcBorders>
                  <w:noWrap w:val="0"/>
                  <w:vAlign w:val="center"/>
                </w:tcPr>
                <w:p w14:paraId="0FFD76D8">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rPr>
                    <w:t>选址选线</w:t>
                  </w:r>
                </w:p>
              </w:tc>
              <w:tc>
                <w:tcPr>
                  <w:tcW w:w="2631" w:type="pct"/>
                  <w:tcBorders>
                    <w:tl2br w:val="nil"/>
                    <w:tr2bl w:val="nil"/>
                  </w:tcBorders>
                  <w:noWrap w:val="0"/>
                  <w:vAlign w:val="center"/>
                </w:tcPr>
                <w:p w14:paraId="287ED55F">
                  <w:pPr>
                    <w:pStyle w:val="35"/>
                    <w:bidi w:val="0"/>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输变电建设项目选址选线应符合生态保护红线管理要求，避让自然保护区、饮用水水源保护区等环境敏感区。确实因自然条件等因素限制无法避让自然保护区实验区、饮用水水源二级保护区等环境敏感区的输电线路，应在满足相关法律法规及管理要求的前提下对线路方案进行唯一性论证，并采取无害化方式通过</w:t>
                  </w:r>
                  <w:r>
                    <w:rPr>
                      <w:rFonts w:hint="default" w:ascii="Calibri" w:hAnsi="Calibri" w:eastAsia="宋体" w:cs="Calibri"/>
                      <w:color w:val="auto"/>
                      <w:sz w:val="21"/>
                      <w:szCs w:val="21"/>
                      <w:lang w:eastAsia="zh-CN"/>
                    </w:rPr>
                    <w:t>。</w:t>
                  </w:r>
                </w:p>
              </w:tc>
              <w:tc>
                <w:tcPr>
                  <w:tcW w:w="1304" w:type="pct"/>
                  <w:tcBorders>
                    <w:tl2br w:val="nil"/>
                    <w:tr2bl w:val="nil"/>
                  </w:tcBorders>
                  <w:noWrap w:val="0"/>
                  <w:vAlign w:val="center"/>
                </w:tcPr>
                <w:p w14:paraId="5678C585">
                  <w:pPr>
                    <w:pStyle w:val="35"/>
                    <w:bidi w:val="0"/>
                    <w:rPr>
                      <w:rFonts w:hint="default" w:ascii="Calibri" w:hAnsi="Calibri" w:eastAsia="宋体" w:cs="Calibri"/>
                      <w:color w:val="auto"/>
                      <w:sz w:val="21"/>
                      <w:szCs w:val="21"/>
                      <w:lang w:eastAsia="zh-CN"/>
                    </w:rPr>
                  </w:pPr>
                  <w:r>
                    <w:rPr>
                      <w:rFonts w:hint="default" w:ascii="Calibri" w:hAnsi="Calibri" w:eastAsia="宋体" w:cs="Calibri"/>
                      <w:color w:val="auto"/>
                      <w:sz w:val="21"/>
                      <w:szCs w:val="21"/>
                      <w:lang w:eastAsia="zh-CN"/>
                    </w:rPr>
                    <w:t>本项目</w:t>
                  </w:r>
                  <w:r>
                    <w:rPr>
                      <w:rFonts w:hint="default" w:ascii="Calibri" w:hAnsi="Calibri" w:eastAsia="宋体" w:cs="Calibri"/>
                      <w:color w:val="auto"/>
                      <w:sz w:val="21"/>
                      <w:szCs w:val="21"/>
                      <w:lang w:val="en-US" w:eastAsia="zh-CN"/>
                    </w:rPr>
                    <w:t>位于</w:t>
                  </w:r>
                  <w:r>
                    <w:rPr>
                      <w:rFonts w:hint="eastAsia" w:ascii="Calibri" w:hAnsi="Calibri" w:cs="Calibri"/>
                      <w:color w:val="auto"/>
                      <w:sz w:val="21"/>
                      <w:szCs w:val="21"/>
                      <w:lang w:val="en-US" w:eastAsia="zh-CN"/>
                    </w:rPr>
                    <w:t>裸岩石砾地</w:t>
                  </w:r>
                  <w:r>
                    <w:rPr>
                      <w:rFonts w:hint="default" w:ascii="Calibri" w:hAnsi="Calibri" w:eastAsia="宋体" w:cs="Calibri"/>
                      <w:color w:val="auto"/>
                      <w:sz w:val="21"/>
                      <w:szCs w:val="21"/>
                      <w:lang w:val="en-US" w:eastAsia="zh-CN"/>
                    </w:rPr>
                    <w:t>区域，周边无</w:t>
                  </w:r>
                  <w:r>
                    <w:rPr>
                      <w:rFonts w:hint="default" w:ascii="Calibri" w:hAnsi="Calibri" w:eastAsia="宋体" w:cs="Calibri"/>
                      <w:color w:val="auto"/>
                      <w:sz w:val="21"/>
                      <w:szCs w:val="21"/>
                    </w:rPr>
                    <w:t>自然保护区、饮用水水源保护区等环境敏感区</w:t>
                  </w:r>
                  <w:r>
                    <w:rPr>
                      <w:rFonts w:hint="default" w:ascii="Calibri" w:hAnsi="Calibri" w:eastAsia="宋体" w:cs="Calibri"/>
                      <w:color w:val="auto"/>
                      <w:sz w:val="21"/>
                      <w:szCs w:val="21"/>
                      <w:lang w:eastAsia="zh-CN"/>
                    </w:rPr>
                    <w:t>。</w:t>
                  </w:r>
                </w:p>
              </w:tc>
              <w:tc>
                <w:tcPr>
                  <w:tcW w:w="424" w:type="pct"/>
                  <w:tcBorders>
                    <w:tl2br w:val="nil"/>
                    <w:tr2bl w:val="nil"/>
                  </w:tcBorders>
                  <w:noWrap w:val="0"/>
                  <w:vAlign w:val="center"/>
                </w:tcPr>
                <w:p w14:paraId="2E7E83F5">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符合</w:t>
                  </w:r>
                </w:p>
              </w:tc>
            </w:tr>
            <w:tr w14:paraId="62ABC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260" w:type="pct"/>
                  <w:vMerge w:val="continue"/>
                  <w:tcBorders>
                    <w:tl2br w:val="nil"/>
                    <w:tr2bl w:val="nil"/>
                  </w:tcBorders>
                  <w:noWrap w:val="0"/>
                  <w:vAlign w:val="center"/>
                </w:tcPr>
                <w:p w14:paraId="7DB1EC6E">
                  <w:pPr>
                    <w:pStyle w:val="35"/>
                    <w:bidi w:val="0"/>
                    <w:rPr>
                      <w:rFonts w:hint="default" w:ascii="Calibri" w:hAnsi="Calibri" w:eastAsia="宋体" w:cs="Calibri"/>
                      <w:color w:val="auto"/>
                      <w:sz w:val="21"/>
                      <w:szCs w:val="21"/>
                    </w:rPr>
                  </w:pPr>
                </w:p>
              </w:tc>
              <w:tc>
                <w:tcPr>
                  <w:tcW w:w="378" w:type="pct"/>
                  <w:vMerge w:val="continue"/>
                  <w:tcBorders>
                    <w:tl2br w:val="nil"/>
                    <w:tr2bl w:val="nil"/>
                  </w:tcBorders>
                  <w:noWrap w:val="0"/>
                  <w:vAlign w:val="center"/>
                </w:tcPr>
                <w:p w14:paraId="45A7F50E">
                  <w:pPr>
                    <w:pStyle w:val="35"/>
                    <w:bidi w:val="0"/>
                    <w:rPr>
                      <w:rFonts w:hint="default" w:ascii="Calibri" w:hAnsi="Calibri" w:eastAsia="宋体" w:cs="Calibri"/>
                      <w:color w:val="auto"/>
                      <w:sz w:val="21"/>
                      <w:szCs w:val="21"/>
                    </w:rPr>
                  </w:pPr>
                </w:p>
              </w:tc>
              <w:tc>
                <w:tcPr>
                  <w:tcW w:w="2631" w:type="pct"/>
                  <w:tcBorders>
                    <w:tl2br w:val="nil"/>
                    <w:tr2bl w:val="nil"/>
                  </w:tcBorders>
                  <w:noWrap w:val="0"/>
                  <w:vAlign w:val="center"/>
                </w:tcPr>
                <w:p w14:paraId="7958F0F3">
                  <w:pPr>
                    <w:pStyle w:val="35"/>
                    <w:bidi w:val="0"/>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变电工程在选址时应按终期规模综合考虑进出线走廊规划，避免进出线进入自然保护区、饮用水水源保护区等环境敏感区。进入自然保护区的输电线路，应按照HJ9的要求开展生态现状调查，避让保护对象集中分布区</w:t>
                  </w:r>
                  <w:r>
                    <w:rPr>
                      <w:rFonts w:hint="default" w:ascii="Calibri" w:hAnsi="Calibri" w:eastAsia="宋体" w:cs="Calibri"/>
                      <w:color w:val="auto"/>
                      <w:sz w:val="21"/>
                      <w:szCs w:val="21"/>
                      <w:lang w:eastAsia="zh-CN"/>
                    </w:rPr>
                    <w:t>。</w:t>
                  </w:r>
                </w:p>
              </w:tc>
              <w:tc>
                <w:tcPr>
                  <w:tcW w:w="1304" w:type="pct"/>
                  <w:tcBorders>
                    <w:tl2br w:val="nil"/>
                    <w:tr2bl w:val="nil"/>
                  </w:tcBorders>
                  <w:noWrap w:val="0"/>
                  <w:vAlign w:val="center"/>
                </w:tcPr>
                <w:p w14:paraId="6807BCF4">
                  <w:pPr>
                    <w:pStyle w:val="35"/>
                    <w:bidi w:val="0"/>
                    <w:rPr>
                      <w:rFonts w:hint="default" w:ascii="Calibri" w:hAnsi="Calibri" w:eastAsia="宋体" w:cs="Calibri"/>
                      <w:color w:val="auto"/>
                      <w:sz w:val="21"/>
                      <w:szCs w:val="21"/>
                      <w:lang w:eastAsia="zh-CN"/>
                    </w:rPr>
                  </w:pPr>
                  <w:r>
                    <w:rPr>
                      <w:rFonts w:hint="default" w:ascii="Calibri" w:hAnsi="Calibri" w:eastAsia="宋体" w:cs="Calibri"/>
                      <w:color w:val="auto"/>
                      <w:sz w:val="21"/>
                      <w:szCs w:val="21"/>
                      <w:lang w:eastAsia="zh-CN"/>
                    </w:rPr>
                    <w:t>本项目</w:t>
                  </w:r>
                  <w:r>
                    <w:rPr>
                      <w:rFonts w:hint="default" w:ascii="Calibri" w:hAnsi="Calibri" w:eastAsia="宋体" w:cs="Calibri"/>
                      <w:color w:val="auto"/>
                      <w:sz w:val="21"/>
                      <w:szCs w:val="21"/>
                      <w:lang w:val="en-US" w:eastAsia="zh-CN"/>
                    </w:rPr>
                    <w:t>位于</w:t>
                  </w:r>
                  <w:r>
                    <w:rPr>
                      <w:rFonts w:hint="eastAsia" w:ascii="Calibri" w:hAnsi="Calibri" w:cs="Calibri"/>
                      <w:color w:val="auto"/>
                      <w:sz w:val="21"/>
                      <w:szCs w:val="21"/>
                      <w:lang w:val="en-US" w:eastAsia="zh-CN"/>
                    </w:rPr>
                    <w:t>裸岩石砾地</w:t>
                  </w:r>
                  <w:r>
                    <w:rPr>
                      <w:rFonts w:hint="default" w:ascii="Calibri" w:hAnsi="Calibri" w:eastAsia="宋体" w:cs="Calibri"/>
                      <w:color w:val="auto"/>
                      <w:sz w:val="21"/>
                      <w:szCs w:val="21"/>
                      <w:lang w:val="en-US" w:eastAsia="zh-CN"/>
                    </w:rPr>
                    <w:t>区域，周边无</w:t>
                  </w:r>
                  <w:r>
                    <w:rPr>
                      <w:rFonts w:hint="default" w:ascii="Calibri" w:hAnsi="Calibri" w:eastAsia="宋体" w:cs="Calibri"/>
                      <w:color w:val="auto"/>
                      <w:sz w:val="21"/>
                      <w:szCs w:val="21"/>
                    </w:rPr>
                    <w:t>自然保护区、饮用水水源保护区等环境敏感区</w:t>
                  </w:r>
                  <w:r>
                    <w:rPr>
                      <w:rFonts w:hint="default" w:ascii="Calibri" w:hAnsi="Calibri" w:eastAsia="宋体" w:cs="Calibri"/>
                      <w:color w:val="auto"/>
                      <w:sz w:val="21"/>
                      <w:szCs w:val="21"/>
                      <w:lang w:eastAsia="zh-CN"/>
                    </w:rPr>
                    <w:t>。</w:t>
                  </w:r>
                </w:p>
              </w:tc>
              <w:tc>
                <w:tcPr>
                  <w:tcW w:w="424" w:type="pct"/>
                  <w:tcBorders>
                    <w:tl2br w:val="nil"/>
                    <w:tr2bl w:val="nil"/>
                  </w:tcBorders>
                  <w:noWrap w:val="0"/>
                  <w:vAlign w:val="center"/>
                </w:tcPr>
                <w:p w14:paraId="1DC6AD7B">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符合</w:t>
                  </w:r>
                </w:p>
              </w:tc>
            </w:tr>
            <w:tr w14:paraId="6B976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0" w:hRule="atLeast"/>
                <w:jc w:val="center"/>
              </w:trPr>
              <w:tc>
                <w:tcPr>
                  <w:tcW w:w="260" w:type="pct"/>
                  <w:vMerge w:val="continue"/>
                  <w:tcBorders>
                    <w:tl2br w:val="nil"/>
                    <w:tr2bl w:val="nil"/>
                  </w:tcBorders>
                  <w:noWrap w:val="0"/>
                  <w:vAlign w:val="center"/>
                </w:tcPr>
                <w:p w14:paraId="282B8761">
                  <w:pPr>
                    <w:pStyle w:val="35"/>
                    <w:bidi w:val="0"/>
                    <w:rPr>
                      <w:rFonts w:hint="default" w:ascii="Calibri" w:hAnsi="Calibri" w:eastAsia="宋体" w:cs="Calibri"/>
                      <w:color w:val="auto"/>
                      <w:sz w:val="21"/>
                      <w:szCs w:val="21"/>
                    </w:rPr>
                  </w:pPr>
                </w:p>
              </w:tc>
              <w:tc>
                <w:tcPr>
                  <w:tcW w:w="378" w:type="pct"/>
                  <w:vMerge w:val="continue"/>
                  <w:tcBorders>
                    <w:tl2br w:val="nil"/>
                    <w:tr2bl w:val="nil"/>
                  </w:tcBorders>
                  <w:noWrap w:val="0"/>
                  <w:vAlign w:val="center"/>
                </w:tcPr>
                <w:p w14:paraId="48915A2B">
                  <w:pPr>
                    <w:pStyle w:val="35"/>
                    <w:bidi w:val="0"/>
                    <w:rPr>
                      <w:rFonts w:hint="default" w:ascii="Calibri" w:hAnsi="Calibri" w:eastAsia="宋体" w:cs="Calibri"/>
                      <w:color w:val="auto"/>
                      <w:sz w:val="21"/>
                      <w:szCs w:val="21"/>
                    </w:rPr>
                  </w:pPr>
                </w:p>
              </w:tc>
              <w:tc>
                <w:tcPr>
                  <w:tcW w:w="2631" w:type="pct"/>
                  <w:tcBorders>
                    <w:tl2br w:val="nil"/>
                    <w:tr2bl w:val="nil"/>
                  </w:tcBorders>
                  <w:noWrap w:val="0"/>
                  <w:vAlign w:val="center"/>
                </w:tcPr>
                <w:p w14:paraId="79F19BD6">
                  <w:pPr>
                    <w:pStyle w:val="35"/>
                    <w:bidi w:val="0"/>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户外变电工程及规划架空进出线选址选线时，应关注以居住、医疗卫生、文化教育、科研、行政办公等为主要功能的区域，采取综合措施，减少电磁和声环境影响</w:t>
                  </w:r>
                  <w:r>
                    <w:rPr>
                      <w:rFonts w:hint="default" w:ascii="Calibri" w:hAnsi="Calibri" w:eastAsia="宋体" w:cs="Calibri"/>
                      <w:color w:val="auto"/>
                      <w:sz w:val="21"/>
                      <w:szCs w:val="21"/>
                      <w:lang w:eastAsia="zh-CN"/>
                    </w:rPr>
                    <w:t>。位于城市规划区1类声环境功能区的变电站应采用全户内布置方式。位于城市规划区其他声环境功能区的变电工程，可采取户内、半户内等环境影响较小的布置型式。</w:t>
                  </w:r>
                </w:p>
              </w:tc>
              <w:tc>
                <w:tcPr>
                  <w:tcW w:w="1304" w:type="pct"/>
                  <w:tcBorders>
                    <w:tl2br w:val="nil"/>
                    <w:tr2bl w:val="nil"/>
                  </w:tcBorders>
                  <w:noWrap w:val="0"/>
                  <w:vAlign w:val="center"/>
                </w:tcPr>
                <w:p w14:paraId="44340390">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本项目线路、变电站位于2类声环境功能区。评价范围内无电磁环境敏感目标，无声环境保护目标。本项目采用户外式变电站。</w:t>
                  </w:r>
                </w:p>
              </w:tc>
              <w:tc>
                <w:tcPr>
                  <w:tcW w:w="424" w:type="pct"/>
                  <w:tcBorders>
                    <w:tl2br w:val="nil"/>
                    <w:tr2bl w:val="nil"/>
                  </w:tcBorders>
                  <w:noWrap w:val="0"/>
                  <w:vAlign w:val="center"/>
                </w:tcPr>
                <w:p w14:paraId="1845B02B">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符合</w:t>
                  </w:r>
                </w:p>
              </w:tc>
            </w:tr>
            <w:tr w14:paraId="702D7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jc w:val="center"/>
              </w:trPr>
              <w:tc>
                <w:tcPr>
                  <w:tcW w:w="260" w:type="pct"/>
                  <w:vMerge w:val="continue"/>
                  <w:tcBorders>
                    <w:tl2br w:val="nil"/>
                    <w:tr2bl w:val="nil"/>
                  </w:tcBorders>
                  <w:noWrap w:val="0"/>
                  <w:vAlign w:val="center"/>
                </w:tcPr>
                <w:p w14:paraId="24F69957">
                  <w:pPr>
                    <w:pStyle w:val="35"/>
                    <w:bidi w:val="0"/>
                    <w:rPr>
                      <w:rFonts w:hint="default" w:ascii="Calibri" w:hAnsi="Calibri" w:eastAsia="宋体" w:cs="Calibri"/>
                      <w:color w:val="auto"/>
                      <w:sz w:val="21"/>
                      <w:szCs w:val="21"/>
                    </w:rPr>
                  </w:pPr>
                </w:p>
              </w:tc>
              <w:tc>
                <w:tcPr>
                  <w:tcW w:w="378" w:type="pct"/>
                  <w:vMerge w:val="continue"/>
                  <w:tcBorders>
                    <w:tl2br w:val="nil"/>
                    <w:tr2bl w:val="nil"/>
                  </w:tcBorders>
                  <w:noWrap w:val="0"/>
                  <w:vAlign w:val="center"/>
                </w:tcPr>
                <w:p w14:paraId="2AA20ABD">
                  <w:pPr>
                    <w:pStyle w:val="35"/>
                    <w:bidi w:val="0"/>
                    <w:rPr>
                      <w:rFonts w:hint="default" w:ascii="Calibri" w:hAnsi="Calibri" w:eastAsia="宋体" w:cs="Calibri"/>
                      <w:color w:val="auto"/>
                      <w:sz w:val="21"/>
                      <w:szCs w:val="21"/>
                    </w:rPr>
                  </w:pPr>
                </w:p>
              </w:tc>
              <w:tc>
                <w:tcPr>
                  <w:tcW w:w="2631" w:type="pct"/>
                  <w:tcBorders>
                    <w:tl2br w:val="nil"/>
                    <w:tr2bl w:val="nil"/>
                  </w:tcBorders>
                  <w:noWrap w:val="0"/>
                  <w:vAlign w:val="center"/>
                </w:tcPr>
                <w:p w14:paraId="78C13D11">
                  <w:pPr>
                    <w:pStyle w:val="35"/>
                    <w:bidi w:val="0"/>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原则上避免在0类声环境功能区建设变电工程</w:t>
                  </w:r>
                  <w:r>
                    <w:rPr>
                      <w:rFonts w:hint="default" w:ascii="Calibri" w:hAnsi="Calibri" w:eastAsia="宋体" w:cs="Calibri"/>
                      <w:color w:val="auto"/>
                      <w:sz w:val="21"/>
                      <w:szCs w:val="21"/>
                      <w:lang w:eastAsia="zh-CN"/>
                    </w:rPr>
                    <w:t>。</w:t>
                  </w:r>
                </w:p>
              </w:tc>
              <w:tc>
                <w:tcPr>
                  <w:tcW w:w="1304" w:type="pct"/>
                  <w:tcBorders>
                    <w:tl2br w:val="nil"/>
                    <w:tr2bl w:val="nil"/>
                  </w:tcBorders>
                  <w:noWrap w:val="0"/>
                  <w:vAlign w:val="center"/>
                </w:tcPr>
                <w:p w14:paraId="5713FCD1">
                  <w:pPr>
                    <w:pStyle w:val="35"/>
                    <w:bidi w:val="0"/>
                    <w:rPr>
                      <w:rFonts w:hint="default" w:ascii="Calibri" w:hAnsi="Calibri" w:eastAsia="宋体" w:cs="Calibri"/>
                      <w:color w:val="auto"/>
                      <w:sz w:val="21"/>
                      <w:szCs w:val="21"/>
                      <w:lang w:eastAsia="zh-CN"/>
                    </w:rPr>
                  </w:pPr>
                  <w:r>
                    <w:rPr>
                      <w:rFonts w:hint="default" w:ascii="Calibri" w:hAnsi="Calibri" w:eastAsia="宋体" w:cs="Calibri"/>
                      <w:color w:val="auto"/>
                      <w:sz w:val="21"/>
                      <w:szCs w:val="21"/>
                      <w:lang w:eastAsia="zh-CN"/>
                    </w:rPr>
                    <w:t>本项目</w:t>
                  </w:r>
                  <w:r>
                    <w:rPr>
                      <w:rFonts w:hint="default" w:ascii="Calibri" w:hAnsi="Calibri" w:eastAsia="宋体" w:cs="Calibri"/>
                      <w:color w:val="auto"/>
                      <w:sz w:val="21"/>
                      <w:szCs w:val="21"/>
                      <w:lang w:val="en-US" w:eastAsia="zh-CN"/>
                    </w:rPr>
                    <w:t>位于2</w:t>
                  </w:r>
                  <w:r>
                    <w:rPr>
                      <w:rFonts w:hint="default" w:ascii="Calibri" w:hAnsi="Calibri" w:eastAsia="宋体" w:cs="Calibri"/>
                      <w:color w:val="auto"/>
                      <w:sz w:val="21"/>
                      <w:szCs w:val="21"/>
                    </w:rPr>
                    <w:t>类</w:t>
                  </w:r>
                  <w:r>
                    <w:rPr>
                      <w:rFonts w:hint="default" w:ascii="Calibri" w:hAnsi="Calibri" w:eastAsia="宋体" w:cs="Calibri"/>
                      <w:color w:val="auto"/>
                      <w:sz w:val="21"/>
                      <w:szCs w:val="21"/>
                      <w:lang w:val="en-US" w:eastAsia="zh-CN"/>
                    </w:rPr>
                    <w:t>声环境功能区</w:t>
                  </w:r>
                  <w:r>
                    <w:rPr>
                      <w:rFonts w:hint="default" w:ascii="Calibri" w:hAnsi="Calibri" w:eastAsia="宋体" w:cs="Calibri"/>
                      <w:color w:val="auto"/>
                      <w:sz w:val="21"/>
                      <w:szCs w:val="21"/>
                      <w:lang w:eastAsia="zh-CN"/>
                    </w:rPr>
                    <w:t>。</w:t>
                  </w:r>
                </w:p>
              </w:tc>
              <w:tc>
                <w:tcPr>
                  <w:tcW w:w="424" w:type="pct"/>
                  <w:tcBorders>
                    <w:tl2br w:val="nil"/>
                    <w:tr2bl w:val="nil"/>
                  </w:tcBorders>
                  <w:noWrap w:val="0"/>
                  <w:vAlign w:val="center"/>
                </w:tcPr>
                <w:p w14:paraId="3F072457">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符合</w:t>
                  </w:r>
                </w:p>
              </w:tc>
            </w:tr>
            <w:tr w14:paraId="60E27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 w:hRule="atLeast"/>
                <w:jc w:val="center"/>
              </w:trPr>
              <w:tc>
                <w:tcPr>
                  <w:tcW w:w="260" w:type="pct"/>
                  <w:vMerge w:val="continue"/>
                  <w:tcBorders>
                    <w:tl2br w:val="nil"/>
                    <w:tr2bl w:val="nil"/>
                  </w:tcBorders>
                  <w:noWrap w:val="0"/>
                  <w:vAlign w:val="center"/>
                </w:tcPr>
                <w:p w14:paraId="71A6A149">
                  <w:pPr>
                    <w:pStyle w:val="35"/>
                    <w:bidi w:val="0"/>
                    <w:rPr>
                      <w:rFonts w:hint="default" w:ascii="Calibri" w:hAnsi="Calibri" w:eastAsia="宋体" w:cs="Calibri"/>
                      <w:color w:val="auto"/>
                      <w:sz w:val="21"/>
                      <w:szCs w:val="21"/>
                    </w:rPr>
                  </w:pPr>
                </w:p>
              </w:tc>
              <w:tc>
                <w:tcPr>
                  <w:tcW w:w="378" w:type="pct"/>
                  <w:vMerge w:val="continue"/>
                  <w:tcBorders>
                    <w:tl2br w:val="nil"/>
                    <w:tr2bl w:val="nil"/>
                  </w:tcBorders>
                  <w:noWrap w:val="0"/>
                  <w:vAlign w:val="center"/>
                </w:tcPr>
                <w:p w14:paraId="460A2991">
                  <w:pPr>
                    <w:pStyle w:val="35"/>
                    <w:bidi w:val="0"/>
                    <w:rPr>
                      <w:rFonts w:hint="default" w:ascii="Calibri" w:hAnsi="Calibri" w:eastAsia="宋体" w:cs="Calibri"/>
                      <w:color w:val="auto"/>
                      <w:sz w:val="21"/>
                      <w:szCs w:val="21"/>
                    </w:rPr>
                  </w:pPr>
                </w:p>
              </w:tc>
              <w:tc>
                <w:tcPr>
                  <w:tcW w:w="2631" w:type="pct"/>
                  <w:tcBorders>
                    <w:tl2br w:val="nil"/>
                    <w:tr2bl w:val="nil"/>
                  </w:tcBorders>
                  <w:noWrap w:val="0"/>
                  <w:vAlign w:val="center"/>
                </w:tcPr>
                <w:p w14:paraId="1668C620">
                  <w:pPr>
                    <w:pStyle w:val="35"/>
                    <w:bidi w:val="0"/>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输电线路宜避让集中林区，以减少林木砍伐，保护生态环境</w:t>
                  </w:r>
                  <w:r>
                    <w:rPr>
                      <w:rFonts w:hint="default" w:ascii="Calibri" w:hAnsi="Calibri" w:eastAsia="宋体" w:cs="Calibri"/>
                      <w:color w:val="auto"/>
                      <w:sz w:val="21"/>
                      <w:szCs w:val="21"/>
                      <w:lang w:eastAsia="zh-CN"/>
                    </w:rPr>
                    <w:t>。</w:t>
                  </w:r>
                </w:p>
              </w:tc>
              <w:tc>
                <w:tcPr>
                  <w:tcW w:w="1304" w:type="pct"/>
                  <w:tcBorders>
                    <w:tl2br w:val="nil"/>
                    <w:tr2bl w:val="nil"/>
                  </w:tcBorders>
                  <w:noWrap w:val="0"/>
                  <w:vAlign w:val="center"/>
                </w:tcPr>
                <w:p w14:paraId="1E443985">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lang w:eastAsia="zh-CN"/>
                    </w:rPr>
                    <w:t>本项目</w:t>
                  </w:r>
                  <w:r>
                    <w:rPr>
                      <w:rFonts w:hint="default" w:ascii="Calibri" w:hAnsi="Calibri" w:eastAsia="宋体" w:cs="Calibri"/>
                      <w:color w:val="auto"/>
                      <w:sz w:val="21"/>
                      <w:szCs w:val="21"/>
                      <w:lang w:val="en-US" w:eastAsia="zh-CN"/>
                    </w:rPr>
                    <w:t>位于</w:t>
                  </w:r>
                  <w:r>
                    <w:rPr>
                      <w:rFonts w:hint="eastAsia" w:ascii="Calibri" w:hAnsi="Calibri" w:cs="Calibri"/>
                      <w:color w:val="auto"/>
                      <w:sz w:val="21"/>
                      <w:szCs w:val="21"/>
                      <w:lang w:val="en-US" w:eastAsia="zh-CN"/>
                    </w:rPr>
                    <w:t>裸岩石砾地</w:t>
                  </w:r>
                  <w:r>
                    <w:rPr>
                      <w:rFonts w:hint="default" w:ascii="Calibri" w:hAnsi="Calibri" w:eastAsia="宋体" w:cs="Calibri"/>
                      <w:color w:val="auto"/>
                      <w:sz w:val="21"/>
                      <w:szCs w:val="21"/>
                      <w:lang w:val="en-US" w:eastAsia="zh-CN"/>
                    </w:rPr>
                    <w:t>区域，项目区周边区域无林木，项目建设不涉及林木砍伐。</w:t>
                  </w:r>
                </w:p>
              </w:tc>
              <w:tc>
                <w:tcPr>
                  <w:tcW w:w="424" w:type="pct"/>
                  <w:tcBorders>
                    <w:tl2br w:val="nil"/>
                    <w:tr2bl w:val="nil"/>
                  </w:tcBorders>
                  <w:noWrap w:val="0"/>
                  <w:vAlign w:val="center"/>
                </w:tcPr>
                <w:p w14:paraId="39A47DE4">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符合</w:t>
                  </w:r>
                </w:p>
              </w:tc>
            </w:tr>
            <w:tr w14:paraId="3A7DB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23" w:hRule="atLeast"/>
                <w:jc w:val="center"/>
              </w:trPr>
              <w:tc>
                <w:tcPr>
                  <w:tcW w:w="260" w:type="pct"/>
                  <w:vMerge w:val="restart"/>
                  <w:tcBorders>
                    <w:tl2br w:val="nil"/>
                    <w:tr2bl w:val="nil"/>
                  </w:tcBorders>
                  <w:noWrap w:val="0"/>
                  <w:vAlign w:val="center"/>
                </w:tcPr>
                <w:p w14:paraId="04659EAC">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rPr>
                    <w:t>3</w:t>
                  </w:r>
                </w:p>
              </w:tc>
              <w:tc>
                <w:tcPr>
                  <w:tcW w:w="378" w:type="pct"/>
                  <w:vMerge w:val="restart"/>
                  <w:tcBorders>
                    <w:tl2br w:val="nil"/>
                    <w:tr2bl w:val="nil"/>
                  </w:tcBorders>
                  <w:noWrap w:val="0"/>
                  <w:vAlign w:val="center"/>
                </w:tcPr>
                <w:p w14:paraId="2D7E8CC0">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rPr>
                    <w:t>电磁环境保护</w:t>
                  </w:r>
                </w:p>
              </w:tc>
              <w:tc>
                <w:tcPr>
                  <w:tcW w:w="2631" w:type="pct"/>
                  <w:tcBorders>
                    <w:tl2br w:val="nil"/>
                    <w:tr2bl w:val="nil"/>
                  </w:tcBorders>
                  <w:noWrap w:val="0"/>
                  <w:vAlign w:val="center"/>
                </w:tcPr>
                <w:p w14:paraId="1945E335">
                  <w:pPr>
                    <w:pStyle w:val="35"/>
                    <w:bidi w:val="0"/>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工程设计应对产生的工频电场、工频磁场等电磁环境影响因子进行验算，采取相应保护措施，确保电磁环境影响满足国家标准要求</w:t>
                  </w:r>
                  <w:r>
                    <w:rPr>
                      <w:rFonts w:hint="default" w:ascii="Calibri" w:hAnsi="Calibri" w:eastAsia="宋体" w:cs="Calibri"/>
                      <w:color w:val="auto"/>
                      <w:sz w:val="21"/>
                      <w:szCs w:val="21"/>
                      <w:lang w:eastAsia="zh-CN"/>
                    </w:rPr>
                    <w:t>。</w:t>
                  </w:r>
                </w:p>
              </w:tc>
              <w:tc>
                <w:tcPr>
                  <w:tcW w:w="1304" w:type="pct"/>
                  <w:tcBorders>
                    <w:tl2br w:val="nil"/>
                    <w:tr2bl w:val="nil"/>
                  </w:tcBorders>
                  <w:noWrap w:val="0"/>
                  <w:vAlign w:val="center"/>
                </w:tcPr>
                <w:p w14:paraId="65574AC0">
                  <w:pPr>
                    <w:pStyle w:val="35"/>
                    <w:bidi w:val="0"/>
                    <w:rPr>
                      <w:rFonts w:hint="default" w:ascii="Calibri" w:hAnsi="Calibri" w:eastAsia="宋体" w:cs="Calibri"/>
                      <w:color w:val="auto"/>
                      <w:sz w:val="21"/>
                      <w:szCs w:val="21"/>
                      <w:lang w:eastAsia="zh-CN"/>
                    </w:rPr>
                  </w:pPr>
                  <w:r>
                    <w:rPr>
                      <w:rFonts w:hint="default" w:ascii="Calibri" w:hAnsi="Calibri" w:eastAsia="宋体" w:cs="Calibri"/>
                      <w:color w:val="auto"/>
                      <w:sz w:val="21"/>
                      <w:szCs w:val="21"/>
                      <w:lang w:val="en-US" w:eastAsia="zh-CN"/>
                    </w:rPr>
                    <w:t>本项目设计阶段即选取适宜的杆塔、导线、相序布置等，以减少工频电场、工频磁场对环境的影响，满足国家标准要求。</w:t>
                  </w:r>
                </w:p>
              </w:tc>
              <w:tc>
                <w:tcPr>
                  <w:tcW w:w="424" w:type="pct"/>
                  <w:tcBorders>
                    <w:tl2br w:val="nil"/>
                    <w:tr2bl w:val="nil"/>
                  </w:tcBorders>
                  <w:noWrap w:val="0"/>
                  <w:vAlign w:val="center"/>
                </w:tcPr>
                <w:p w14:paraId="0C17BA13">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符合</w:t>
                  </w:r>
                </w:p>
              </w:tc>
            </w:tr>
            <w:tr w14:paraId="6DF6B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9" w:hRule="atLeast"/>
                <w:jc w:val="center"/>
              </w:trPr>
              <w:tc>
                <w:tcPr>
                  <w:tcW w:w="260" w:type="pct"/>
                  <w:vMerge w:val="continue"/>
                  <w:tcBorders>
                    <w:tl2br w:val="nil"/>
                    <w:tr2bl w:val="nil"/>
                  </w:tcBorders>
                  <w:noWrap w:val="0"/>
                  <w:vAlign w:val="center"/>
                </w:tcPr>
                <w:p w14:paraId="738CEE71">
                  <w:pPr>
                    <w:pStyle w:val="35"/>
                    <w:bidi w:val="0"/>
                    <w:rPr>
                      <w:rFonts w:hint="default" w:ascii="Calibri" w:hAnsi="Calibri" w:eastAsia="宋体" w:cs="Calibri"/>
                      <w:color w:val="auto"/>
                      <w:sz w:val="21"/>
                      <w:szCs w:val="21"/>
                    </w:rPr>
                  </w:pPr>
                </w:p>
              </w:tc>
              <w:tc>
                <w:tcPr>
                  <w:tcW w:w="378" w:type="pct"/>
                  <w:vMerge w:val="continue"/>
                  <w:tcBorders>
                    <w:tl2br w:val="nil"/>
                    <w:tr2bl w:val="nil"/>
                  </w:tcBorders>
                  <w:noWrap w:val="0"/>
                  <w:vAlign w:val="center"/>
                </w:tcPr>
                <w:p w14:paraId="7843960F">
                  <w:pPr>
                    <w:pStyle w:val="35"/>
                    <w:bidi w:val="0"/>
                    <w:rPr>
                      <w:rFonts w:hint="default" w:ascii="Calibri" w:hAnsi="Calibri" w:eastAsia="宋体" w:cs="Calibri"/>
                      <w:color w:val="auto"/>
                      <w:sz w:val="21"/>
                      <w:szCs w:val="21"/>
                    </w:rPr>
                  </w:pPr>
                </w:p>
              </w:tc>
              <w:tc>
                <w:tcPr>
                  <w:tcW w:w="2631" w:type="pct"/>
                  <w:tcBorders>
                    <w:tl2br w:val="nil"/>
                    <w:tr2bl w:val="nil"/>
                  </w:tcBorders>
                  <w:noWrap w:val="0"/>
                  <w:vAlign w:val="center"/>
                </w:tcPr>
                <w:p w14:paraId="57DFD4AA">
                  <w:pPr>
                    <w:pStyle w:val="35"/>
                    <w:bidi w:val="0"/>
                    <w:rPr>
                      <w:rFonts w:hint="default" w:ascii="Calibri" w:hAnsi="Calibri" w:eastAsia="宋体" w:cs="Calibri"/>
                      <w:color w:val="auto"/>
                      <w:sz w:val="21"/>
                      <w:szCs w:val="21"/>
                      <w:lang w:eastAsia="zh-CN"/>
                    </w:rPr>
                  </w:pPr>
                  <w:r>
                    <w:rPr>
                      <w:rFonts w:hint="default" w:ascii="Calibri" w:hAnsi="Calibri" w:eastAsia="宋体" w:cs="Calibri"/>
                      <w:color w:val="auto"/>
                      <w:sz w:val="21"/>
                      <w:szCs w:val="21"/>
                      <w:lang w:eastAsia="zh-CN"/>
                    </w:rPr>
                    <w:t>本项目</w:t>
                  </w:r>
                  <w:r>
                    <w:rPr>
                      <w:rFonts w:hint="default" w:ascii="Calibri" w:hAnsi="Calibri" w:eastAsia="宋体" w:cs="Calibri"/>
                      <w:color w:val="auto"/>
                      <w:sz w:val="21"/>
                      <w:szCs w:val="21"/>
                    </w:rPr>
                    <w:t>设计阶段即选取适宜的杆塔、</w:t>
                  </w:r>
                  <w:r>
                    <w:rPr>
                      <w:rFonts w:hint="default" w:ascii="Calibri" w:hAnsi="Calibri" w:eastAsia="宋体" w:cs="Calibri"/>
                      <w:color w:val="auto"/>
                      <w:sz w:val="21"/>
                      <w:szCs w:val="21"/>
                      <w:lang w:eastAsia="zh-CN"/>
                    </w:rPr>
                    <w:t>导线</w:t>
                  </w:r>
                  <w:r>
                    <w:rPr>
                      <w:rFonts w:hint="default" w:ascii="Calibri" w:hAnsi="Calibri" w:eastAsia="宋体" w:cs="Calibri"/>
                      <w:color w:val="auto"/>
                      <w:sz w:val="21"/>
                      <w:szCs w:val="21"/>
                    </w:rPr>
                    <w:t>参数、相序布置，以减少电磁环境影响</w:t>
                  </w:r>
                  <w:r>
                    <w:rPr>
                      <w:rFonts w:hint="default" w:ascii="Calibri" w:hAnsi="Calibri" w:eastAsia="宋体" w:cs="Calibri"/>
                      <w:color w:val="auto"/>
                      <w:sz w:val="21"/>
                      <w:szCs w:val="21"/>
                      <w:lang w:eastAsia="zh-CN"/>
                    </w:rPr>
                    <w:t>。</w:t>
                  </w:r>
                </w:p>
              </w:tc>
              <w:tc>
                <w:tcPr>
                  <w:tcW w:w="1304" w:type="pct"/>
                  <w:tcBorders>
                    <w:tl2br w:val="nil"/>
                    <w:tr2bl w:val="nil"/>
                  </w:tcBorders>
                  <w:noWrap w:val="0"/>
                  <w:vAlign w:val="center"/>
                </w:tcPr>
                <w:p w14:paraId="7D14FB41">
                  <w:pPr>
                    <w:pStyle w:val="35"/>
                    <w:bidi w:val="0"/>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按照设计规范要求选取适宜的杆塔、导线参数、相序布置，电磁环境影响满足标准要求</w:t>
                  </w:r>
                  <w:r>
                    <w:rPr>
                      <w:rFonts w:hint="default" w:ascii="Calibri" w:hAnsi="Calibri" w:eastAsia="宋体" w:cs="Calibri"/>
                      <w:color w:val="auto"/>
                      <w:sz w:val="21"/>
                      <w:szCs w:val="21"/>
                      <w:lang w:eastAsia="zh-CN"/>
                    </w:rPr>
                    <w:t>。</w:t>
                  </w:r>
                </w:p>
              </w:tc>
              <w:tc>
                <w:tcPr>
                  <w:tcW w:w="424" w:type="pct"/>
                  <w:tcBorders>
                    <w:tl2br w:val="nil"/>
                    <w:tr2bl w:val="nil"/>
                  </w:tcBorders>
                  <w:noWrap w:val="0"/>
                  <w:vAlign w:val="center"/>
                </w:tcPr>
                <w:p w14:paraId="1A24AA1B">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符合</w:t>
                  </w:r>
                </w:p>
              </w:tc>
            </w:tr>
            <w:tr w14:paraId="109F5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5" w:hRule="atLeast"/>
                <w:jc w:val="center"/>
              </w:trPr>
              <w:tc>
                <w:tcPr>
                  <w:tcW w:w="260" w:type="pct"/>
                  <w:vMerge w:val="restart"/>
                  <w:tcBorders>
                    <w:tl2br w:val="nil"/>
                    <w:tr2bl w:val="nil"/>
                  </w:tcBorders>
                  <w:noWrap w:val="0"/>
                  <w:vAlign w:val="center"/>
                </w:tcPr>
                <w:p w14:paraId="1213D091">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rPr>
                    <w:t>4</w:t>
                  </w:r>
                </w:p>
              </w:tc>
              <w:tc>
                <w:tcPr>
                  <w:tcW w:w="378" w:type="pct"/>
                  <w:vMerge w:val="restart"/>
                  <w:tcBorders>
                    <w:tl2br w:val="nil"/>
                    <w:tr2bl w:val="nil"/>
                  </w:tcBorders>
                  <w:noWrap w:val="0"/>
                  <w:vAlign w:val="center"/>
                </w:tcPr>
                <w:p w14:paraId="4E1E5B23">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rPr>
                    <w:t>生态环境</w:t>
                  </w:r>
                </w:p>
                <w:p w14:paraId="5BF1445A">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rPr>
                    <w:t>保护</w:t>
                  </w:r>
                </w:p>
              </w:tc>
              <w:tc>
                <w:tcPr>
                  <w:tcW w:w="2631" w:type="pct"/>
                  <w:tcBorders>
                    <w:tl2br w:val="nil"/>
                    <w:tr2bl w:val="nil"/>
                  </w:tcBorders>
                  <w:noWrap w:val="0"/>
                  <w:vAlign w:val="center"/>
                </w:tcPr>
                <w:p w14:paraId="2763D894">
                  <w:pPr>
                    <w:pStyle w:val="35"/>
                    <w:bidi w:val="0"/>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输变电建设项目在设计过程中应按照避让、减缓、恢复的次序提出生态影响防护与恢复的措施</w:t>
                  </w:r>
                  <w:r>
                    <w:rPr>
                      <w:rFonts w:hint="default" w:ascii="Calibri" w:hAnsi="Calibri" w:eastAsia="宋体" w:cs="Calibri"/>
                      <w:color w:val="auto"/>
                      <w:sz w:val="21"/>
                      <w:szCs w:val="21"/>
                      <w:lang w:eastAsia="zh-CN"/>
                    </w:rPr>
                    <w:t>。</w:t>
                  </w:r>
                </w:p>
                <w:p w14:paraId="5E263260">
                  <w:pPr>
                    <w:pStyle w:val="35"/>
                    <w:bidi w:val="0"/>
                    <w:rPr>
                      <w:rFonts w:hint="default" w:ascii="Calibri" w:hAnsi="Calibri" w:eastAsia="宋体" w:cs="Calibri"/>
                      <w:color w:val="auto"/>
                      <w:sz w:val="21"/>
                      <w:szCs w:val="21"/>
                      <w:lang w:eastAsia="zh-CN"/>
                    </w:rPr>
                  </w:pPr>
                  <w:r>
                    <w:rPr>
                      <w:rFonts w:hint="default" w:ascii="Calibri" w:hAnsi="Calibri" w:eastAsia="宋体" w:cs="Calibri"/>
                      <w:color w:val="auto"/>
                      <w:sz w:val="21"/>
                      <w:szCs w:val="21"/>
                      <w:lang w:eastAsia="zh-CN"/>
                    </w:rPr>
                    <w:t>输变电建设项目施工期临时用地应永临结合，优先利用荒地、劣地。施工现场使用带油料的机械器具，应采取措施防止油料跑、冒、滴、漏，防止对土壤和水体造成污染。施工结束后，应及时清理施工现场，因地制宜进行土地功能恢复。</w:t>
                  </w:r>
                </w:p>
              </w:tc>
              <w:tc>
                <w:tcPr>
                  <w:tcW w:w="1304" w:type="pct"/>
                  <w:tcBorders>
                    <w:tl2br w:val="nil"/>
                    <w:tr2bl w:val="nil"/>
                  </w:tcBorders>
                  <w:noWrap w:val="0"/>
                  <w:vAlign w:val="center"/>
                </w:tcPr>
                <w:p w14:paraId="0A4D2AC2">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本项目</w:t>
                  </w:r>
                  <w:r>
                    <w:rPr>
                      <w:rFonts w:hint="default" w:ascii="Calibri" w:hAnsi="Calibri" w:eastAsia="宋体" w:cs="Calibri"/>
                      <w:color w:val="auto"/>
                      <w:sz w:val="21"/>
                      <w:szCs w:val="21"/>
                    </w:rPr>
                    <w:t>在设计过程中已提出生态影响防护与恢复的措施</w:t>
                  </w:r>
                  <w:r>
                    <w:rPr>
                      <w:rFonts w:hint="default" w:ascii="Calibri" w:hAnsi="Calibri" w:eastAsia="宋体" w:cs="Calibri"/>
                      <w:color w:val="auto"/>
                      <w:sz w:val="21"/>
                      <w:szCs w:val="21"/>
                      <w:lang w:eastAsia="zh-CN"/>
                    </w:rPr>
                    <w:t>。</w:t>
                  </w:r>
                  <w:r>
                    <w:rPr>
                      <w:rFonts w:hint="default" w:ascii="Calibri" w:hAnsi="Calibri" w:eastAsia="宋体" w:cs="Calibri"/>
                      <w:color w:val="auto"/>
                      <w:sz w:val="21"/>
                      <w:szCs w:val="21"/>
                      <w:lang w:val="en-US" w:eastAsia="zh-CN"/>
                    </w:rPr>
                    <w:t>施工过程严格控制施工范围，优先使用</w:t>
                  </w:r>
                  <w:r>
                    <w:rPr>
                      <w:rFonts w:hint="eastAsia" w:ascii="Calibri" w:hAnsi="Calibri" w:cs="Calibri"/>
                      <w:color w:val="auto"/>
                      <w:sz w:val="21"/>
                      <w:szCs w:val="21"/>
                      <w:lang w:val="en-US" w:eastAsia="zh-CN"/>
                    </w:rPr>
                    <w:t>裸地</w:t>
                  </w:r>
                  <w:r>
                    <w:rPr>
                      <w:rFonts w:hint="default" w:ascii="Calibri" w:hAnsi="Calibri" w:eastAsia="宋体" w:cs="Calibri"/>
                      <w:color w:val="auto"/>
                      <w:sz w:val="21"/>
                      <w:szCs w:val="21"/>
                      <w:lang w:val="en-US" w:eastAsia="zh-CN"/>
                    </w:rPr>
                    <w:t>，减少对植被的侵占。</w:t>
                  </w:r>
                  <w:r>
                    <w:rPr>
                      <w:rFonts w:hint="default" w:ascii="Calibri" w:hAnsi="Calibri" w:eastAsia="宋体" w:cs="Calibri"/>
                      <w:color w:val="auto"/>
                      <w:sz w:val="21"/>
                      <w:szCs w:val="21"/>
                      <w:lang w:eastAsia="zh-CN"/>
                    </w:rPr>
                    <w:t>施工现场使用带油料的机械器具，采取措施防止油料跑、冒、滴、漏，防止对土壤和水体造成污染。施工结束后，应及时清理施工现场，因地制宜进行土地功能恢复。</w:t>
                  </w:r>
                </w:p>
              </w:tc>
              <w:tc>
                <w:tcPr>
                  <w:tcW w:w="424" w:type="pct"/>
                  <w:tcBorders>
                    <w:tl2br w:val="nil"/>
                    <w:tr2bl w:val="nil"/>
                  </w:tcBorders>
                  <w:noWrap w:val="0"/>
                  <w:vAlign w:val="center"/>
                </w:tcPr>
                <w:p w14:paraId="301D8F2A">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符合</w:t>
                  </w:r>
                </w:p>
              </w:tc>
            </w:tr>
            <w:tr w14:paraId="59ACF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260" w:type="pct"/>
                  <w:vMerge w:val="continue"/>
                  <w:tcBorders>
                    <w:tl2br w:val="nil"/>
                    <w:tr2bl w:val="nil"/>
                  </w:tcBorders>
                  <w:noWrap w:val="0"/>
                  <w:vAlign w:val="center"/>
                </w:tcPr>
                <w:p w14:paraId="2409C8A1">
                  <w:pPr>
                    <w:pStyle w:val="35"/>
                    <w:bidi w:val="0"/>
                    <w:rPr>
                      <w:rFonts w:hint="default" w:ascii="Calibri" w:hAnsi="Calibri" w:eastAsia="宋体" w:cs="Calibri"/>
                      <w:color w:val="auto"/>
                      <w:sz w:val="21"/>
                      <w:szCs w:val="21"/>
                    </w:rPr>
                  </w:pPr>
                </w:p>
              </w:tc>
              <w:tc>
                <w:tcPr>
                  <w:tcW w:w="378" w:type="pct"/>
                  <w:vMerge w:val="continue"/>
                  <w:tcBorders>
                    <w:tl2br w:val="nil"/>
                    <w:tr2bl w:val="nil"/>
                  </w:tcBorders>
                  <w:noWrap w:val="0"/>
                  <w:vAlign w:val="center"/>
                </w:tcPr>
                <w:p w14:paraId="127E55D2">
                  <w:pPr>
                    <w:pStyle w:val="35"/>
                    <w:bidi w:val="0"/>
                    <w:rPr>
                      <w:rFonts w:hint="default" w:ascii="Calibri" w:hAnsi="Calibri" w:eastAsia="宋体" w:cs="Calibri"/>
                      <w:color w:val="auto"/>
                      <w:sz w:val="21"/>
                      <w:szCs w:val="21"/>
                    </w:rPr>
                  </w:pPr>
                </w:p>
              </w:tc>
              <w:tc>
                <w:tcPr>
                  <w:tcW w:w="2631" w:type="pct"/>
                  <w:tcBorders>
                    <w:tl2br w:val="nil"/>
                    <w:tr2bl w:val="nil"/>
                  </w:tcBorders>
                  <w:noWrap w:val="0"/>
                  <w:vAlign w:val="center"/>
                </w:tcPr>
                <w:p w14:paraId="48D2DB28">
                  <w:pPr>
                    <w:pStyle w:val="35"/>
                    <w:bidi w:val="0"/>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输电线路应因地制宜合理选择塔基础，在山丘区应采用全方位长短腿与不等高基础设计，以减少土石方开挖。输电线路无法避让集中林区时，应采取控制导线高度设计，以减少林木砍伐，保护生态环境</w:t>
                  </w:r>
                  <w:r>
                    <w:rPr>
                      <w:rFonts w:hint="default" w:ascii="Calibri" w:hAnsi="Calibri" w:eastAsia="宋体" w:cs="Calibri"/>
                      <w:color w:val="auto"/>
                      <w:sz w:val="21"/>
                      <w:szCs w:val="21"/>
                      <w:lang w:eastAsia="zh-CN"/>
                    </w:rPr>
                    <w:t>。</w:t>
                  </w:r>
                </w:p>
              </w:tc>
              <w:tc>
                <w:tcPr>
                  <w:tcW w:w="1304" w:type="pct"/>
                  <w:tcBorders>
                    <w:tl2br w:val="nil"/>
                    <w:tr2bl w:val="nil"/>
                  </w:tcBorders>
                  <w:noWrap w:val="0"/>
                  <w:vAlign w:val="center"/>
                </w:tcPr>
                <w:p w14:paraId="2FFCCBBC">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lang w:eastAsia="zh-CN"/>
                    </w:rPr>
                    <w:t>本项目</w:t>
                  </w:r>
                  <w:r>
                    <w:rPr>
                      <w:rFonts w:hint="default" w:ascii="Calibri" w:hAnsi="Calibri" w:eastAsia="宋体" w:cs="Calibri"/>
                      <w:color w:val="auto"/>
                      <w:sz w:val="21"/>
                      <w:szCs w:val="21"/>
                      <w:lang w:val="en-US" w:eastAsia="zh-CN"/>
                    </w:rPr>
                    <w:t>位于</w:t>
                  </w:r>
                  <w:r>
                    <w:rPr>
                      <w:rFonts w:hint="eastAsia" w:ascii="Calibri" w:hAnsi="Calibri" w:cs="Calibri"/>
                      <w:color w:val="auto"/>
                      <w:sz w:val="21"/>
                      <w:szCs w:val="21"/>
                      <w:lang w:val="en-US" w:eastAsia="zh-CN"/>
                    </w:rPr>
                    <w:t>裸岩石砾地</w:t>
                  </w:r>
                  <w:r>
                    <w:rPr>
                      <w:rFonts w:hint="default" w:ascii="Calibri" w:hAnsi="Calibri" w:eastAsia="宋体" w:cs="Calibri"/>
                      <w:color w:val="auto"/>
                      <w:sz w:val="21"/>
                      <w:szCs w:val="21"/>
                      <w:lang w:val="en-US" w:eastAsia="zh-CN"/>
                    </w:rPr>
                    <w:t>区域，项目区周边区域无林木，项目建设不涉及林木砍伐。</w:t>
                  </w:r>
                </w:p>
              </w:tc>
              <w:tc>
                <w:tcPr>
                  <w:tcW w:w="424" w:type="pct"/>
                  <w:tcBorders>
                    <w:tl2br w:val="nil"/>
                    <w:tr2bl w:val="nil"/>
                  </w:tcBorders>
                  <w:noWrap w:val="0"/>
                  <w:vAlign w:val="center"/>
                </w:tcPr>
                <w:p w14:paraId="0C12A93F">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符合</w:t>
                  </w:r>
                </w:p>
              </w:tc>
            </w:tr>
            <w:tr w14:paraId="1C939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2" w:hRule="atLeast"/>
                <w:jc w:val="center"/>
              </w:trPr>
              <w:tc>
                <w:tcPr>
                  <w:tcW w:w="260" w:type="pct"/>
                  <w:vMerge w:val="continue"/>
                  <w:tcBorders>
                    <w:tl2br w:val="nil"/>
                    <w:tr2bl w:val="nil"/>
                  </w:tcBorders>
                  <w:noWrap w:val="0"/>
                  <w:vAlign w:val="center"/>
                </w:tcPr>
                <w:p w14:paraId="09445F92">
                  <w:pPr>
                    <w:pStyle w:val="35"/>
                    <w:bidi w:val="0"/>
                    <w:rPr>
                      <w:rFonts w:hint="default" w:ascii="Calibri" w:hAnsi="Calibri" w:eastAsia="宋体" w:cs="Calibri"/>
                      <w:color w:val="auto"/>
                      <w:sz w:val="21"/>
                      <w:szCs w:val="21"/>
                    </w:rPr>
                  </w:pPr>
                </w:p>
              </w:tc>
              <w:tc>
                <w:tcPr>
                  <w:tcW w:w="378" w:type="pct"/>
                  <w:vMerge w:val="continue"/>
                  <w:tcBorders>
                    <w:tl2br w:val="nil"/>
                    <w:tr2bl w:val="nil"/>
                  </w:tcBorders>
                  <w:noWrap w:val="0"/>
                  <w:vAlign w:val="center"/>
                </w:tcPr>
                <w:p w14:paraId="03A626CA">
                  <w:pPr>
                    <w:pStyle w:val="35"/>
                    <w:bidi w:val="0"/>
                    <w:rPr>
                      <w:rFonts w:hint="default" w:ascii="Calibri" w:hAnsi="Calibri" w:eastAsia="宋体" w:cs="Calibri"/>
                      <w:color w:val="auto"/>
                      <w:sz w:val="21"/>
                      <w:szCs w:val="21"/>
                    </w:rPr>
                  </w:pPr>
                </w:p>
              </w:tc>
              <w:tc>
                <w:tcPr>
                  <w:tcW w:w="2631" w:type="pct"/>
                  <w:tcBorders>
                    <w:tl2br w:val="nil"/>
                    <w:tr2bl w:val="nil"/>
                  </w:tcBorders>
                  <w:noWrap w:val="0"/>
                  <w:vAlign w:val="center"/>
                </w:tcPr>
                <w:p w14:paraId="60461AAB">
                  <w:pPr>
                    <w:pStyle w:val="35"/>
                    <w:bidi w:val="0"/>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输变电建设项目临时占地，应因地制宜进行土地功能恢复设计</w:t>
                  </w:r>
                  <w:r>
                    <w:rPr>
                      <w:rFonts w:hint="default" w:ascii="Calibri" w:hAnsi="Calibri" w:eastAsia="宋体" w:cs="Calibri"/>
                      <w:color w:val="auto"/>
                      <w:sz w:val="21"/>
                      <w:szCs w:val="21"/>
                      <w:lang w:eastAsia="zh-CN"/>
                    </w:rPr>
                    <w:t>。</w:t>
                  </w:r>
                </w:p>
              </w:tc>
              <w:tc>
                <w:tcPr>
                  <w:tcW w:w="1304" w:type="pct"/>
                  <w:tcBorders>
                    <w:tl2br w:val="nil"/>
                    <w:tr2bl w:val="nil"/>
                  </w:tcBorders>
                  <w:noWrap w:val="0"/>
                  <w:vAlign w:val="center"/>
                </w:tcPr>
                <w:p w14:paraId="48D1B652">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lang w:eastAsia="zh-CN"/>
                    </w:rPr>
                    <w:t>本项目</w:t>
                  </w:r>
                  <w:r>
                    <w:rPr>
                      <w:rFonts w:hint="default" w:ascii="Calibri" w:hAnsi="Calibri" w:eastAsia="宋体" w:cs="Calibri"/>
                      <w:color w:val="auto"/>
                      <w:sz w:val="21"/>
                      <w:szCs w:val="21"/>
                      <w:lang w:val="en-US" w:eastAsia="zh-CN"/>
                    </w:rPr>
                    <w:t>制定了临时占地恢复方案，施工结束后对临时占地进行恢复。</w:t>
                  </w:r>
                </w:p>
              </w:tc>
              <w:tc>
                <w:tcPr>
                  <w:tcW w:w="424" w:type="pct"/>
                  <w:tcBorders>
                    <w:tl2br w:val="nil"/>
                    <w:tr2bl w:val="nil"/>
                  </w:tcBorders>
                  <w:noWrap w:val="0"/>
                  <w:vAlign w:val="center"/>
                </w:tcPr>
                <w:p w14:paraId="2650EEC0">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符合</w:t>
                  </w:r>
                </w:p>
              </w:tc>
            </w:tr>
            <w:tr w14:paraId="1165C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2" w:hRule="atLeast"/>
                <w:jc w:val="center"/>
              </w:trPr>
              <w:tc>
                <w:tcPr>
                  <w:tcW w:w="260" w:type="pct"/>
                  <w:tcBorders>
                    <w:tl2br w:val="nil"/>
                    <w:tr2bl w:val="nil"/>
                  </w:tcBorders>
                  <w:noWrap w:val="0"/>
                  <w:vAlign w:val="center"/>
                </w:tcPr>
                <w:p w14:paraId="26D33A36">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5</w:t>
                  </w:r>
                </w:p>
              </w:tc>
              <w:tc>
                <w:tcPr>
                  <w:tcW w:w="378" w:type="pct"/>
                  <w:tcBorders>
                    <w:tl2br w:val="nil"/>
                    <w:tr2bl w:val="nil"/>
                  </w:tcBorders>
                  <w:noWrap w:val="0"/>
                  <w:vAlign w:val="center"/>
                </w:tcPr>
                <w:p w14:paraId="26D42D41">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声环境保护</w:t>
                  </w:r>
                </w:p>
              </w:tc>
              <w:tc>
                <w:tcPr>
                  <w:tcW w:w="2631" w:type="pct"/>
                  <w:tcBorders>
                    <w:tl2br w:val="nil"/>
                    <w:tr2bl w:val="nil"/>
                  </w:tcBorders>
                  <w:noWrap w:val="0"/>
                  <w:vAlign w:val="center"/>
                </w:tcPr>
                <w:p w14:paraId="10028862">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变电工程施工过程中场界环境噪声排放应满足 GB12523中的要求。</w:t>
                  </w:r>
                </w:p>
                <w:p w14:paraId="56FC31BD">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户外变电工程总体布置应综合考虑声环境影响因素，合理规划，利用建筑物、地形等阻挡噪声传播，减少对声环境敏感目标的影响。</w:t>
                  </w:r>
                </w:p>
              </w:tc>
              <w:tc>
                <w:tcPr>
                  <w:tcW w:w="1304" w:type="pct"/>
                  <w:tcBorders>
                    <w:tl2br w:val="nil"/>
                    <w:tr2bl w:val="nil"/>
                  </w:tcBorders>
                  <w:noWrap w:val="0"/>
                  <w:vAlign w:val="center"/>
                </w:tcPr>
                <w:p w14:paraId="7579B499">
                  <w:pPr>
                    <w:pStyle w:val="35"/>
                    <w:rPr>
                      <w:rFonts w:hint="default" w:ascii="Calibri" w:hAnsi="Calibri" w:eastAsia="宋体" w:cs="Calibri"/>
                      <w:color w:val="auto"/>
                      <w:sz w:val="21"/>
                      <w:szCs w:val="21"/>
                      <w:lang w:val="en-US" w:eastAsia="zh-CN"/>
                    </w:rPr>
                  </w:pPr>
                  <w:r>
                    <w:rPr>
                      <w:rFonts w:hint="eastAsia" w:ascii="Calibri" w:hAnsi="Calibri" w:eastAsia="宋体" w:cs="Calibri"/>
                      <w:color w:val="auto"/>
                      <w:sz w:val="21"/>
                      <w:szCs w:val="21"/>
                      <w:lang w:val="en-US" w:eastAsia="zh-CN"/>
                    </w:rPr>
                    <w:t>本项目</w:t>
                  </w:r>
                  <w:r>
                    <w:rPr>
                      <w:rFonts w:hint="default" w:ascii="Calibri" w:hAnsi="Calibri" w:eastAsia="宋体" w:cs="Calibri"/>
                      <w:color w:val="auto"/>
                      <w:sz w:val="21"/>
                      <w:szCs w:val="21"/>
                      <w:lang w:val="en-US" w:eastAsia="zh-CN"/>
                    </w:rPr>
                    <w:t>施工过程中场界环境噪声排放需满足GB12523中的要求。本项目变电站周围无声环境保护目标。</w:t>
                  </w:r>
                </w:p>
              </w:tc>
              <w:tc>
                <w:tcPr>
                  <w:tcW w:w="424" w:type="pct"/>
                  <w:tcBorders>
                    <w:tl2br w:val="nil"/>
                    <w:tr2bl w:val="nil"/>
                  </w:tcBorders>
                  <w:noWrap w:val="0"/>
                  <w:vAlign w:val="center"/>
                </w:tcPr>
                <w:p w14:paraId="42274352">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符合</w:t>
                  </w:r>
                </w:p>
              </w:tc>
            </w:tr>
            <w:tr w14:paraId="3C425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2" w:hRule="atLeast"/>
                <w:jc w:val="center"/>
              </w:trPr>
              <w:tc>
                <w:tcPr>
                  <w:tcW w:w="260" w:type="pct"/>
                  <w:vMerge w:val="restart"/>
                  <w:tcBorders>
                    <w:tl2br w:val="nil"/>
                    <w:tr2bl w:val="nil"/>
                  </w:tcBorders>
                  <w:noWrap w:val="0"/>
                  <w:vAlign w:val="center"/>
                </w:tcPr>
                <w:p w14:paraId="440FEDF7">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6</w:t>
                  </w:r>
                </w:p>
              </w:tc>
              <w:tc>
                <w:tcPr>
                  <w:tcW w:w="378" w:type="pct"/>
                  <w:vMerge w:val="restart"/>
                  <w:tcBorders>
                    <w:tl2br w:val="nil"/>
                    <w:tr2bl w:val="nil"/>
                  </w:tcBorders>
                  <w:noWrap w:val="0"/>
                  <w:vAlign w:val="center"/>
                </w:tcPr>
                <w:p w14:paraId="0C5E99C8">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水环境保护</w:t>
                  </w:r>
                </w:p>
              </w:tc>
              <w:tc>
                <w:tcPr>
                  <w:tcW w:w="2631" w:type="pct"/>
                  <w:tcBorders>
                    <w:tl2br w:val="nil"/>
                    <w:tr2bl w:val="nil"/>
                  </w:tcBorders>
                  <w:noWrap w:val="0"/>
                  <w:vAlign w:val="center"/>
                </w:tcPr>
                <w:p w14:paraId="64515B98">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变电工程应采取节水措施，加强水的重复利用，减少废（污）水排放。雨水和生活污水应采取分流制。</w:t>
                  </w:r>
                </w:p>
              </w:tc>
              <w:tc>
                <w:tcPr>
                  <w:tcW w:w="1304" w:type="pct"/>
                  <w:tcBorders>
                    <w:tl2br w:val="nil"/>
                    <w:tr2bl w:val="nil"/>
                  </w:tcBorders>
                  <w:noWrap w:val="0"/>
                  <w:vAlign w:val="center"/>
                </w:tcPr>
                <w:p w14:paraId="7D167241">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本项目施工期施工废水经收集沉淀后，用于项目区洒水降尘，减少总体用水量。</w:t>
                  </w:r>
                </w:p>
              </w:tc>
              <w:tc>
                <w:tcPr>
                  <w:tcW w:w="424" w:type="pct"/>
                  <w:tcBorders>
                    <w:tl2br w:val="nil"/>
                    <w:tr2bl w:val="nil"/>
                  </w:tcBorders>
                  <w:noWrap w:val="0"/>
                  <w:vAlign w:val="center"/>
                </w:tcPr>
                <w:p w14:paraId="616BE432">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符合</w:t>
                  </w:r>
                </w:p>
              </w:tc>
            </w:tr>
            <w:tr w14:paraId="18BD4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2" w:hRule="atLeast"/>
                <w:jc w:val="center"/>
              </w:trPr>
              <w:tc>
                <w:tcPr>
                  <w:tcW w:w="260" w:type="pct"/>
                  <w:vMerge w:val="continue"/>
                  <w:tcBorders>
                    <w:tl2br w:val="nil"/>
                    <w:tr2bl w:val="nil"/>
                  </w:tcBorders>
                  <w:noWrap w:val="0"/>
                  <w:vAlign w:val="center"/>
                </w:tcPr>
                <w:p w14:paraId="3EF0E26E">
                  <w:pPr>
                    <w:pStyle w:val="35"/>
                    <w:bidi w:val="0"/>
                    <w:rPr>
                      <w:rFonts w:hint="default" w:ascii="Calibri" w:hAnsi="Calibri" w:eastAsia="宋体" w:cs="Calibri"/>
                      <w:color w:val="auto"/>
                      <w:sz w:val="21"/>
                      <w:szCs w:val="21"/>
                      <w:lang w:val="en-US" w:eastAsia="zh-CN"/>
                    </w:rPr>
                  </w:pPr>
                </w:p>
              </w:tc>
              <w:tc>
                <w:tcPr>
                  <w:tcW w:w="378" w:type="pct"/>
                  <w:vMerge w:val="continue"/>
                  <w:tcBorders>
                    <w:tl2br w:val="nil"/>
                    <w:tr2bl w:val="nil"/>
                  </w:tcBorders>
                  <w:noWrap w:val="0"/>
                  <w:vAlign w:val="center"/>
                </w:tcPr>
                <w:p w14:paraId="43017A2E">
                  <w:pPr>
                    <w:pStyle w:val="35"/>
                    <w:bidi w:val="0"/>
                    <w:rPr>
                      <w:rFonts w:hint="default" w:ascii="Calibri" w:hAnsi="Calibri" w:eastAsia="宋体" w:cs="Calibri"/>
                      <w:color w:val="auto"/>
                      <w:sz w:val="21"/>
                      <w:szCs w:val="21"/>
                      <w:lang w:val="en-US" w:eastAsia="zh-CN"/>
                    </w:rPr>
                  </w:pPr>
                </w:p>
              </w:tc>
              <w:tc>
                <w:tcPr>
                  <w:tcW w:w="2631" w:type="pct"/>
                  <w:tcBorders>
                    <w:tl2br w:val="nil"/>
                    <w:tr2bl w:val="nil"/>
                  </w:tcBorders>
                  <w:noWrap w:val="0"/>
                  <w:vAlign w:val="center"/>
                </w:tcPr>
                <w:p w14:paraId="3F31F7A5">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施工期间禁止向水体排放、倾倒垃圾、弃土、弃渣，禁止排放未经处理的</w:t>
                  </w:r>
                  <w:r>
                    <w:rPr>
                      <w:rFonts w:hint="eastAsia" w:ascii="Calibri" w:hAnsi="Calibri" w:cs="Calibri"/>
                      <w:color w:val="auto"/>
                      <w:sz w:val="21"/>
                      <w:szCs w:val="21"/>
                      <w:lang w:val="en-US" w:eastAsia="zh-CN"/>
                    </w:rPr>
                    <w:t>钻浆</w:t>
                  </w:r>
                  <w:r>
                    <w:rPr>
                      <w:rFonts w:hint="default" w:ascii="Calibri" w:hAnsi="Calibri" w:eastAsia="宋体" w:cs="Calibri"/>
                      <w:color w:val="auto"/>
                      <w:sz w:val="21"/>
                      <w:szCs w:val="21"/>
                      <w:lang w:val="en-US" w:eastAsia="zh-CN"/>
                    </w:rPr>
                    <w:t>等废弃物。</w:t>
                  </w:r>
                </w:p>
                <w:p w14:paraId="61EA9D5B">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变电工程站内产生的生活污水宜考虑处理后纳入城市污水管网；不具备纳入城市污水管网条件的变电工程，应根据站内生活污水产生情况设置生活污水处理装置（化粪池、地埋式污水处理装置、回用水池、蒸发池等），生活污水经处理后回收利用、定期清理或外排，外排时应严格执行相应的国家和地方水污染物排放标准相关要求。</w:t>
                  </w:r>
                </w:p>
              </w:tc>
              <w:tc>
                <w:tcPr>
                  <w:tcW w:w="1304" w:type="pct"/>
                  <w:tcBorders>
                    <w:tl2br w:val="nil"/>
                    <w:tr2bl w:val="nil"/>
                  </w:tcBorders>
                  <w:noWrap w:val="0"/>
                  <w:vAlign w:val="center"/>
                </w:tcPr>
                <w:p w14:paraId="5313CF7E">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施工期间禁止向水体排放、倾倒垃圾、弃土、弃渣，禁止排放未经处理的</w:t>
                  </w:r>
                  <w:r>
                    <w:rPr>
                      <w:rFonts w:hint="eastAsia" w:ascii="Calibri" w:hAnsi="Calibri" w:cs="Calibri"/>
                      <w:color w:val="auto"/>
                      <w:sz w:val="21"/>
                      <w:szCs w:val="21"/>
                      <w:lang w:val="en-US" w:eastAsia="zh-CN"/>
                    </w:rPr>
                    <w:t>钻浆</w:t>
                  </w:r>
                  <w:r>
                    <w:rPr>
                      <w:rFonts w:hint="default" w:ascii="Calibri" w:hAnsi="Calibri" w:eastAsia="宋体" w:cs="Calibri"/>
                      <w:color w:val="auto"/>
                      <w:sz w:val="21"/>
                      <w:szCs w:val="21"/>
                      <w:lang w:val="en-US" w:eastAsia="zh-CN"/>
                    </w:rPr>
                    <w:t>等废弃物。</w:t>
                  </w:r>
                </w:p>
                <w:p w14:paraId="36611F43">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施工期生活污水执行《农村生活污水处理排放标准》</w:t>
                  </w:r>
                  <w:r>
                    <w:rPr>
                      <w:rFonts w:hint="eastAsia" w:ascii="Calibri" w:hAnsi="Calibri" w:cs="Calibri"/>
                      <w:color w:val="auto"/>
                      <w:sz w:val="21"/>
                      <w:szCs w:val="21"/>
                      <w:lang w:val="en-US" w:eastAsia="zh-CN"/>
                    </w:rPr>
                    <w:t>（</w:t>
                  </w:r>
                  <w:r>
                    <w:rPr>
                      <w:rFonts w:hint="default" w:ascii="Calibri" w:hAnsi="Calibri" w:eastAsia="宋体" w:cs="Calibri"/>
                      <w:color w:val="auto"/>
                      <w:sz w:val="21"/>
                      <w:szCs w:val="21"/>
                      <w:lang w:val="en-US" w:eastAsia="zh-CN"/>
                    </w:rPr>
                    <w:t>DB654275-2019</w:t>
                  </w:r>
                  <w:r>
                    <w:rPr>
                      <w:rFonts w:hint="eastAsia" w:ascii="Calibri" w:hAnsi="Calibri" w:cs="Calibri"/>
                      <w:color w:val="auto"/>
                      <w:sz w:val="21"/>
                      <w:szCs w:val="21"/>
                      <w:lang w:val="en-US" w:eastAsia="zh-CN"/>
                    </w:rPr>
                    <w:t>）</w:t>
                  </w:r>
                  <w:r>
                    <w:rPr>
                      <w:rFonts w:hint="default" w:ascii="Calibri" w:hAnsi="Calibri" w:eastAsia="宋体" w:cs="Calibri"/>
                      <w:color w:val="auto"/>
                      <w:sz w:val="21"/>
                      <w:szCs w:val="21"/>
                      <w:lang w:val="en-US" w:eastAsia="zh-CN"/>
                    </w:rPr>
                    <w:t>，用于绿化、生态恢复；运营期无废水产生。</w:t>
                  </w:r>
                </w:p>
              </w:tc>
              <w:tc>
                <w:tcPr>
                  <w:tcW w:w="424" w:type="pct"/>
                  <w:tcBorders>
                    <w:tl2br w:val="nil"/>
                    <w:tr2bl w:val="nil"/>
                  </w:tcBorders>
                  <w:noWrap w:val="0"/>
                  <w:vAlign w:val="center"/>
                </w:tcPr>
                <w:p w14:paraId="4D76B9D0">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符合</w:t>
                  </w:r>
                </w:p>
              </w:tc>
            </w:tr>
            <w:tr w14:paraId="304BF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2" w:hRule="atLeast"/>
                <w:jc w:val="center"/>
              </w:trPr>
              <w:tc>
                <w:tcPr>
                  <w:tcW w:w="260" w:type="pct"/>
                  <w:tcBorders>
                    <w:tl2br w:val="nil"/>
                    <w:tr2bl w:val="nil"/>
                  </w:tcBorders>
                  <w:noWrap w:val="0"/>
                  <w:vAlign w:val="center"/>
                </w:tcPr>
                <w:p w14:paraId="6DDC4786">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7</w:t>
                  </w:r>
                </w:p>
              </w:tc>
              <w:tc>
                <w:tcPr>
                  <w:tcW w:w="378" w:type="pct"/>
                  <w:tcBorders>
                    <w:tl2br w:val="nil"/>
                    <w:tr2bl w:val="nil"/>
                  </w:tcBorders>
                  <w:noWrap w:val="0"/>
                  <w:vAlign w:val="center"/>
                </w:tcPr>
                <w:p w14:paraId="1F053E39">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大气环境</w:t>
                  </w:r>
                </w:p>
              </w:tc>
              <w:tc>
                <w:tcPr>
                  <w:tcW w:w="2631" w:type="pct"/>
                  <w:tcBorders>
                    <w:tl2br w:val="nil"/>
                    <w:tr2bl w:val="nil"/>
                  </w:tcBorders>
                  <w:noWrap w:val="0"/>
                  <w:vAlign w:val="center"/>
                </w:tcPr>
                <w:p w14:paraId="60E799D1">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施工过程中，应当加强对施工现场和物料运输的管理，在施工工地设置硬质围挡，保持道路清洁，管控料堆和渣土堆放，</w:t>
                  </w:r>
                  <w:r>
                    <w:rPr>
                      <w:rFonts w:hint="eastAsia" w:ascii="Calibri" w:hAnsi="Calibri" w:cs="Calibri"/>
                      <w:color w:val="auto"/>
                      <w:sz w:val="21"/>
                      <w:szCs w:val="21"/>
                      <w:lang w:val="en-US" w:eastAsia="zh-CN"/>
                    </w:rPr>
                    <w:t>防止</w:t>
                  </w:r>
                  <w:r>
                    <w:rPr>
                      <w:rFonts w:hint="default" w:ascii="Calibri" w:hAnsi="Calibri" w:eastAsia="宋体" w:cs="Calibri"/>
                      <w:color w:val="auto"/>
                      <w:sz w:val="21"/>
                      <w:szCs w:val="21"/>
                      <w:lang w:val="en-US" w:eastAsia="zh-CN"/>
                    </w:rPr>
                    <w:t>扬尘污染。施工过程中，对易起尘的临时堆土、运输过程中的土石方等应采用密闭式防尘布（网）进行苫盖，施工面集中且有条件的地方宜采取洒水降尘等有效措施，减少易造成大气污染的施工作业。施工过程中，建设单位应当对裸露地面进行覆盖；暂时不能开工的建设用地超过三个月的，应当进行绿化、铺装或者遮盖。施工现场禁止将包装物、可燃垃圾等固体废弃物就地焚烧。</w:t>
                  </w:r>
                </w:p>
              </w:tc>
              <w:tc>
                <w:tcPr>
                  <w:tcW w:w="1304" w:type="pct"/>
                  <w:tcBorders>
                    <w:tl2br w:val="nil"/>
                    <w:tr2bl w:val="nil"/>
                  </w:tcBorders>
                  <w:noWrap w:val="0"/>
                  <w:vAlign w:val="center"/>
                </w:tcPr>
                <w:p w14:paraId="3D921397">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施工过程中，加强对施工现场和物料运输的管理，在施工工地设置硬质围挡，保持道路清洁，管控料堆和渣土堆放，</w:t>
                  </w:r>
                  <w:r>
                    <w:rPr>
                      <w:rFonts w:hint="eastAsia" w:ascii="Calibri" w:hAnsi="Calibri" w:cs="Calibri"/>
                      <w:color w:val="auto"/>
                      <w:sz w:val="21"/>
                      <w:szCs w:val="21"/>
                      <w:lang w:val="en-US" w:eastAsia="zh-CN"/>
                    </w:rPr>
                    <w:t>防止</w:t>
                  </w:r>
                  <w:r>
                    <w:rPr>
                      <w:rFonts w:hint="default" w:ascii="Calibri" w:hAnsi="Calibri" w:eastAsia="宋体" w:cs="Calibri"/>
                      <w:color w:val="auto"/>
                      <w:sz w:val="21"/>
                      <w:szCs w:val="21"/>
                      <w:lang w:val="en-US" w:eastAsia="zh-CN"/>
                    </w:rPr>
                    <w:t>扬尘污染。施工过程中，对易起尘的临时堆土、运输过程中的土石方等应采用密闭式防尘布（网）进行苫盖，施工面集中且有条件的地方宜采取洒水降尘等有效措施，减少易造成大气污染的施工作业。施工过程中，建设单位应当对裸露地面进行覆盖；暂时不能开工的建设用地超过三个月的，应当进行绿化、铺装或者遮盖。施工现场禁止将包装物、可燃垃圾等固体废弃物就地焚烧。</w:t>
                  </w:r>
                </w:p>
              </w:tc>
              <w:tc>
                <w:tcPr>
                  <w:tcW w:w="424" w:type="pct"/>
                  <w:tcBorders>
                    <w:tl2br w:val="nil"/>
                    <w:tr2bl w:val="nil"/>
                  </w:tcBorders>
                  <w:noWrap w:val="0"/>
                  <w:vAlign w:val="center"/>
                </w:tcPr>
                <w:p w14:paraId="7627E607">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符合</w:t>
                  </w:r>
                </w:p>
              </w:tc>
            </w:tr>
            <w:tr w14:paraId="5F765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2" w:hRule="atLeast"/>
                <w:jc w:val="center"/>
              </w:trPr>
              <w:tc>
                <w:tcPr>
                  <w:tcW w:w="260" w:type="pct"/>
                  <w:tcBorders>
                    <w:tl2br w:val="nil"/>
                    <w:tr2bl w:val="nil"/>
                  </w:tcBorders>
                  <w:noWrap w:val="0"/>
                  <w:vAlign w:val="center"/>
                </w:tcPr>
                <w:p w14:paraId="586A9A26">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8</w:t>
                  </w:r>
                </w:p>
              </w:tc>
              <w:tc>
                <w:tcPr>
                  <w:tcW w:w="378" w:type="pct"/>
                  <w:tcBorders>
                    <w:tl2br w:val="nil"/>
                    <w:tr2bl w:val="nil"/>
                  </w:tcBorders>
                  <w:noWrap w:val="0"/>
                  <w:vAlign w:val="center"/>
                </w:tcPr>
                <w:p w14:paraId="411101FC">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运行过程</w:t>
                  </w:r>
                </w:p>
              </w:tc>
              <w:tc>
                <w:tcPr>
                  <w:tcW w:w="2631" w:type="pct"/>
                  <w:tcBorders>
                    <w:tl2br w:val="nil"/>
                    <w:tr2bl w:val="nil"/>
                  </w:tcBorders>
                  <w:noWrap w:val="0"/>
                  <w:vAlign w:val="center"/>
                </w:tcPr>
                <w:p w14:paraId="58A43B6E">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主要声源设备大修前后，应对变电工程厂界排放噪声和周围声环境敏感目标环境噪声进行监测，监测结果向社会公开。</w:t>
                  </w:r>
                </w:p>
                <w:p w14:paraId="10101AB6">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应对事故油池的完好情况进行检查，确保无渗漏、无溢流。</w:t>
                  </w:r>
                </w:p>
                <w:p w14:paraId="2D909FB5">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变电工程运行过程中产生的变压器油、高抗油等矿物油应进行回收处理。废矿物油和废铅酸蓄电池作为危险废物应交由有资质的单位回收处理，严禁随意丢弃。不能立即回收处理的应暂存在危险废物暂存间或暂存区。</w:t>
                  </w:r>
                </w:p>
                <w:p w14:paraId="3DFC8D53">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针对变电工程站内可能发生的突发环境事件，应按照HJ 169等国家有关规定制定突发环境事件应急预案，并定期演练。</w:t>
                  </w:r>
                </w:p>
              </w:tc>
              <w:tc>
                <w:tcPr>
                  <w:tcW w:w="1304" w:type="pct"/>
                  <w:tcBorders>
                    <w:tl2br w:val="nil"/>
                    <w:tr2bl w:val="nil"/>
                  </w:tcBorders>
                  <w:noWrap w:val="0"/>
                  <w:vAlign w:val="center"/>
                </w:tcPr>
                <w:p w14:paraId="412C83F2">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对主要声源设备大修前后，应对变电工程厂界排放噪声和周围声环境敏感目标环境噪声进行监测，监测结果向社会公开。</w:t>
                  </w:r>
                </w:p>
                <w:p w14:paraId="60B6619D">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运营</w:t>
                  </w:r>
                  <w:r>
                    <w:rPr>
                      <w:rFonts w:hint="eastAsia" w:ascii="Calibri" w:hAnsi="Calibri" w:cs="Calibri"/>
                      <w:color w:val="auto"/>
                      <w:sz w:val="21"/>
                      <w:szCs w:val="21"/>
                      <w:lang w:val="en-US" w:eastAsia="zh-CN"/>
                    </w:rPr>
                    <w:t>期</w:t>
                  </w:r>
                  <w:r>
                    <w:rPr>
                      <w:rFonts w:hint="default" w:ascii="Calibri" w:hAnsi="Calibri" w:eastAsia="宋体" w:cs="Calibri"/>
                      <w:color w:val="auto"/>
                      <w:sz w:val="21"/>
                      <w:szCs w:val="21"/>
                      <w:lang w:val="en-US" w:eastAsia="zh-CN"/>
                    </w:rPr>
                    <w:t>对事故油池的完好情况进行检查，确保无渗漏、无溢流。</w:t>
                  </w:r>
                </w:p>
                <w:p w14:paraId="03FB8F48">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变电工程运行过程中产生的变压器油进行回收处理。废矿物油和废铅酸蓄电池作为危险废物应交由有资质的单位回收处理，严禁随意丢弃。不能回收处理的暂存在危险废物暂存间。</w:t>
                  </w:r>
                </w:p>
                <w:p w14:paraId="48A4F7E7">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针对变电工程站内可能发生的突发环境事件，应按照HJ 169等国家有关规定制定突发环境事件应急预案，并定期演练。</w:t>
                  </w:r>
                </w:p>
              </w:tc>
              <w:tc>
                <w:tcPr>
                  <w:tcW w:w="424" w:type="pct"/>
                  <w:tcBorders>
                    <w:tl2br w:val="nil"/>
                    <w:tr2bl w:val="nil"/>
                  </w:tcBorders>
                  <w:noWrap w:val="0"/>
                  <w:vAlign w:val="center"/>
                </w:tcPr>
                <w:p w14:paraId="49578989">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符合</w:t>
                  </w:r>
                </w:p>
              </w:tc>
            </w:tr>
          </w:tbl>
          <w:p w14:paraId="282BE854">
            <w:pPr>
              <w:pStyle w:val="36"/>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textAlignment w:val="auto"/>
              <w:rPr>
                <w:rFonts w:hint="default" w:ascii="Calibri" w:hAnsi="Calibri" w:eastAsia="宋体" w:cs="Calibri"/>
                <w:color w:val="auto"/>
                <w:sz w:val="24"/>
                <w:szCs w:val="24"/>
                <w:lang w:val="en-US" w:eastAsia="zh-CN"/>
              </w:rPr>
            </w:pPr>
            <w:r>
              <w:rPr>
                <w:rFonts w:hint="eastAsia" w:ascii="Calibri" w:hAnsi="Calibri" w:cs="Calibri"/>
                <w:color w:val="auto"/>
                <w:sz w:val="24"/>
                <w:szCs w:val="24"/>
                <w:lang w:val="en-US" w:eastAsia="zh-CN"/>
              </w:rPr>
              <w:t>4、</w:t>
            </w:r>
            <w:r>
              <w:rPr>
                <w:rFonts w:hint="default" w:ascii="Calibri" w:hAnsi="Calibri" w:eastAsia="宋体" w:cs="Calibri"/>
                <w:color w:val="auto"/>
                <w:sz w:val="24"/>
                <w:szCs w:val="24"/>
                <w:lang w:val="en-US" w:eastAsia="zh-CN"/>
              </w:rPr>
              <w:t>与《</w:t>
            </w:r>
            <w:r>
              <w:rPr>
                <w:rFonts w:hint="eastAsia" w:ascii="Calibri" w:hAnsi="Calibri" w:cs="Calibri"/>
                <w:color w:val="auto"/>
                <w:sz w:val="24"/>
                <w:szCs w:val="24"/>
                <w:lang w:val="en-US" w:eastAsia="zh-CN"/>
              </w:rPr>
              <w:t>新疆维吾尔自治区辐射污染防治办法</w:t>
            </w:r>
            <w:r>
              <w:rPr>
                <w:rFonts w:hint="default" w:ascii="Calibri" w:hAnsi="Calibri" w:eastAsia="宋体" w:cs="Calibri"/>
                <w:color w:val="auto"/>
                <w:sz w:val="24"/>
                <w:szCs w:val="24"/>
                <w:lang w:val="en-US" w:eastAsia="zh-CN"/>
              </w:rPr>
              <w:t>》（2015年7月1日起施行）相关要求的相符性</w:t>
            </w:r>
            <w:r>
              <w:rPr>
                <w:rFonts w:hint="eastAsia" w:ascii="Calibri" w:hAnsi="Calibri" w:cs="Calibri"/>
                <w:color w:val="auto"/>
                <w:sz w:val="24"/>
                <w:szCs w:val="24"/>
                <w:lang w:val="en-US" w:eastAsia="zh-CN"/>
              </w:rPr>
              <w:t>。</w:t>
            </w:r>
          </w:p>
          <w:p w14:paraId="2A5497F7">
            <w:pPr>
              <w:pStyle w:val="10"/>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Calibri" w:hAnsi="Calibri" w:eastAsia="宋体" w:cs="Calibri"/>
                <w:color w:val="auto"/>
                <w:sz w:val="24"/>
                <w:szCs w:val="24"/>
                <w:lang w:val="en-US" w:eastAsia="zh-CN"/>
              </w:rPr>
            </w:pPr>
            <w:r>
              <w:rPr>
                <w:rFonts w:hint="default" w:ascii="Calibri" w:hAnsi="Calibri" w:eastAsia="宋体" w:cs="Calibri"/>
                <w:b/>
                <w:bCs/>
                <w:color w:val="auto"/>
                <w:sz w:val="24"/>
                <w:szCs w:val="24"/>
                <w:lang w:val="en-US" w:eastAsia="zh-CN"/>
              </w:rPr>
              <w:t>表1-6    本项目与辐射环境管理办法符合性</w:t>
            </w:r>
          </w:p>
          <w:tbl>
            <w:tblPr>
              <w:tblStyle w:val="22"/>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1"/>
              <w:gridCol w:w="321"/>
              <w:gridCol w:w="4237"/>
              <w:gridCol w:w="1712"/>
              <w:gridCol w:w="366"/>
            </w:tblGrid>
            <w:tr w14:paraId="06586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9" w:hRule="atLeast"/>
                <w:jc w:val="center"/>
              </w:trPr>
              <w:tc>
                <w:tcPr>
                  <w:tcW w:w="168" w:type="pct"/>
                  <w:tcBorders>
                    <w:tl2br w:val="nil"/>
                    <w:tr2bl w:val="nil"/>
                  </w:tcBorders>
                  <w:noWrap w:val="0"/>
                  <w:vAlign w:val="center"/>
                </w:tcPr>
                <w:p w14:paraId="72CBB23F">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rPr>
                    <w:t>序号</w:t>
                  </w:r>
                </w:p>
              </w:tc>
              <w:tc>
                <w:tcPr>
                  <w:tcW w:w="233" w:type="pct"/>
                  <w:tcBorders>
                    <w:tl2br w:val="nil"/>
                    <w:tr2bl w:val="nil"/>
                  </w:tcBorders>
                  <w:noWrap w:val="0"/>
                  <w:vAlign w:val="center"/>
                </w:tcPr>
                <w:p w14:paraId="0D967830">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rPr>
                    <w:t>内容</w:t>
                  </w:r>
                </w:p>
              </w:tc>
              <w:tc>
                <w:tcPr>
                  <w:tcW w:w="3085" w:type="pct"/>
                  <w:tcBorders>
                    <w:tl2br w:val="nil"/>
                    <w:tr2bl w:val="nil"/>
                  </w:tcBorders>
                  <w:noWrap w:val="0"/>
                  <w:vAlign w:val="center"/>
                </w:tcPr>
                <w:p w14:paraId="709D50C0">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rPr>
                    <w:t>具体要求</w:t>
                  </w:r>
                </w:p>
              </w:tc>
              <w:tc>
                <w:tcPr>
                  <w:tcW w:w="1246" w:type="pct"/>
                  <w:tcBorders>
                    <w:tl2br w:val="nil"/>
                    <w:tr2bl w:val="nil"/>
                  </w:tcBorders>
                  <w:noWrap w:val="0"/>
                  <w:vAlign w:val="center"/>
                </w:tcPr>
                <w:p w14:paraId="1593C8DF">
                  <w:pPr>
                    <w:pStyle w:val="35"/>
                    <w:bidi w:val="0"/>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本</w:t>
                  </w:r>
                  <w:r>
                    <w:rPr>
                      <w:rFonts w:hint="default" w:ascii="Calibri" w:hAnsi="Calibri" w:eastAsia="宋体" w:cs="Calibri"/>
                      <w:color w:val="auto"/>
                      <w:sz w:val="21"/>
                      <w:szCs w:val="21"/>
                      <w:lang w:val="en-US" w:eastAsia="zh-CN"/>
                    </w:rPr>
                    <w:t>项目</w:t>
                  </w:r>
                </w:p>
              </w:tc>
              <w:tc>
                <w:tcPr>
                  <w:tcW w:w="266" w:type="pct"/>
                  <w:tcBorders>
                    <w:tl2br w:val="nil"/>
                    <w:tr2bl w:val="nil"/>
                  </w:tcBorders>
                  <w:noWrap w:val="0"/>
                  <w:vAlign w:val="center"/>
                </w:tcPr>
                <w:p w14:paraId="4A457869">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符合性分析</w:t>
                  </w:r>
                </w:p>
              </w:tc>
            </w:tr>
            <w:tr w14:paraId="33E74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168" w:type="pct"/>
                  <w:vMerge w:val="restart"/>
                  <w:tcBorders>
                    <w:tl2br w:val="nil"/>
                    <w:tr2bl w:val="nil"/>
                  </w:tcBorders>
                  <w:noWrap w:val="0"/>
                  <w:vAlign w:val="center"/>
                </w:tcPr>
                <w:p w14:paraId="76413BDA">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rPr>
                    <w:t>1</w:t>
                  </w:r>
                </w:p>
              </w:tc>
              <w:tc>
                <w:tcPr>
                  <w:tcW w:w="233" w:type="pct"/>
                  <w:vMerge w:val="restart"/>
                  <w:tcBorders>
                    <w:tl2br w:val="nil"/>
                    <w:tr2bl w:val="nil"/>
                  </w:tcBorders>
                  <w:noWrap w:val="0"/>
                  <w:vAlign w:val="center"/>
                </w:tcPr>
                <w:p w14:paraId="5D8CF918">
                  <w:pPr>
                    <w:pStyle w:val="35"/>
                    <w:bidi w:val="0"/>
                    <w:rPr>
                      <w:rFonts w:hint="default" w:ascii="Calibri" w:hAnsi="Calibri" w:eastAsia="宋体" w:cs="Calibri"/>
                      <w:color w:val="auto"/>
                      <w:sz w:val="21"/>
                      <w:szCs w:val="21"/>
                    </w:rPr>
                  </w:pPr>
                  <w:r>
                    <w:rPr>
                      <w:rFonts w:hint="default" w:ascii="Calibri" w:hAnsi="Calibri" w:eastAsia="宋体" w:cs="Calibri"/>
                      <w:color w:val="auto"/>
                      <w:sz w:val="21"/>
                      <w:szCs w:val="21"/>
                    </w:rPr>
                    <w:t>基本规定</w:t>
                  </w:r>
                </w:p>
              </w:tc>
              <w:tc>
                <w:tcPr>
                  <w:tcW w:w="3085" w:type="pct"/>
                  <w:tcBorders>
                    <w:tl2br w:val="nil"/>
                    <w:tr2bl w:val="nil"/>
                  </w:tcBorders>
                  <w:noWrap w:val="0"/>
                  <w:vAlign w:val="center"/>
                </w:tcPr>
                <w:p w14:paraId="67AD56BB">
                  <w:pPr>
                    <w:pStyle w:val="35"/>
                    <w:bidi w:val="0"/>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第三十条 电磁辐射建设项目或者电磁辐射设备与周围建筑物之间的防护距离，应当符合经批准的环境影响评价文件的要求</w:t>
                  </w:r>
                  <w:r>
                    <w:rPr>
                      <w:rFonts w:hint="default" w:ascii="Calibri" w:hAnsi="Calibri" w:eastAsia="宋体" w:cs="Calibri"/>
                      <w:color w:val="auto"/>
                      <w:sz w:val="21"/>
                      <w:szCs w:val="21"/>
                      <w:lang w:eastAsia="zh-CN"/>
                    </w:rPr>
                    <w:t>。</w:t>
                  </w:r>
                </w:p>
              </w:tc>
              <w:tc>
                <w:tcPr>
                  <w:tcW w:w="1246" w:type="pct"/>
                  <w:tcBorders>
                    <w:tl2br w:val="nil"/>
                    <w:tr2bl w:val="nil"/>
                  </w:tcBorders>
                  <w:noWrap w:val="0"/>
                  <w:vAlign w:val="center"/>
                </w:tcPr>
                <w:p w14:paraId="48D09063">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本项目环评文件正在办理中。</w:t>
                  </w:r>
                </w:p>
              </w:tc>
              <w:tc>
                <w:tcPr>
                  <w:tcW w:w="266" w:type="pct"/>
                  <w:tcBorders>
                    <w:tl2br w:val="nil"/>
                    <w:tr2bl w:val="nil"/>
                  </w:tcBorders>
                  <w:noWrap w:val="0"/>
                  <w:vAlign w:val="center"/>
                </w:tcPr>
                <w:p w14:paraId="5E691D47">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符合</w:t>
                  </w:r>
                </w:p>
              </w:tc>
            </w:tr>
            <w:tr w14:paraId="2D2DA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0" w:hRule="atLeast"/>
                <w:jc w:val="center"/>
              </w:trPr>
              <w:tc>
                <w:tcPr>
                  <w:tcW w:w="168" w:type="pct"/>
                  <w:vMerge w:val="continue"/>
                  <w:tcBorders>
                    <w:tl2br w:val="nil"/>
                    <w:tr2bl w:val="nil"/>
                  </w:tcBorders>
                  <w:noWrap w:val="0"/>
                  <w:vAlign w:val="center"/>
                </w:tcPr>
                <w:p w14:paraId="0A85EDAB">
                  <w:pPr>
                    <w:pStyle w:val="35"/>
                    <w:bidi w:val="0"/>
                    <w:rPr>
                      <w:rFonts w:hint="default" w:ascii="Calibri" w:hAnsi="Calibri" w:eastAsia="宋体" w:cs="Calibri"/>
                      <w:color w:val="auto"/>
                      <w:sz w:val="21"/>
                      <w:szCs w:val="21"/>
                    </w:rPr>
                  </w:pPr>
                </w:p>
              </w:tc>
              <w:tc>
                <w:tcPr>
                  <w:tcW w:w="233" w:type="pct"/>
                  <w:vMerge w:val="continue"/>
                  <w:tcBorders>
                    <w:tl2br w:val="nil"/>
                    <w:tr2bl w:val="nil"/>
                  </w:tcBorders>
                  <w:noWrap w:val="0"/>
                  <w:vAlign w:val="center"/>
                </w:tcPr>
                <w:p w14:paraId="763A437A">
                  <w:pPr>
                    <w:pStyle w:val="35"/>
                    <w:bidi w:val="0"/>
                    <w:rPr>
                      <w:rFonts w:hint="default" w:ascii="Calibri" w:hAnsi="Calibri" w:eastAsia="宋体" w:cs="Calibri"/>
                      <w:color w:val="auto"/>
                      <w:sz w:val="21"/>
                      <w:szCs w:val="21"/>
                    </w:rPr>
                  </w:pPr>
                </w:p>
              </w:tc>
              <w:tc>
                <w:tcPr>
                  <w:tcW w:w="3085" w:type="pct"/>
                  <w:tcBorders>
                    <w:tl2br w:val="nil"/>
                    <w:tr2bl w:val="nil"/>
                  </w:tcBorders>
                  <w:noWrap w:val="0"/>
                  <w:vAlign w:val="center"/>
                </w:tcPr>
                <w:p w14:paraId="360126F3">
                  <w:pPr>
                    <w:pStyle w:val="35"/>
                    <w:bidi w:val="0"/>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第三十一条 与电磁辐射建设项目配套建设的电磁辐射防护设施，应当与主体工程同时设计、同时施工、同时使用</w:t>
                  </w:r>
                  <w:r>
                    <w:rPr>
                      <w:rFonts w:hint="default" w:ascii="Calibri" w:hAnsi="Calibri" w:eastAsia="宋体" w:cs="Calibri"/>
                      <w:color w:val="auto"/>
                      <w:sz w:val="21"/>
                      <w:szCs w:val="21"/>
                      <w:lang w:eastAsia="zh-CN"/>
                    </w:rPr>
                    <w:t>。</w:t>
                  </w:r>
                </w:p>
              </w:tc>
              <w:tc>
                <w:tcPr>
                  <w:tcW w:w="1246" w:type="pct"/>
                  <w:tcBorders>
                    <w:tl2br w:val="nil"/>
                    <w:tr2bl w:val="nil"/>
                  </w:tcBorders>
                  <w:noWrap w:val="0"/>
                  <w:vAlign w:val="center"/>
                </w:tcPr>
                <w:p w14:paraId="6F4AB214">
                  <w:pPr>
                    <w:pStyle w:val="35"/>
                    <w:bidi w:val="0"/>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本</w:t>
                  </w:r>
                  <w:r>
                    <w:rPr>
                      <w:rFonts w:hint="default" w:ascii="Calibri" w:hAnsi="Calibri" w:eastAsia="宋体" w:cs="Calibri"/>
                      <w:color w:val="auto"/>
                      <w:sz w:val="21"/>
                      <w:szCs w:val="21"/>
                      <w:lang w:val="en-US" w:eastAsia="zh-CN"/>
                    </w:rPr>
                    <w:t>项目</w:t>
                  </w:r>
                  <w:r>
                    <w:rPr>
                      <w:rFonts w:hint="default" w:ascii="Calibri" w:hAnsi="Calibri" w:eastAsia="宋体" w:cs="Calibri"/>
                      <w:color w:val="auto"/>
                      <w:sz w:val="21"/>
                      <w:szCs w:val="21"/>
                    </w:rPr>
                    <w:t>环境保护设施，与主体工程同时设计、同时施工、同时投产使用</w:t>
                  </w:r>
                  <w:r>
                    <w:rPr>
                      <w:rFonts w:hint="default" w:ascii="Calibri" w:hAnsi="Calibri" w:eastAsia="宋体" w:cs="Calibri"/>
                      <w:color w:val="auto"/>
                      <w:sz w:val="21"/>
                      <w:szCs w:val="21"/>
                      <w:lang w:eastAsia="zh-CN"/>
                    </w:rPr>
                    <w:t>。</w:t>
                  </w:r>
                </w:p>
              </w:tc>
              <w:tc>
                <w:tcPr>
                  <w:tcW w:w="266" w:type="pct"/>
                  <w:tcBorders>
                    <w:tl2br w:val="nil"/>
                    <w:tr2bl w:val="nil"/>
                  </w:tcBorders>
                  <w:noWrap w:val="0"/>
                  <w:vAlign w:val="center"/>
                </w:tcPr>
                <w:p w14:paraId="6907EFA2">
                  <w:pPr>
                    <w:pStyle w:val="35"/>
                    <w:bidi w:val="0"/>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符合</w:t>
                  </w:r>
                </w:p>
              </w:tc>
            </w:tr>
          </w:tbl>
          <w:p w14:paraId="281457A5">
            <w:pPr>
              <w:pStyle w:val="36"/>
              <w:keepNext w:val="0"/>
              <w:keepLines w:val="0"/>
              <w:pageBreakBefore w:val="0"/>
              <w:widowControl w:val="0"/>
              <w:numPr>
                <w:ilvl w:val="0"/>
                <w:numId w:val="2"/>
              </w:numPr>
              <w:kinsoku/>
              <w:wordWrap/>
              <w:overflowPunct/>
              <w:topLinePunct w:val="0"/>
              <w:autoSpaceDE w:val="0"/>
              <w:autoSpaceDN w:val="0"/>
              <w:bidi w:val="0"/>
              <w:adjustRightInd w:val="0"/>
              <w:snapToGrid w:val="0"/>
              <w:spacing w:line="480" w:lineRule="exact"/>
              <w:ind w:firstLine="482" w:firstLineChars="200"/>
              <w:textAlignment w:val="auto"/>
              <w:rPr>
                <w:rFonts w:hint="default" w:ascii="Calibri" w:hAnsi="Calibri" w:eastAsia="宋体" w:cs="Calibri"/>
                <w:color w:val="auto"/>
                <w:sz w:val="24"/>
                <w:szCs w:val="24"/>
                <w:lang w:val="en-US" w:eastAsia="zh-CN"/>
              </w:rPr>
            </w:pPr>
            <w:r>
              <w:rPr>
                <w:rFonts w:hint="default" w:ascii="Calibri" w:hAnsi="Calibri" w:eastAsia="宋体" w:cs="Calibri"/>
                <w:color w:val="auto"/>
                <w:sz w:val="24"/>
                <w:szCs w:val="24"/>
                <w:lang w:val="en-US" w:eastAsia="zh-CN"/>
              </w:rPr>
              <w:t>与生态环境保护“十四五”规划符合性分析</w:t>
            </w:r>
          </w:p>
          <w:p w14:paraId="0245B65B">
            <w:pPr>
              <w:keepNext w:val="0"/>
              <w:keepLines w:val="0"/>
              <w:pageBreakBefore w:val="0"/>
              <w:widowControl w:val="0"/>
              <w:kinsoku/>
              <w:wordWrap/>
              <w:overflowPunct/>
              <w:topLinePunct w:val="0"/>
              <w:bidi w:val="0"/>
              <w:spacing w:line="480" w:lineRule="exact"/>
              <w:jc w:val="center"/>
              <w:textAlignment w:val="auto"/>
              <w:rPr>
                <w:rFonts w:hint="default" w:ascii="Calibri" w:hAnsi="Calibri" w:eastAsia="宋体" w:cs="Calibri"/>
                <w:b/>
                <w:bCs/>
                <w:color w:val="auto"/>
                <w:kern w:val="2"/>
                <w:sz w:val="24"/>
                <w:szCs w:val="24"/>
                <w:lang w:val="en-US" w:eastAsia="zh-CN" w:bidi="ar-SA"/>
              </w:rPr>
            </w:pPr>
            <w:r>
              <w:rPr>
                <w:rFonts w:hint="default" w:ascii="Calibri" w:hAnsi="Calibri" w:eastAsia="宋体" w:cs="Calibri"/>
                <w:b/>
                <w:bCs/>
                <w:color w:val="auto"/>
                <w:kern w:val="2"/>
                <w:sz w:val="24"/>
                <w:szCs w:val="24"/>
                <w:lang w:val="en-US" w:eastAsia="zh-CN" w:bidi="ar-SA"/>
              </w:rPr>
              <w:t>表1-7    本项目与生态环境保护“十四五”规划符合性分析</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3344"/>
              <w:gridCol w:w="2008"/>
              <w:gridCol w:w="549"/>
            </w:tblGrid>
            <w:tr w14:paraId="184A1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7" w:type="pct"/>
                  <w:vAlign w:val="center"/>
                </w:tcPr>
                <w:p w14:paraId="18BB30BD">
                  <w:pPr>
                    <w:pStyle w:val="3"/>
                    <w:spacing w:before="0" w:after="0" w:line="240" w:lineRule="auto"/>
                    <w:ind w:left="0" w:firstLine="0"/>
                    <w:jc w:val="center"/>
                    <w:rPr>
                      <w:rFonts w:hint="default" w:ascii="Calibri" w:hAnsi="Calibri" w:eastAsia="宋体" w:cs="Calibri"/>
                      <w:b w:val="0"/>
                      <w:bCs w:val="0"/>
                      <w:color w:val="auto"/>
                      <w:sz w:val="21"/>
                      <w:szCs w:val="21"/>
                      <w:vertAlign w:val="baseline"/>
                      <w:lang w:val="en-US" w:eastAsia="zh-CN"/>
                    </w:rPr>
                  </w:pPr>
                  <w:r>
                    <w:rPr>
                      <w:rFonts w:hint="default" w:ascii="Calibri" w:hAnsi="Calibri" w:eastAsia="宋体" w:cs="Calibri"/>
                      <w:b w:val="0"/>
                      <w:bCs w:val="0"/>
                      <w:color w:val="auto"/>
                      <w:sz w:val="21"/>
                      <w:szCs w:val="21"/>
                      <w:vertAlign w:val="baseline"/>
                      <w:lang w:val="en-US" w:eastAsia="zh-CN"/>
                    </w:rPr>
                    <w:t>文件名称</w:t>
                  </w:r>
                </w:p>
              </w:tc>
              <w:tc>
                <w:tcPr>
                  <w:tcW w:w="2432" w:type="pct"/>
                  <w:vAlign w:val="center"/>
                </w:tcPr>
                <w:p w14:paraId="22E68333">
                  <w:pPr>
                    <w:pStyle w:val="3"/>
                    <w:spacing w:before="0" w:after="0" w:line="240" w:lineRule="auto"/>
                    <w:ind w:left="0" w:firstLine="0"/>
                    <w:jc w:val="center"/>
                    <w:rPr>
                      <w:rFonts w:hint="default" w:ascii="Calibri" w:hAnsi="Calibri" w:eastAsia="宋体" w:cs="Calibri"/>
                      <w:b w:val="0"/>
                      <w:bCs w:val="0"/>
                      <w:color w:val="auto"/>
                      <w:sz w:val="21"/>
                      <w:szCs w:val="21"/>
                      <w:vertAlign w:val="baseline"/>
                      <w:lang w:val="en-US" w:eastAsia="zh-CN"/>
                    </w:rPr>
                  </w:pPr>
                  <w:r>
                    <w:rPr>
                      <w:rFonts w:hint="default" w:ascii="Calibri" w:hAnsi="Calibri" w:eastAsia="宋体" w:cs="Calibri"/>
                      <w:b w:val="0"/>
                      <w:bCs w:val="0"/>
                      <w:color w:val="auto"/>
                      <w:sz w:val="21"/>
                      <w:szCs w:val="21"/>
                      <w:vertAlign w:val="baseline"/>
                      <w:lang w:val="en-US" w:eastAsia="zh-CN"/>
                    </w:rPr>
                    <w:t>文件要求</w:t>
                  </w:r>
                </w:p>
              </w:tc>
              <w:tc>
                <w:tcPr>
                  <w:tcW w:w="1460" w:type="pct"/>
                  <w:vAlign w:val="center"/>
                </w:tcPr>
                <w:p w14:paraId="4B290E49">
                  <w:pPr>
                    <w:pStyle w:val="3"/>
                    <w:spacing w:before="0" w:after="0" w:line="240" w:lineRule="auto"/>
                    <w:ind w:left="0" w:firstLine="0"/>
                    <w:jc w:val="center"/>
                    <w:rPr>
                      <w:rFonts w:hint="default" w:ascii="Calibri" w:hAnsi="Calibri" w:eastAsia="宋体" w:cs="Calibri"/>
                      <w:b w:val="0"/>
                      <w:bCs w:val="0"/>
                      <w:color w:val="auto"/>
                      <w:sz w:val="21"/>
                      <w:szCs w:val="21"/>
                      <w:vertAlign w:val="baseline"/>
                      <w:lang w:val="en-US" w:eastAsia="zh-CN"/>
                    </w:rPr>
                  </w:pPr>
                  <w:r>
                    <w:rPr>
                      <w:rFonts w:hint="default" w:ascii="Calibri" w:hAnsi="Calibri" w:eastAsia="宋体" w:cs="Calibri"/>
                      <w:b w:val="0"/>
                      <w:bCs w:val="0"/>
                      <w:color w:val="auto"/>
                      <w:sz w:val="21"/>
                      <w:szCs w:val="21"/>
                      <w:vertAlign w:val="baseline"/>
                      <w:lang w:val="en-US" w:eastAsia="zh-CN"/>
                    </w:rPr>
                    <w:t>项目情况</w:t>
                  </w:r>
                </w:p>
              </w:tc>
              <w:tc>
                <w:tcPr>
                  <w:tcW w:w="399" w:type="pct"/>
                  <w:vAlign w:val="center"/>
                </w:tcPr>
                <w:p w14:paraId="2C99B842">
                  <w:pPr>
                    <w:pStyle w:val="3"/>
                    <w:spacing w:before="0" w:after="0" w:line="240" w:lineRule="auto"/>
                    <w:ind w:left="0" w:firstLine="0"/>
                    <w:jc w:val="center"/>
                    <w:rPr>
                      <w:rFonts w:hint="default" w:ascii="Calibri" w:hAnsi="Calibri" w:eastAsia="宋体" w:cs="Calibri"/>
                      <w:b w:val="0"/>
                      <w:bCs w:val="0"/>
                      <w:color w:val="auto"/>
                      <w:sz w:val="21"/>
                      <w:szCs w:val="21"/>
                      <w:vertAlign w:val="baseline"/>
                      <w:lang w:val="en-US" w:eastAsia="zh-CN"/>
                    </w:rPr>
                  </w:pPr>
                  <w:r>
                    <w:rPr>
                      <w:rFonts w:hint="default" w:ascii="Calibri" w:hAnsi="Calibri" w:eastAsia="宋体" w:cs="Calibri"/>
                      <w:b w:val="0"/>
                      <w:bCs w:val="0"/>
                      <w:color w:val="auto"/>
                      <w:sz w:val="21"/>
                      <w:szCs w:val="21"/>
                      <w:vertAlign w:val="baseline"/>
                      <w:lang w:val="en-US" w:eastAsia="zh-CN"/>
                    </w:rPr>
                    <w:t>符合性</w:t>
                  </w:r>
                </w:p>
              </w:tc>
            </w:tr>
            <w:tr w14:paraId="5F86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Merge w:val="restart"/>
                  <w:vAlign w:val="center"/>
                </w:tcPr>
                <w:p w14:paraId="19495202">
                  <w:pPr>
                    <w:pStyle w:val="3"/>
                    <w:spacing w:before="0" w:after="0" w:line="240" w:lineRule="auto"/>
                    <w:ind w:left="0" w:firstLine="0"/>
                    <w:jc w:val="center"/>
                    <w:rPr>
                      <w:rFonts w:hint="default" w:ascii="Calibri" w:hAnsi="Calibri" w:eastAsia="宋体" w:cs="Calibri"/>
                      <w:b w:val="0"/>
                      <w:bCs w:val="0"/>
                      <w:color w:val="auto"/>
                      <w:sz w:val="21"/>
                      <w:szCs w:val="21"/>
                      <w:vertAlign w:val="baseline"/>
                    </w:rPr>
                  </w:pPr>
                  <w:r>
                    <w:rPr>
                      <w:rFonts w:hint="default" w:ascii="Calibri" w:hAnsi="Calibri" w:eastAsia="宋体" w:cs="Calibri"/>
                      <w:b w:val="0"/>
                      <w:bCs w:val="0"/>
                      <w:color w:val="auto"/>
                      <w:sz w:val="21"/>
                      <w:szCs w:val="21"/>
                      <w:vertAlign w:val="baseline"/>
                      <w:lang w:val="en-US" w:eastAsia="zh-CN"/>
                    </w:rPr>
                    <w:t>2021年12月24日，自治区党委、自治区人民政府印发《新疆生态环境保护“十四五”规划》</w:t>
                  </w:r>
                </w:p>
              </w:tc>
              <w:tc>
                <w:tcPr>
                  <w:tcW w:w="2432" w:type="pct"/>
                  <w:vAlign w:val="center"/>
                </w:tcPr>
                <w:p w14:paraId="7E20A027">
                  <w:pPr>
                    <w:pStyle w:val="3"/>
                    <w:spacing w:before="0" w:after="0" w:line="240" w:lineRule="auto"/>
                    <w:ind w:left="0" w:firstLine="0"/>
                    <w:jc w:val="center"/>
                    <w:rPr>
                      <w:rFonts w:hint="default" w:ascii="Calibri" w:hAnsi="Calibri" w:eastAsia="宋体" w:cs="Calibri"/>
                      <w:b w:val="0"/>
                      <w:bCs w:val="0"/>
                      <w:color w:val="auto"/>
                      <w:sz w:val="21"/>
                      <w:szCs w:val="21"/>
                      <w:vertAlign w:val="baseline"/>
                    </w:rPr>
                  </w:pPr>
                  <w:r>
                    <w:rPr>
                      <w:rFonts w:hint="default" w:ascii="Calibri" w:hAnsi="Calibri" w:eastAsia="宋体" w:cs="Calibri"/>
                      <w:b w:val="0"/>
                      <w:bCs w:val="0"/>
                      <w:color w:val="auto"/>
                      <w:sz w:val="21"/>
                      <w:szCs w:val="21"/>
                      <w:vertAlign w:val="baseline"/>
                    </w:rPr>
                    <w:t>协同开展PM</w:t>
                  </w:r>
                  <w:r>
                    <w:rPr>
                      <w:rFonts w:hint="default" w:ascii="Calibri" w:hAnsi="Calibri" w:eastAsia="宋体" w:cs="Calibri"/>
                      <w:b w:val="0"/>
                      <w:bCs w:val="0"/>
                      <w:color w:val="auto"/>
                      <w:sz w:val="21"/>
                      <w:szCs w:val="21"/>
                      <w:vertAlign w:val="subscript"/>
                    </w:rPr>
                    <w:t>2.5</w:t>
                  </w:r>
                  <w:r>
                    <w:rPr>
                      <w:rFonts w:hint="default" w:ascii="Calibri" w:hAnsi="Calibri" w:eastAsia="宋体" w:cs="Calibri"/>
                      <w:b w:val="0"/>
                      <w:bCs w:val="0"/>
                      <w:color w:val="auto"/>
                      <w:sz w:val="21"/>
                      <w:szCs w:val="21"/>
                      <w:vertAlign w:val="baseline"/>
                    </w:rPr>
                    <w:t>和臭氧（以下简称“O</w:t>
                  </w:r>
                  <w:r>
                    <w:rPr>
                      <w:rFonts w:hint="default" w:ascii="Calibri" w:hAnsi="Calibri" w:eastAsia="宋体" w:cs="Calibri"/>
                      <w:b w:val="0"/>
                      <w:bCs w:val="0"/>
                      <w:color w:val="auto"/>
                      <w:sz w:val="21"/>
                      <w:szCs w:val="21"/>
                      <w:vertAlign w:val="subscript"/>
                    </w:rPr>
                    <w:t>3</w:t>
                  </w:r>
                  <w:r>
                    <w:rPr>
                      <w:rFonts w:hint="default" w:ascii="Calibri" w:hAnsi="Calibri" w:eastAsia="宋体" w:cs="Calibri"/>
                      <w:b w:val="0"/>
                      <w:bCs w:val="0"/>
                      <w:color w:val="auto"/>
                      <w:sz w:val="21"/>
                      <w:szCs w:val="21"/>
                      <w:vertAlign w:val="baseline"/>
                    </w:rPr>
                    <w:t>”）污染防治。推动城市PM</w:t>
                  </w:r>
                  <w:r>
                    <w:rPr>
                      <w:rFonts w:hint="default" w:ascii="Calibri" w:hAnsi="Calibri" w:eastAsia="宋体" w:cs="Calibri"/>
                      <w:b w:val="0"/>
                      <w:bCs w:val="0"/>
                      <w:color w:val="auto"/>
                      <w:sz w:val="21"/>
                      <w:szCs w:val="21"/>
                      <w:vertAlign w:val="subscript"/>
                    </w:rPr>
                    <w:t>2.5</w:t>
                  </w:r>
                  <w:r>
                    <w:rPr>
                      <w:rFonts w:hint="default" w:ascii="Calibri" w:hAnsi="Calibri" w:eastAsia="宋体" w:cs="Calibri"/>
                      <w:b w:val="0"/>
                      <w:bCs w:val="0"/>
                      <w:color w:val="auto"/>
                      <w:sz w:val="21"/>
                      <w:szCs w:val="21"/>
                      <w:vertAlign w:val="baseline"/>
                    </w:rPr>
                    <w:t>浓度持续下降，有效遏制O</w:t>
                  </w:r>
                  <w:r>
                    <w:rPr>
                      <w:rFonts w:hint="default" w:ascii="Calibri" w:hAnsi="Calibri" w:eastAsia="宋体" w:cs="Calibri"/>
                      <w:b w:val="0"/>
                      <w:bCs w:val="0"/>
                      <w:color w:val="auto"/>
                      <w:sz w:val="21"/>
                      <w:szCs w:val="21"/>
                      <w:vertAlign w:val="subscript"/>
                    </w:rPr>
                    <w:t>3</w:t>
                  </w:r>
                  <w:r>
                    <w:rPr>
                      <w:rFonts w:hint="default" w:ascii="Calibri" w:hAnsi="Calibri" w:eastAsia="宋体" w:cs="Calibri"/>
                      <w:b w:val="0"/>
                      <w:bCs w:val="0"/>
                      <w:color w:val="auto"/>
                      <w:sz w:val="21"/>
                      <w:szCs w:val="21"/>
                      <w:vertAlign w:val="baseline"/>
                    </w:rPr>
                    <w:t>浓度增长趋势。探索开展PM</w:t>
                  </w:r>
                  <w:r>
                    <w:rPr>
                      <w:rFonts w:hint="default" w:ascii="Calibri" w:hAnsi="Calibri" w:eastAsia="宋体" w:cs="Calibri"/>
                      <w:b w:val="0"/>
                      <w:bCs w:val="0"/>
                      <w:color w:val="auto"/>
                      <w:sz w:val="21"/>
                      <w:szCs w:val="21"/>
                      <w:vertAlign w:val="subscript"/>
                    </w:rPr>
                    <w:t>2.5</w:t>
                  </w:r>
                  <w:r>
                    <w:rPr>
                      <w:rFonts w:hint="default" w:ascii="Calibri" w:hAnsi="Calibri" w:eastAsia="宋体" w:cs="Calibri"/>
                      <w:b w:val="0"/>
                      <w:bCs w:val="0"/>
                      <w:color w:val="auto"/>
                      <w:sz w:val="21"/>
                      <w:szCs w:val="21"/>
                      <w:vertAlign w:val="baseline"/>
                    </w:rPr>
                    <w:t>和O</w:t>
                  </w:r>
                  <w:r>
                    <w:rPr>
                      <w:rFonts w:hint="default" w:ascii="Calibri" w:hAnsi="Calibri" w:eastAsia="宋体" w:cs="Calibri"/>
                      <w:b w:val="0"/>
                      <w:bCs w:val="0"/>
                      <w:color w:val="auto"/>
                      <w:sz w:val="21"/>
                      <w:szCs w:val="21"/>
                      <w:vertAlign w:val="subscript"/>
                    </w:rPr>
                    <w:t>3</w:t>
                  </w:r>
                  <w:r>
                    <w:rPr>
                      <w:rFonts w:hint="default" w:ascii="Calibri" w:hAnsi="Calibri" w:eastAsia="宋体" w:cs="Calibri"/>
                      <w:b w:val="0"/>
                      <w:bCs w:val="0"/>
                      <w:color w:val="auto"/>
                      <w:sz w:val="21"/>
                      <w:szCs w:val="21"/>
                      <w:vertAlign w:val="baseline"/>
                    </w:rPr>
                    <w:t>污染区域传输规律和特征研究，加强重点区域、重点领域、重点行业治理，强化差异化精细化协同管控。</w:t>
                  </w:r>
                </w:p>
                <w:p w14:paraId="75CD3E33">
                  <w:pPr>
                    <w:pStyle w:val="3"/>
                    <w:spacing w:before="0" w:after="0" w:line="240" w:lineRule="auto"/>
                    <w:ind w:left="0" w:firstLine="0"/>
                    <w:jc w:val="center"/>
                    <w:rPr>
                      <w:rFonts w:hint="default" w:ascii="Calibri" w:hAnsi="Calibri" w:eastAsia="宋体" w:cs="Calibri"/>
                      <w:b w:val="0"/>
                      <w:bCs w:val="0"/>
                      <w:color w:val="auto"/>
                      <w:sz w:val="21"/>
                      <w:szCs w:val="21"/>
                      <w:vertAlign w:val="baseline"/>
                    </w:rPr>
                  </w:pPr>
                  <w:r>
                    <w:rPr>
                      <w:rFonts w:hint="default" w:ascii="Calibri" w:hAnsi="Calibri" w:eastAsia="宋体" w:cs="Calibri"/>
                      <w:b w:val="0"/>
                      <w:bCs w:val="0"/>
                      <w:color w:val="auto"/>
                      <w:sz w:val="21"/>
                      <w:szCs w:val="21"/>
                      <w:vertAlign w:val="baseline"/>
                    </w:rPr>
                    <w:t>强化车油路联合管控。加强车辆环保管理，推进油品配套升级。加大油品销售的监管力度，加强油品质量监督检查，严厉打击非法生产、销售不合格油品行为，对于限期不达标的成品油加油站，依法整治或关停。建立完善兵地机动车信息共享机制，推动建立区域机动车污染防治一体化机制，实现兵地统一制度、统一标准、统一执法的机动车污染防治体系。</w:t>
                  </w:r>
                </w:p>
                <w:p w14:paraId="49763EF9">
                  <w:pPr>
                    <w:pStyle w:val="3"/>
                    <w:spacing w:before="0" w:after="0" w:line="240" w:lineRule="auto"/>
                    <w:ind w:left="0" w:firstLine="0"/>
                    <w:jc w:val="center"/>
                    <w:rPr>
                      <w:rFonts w:hint="default" w:ascii="Calibri" w:hAnsi="Calibri" w:eastAsia="宋体" w:cs="Calibri"/>
                      <w:b w:val="0"/>
                      <w:bCs w:val="0"/>
                      <w:color w:val="auto"/>
                      <w:sz w:val="21"/>
                      <w:szCs w:val="21"/>
                      <w:vertAlign w:val="baseline"/>
                    </w:rPr>
                  </w:pPr>
                  <w:r>
                    <w:rPr>
                      <w:rFonts w:hint="default" w:ascii="Calibri" w:hAnsi="Calibri" w:eastAsia="宋体" w:cs="Calibri"/>
                      <w:b w:val="0"/>
                      <w:bCs w:val="0"/>
                      <w:color w:val="auto"/>
                      <w:sz w:val="21"/>
                      <w:szCs w:val="21"/>
                      <w:vertAlign w:val="baseline"/>
                    </w:rPr>
                    <w:t>推进扬尘精细化管控。全面推行绿色施工，城市建成区建筑工地扬尘防控标准化管理全覆盖；加强城市道路清扫保洁和洒水抑尘，渣土车实施硬覆盖；推进低尘机械化作业水平，控制道路扬尘污染；强化非道路移动源综合治理；充分运用新型、高效的防尘、降尘、除尘技术，加强矿山粉尘治理。</w:t>
                  </w:r>
                </w:p>
              </w:tc>
              <w:tc>
                <w:tcPr>
                  <w:tcW w:w="1460" w:type="pct"/>
                  <w:vAlign w:val="center"/>
                </w:tcPr>
                <w:p w14:paraId="70B1B2AA">
                  <w:pPr>
                    <w:pStyle w:val="3"/>
                    <w:spacing w:before="0" w:after="0" w:line="240" w:lineRule="auto"/>
                    <w:ind w:left="0" w:firstLine="0"/>
                    <w:jc w:val="center"/>
                    <w:rPr>
                      <w:rFonts w:hint="default" w:ascii="Calibri" w:hAnsi="Calibri" w:eastAsia="宋体" w:cs="Calibri"/>
                      <w:b w:val="0"/>
                      <w:bCs w:val="0"/>
                      <w:color w:val="auto"/>
                      <w:sz w:val="21"/>
                      <w:szCs w:val="21"/>
                      <w:vertAlign w:val="baseline"/>
                      <w:lang w:val="en-US"/>
                    </w:rPr>
                  </w:pPr>
                  <w:r>
                    <w:rPr>
                      <w:rFonts w:hint="default" w:ascii="Calibri" w:hAnsi="Calibri" w:eastAsia="宋体" w:cs="Calibri"/>
                      <w:b w:val="0"/>
                      <w:bCs w:val="0"/>
                      <w:color w:val="auto"/>
                      <w:sz w:val="21"/>
                      <w:szCs w:val="21"/>
                      <w:vertAlign w:val="baseline"/>
                      <w:lang w:val="en-US" w:eastAsia="zh-CN"/>
                    </w:rPr>
                    <w:t>本项目将产生扬尘的建筑材料采用防尘布苫盖、定期洒水降尘；道路扬尘，采取洒水措施；临时堆土区，采用防尘布苫盖，定期洒水降尘；施工机械和汽车尾气，保证汽车尾气达到国家规定的排放标准。本项目不属于矿山开采项目。</w:t>
                  </w:r>
                </w:p>
              </w:tc>
              <w:tc>
                <w:tcPr>
                  <w:tcW w:w="399" w:type="pct"/>
                  <w:vAlign w:val="center"/>
                </w:tcPr>
                <w:p w14:paraId="2EF20B7A">
                  <w:pPr>
                    <w:pStyle w:val="3"/>
                    <w:spacing w:before="0" w:after="0" w:line="240" w:lineRule="auto"/>
                    <w:ind w:left="0" w:firstLine="0"/>
                    <w:jc w:val="center"/>
                    <w:rPr>
                      <w:rFonts w:hint="default" w:ascii="Calibri" w:hAnsi="Calibri" w:eastAsia="宋体" w:cs="Calibri"/>
                      <w:b w:val="0"/>
                      <w:bCs w:val="0"/>
                      <w:color w:val="auto"/>
                      <w:sz w:val="21"/>
                      <w:szCs w:val="21"/>
                      <w:vertAlign w:val="baseline"/>
                    </w:rPr>
                  </w:pPr>
                  <w:r>
                    <w:rPr>
                      <w:rFonts w:hint="default" w:ascii="Calibri" w:hAnsi="Calibri" w:eastAsia="宋体" w:cs="Calibri"/>
                      <w:b w:val="0"/>
                      <w:bCs w:val="0"/>
                      <w:color w:val="auto"/>
                      <w:sz w:val="21"/>
                      <w:szCs w:val="21"/>
                      <w:vertAlign w:val="baseline"/>
                      <w:lang w:val="en-US" w:eastAsia="zh-CN"/>
                    </w:rPr>
                    <w:t>符合</w:t>
                  </w:r>
                </w:p>
              </w:tc>
            </w:tr>
            <w:tr w14:paraId="04B2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Merge w:val="continue"/>
                  <w:vAlign w:val="center"/>
                </w:tcPr>
                <w:p w14:paraId="38174D7D">
                  <w:pPr>
                    <w:pStyle w:val="3"/>
                    <w:spacing w:before="0" w:after="0" w:line="240" w:lineRule="auto"/>
                    <w:ind w:left="0" w:firstLine="0"/>
                    <w:jc w:val="center"/>
                    <w:rPr>
                      <w:rFonts w:hint="default" w:ascii="Calibri" w:hAnsi="Calibri" w:eastAsia="宋体" w:cs="Calibri"/>
                      <w:b w:val="0"/>
                      <w:bCs w:val="0"/>
                      <w:color w:val="auto"/>
                      <w:sz w:val="21"/>
                      <w:szCs w:val="21"/>
                      <w:vertAlign w:val="baseline"/>
                      <w:lang w:val="en-US" w:eastAsia="zh-CN"/>
                    </w:rPr>
                  </w:pPr>
                </w:p>
              </w:tc>
              <w:tc>
                <w:tcPr>
                  <w:tcW w:w="2432" w:type="pct"/>
                  <w:vAlign w:val="center"/>
                </w:tcPr>
                <w:p w14:paraId="19E64DD4">
                  <w:pPr>
                    <w:pStyle w:val="3"/>
                    <w:spacing w:before="0" w:after="0" w:line="240" w:lineRule="auto"/>
                    <w:ind w:left="0" w:firstLine="0"/>
                    <w:jc w:val="center"/>
                    <w:rPr>
                      <w:rFonts w:hint="default" w:ascii="Calibri" w:hAnsi="Calibri" w:eastAsia="宋体" w:cs="Calibri"/>
                      <w:b w:val="0"/>
                      <w:bCs w:val="0"/>
                      <w:color w:val="auto"/>
                      <w:sz w:val="21"/>
                      <w:szCs w:val="21"/>
                      <w:vertAlign w:val="baseline"/>
                    </w:rPr>
                  </w:pPr>
                  <w:r>
                    <w:rPr>
                      <w:rFonts w:hint="default" w:ascii="Calibri" w:hAnsi="Calibri" w:eastAsia="宋体" w:cs="Calibri"/>
                      <w:b w:val="0"/>
                      <w:bCs w:val="0"/>
                      <w:color w:val="auto"/>
                      <w:sz w:val="21"/>
                      <w:szCs w:val="21"/>
                      <w:vertAlign w:val="baseline"/>
                    </w:rPr>
                    <w:t>坚持尊重自然、顺应自然、保护自然，构建人与自然生命共同体。坚持节约优先、保护优先、自然恢复为主，统筹推进山水林田湖草沙一体化保护和系统治理，实施生物多样性保护重大工程，强化生态保护监管，着力提高生态系统自我修复能力和稳定性，守住自然生态安全边界、提升生态系统服务功能。</w:t>
                  </w:r>
                </w:p>
              </w:tc>
              <w:tc>
                <w:tcPr>
                  <w:tcW w:w="1460" w:type="pct"/>
                  <w:vAlign w:val="center"/>
                </w:tcPr>
                <w:p w14:paraId="77ED2555">
                  <w:pPr>
                    <w:pStyle w:val="3"/>
                    <w:spacing w:before="0" w:after="0" w:line="240" w:lineRule="auto"/>
                    <w:ind w:left="0" w:firstLine="0"/>
                    <w:jc w:val="center"/>
                    <w:rPr>
                      <w:rFonts w:hint="default" w:ascii="Calibri" w:hAnsi="Calibri" w:eastAsia="宋体" w:cs="Calibri"/>
                      <w:b w:val="0"/>
                      <w:bCs w:val="0"/>
                      <w:color w:val="auto"/>
                      <w:sz w:val="21"/>
                      <w:szCs w:val="21"/>
                      <w:vertAlign w:val="baseline"/>
                    </w:rPr>
                  </w:pPr>
                  <w:r>
                    <w:rPr>
                      <w:rFonts w:hint="default" w:ascii="Calibri" w:hAnsi="Calibri" w:eastAsia="宋体" w:cs="Calibri"/>
                      <w:b w:val="0"/>
                      <w:bCs w:val="0"/>
                      <w:color w:val="auto"/>
                      <w:sz w:val="21"/>
                      <w:szCs w:val="21"/>
                      <w:vertAlign w:val="baseline"/>
                      <w:lang w:val="en-US" w:eastAsia="zh-CN"/>
                    </w:rPr>
                    <w:t>施工尽量减少占地范围，减少扰动面积，作业区四周设置彩带控制作业范围；做好表土剥离，分类存放和回填利用；减少地表开挖裸露时间，施工结束后清理平整，对扰动区域适当洒水增湿。</w:t>
                  </w:r>
                </w:p>
              </w:tc>
              <w:tc>
                <w:tcPr>
                  <w:tcW w:w="399" w:type="pct"/>
                  <w:vAlign w:val="center"/>
                </w:tcPr>
                <w:p w14:paraId="72920366">
                  <w:pPr>
                    <w:pStyle w:val="3"/>
                    <w:spacing w:before="0" w:after="0" w:line="240" w:lineRule="auto"/>
                    <w:ind w:left="0" w:firstLine="0"/>
                    <w:jc w:val="center"/>
                    <w:rPr>
                      <w:rFonts w:hint="default" w:ascii="Calibri" w:hAnsi="Calibri" w:eastAsia="宋体" w:cs="Calibri"/>
                      <w:b w:val="0"/>
                      <w:bCs w:val="0"/>
                      <w:color w:val="auto"/>
                      <w:sz w:val="21"/>
                      <w:szCs w:val="21"/>
                      <w:vertAlign w:val="baseline"/>
                    </w:rPr>
                  </w:pPr>
                  <w:r>
                    <w:rPr>
                      <w:rFonts w:hint="default" w:ascii="Calibri" w:hAnsi="Calibri" w:eastAsia="宋体" w:cs="Calibri"/>
                      <w:b w:val="0"/>
                      <w:bCs w:val="0"/>
                      <w:color w:val="auto"/>
                      <w:sz w:val="21"/>
                      <w:szCs w:val="21"/>
                      <w:vertAlign w:val="baseline"/>
                      <w:lang w:val="en-US" w:eastAsia="zh-CN"/>
                    </w:rPr>
                    <w:t>符合</w:t>
                  </w:r>
                </w:p>
              </w:tc>
            </w:tr>
            <w:tr w14:paraId="5E15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Merge w:val="continue"/>
                  <w:vAlign w:val="center"/>
                </w:tcPr>
                <w:p w14:paraId="20EAB95C">
                  <w:pPr>
                    <w:pStyle w:val="3"/>
                    <w:spacing w:before="0" w:after="0" w:line="240" w:lineRule="auto"/>
                    <w:ind w:left="0" w:firstLine="0"/>
                    <w:jc w:val="center"/>
                    <w:rPr>
                      <w:rFonts w:hint="default" w:ascii="Calibri" w:hAnsi="Calibri" w:eastAsia="宋体" w:cs="Calibri"/>
                      <w:b w:val="0"/>
                      <w:bCs w:val="0"/>
                      <w:color w:val="auto"/>
                      <w:sz w:val="21"/>
                      <w:szCs w:val="21"/>
                      <w:vertAlign w:val="baseline"/>
                      <w:lang w:val="en-US" w:eastAsia="zh-CN"/>
                    </w:rPr>
                  </w:pPr>
                </w:p>
              </w:tc>
              <w:tc>
                <w:tcPr>
                  <w:tcW w:w="2432" w:type="pct"/>
                  <w:vAlign w:val="center"/>
                </w:tcPr>
                <w:p w14:paraId="65FBA927">
                  <w:pPr>
                    <w:pStyle w:val="3"/>
                    <w:spacing w:before="0" w:after="0" w:line="240" w:lineRule="auto"/>
                    <w:ind w:left="0" w:firstLine="0"/>
                    <w:jc w:val="center"/>
                    <w:rPr>
                      <w:rFonts w:hint="default" w:ascii="Calibri" w:hAnsi="Calibri" w:eastAsia="宋体" w:cs="Calibri"/>
                      <w:b w:val="0"/>
                      <w:bCs w:val="0"/>
                      <w:color w:val="auto"/>
                      <w:sz w:val="21"/>
                      <w:szCs w:val="21"/>
                      <w:vertAlign w:val="baseline"/>
                    </w:rPr>
                  </w:pPr>
                  <w:r>
                    <w:rPr>
                      <w:rFonts w:hint="default" w:ascii="Calibri" w:hAnsi="Calibri" w:eastAsia="宋体" w:cs="Calibri"/>
                      <w:b w:val="0"/>
                      <w:bCs w:val="0"/>
                      <w:color w:val="auto"/>
                      <w:sz w:val="21"/>
                      <w:szCs w:val="21"/>
                      <w:vertAlign w:val="baseline"/>
                    </w:rPr>
                    <w:t>强化危险废物全过程环境监管。建立健全各类危险废物重点监管单位清单，全面实行危险废物清单化管理。督促各类危险废物产生单位和经营单位依法申报危险废物产生处置情况，报备管理计划，做好信息公开工作，规范运行危险废物转移联单。精准实施《国家危险废物名录》，加强危险废物经营许可、跨省转移以及危险废物鉴别等工作。</w:t>
                  </w:r>
                </w:p>
              </w:tc>
              <w:tc>
                <w:tcPr>
                  <w:tcW w:w="1460" w:type="pct"/>
                  <w:vAlign w:val="center"/>
                </w:tcPr>
                <w:p w14:paraId="0E1873A5">
                  <w:pPr>
                    <w:pStyle w:val="3"/>
                    <w:spacing w:before="0" w:after="0" w:line="240" w:lineRule="auto"/>
                    <w:ind w:left="0" w:firstLine="0"/>
                    <w:jc w:val="center"/>
                    <w:rPr>
                      <w:rFonts w:hint="default" w:ascii="Calibri" w:hAnsi="Calibri" w:eastAsia="宋体" w:cs="Calibri"/>
                      <w:b w:val="0"/>
                      <w:bCs w:val="0"/>
                      <w:color w:val="auto"/>
                      <w:sz w:val="21"/>
                      <w:szCs w:val="21"/>
                      <w:vertAlign w:val="baseline"/>
                    </w:rPr>
                  </w:pPr>
                  <w:r>
                    <w:rPr>
                      <w:rFonts w:hint="default" w:ascii="Calibri" w:hAnsi="Calibri" w:eastAsia="宋体" w:cs="Calibri"/>
                      <w:b w:val="0"/>
                      <w:bCs w:val="0"/>
                      <w:color w:val="auto"/>
                      <w:sz w:val="21"/>
                      <w:szCs w:val="21"/>
                      <w:vertAlign w:val="baseline"/>
                      <w:lang w:val="en-US" w:eastAsia="zh-CN"/>
                    </w:rPr>
                    <w:t>危险废物贮存执行《危险废物贮存污染控制标准》（GB18597-2023）；日常管理执行《危险废物管理计划和管理台账制定技术导则》（HJ 1259—2022）；标识牌设置执行《危险废物识别标志设置技术规范》（HJ 1276—2022）；危险废物运输执行《危险废物收集 贮存 运输技术规范》</w:t>
                  </w:r>
                  <w:r>
                    <w:rPr>
                      <w:rFonts w:hint="default" w:ascii="Calibri" w:hAnsi="Calibri" w:eastAsia="宋体" w:cs="Calibri"/>
                      <w:b w:val="0"/>
                      <w:bCs w:val="0"/>
                      <w:color w:val="auto"/>
                      <w:sz w:val="21"/>
                      <w:szCs w:val="21"/>
                      <w:vertAlign w:val="baseline"/>
                      <w:lang w:val="en-US" w:eastAsia="zh-CN"/>
                    </w:rPr>
                    <w:fldChar w:fldCharType="begin"/>
                  </w:r>
                  <w:r>
                    <w:rPr>
                      <w:rFonts w:hint="default" w:ascii="Calibri" w:hAnsi="Calibri" w:eastAsia="宋体" w:cs="Calibri"/>
                      <w:b w:val="0"/>
                      <w:bCs w:val="0"/>
                      <w:color w:val="auto"/>
                      <w:sz w:val="21"/>
                      <w:szCs w:val="21"/>
                      <w:vertAlign w:val="baseline"/>
                      <w:lang w:val="en-US" w:eastAsia="zh-CN"/>
                    </w:rPr>
                    <w:instrText xml:space="preserve"> HYPERLINK "https://www.mee.gov.cn/ywgz/fgbz/bz/bzwb/other/hjbhgc/201212/W020121231388626474080.pdf" </w:instrText>
                  </w:r>
                  <w:r>
                    <w:rPr>
                      <w:rFonts w:hint="default" w:ascii="Calibri" w:hAnsi="Calibri" w:eastAsia="宋体" w:cs="Calibri"/>
                      <w:b w:val="0"/>
                      <w:bCs w:val="0"/>
                      <w:color w:val="auto"/>
                      <w:sz w:val="21"/>
                      <w:szCs w:val="21"/>
                      <w:vertAlign w:val="baseline"/>
                      <w:lang w:val="en-US" w:eastAsia="zh-CN"/>
                    </w:rPr>
                    <w:fldChar w:fldCharType="separate"/>
                  </w:r>
                  <w:r>
                    <w:rPr>
                      <w:rFonts w:hint="default" w:ascii="Calibri" w:hAnsi="Calibri" w:eastAsia="宋体" w:cs="Calibri"/>
                      <w:b w:val="0"/>
                      <w:bCs w:val="0"/>
                      <w:color w:val="auto"/>
                      <w:sz w:val="21"/>
                      <w:szCs w:val="21"/>
                      <w:vertAlign w:val="baseline"/>
                      <w:lang w:val="en-US" w:eastAsia="zh-CN"/>
                    </w:rPr>
                    <w:t>(HJ 2025-2012</w:t>
                  </w:r>
                  <w:r>
                    <w:rPr>
                      <w:rFonts w:hint="eastAsia" w:ascii="Calibri" w:hAnsi="Calibri" w:eastAsia="宋体" w:cs="Calibri"/>
                      <w:b w:val="0"/>
                      <w:bCs w:val="0"/>
                      <w:color w:val="auto"/>
                      <w:sz w:val="21"/>
                      <w:szCs w:val="21"/>
                      <w:vertAlign w:val="baseline"/>
                      <w:lang w:val="en-US" w:eastAsia="zh-CN"/>
                    </w:rPr>
                    <w:t>）</w:t>
                  </w:r>
                  <w:r>
                    <w:rPr>
                      <w:rFonts w:hint="default" w:ascii="Calibri" w:hAnsi="Calibri" w:eastAsia="宋体" w:cs="Calibri"/>
                      <w:b w:val="0"/>
                      <w:bCs w:val="0"/>
                      <w:color w:val="auto"/>
                      <w:sz w:val="21"/>
                      <w:szCs w:val="21"/>
                      <w:vertAlign w:val="baseline"/>
                      <w:lang w:val="en-US" w:eastAsia="zh-CN"/>
                    </w:rPr>
                    <w:fldChar w:fldCharType="end"/>
                  </w:r>
                  <w:r>
                    <w:rPr>
                      <w:rFonts w:hint="default" w:ascii="Calibri" w:hAnsi="Calibri" w:eastAsia="宋体" w:cs="Calibri"/>
                      <w:b w:val="0"/>
                      <w:bCs w:val="0"/>
                      <w:color w:val="auto"/>
                      <w:sz w:val="21"/>
                      <w:szCs w:val="21"/>
                      <w:vertAlign w:val="baseline"/>
                      <w:lang w:val="en-US" w:eastAsia="zh-CN"/>
                    </w:rPr>
                    <w:t>（本项目不涉及运输）。</w:t>
                  </w:r>
                </w:p>
              </w:tc>
              <w:tc>
                <w:tcPr>
                  <w:tcW w:w="399" w:type="pct"/>
                  <w:vAlign w:val="center"/>
                </w:tcPr>
                <w:p w14:paraId="4CA070B9">
                  <w:pPr>
                    <w:pStyle w:val="3"/>
                    <w:spacing w:before="0" w:after="0" w:line="240" w:lineRule="auto"/>
                    <w:ind w:left="0" w:firstLine="0"/>
                    <w:jc w:val="center"/>
                    <w:rPr>
                      <w:rFonts w:hint="default" w:ascii="Calibri" w:hAnsi="Calibri" w:eastAsia="宋体" w:cs="Calibri"/>
                      <w:b w:val="0"/>
                      <w:bCs w:val="0"/>
                      <w:color w:val="auto"/>
                      <w:sz w:val="21"/>
                      <w:szCs w:val="21"/>
                      <w:vertAlign w:val="baseline"/>
                    </w:rPr>
                  </w:pPr>
                  <w:r>
                    <w:rPr>
                      <w:rFonts w:hint="default" w:ascii="Calibri" w:hAnsi="Calibri" w:eastAsia="宋体" w:cs="Calibri"/>
                      <w:b w:val="0"/>
                      <w:bCs w:val="0"/>
                      <w:color w:val="auto"/>
                      <w:sz w:val="21"/>
                      <w:szCs w:val="21"/>
                      <w:vertAlign w:val="baseline"/>
                      <w:lang w:val="en-US" w:eastAsia="zh-CN"/>
                    </w:rPr>
                    <w:t>符合</w:t>
                  </w:r>
                </w:p>
              </w:tc>
            </w:tr>
            <w:tr w14:paraId="4043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Merge w:val="continue"/>
                  <w:vAlign w:val="center"/>
                </w:tcPr>
                <w:p w14:paraId="4E71BF8C">
                  <w:pPr>
                    <w:pStyle w:val="3"/>
                    <w:spacing w:before="0" w:after="0" w:line="240" w:lineRule="auto"/>
                    <w:ind w:left="0" w:firstLine="0"/>
                    <w:jc w:val="center"/>
                    <w:rPr>
                      <w:rFonts w:hint="default" w:ascii="Calibri" w:hAnsi="Calibri" w:eastAsia="宋体" w:cs="Calibri"/>
                      <w:b w:val="0"/>
                      <w:bCs w:val="0"/>
                      <w:color w:val="auto"/>
                      <w:sz w:val="21"/>
                      <w:szCs w:val="21"/>
                      <w:vertAlign w:val="baseline"/>
                      <w:lang w:val="en-US" w:eastAsia="zh-CN"/>
                    </w:rPr>
                  </w:pPr>
                </w:p>
              </w:tc>
              <w:tc>
                <w:tcPr>
                  <w:tcW w:w="2432" w:type="pct"/>
                  <w:vAlign w:val="center"/>
                </w:tcPr>
                <w:p w14:paraId="2127FAD2">
                  <w:pPr>
                    <w:pStyle w:val="3"/>
                    <w:spacing w:before="0" w:after="0" w:line="240" w:lineRule="auto"/>
                    <w:ind w:left="0" w:firstLine="0"/>
                    <w:jc w:val="center"/>
                    <w:rPr>
                      <w:rFonts w:hint="default" w:ascii="Calibri" w:hAnsi="Calibri" w:eastAsia="宋体" w:cs="Calibri"/>
                      <w:b w:val="0"/>
                      <w:bCs w:val="0"/>
                      <w:color w:val="auto"/>
                      <w:sz w:val="21"/>
                      <w:szCs w:val="21"/>
                      <w:vertAlign w:val="baseline"/>
                    </w:rPr>
                  </w:pPr>
                  <w:r>
                    <w:rPr>
                      <w:rFonts w:hint="default" w:ascii="Calibri" w:hAnsi="Calibri" w:eastAsia="宋体" w:cs="Calibri"/>
                      <w:b w:val="0"/>
                      <w:bCs w:val="0"/>
                      <w:color w:val="auto"/>
                      <w:sz w:val="21"/>
                      <w:szCs w:val="21"/>
                      <w:vertAlign w:val="baseline"/>
                    </w:rPr>
                    <w:t>加强环境风险预警防控。加强涉危险废物企业、涉重金属企业、化工园区、集中式饮用水水源地及重点流域环境风险调查评估，实施分类分级风险管控，协同推进重点区域、流域生态环境污染综合防治、风险防控与生态修复，形成一批生态环境综合整治和风险防控示范工程，在环境高风险领域建立环境污染强制责任保险制度。推动重要水源地水质在线生物预警系统建设。</w:t>
                  </w:r>
                </w:p>
              </w:tc>
              <w:tc>
                <w:tcPr>
                  <w:tcW w:w="1460" w:type="pct"/>
                  <w:vAlign w:val="center"/>
                </w:tcPr>
                <w:p w14:paraId="7C4A889E">
                  <w:pPr>
                    <w:pStyle w:val="3"/>
                    <w:spacing w:before="0" w:after="0" w:line="240" w:lineRule="auto"/>
                    <w:ind w:left="0" w:firstLine="0"/>
                    <w:jc w:val="center"/>
                    <w:rPr>
                      <w:rFonts w:hint="default" w:ascii="Calibri" w:hAnsi="Calibri" w:eastAsia="宋体" w:cs="Calibri"/>
                      <w:b w:val="0"/>
                      <w:bCs w:val="0"/>
                      <w:color w:val="auto"/>
                      <w:sz w:val="21"/>
                      <w:szCs w:val="21"/>
                      <w:vertAlign w:val="baseline"/>
                      <w:lang w:val="en-US" w:eastAsia="zh-CN"/>
                    </w:rPr>
                  </w:pPr>
                  <w:r>
                    <w:rPr>
                      <w:rFonts w:hint="default" w:ascii="Calibri" w:hAnsi="Calibri" w:eastAsia="宋体" w:cs="Calibri"/>
                      <w:b w:val="0"/>
                      <w:bCs w:val="0"/>
                      <w:color w:val="auto"/>
                      <w:sz w:val="21"/>
                      <w:szCs w:val="21"/>
                      <w:vertAlign w:val="baseline"/>
                      <w:lang w:val="en-US" w:eastAsia="zh-CN"/>
                    </w:rPr>
                    <w:t>施工期产生的生活污水、生活垃圾、弃土石方等严禁排入若羌河。若羌河水体功能主要为农业灌溉（输变电线路途经区域为</w:t>
                  </w:r>
                  <w:r>
                    <w:rPr>
                      <w:rFonts w:hint="eastAsia" w:ascii="Calibri" w:hAnsi="Calibri" w:eastAsia="宋体" w:cs="Calibri"/>
                      <w:b w:val="0"/>
                      <w:bCs w:val="0"/>
                      <w:color w:val="auto"/>
                      <w:sz w:val="21"/>
                      <w:szCs w:val="21"/>
                      <w:vertAlign w:val="baseline"/>
                      <w:lang w:val="en-US" w:eastAsia="zh-CN"/>
                    </w:rPr>
                    <w:t>裸岩石砾地和其他草地</w:t>
                  </w:r>
                  <w:r>
                    <w:rPr>
                      <w:rFonts w:hint="default" w:ascii="Calibri" w:hAnsi="Calibri" w:eastAsia="宋体" w:cs="Calibri"/>
                      <w:b w:val="0"/>
                      <w:bCs w:val="0"/>
                      <w:color w:val="auto"/>
                      <w:sz w:val="21"/>
                      <w:szCs w:val="21"/>
                      <w:vertAlign w:val="baseline"/>
                      <w:lang w:val="en-US" w:eastAsia="zh-CN"/>
                    </w:rPr>
                    <w:t>，不涉及农田），在跨越处上下游2km范围内不涉及饮用水源保护区、珍稀鱼类保护区等特殊生态敏感区，也无饮用水取水口等设施，该河段不属于泄洪引流区域，且对河道无施工扰动行为，不在河道保护范围内立塔，不会改变该河段现有功能，对水环境影响较小。采取</w:t>
                  </w:r>
                  <w:r>
                    <w:rPr>
                      <w:rFonts w:hint="eastAsia" w:ascii="Calibri" w:hAnsi="Calibri" w:eastAsia="宋体" w:cs="Calibri"/>
                      <w:b w:val="0"/>
                      <w:bCs w:val="0"/>
                      <w:color w:val="auto"/>
                      <w:sz w:val="21"/>
                      <w:szCs w:val="21"/>
                      <w:vertAlign w:val="baseline"/>
                      <w:lang w:val="en-US" w:eastAsia="zh-CN"/>
                    </w:rPr>
                    <w:t>一档</w:t>
                  </w:r>
                  <w:r>
                    <w:rPr>
                      <w:rFonts w:hint="default" w:ascii="Calibri" w:hAnsi="Calibri" w:eastAsia="宋体" w:cs="Calibri"/>
                      <w:b w:val="0"/>
                      <w:bCs w:val="0"/>
                      <w:color w:val="auto"/>
                      <w:sz w:val="21"/>
                      <w:szCs w:val="21"/>
                      <w:vertAlign w:val="baseline"/>
                      <w:lang w:val="en-US" w:eastAsia="zh-CN"/>
                    </w:rPr>
                    <w:t>跨越河流，禁止向河流水体中排放固体废物、生活污水、泥浆废水，含油施工机械采取防止“跑冒滴漏"措施，防止油料污染水体。不属于</w:t>
                  </w:r>
                  <w:r>
                    <w:rPr>
                      <w:rFonts w:hint="default" w:ascii="Calibri" w:hAnsi="Calibri" w:eastAsia="宋体" w:cs="Calibri"/>
                      <w:b w:val="0"/>
                      <w:bCs w:val="0"/>
                      <w:color w:val="auto"/>
                      <w:sz w:val="21"/>
                      <w:szCs w:val="21"/>
                      <w:vertAlign w:val="baseline"/>
                    </w:rPr>
                    <w:t>涉重金属企业、化工园区</w:t>
                  </w:r>
                  <w:r>
                    <w:rPr>
                      <w:rFonts w:hint="default" w:ascii="Calibri" w:hAnsi="Calibri" w:eastAsia="宋体" w:cs="Calibri"/>
                      <w:b w:val="0"/>
                      <w:bCs w:val="0"/>
                      <w:color w:val="auto"/>
                      <w:sz w:val="21"/>
                      <w:szCs w:val="21"/>
                      <w:vertAlign w:val="baseline"/>
                      <w:lang w:eastAsia="zh-CN"/>
                    </w:rPr>
                    <w:t>。</w:t>
                  </w:r>
                </w:p>
              </w:tc>
              <w:tc>
                <w:tcPr>
                  <w:tcW w:w="399" w:type="pct"/>
                  <w:vAlign w:val="center"/>
                </w:tcPr>
                <w:p w14:paraId="34574A56">
                  <w:pPr>
                    <w:pStyle w:val="3"/>
                    <w:spacing w:before="0" w:after="0" w:line="240" w:lineRule="auto"/>
                    <w:ind w:left="0" w:firstLine="0"/>
                    <w:jc w:val="center"/>
                    <w:rPr>
                      <w:rFonts w:hint="default" w:ascii="Calibri" w:hAnsi="Calibri" w:eastAsia="宋体" w:cs="Calibri"/>
                      <w:b w:val="0"/>
                      <w:bCs w:val="0"/>
                      <w:color w:val="auto"/>
                      <w:sz w:val="21"/>
                      <w:szCs w:val="21"/>
                      <w:vertAlign w:val="baseline"/>
                    </w:rPr>
                  </w:pPr>
                  <w:r>
                    <w:rPr>
                      <w:rFonts w:hint="default" w:ascii="Calibri" w:hAnsi="Calibri" w:eastAsia="宋体" w:cs="Calibri"/>
                      <w:b w:val="0"/>
                      <w:bCs w:val="0"/>
                      <w:color w:val="auto"/>
                      <w:sz w:val="21"/>
                      <w:szCs w:val="21"/>
                      <w:vertAlign w:val="baseline"/>
                      <w:lang w:val="en-US" w:eastAsia="zh-CN"/>
                    </w:rPr>
                    <w:t>符合</w:t>
                  </w:r>
                </w:p>
              </w:tc>
            </w:tr>
            <w:tr w14:paraId="2972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Merge w:val="continue"/>
                  <w:vAlign w:val="center"/>
                </w:tcPr>
                <w:p w14:paraId="3F0B37D8">
                  <w:pPr>
                    <w:pStyle w:val="3"/>
                    <w:spacing w:before="0" w:after="0" w:line="240" w:lineRule="auto"/>
                    <w:ind w:left="0" w:firstLine="0"/>
                    <w:jc w:val="center"/>
                    <w:rPr>
                      <w:rFonts w:hint="default" w:ascii="Calibri" w:hAnsi="Calibri" w:eastAsia="宋体" w:cs="Calibri"/>
                      <w:b w:val="0"/>
                      <w:bCs w:val="0"/>
                      <w:color w:val="auto"/>
                      <w:sz w:val="21"/>
                      <w:szCs w:val="21"/>
                      <w:vertAlign w:val="baseline"/>
                      <w:lang w:val="en-US" w:eastAsia="zh-CN"/>
                    </w:rPr>
                  </w:pPr>
                </w:p>
              </w:tc>
              <w:tc>
                <w:tcPr>
                  <w:tcW w:w="2432" w:type="pct"/>
                  <w:vAlign w:val="center"/>
                </w:tcPr>
                <w:p w14:paraId="7500E5BE">
                  <w:pPr>
                    <w:pStyle w:val="3"/>
                    <w:spacing w:before="0" w:after="0" w:line="240" w:lineRule="auto"/>
                    <w:ind w:left="0" w:firstLine="0"/>
                    <w:jc w:val="center"/>
                    <w:rPr>
                      <w:rFonts w:hint="default" w:ascii="Calibri" w:hAnsi="Calibri" w:eastAsia="宋体" w:cs="Calibri"/>
                      <w:b w:val="0"/>
                      <w:bCs w:val="0"/>
                      <w:color w:val="auto"/>
                      <w:sz w:val="21"/>
                      <w:szCs w:val="21"/>
                      <w:vertAlign w:val="baseline"/>
                    </w:rPr>
                  </w:pPr>
                  <w:r>
                    <w:rPr>
                      <w:rFonts w:hint="default" w:ascii="Calibri" w:hAnsi="Calibri" w:eastAsia="宋体" w:cs="Calibri"/>
                      <w:b w:val="0"/>
                      <w:bCs w:val="0"/>
                      <w:color w:val="auto"/>
                      <w:sz w:val="21"/>
                      <w:szCs w:val="21"/>
                      <w:vertAlign w:val="baseline"/>
                    </w:rPr>
                    <w:t>加快推进核与辐射安全监管能力建设，加强监督检查，推进辐射源污染防治，完善核与辐射监测网络，提高核与辐射应急能力。</w:t>
                  </w:r>
                </w:p>
                <w:p w14:paraId="6AA3DDDD">
                  <w:pPr>
                    <w:jc w:val="center"/>
                    <w:rPr>
                      <w:rFonts w:hint="default" w:ascii="Calibri" w:hAnsi="Calibri" w:eastAsia="宋体" w:cs="Calibri"/>
                      <w:color w:val="auto"/>
                      <w:sz w:val="21"/>
                      <w:szCs w:val="21"/>
                    </w:rPr>
                  </w:pPr>
                  <w:r>
                    <w:rPr>
                      <w:rFonts w:hint="default" w:ascii="Calibri" w:hAnsi="Calibri" w:eastAsia="宋体" w:cs="Calibri"/>
                      <w:color w:val="auto"/>
                      <w:sz w:val="21"/>
                      <w:szCs w:val="21"/>
                    </w:rPr>
                    <w:t>加强电磁辐射环境监管。加强电磁辐射建设项目符合法规标准情况的监督检查，督促企业公开电磁辐射环境监测数据信息、开展科普宣传，增强电磁环境信访投诉处理能力。</w:t>
                  </w:r>
                </w:p>
              </w:tc>
              <w:tc>
                <w:tcPr>
                  <w:tcW w:w="1460" w:type="pct"/>
                  <w:vAlign w:val="center"/>
                </w:tcPr>
                <w:p w14:paraId="2E719189">
                  <w:pPr>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项目建成后做好环境保护设施的维护和运行管理，加强巡查和检查；定期监测，</w:t>
                  </w:r>
                  <w:r>
                    <w:rPr>
                      <w:rFonts w:hint="default" w:ascii="Calibri" w:hAnsi="Calibri" w:eastAsia="宋体" w:cs="Calibri"/>
                      <w:color w:val="auto"/>
                      <w:sz w:val="21"/>
                      <w:szCs w:val="21"/>
                    </w:rPr>
                    <w:t>公开电磁辐射环境监测数据信息、开展科普宣传</w:t>
                  </w:r>
                  <w:r>
                    <w:rPr>
                      <w:rFonts w:hint="default" w:ascii="Calibri" w:hAnsi="Calibri" w:eastAsia="宋体" w:cs="Calibri"/>
                      <w:color w:val="auto"/>
                      <w:sz w:val="21"/>
                      <w:szCs w:val="21"/>
                      <w:lang w:val="en-US" w:eastAsia="zh-CN"/>
                    </w:rPr>
                    <w:t>。</w:t>
                  </w:r>
                </w:p>
              </w:tc>
              <w:tc>
                <w:tcPr>
                  <w:tcW w:w="399" w:type="pct"/>
                  <w:vAlign w:val="center"/>
                </w:tcPr>
                <w:p w14:paraId="61BD8975">
                  <w:pPr>
                    <w:jc w:val="center"/>
                    <w:rPr>
                      <w:rFonts w:hint="default" w:ascii="Calibri" w:hAnsi="Calibri" w:eastAsia="宋体" w:cs="Calibri"/>
                      <w:b w:val="0"/>
                      <w:bCs w:val="0"/>
                      <w:color w:val="auto"/>
                      <w:kern w:val="44"/>
                      <w:sz w:val="21"/>
                      <w:szCs w:val="21"/>
                      <w:vertAlign w:val="baseline"/>
                      <w:lang w:val="en-US" w:eastAsia="zh-CN" w:bidi="ar-SA"/>
                    </w:rPr>
                  </w:pPr>
                  <w:r>
                    <w:rPr>
                      <w:rFonts w:hint="default" w:ascii="Calibri" w:hAnsi="Calibri" w:eastAsia="宋体" w:cs="Calibri"/>
                      <w:b w:val="0"/>
                      <w:bCs w:val="0"/>
                      <w:color w:val="auto"/>
                      <w:sz w:val="21"/>
                      <w:szCs w:val="21"/>
                      <w:vertAlign w:val="baseline"/>
                      <w:lang w:val="en-US" w:eastAsia="zh-CN"/>
                    </w:rPr>
                    <w:t>符合</w:t>
                  </w:r>
                </w:p>
              </w:tc>
            </w:tr>
            <w:tr w14:paraId="21329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Merge w:val="restart"/>
                  <w:vAlign w:val="center"/>
                </w:tcPr>
                <w:p w14:paraId="58614F77">
                  <w:pPr>
                    <w:pStyle w:val="3"/>
                    <w:spacing w:before="0" w:after="0" w:line="240" w:lineRule="auto"/>
                    <w:ind w:left="0" w:firstLine="0"/>
                    <w:jc w:val="center"/>
                    <w:rPr>
                      <w:rFonts w:hint="default" w:ascii="Calibri" w:hAnsi="Calibri" w:eastAsia="宋体" w:cs="Calibri"/>
                      <w:b w:val="0"/>
                      <w:bCs w:val="0"/>
                      <w:color w:val="auto"/>
                      <w:sz w:val="21"/>
                      <w:szCs w:val="21"/>
                      <w:vertAlign w:val="baseline"/>
                    </w:rPr>
                  </w:pPr>
                  <w:r>
                    <w:rPr>
                      <w:rFonts w:hint="default" w:ascii="Calibri" w:hAnsi="Calibri" w:eastAsia="宋体" w:cs="Calibri"/>
                      <w:b w:val="0"/>
                      <w:bCs w:val="0"/>
                      <w:color w:val="auto"/>
                      <w:sz w:val="21"/>
                      <w:szCs w:val="21"/>
                      <w:vertAlign w:val="baseline"/>
                    </w:rPr>
                    <w:t>关于印发《巴音郭楞蒙古自治州生态环境</w:t>
                  </w:r>
                </w:p>
                <w:p w14:paraId="7EBD7DDF">
                  <w:pPr>
                    <w:pStyle w:val="3"/>
                    <w:spacing w:before="0" w:after="0" w:line="240" w:lineRule="auto"/>
                    <w:ind w:left="0" w:firstLine="0"/>
                    <w:jc w:val="center"/>
                    <w:rPr>
                      <w:rFonts w:hint="default" w:ascii="Calibri" w:hAnsi="Calibri" w:eastAsia="宋体" w:cs="Calibri"/>
                      <w:b w:val="0"/>
                      <w:bCs w:val="0"/>
                      <w:color w:val="auto"/>
                      <w:sz w:val="21"/>
                      <w:szCs w:val="21"/>
                      <w:vertAlign w:val="baseline"/>
                      <w:lang w:eastAsia="zh-CN"/>
                    </w:rPr>
                  </w:pPr>
                  <w:r>
                    <w:rPr>
                      <w:rFonts w:hint="default" w:ascii="Calibri" w:hAnsi="Calibri" w:eastAsia="宋体" w:cs="Calibri"/>
                      <w:b w:val="0"/>
                      <w:bCs w:val="0"/>
                      <w:color w:val="auto"/>
                      <w:sz w:val="21"/>
                      <w:szCs w:val="21"/>
                      <w:vertAlign w:val="baseline"/>
                    </w:rPr>
                    <w:t>“十四五”规划》的通知</w:t>
                  </w:r>
                  <w:r>
                    <w:rPr>
                      <w:rFonts w:hint="default" w:ascii="Calibri" w:hAnsi="Calibri" w:eastAsia="宋体" w:cs="Calibri"/>
                      <w:b w:val="0"/>
                      <w:bCs w:val="0"/>
                      <w:color w:val="auto"/>
                      <w:sz w:val="21"/>
                      <w:szCs w:val="21"/>
                      <w:vertAlign w:val="baseline"/>
                      <w:lang w:eastAsia="zh-CN"/>
                    </w:rPr>
                    <w:t>（巴党发〔2022〕4号）</w:t>
                  </w:r>
                </w:p>
              </w:tc>
              <w:tc>
                <w:tcPr>
                  <w:tcW w:w="2432" w:type="pct"/>
                  <w:vAlign w:val="center"/>
                </w:tcPr>
                <w:p w14:paraId="3252DDFB">
                  <w:pPr>
                    <w:pStyle w:val="3"/>
                    <w:spacing w:before="0" w:after="0" w:line="240" w:lineRule="auto"/>
                    <w:ind w:left="0" w:leftChars="0" w:firstLine="0" w:firstLineChars="0"/>
                    <w:jc w:val="center"/>
                    <w:rPr>
                      <w:rFonts w:hint="default" w:ascii="Calibri" w:hAnsi="Calibri" w:eastAsia="宋体" w:cs="Calibri"/>
                      <w:b w:val="0"/>
                      <w:bCs w:val="0"/>
                      <w:color w:val="auto"/>
                      <w:sz w:val="21"/>
                      <w:szCs w:val="21"/>
                      <w:vertAlign w:val="baseline"/>
                    </w:rPr>
                  </w:pPr>
                  <w:r>
                    <w:rPr>
                      <w:rFonts w:hint="default" w:ascii="Calibri" w:hAnsi="Calibri" w:eastAsia="宋体" w:cs="Calibri"/>
                      <w:b w:val="0"/>
                      <w:bCs w:val="0"/>
                      <w:color w:val="auto"/>
                      <w:sz w:val="21"/>
                      <w:szCs w:val="21"/>
                      <w:vertAlign w:val="baseline"/>
                    </w:rPr>
                    <w:t>加强环境噪声污染防控。加强噪声污染源监管，继续强化和深入推进交通运输、建筑施工、社会生活、工业企业、机场周边噪声污染防治，推进工业企业噪声纳入排污许可管理。优化重点</w:t>
                  </w:r>
                  <w:r>
                    <w:rPr>
                      <w:rFonts w:hint="eastAsia" w:ascii="Calibri" w:hAnsi="Calibri" w:eastAsia="宋体" w:cs="Calibri"/>
                      <w:b w:val="0"/>
                      <w:bCs w:val="0"/>
                      <w:color w:val="auto"/>
                      <w:sz w:val="21"/>
                      <w:szCs w:val="21"/>
                      <w:vertAlign w:val="baseline"/>
                      <w:lang w:eastAsia="zh-CN"/>
                    </w:rPr>
                    <w:t>区域</w:t>
                  </w:r>
                  <w:r>
                    <w:rPr>
                      <w:rFonts w:hint="default" w:ascii="Calibri" w:hAnsi="Calibri" w:eastAsia="宋体" w:cs="Calibri"/>
                      <w:b w:val="0"/>
                      <w:bCs w:val="0"/>
                      <w:color w:val="auto"/>
                      <w:sz w:val="21"/>
                      <w:szCs w:val="21"/>
                      <w:vertAlign w:val="baseline"/>
                    </w:rPr>
                    <w:t>声环境质量监测点位，加强城市环境、道路交通、功能区噪声例行监测与评价，推动库尔勒市功能区声环境质量自动监测，强化声环境功能区管理，适时调整完善声环境功能区。继续强化噪声信访处置，畅通噪声污染投诉渠道，完善生态环境与相关部门的噪声污染投诉信息共享处理机制。</w:t>
                  </w:r>
                </w:p>
              </w:tc>
              <w:tc>
                <w:tcPr>
                  <w:tcW w:w="1460" w:type="pct"/>
                  <w:vAlign w:val="center"/>
                </w:tcPr>
                <w:p w14:paraId="1DC5C1F5">
                  <w:pPr>
                    <w:pStyle w:val="3"/>
                    <w:spacing w:before="0" w:after="0" w:line="240" w:lineRule="auto"/>
                    <w:ind w:left="0" w:leftChars="0" w:firstLine="0" w:firstLineChars="0"/>
                    <w:jc w:val="center"/>
                    <w:rPr>
                      <w:rFonts w:hint="default" w:ascii="Calibri" w:hAnsi="Calibri" w:eastAsia="宋体" w:cs="Calibri"/>
                      <w:b w:val="0"/>
                      <w:bCs w:val="0"/>
                      <w:color w:val="auto"/>
                      <w:sz w:val="21"/>
                      <w:szCs w:val="21"/>
                      <w:vertAlign w:val="baseline"/>
                    </w:rPr>
                  </w:pPr>
                  <w:r>
                    <w:rPr>
                      <w:rFonts w:hint="default" w:ascii="Calibri" w:hAnsi="Calibri" w:eastAsia="宋体" w:cs="Calibri"/>
                      <w:b w:val="0"/>
                      <w:bCs w:val="0"/>
                      <w:color w:val="auto"/>
                      <w:sz w:val="21"/>
                      <w:szCs w:val="21"/>
                      <w:vertAlign w:val="baseline"/>
                      <w:lang w:val="en-US" w:eastAsia="zh-CN"/>
                    </w:rPr>
                    <w:t>本项目将产生扬尘的建筑材料采用防尘布苫盖、定期洒水降尘；道路扬尘，采取洒水措施；临时堆土区，采用防尘布苫盖，定期洒水降尘；施工机械和汽车尾气，保证汽车尾气达到国家规定的排放标准。缩短高噪声机械设备的使用时间，设备的维护，采用低噪声设备。优化电路设计、合理设计电路的布局，选择适当的电容器、电感器等元件。本项目无恶臭产生、不涉及餐饮油烟。</w:t>
                  </w:r>
                </w:p>
              </w:tc>
              <w:tc>
                <w:tcPr>
                  <w:tcW w:w="399" w:type="pct"/>
                  <w:vAlign w:val="center"/>
                </w:tcPr>
                <w:p w14:paraId="2DE97FF3">
                  <w:pPr>
                    <w:pStyle w:val="3"/>
                    <w:spacing w:before="0" w:after="0" w:line="240" w:lineRule="auto"/>
                    <w:ind w:left="0" w:leftChars="0" w:firstLine="0" w:firstLineChars="0"/>
                    <w:jc w:val="center"/>
                    <w:rPr>
                      <w:rFonts w:hint="default" w:ascii="Calibri" w:hAnsi="Calibri" w:eastAsia="宋体" w:cs="Calibri"/>
                      <w:b w:val="0"/>
                      <w:bCs w:val="0"/>
                      <w:color w:val="auto"/>
                      <w:kern w:val="44"/>
                      <w:sz w:val="21"/>
                      <w:szCs w:val="21"/>
                      <w:vertAlign w:val="baseline"/>
                      <w:lang w:val="en-US" w:eastAsia="zh-CN" w:bidi="ar-SA"/>
                    </w:rPr>
                  </w:pPr>
                  <w:r>
                    <w:rPr>
                      <w:rFonts w:hint="default" w:ascii="Calibri" w:hAnsi="Calibri" w:eastAsia="宋体" w:cs="Calibri"/>
                      <w:b w:val="0"/>
                      <w:bCs w:val="0"/>
                      <w:color w:val="auto"/>
                      <w:sz w:val="21"/>
                      <w:szCs w:val="21"/>
                      <w:vertAlign w:val="baseline"/>
                      <w:lang w:val="en-US" w:eastAsia="zh-CN"/>
                    </w:rPr>
                    <w:t>符合</w:t>
                  </w:r>
                </w:p>
              </w:tc>
            </w:tr>
            <w:tr w14:paraId="3F4C9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Merge w:val="continue"/>
                  <w:vAlign w:val="center"/>
                </w:tcPr>
                <w:p w14:paraId="6B32D42E">
                  <w:pPr>
                    <w:pStyle w:val="3"/>
                    <w:spacing w:before="0" w:after="0" w:line="240" w:lineRule="auto"/>
                    <w:ind w:left="0" w:firstLine="0"/>
                    <w:jc w:val="center"/>
                    <w:rPr>
                      <w:rFonts w:hint="default" w:ascii="Calibri" w:hAnsi="Calibri" w:eastAsia="宋体" w:cs="Calibri"/>
                      <w:b w:val="0"/>
                      <w:bCs w:val="0"/>
                      <w:color w:val="auto"/>
                      <w:sz w:val="21"/>
                      <w:szCs w:val="21"/>
                      <w:vertAlign w:val="baseline"/>
                    </w:rPr>
                  </w:pPr>
                </w:p>
              </w:tc>
              <w:tc>
                <w:tcPr>
                  <w:tcW w:w="2432" w:type="pct"/>
                  <w:vAlign w:val="center"/>
                </w:tcPr>
                <w:p w14:paraId="49D6C8EC">
                  <w:pPr>
                    <w:pStyle w:val="3"/>
                    <w:spacing w:before="0" w:after="0" w:line="240" w:lineRule="auto"/>
                    <w:ind w:left="0" w:firstLine="0"/>
                    <w:jc w:val="center"/>
                    <w:rPr>
                      <w:rFonts w:hint="default" w:ascii="Calibri" w:hAnsi="Calibri" w:eastAsia="宋体" w:cs="Calibri"/>
                      <w:b w:val="0"/>
                      <w:bCs w:val="0"/>
                      <w:color w:val="auto"/>
                      <w:sz w:val="21"/>
                      <w:szCs w:val="21"/>
                      <w:vertAlign w:val="baseline"/>
                      <w:lang w:val="en-US" w:eastAsia="zh-CN"/>
                    </w:rPr>
                  </w:pPr>
                  <w:r>
                    <w:rPr>
                      <w:rFonts w:hint="default" w:ascii="Calibri" w:hAnsi="Calibri" w:eastAsia="宋体" w:cs="Calibri"/>
                      <w:b w:val="0"/>
                      <w:bCs w:val="0"/>
                      <w:color w:val="auto"/>
                      <w:sz w:val="21"/>
                      <w:szCs w:val="21"/>
                      <w:vertAlign w:val="baseline"/>
                      <w:lang w:val="en-US" w:eastAsia="zh-CN"/>
                    </w:rPr>
                    <w:t>严控地下水超采。加强地下水超采区综合治理与修复，超采区内禁止工农业</w:t>
                  </w:r>
                  <w:r>
                    <w:rPr>
                      <w:rFonts w:hint="eastAsia" w:ascii="Calibri" w:hAnsi="Calibri" w:eastAsia="宋体" w:cs="Calibri"/>
                      <w:b w:val="0"/>
                      <w:bCs w:val="0"/>
                      <w:color w:val="auto"/>
                      <w:sz w:val="21"/>
                      <w:szCs w:val="21"/>
                      <w:vertAlign w:val="baseline"/>
                      <w:lang w:val="en-US" w:eastAsia="zh-CN"/>
                    </w:rPr>
                    <w:t>生产及服务业</w:t>
                  </w:r>
                  <w:r>
                    <w:rPr>
                      <w:rFonts w:hint="default" w:ascii="Calibri" w:hAnsi="Calibri" w:eastAsia="宋体" w:cs="Calibri"/>
                      <w:b w:val="0"/>
                      <w:bCs w:val="0"/>
                      <w:color w:val="auto"/>
                      <w:sz w:val="21"/>
                      <w:szCs w:val="21"/>
                      <w:vertAlign w:val="baseline"/>
                      <w:lang w:val="en-US" w:eastAsia="zh-CN"/>
                    </w:rPr>
                    <w:t>新增取用地下水。加强水源置换，合理配置地表水和地下水开采量，减少地下水开采规模，逐步实现地下水采补平衡。严格实施水资源有偿使用制度，依法加强水资源费征收和使用管理。</w:t>
                  </w:r>
                </w:p>
              </w:tc>
              <w:tc>
                <w:tcPr>
                  <w:tcW w:w="1460" w:type="pct"/>
                  <w:vAlign w:val="center"/>
                </w:tcPr>
                <w:p w14:paraId="1A5CEC6E">
                  <w:pPr>
                    <w:pStyle w:val="3"/>
                    <w:spacing w:before="0" w:after="0" w:line="240" w:lineRule="auto"/>
                    <w:ind w:left="0" w:firstLine="0"/>
                    <w:jc w:val="center"/>
                    <w:rPr>
                      <w:rFonts w:hint="default" w:ascii="Calibri" w:hAnsi="Calibri" w:eastAsia="宋体" w:cs="Calibri"/>
                      <w:b w:val="0"/>
                      <w:bCs w:val="0"/>
                      <w:color w:val="auto"/>
                      <w:sz w:val="21"/>
                      <w:szCs w:val="21"/>
                      <w:vertAlign w:val="baseline"/>
                      <w:lang w:val="en-US" w:eastAsia="zh-CN"/>
                    </w:rPr>
                  </w:pPr>
                  <w:r>
                    <w:rPr>
                      <w:rFonts w:hint="default" w:ascii="Calibri" w:hAnsi="Calibri" w:eastAsia="宋体" w:cs="Calibri"/>
                      <w:b w:val="0"/>
                      <w:bCs w:val="0"/>
                      <w:color w:val="auto"/>
                      <w:sz w:val="21"/>
                      <w:szCs w:val="21"/>
                      <w:vertAlign w:val="baseline"/>
                      <w:lang w:val="en-US" w:eastAsia="zh-CN"/>
                    </w:rPr>
                    <w:t>本项目不涉及地下水开采。</w:t>
                  </w:r>
                </w:p>
              </w:tc>
              <w:tc>
                <w:tcPr>
                  <w:tcW w:w="399" w:type="pct"/>
                  <w:vAlign w:val="center"/>
                </w:tcPr>
                <w:p w14:paraId="7F3B409D">
                  <w:pPr>
                    <w:pStyle w:val="3"/>
                    <w:spacing w:before="0" w:after="0" w:line="240" w:lineRule="auto"/>
                    <w:ind w:left="0" w:firstLine="0"/>
                    <w:jc w:val="center"/>
                    <w:rPr>
                      <w:rFonts w:hint="default" w:ascii="Calibri" w:hAnsi="Calibri" w:eastAsia="宋体" w:cs="Calibri"/>
                      <w:b w:val="0"/>
                      <w:bCs w:val="0"/>
                      <w:color w:val="auto"/>
                      <w:kern w:val="44"/>
                      <w:sz w:val="21"/>
                      <w:szCs w:val="21"/>
                      <w:vertAlign w:val="baseline"/>
                      <w:lang w:val="en-US" w:eastAsia="zh-CN" w:bidi="ar-SA"/>
                    </w:rPr>
                  </w:pPr>
                  <w:r>
                    <w:rPr>
                      <w:rFonts w:hint="default" w:ascii="Calibri" w:hAnsi="Calibri" w:eastAsia="宋体" w:cs="Calibri"/>
                      <w:b w:val="0"/>
                      <w:bCs w:val="0"/>
                      <w:color w:val="auto"/>
                      <w:sz w:val="21"/>
                      <w:szCs w:val="21"/>
                      <w:vertAlign w:val="baseline"/>
                      <w:lang w:val="en-US" w:eastAsia="zh-CN"/>
                    </w:rPr>
                    <w:t>符合</w:t>
                  </w:r>
                </w:p>
              </w:tc>
            </w:tr>
            <w:tr w14:paraId="70B03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pct"/>
                  <w:vMerge w:val="continue"/>
                  <w:vAlign w:val="center"/>
                </w:tcPr>
                <w:p w14:paraId="7166F3CF">
                  <w:pPr>
                    <w:pStyle w:val="3"/>
                    <w:spacing w:before="0" w:after="0" w:line="240" w:lineRule="auto"/>
                    <w:ind w:left="0" w:firstLine="0"/>
                    <w:jc w:val="center"/>
                    <w:rPr>
                      <w:rFonts w:hint="default" w:ascii="Calibri" w:hAnsi="Calibri" w:eastAsia="宋体" w:cs="Calibri"/>
                      <w:b w:val="0"/>
                      <w:bCs w:val="0"/>
                      <w:color w:val="auto"/>
                      <w:sz w:val="21"/>
                      <w:szCs w:val="21"/>
                      <w:vertAlign w:val="baseline"/>
                    </w:rPr>
                  </w:pPr>
                </w:p>
              </w:tc>
              <w:tc>
                <w:tcPr>
                  <w:tcW w:w="2432" w:type="pct"/>
                  <w:vAlign w:val="center"/>
                </w:tcPr>
                <w:p w14:paraId="05F37A76">
                  <w:pPr>
                    <w:pStyle w:val="3"/>
                    <w:spacing w:before="0" w:after="0" w:line="240" w:lineRule="auto"/>
                    <w:ind w:left="0" w:firstLine="0"/>
                    <w:jc w:val="center"/>
                    <w:rPr>
                      <w:rFonts w:hint="default" w:ascii="Calibri" w:hAnsi="Calibri" w:eastAsia="宋体" w:cs="Calibri"/>
                      <w:b w:val="0"/>
                      <w:bCs w:val="0"/>
                      <w:color w:val="auto"/>
                      <w:sz w:val="21"/>
                      <w:szCs w:val="21"/>
                      <w:vertAlign w:val="baseline"/>
                      <w:lang w:val="en-US" w:eastAsia="zh-CN"/>
                    </w:rPr>
                  </w:pPr>
                  <w:r>
                    <w:rPr>
                      <w:rFonts w:hint="default" w:ascii="Calibri" w:hAnsi="Calibri" w:eastAsia="宋体" w:cs="Calibri"/>
                      <w:b w:val="0"/>
                      <w:bCs w:val="0"/>
                      <w:color w:val="auto"/>
                      <w:sz w:val="21"/>
                      <w:szCs w:val="21"/>
                      <w:vertAlign w:val="baseline"/>
                      <w:lang w:val="en-US" w:eastAsia="zh-CN"/>
                    </w:rPr>
                    <w:t>提升危险废物收集处置与利用能力。严格落实突发环境事件应急预案制度，提升涉危险废物突发环境事件应急处置水平。完善危险废物集中处置利用能力结构和设施布局，不断提升危险废物处置利用能力。</w:t>
                  </w:r>
                </w:p>
              </w:tc>
              <w:tc>
                <w:tcPr>
                  <w:tcW w:w="1460" w:type="pct"/>
                  <w:vAlign w:val="center"/>
                </w:tcPr>
                <w:p w14:paraId="4C2904BB">
                  <w:pPr>
                    <w:pStyle w:val="3"/>
                    <w:spacing w:before="0" w:after="0" w:line="240" w:lineRule="auto"/>
                    <w:ind w:left="0" w:firstLine="0"/>
                    <w:jc w:val="center"/>
                    <w:rPr>
                      <w:rFonts w:hint="default" w:ascii="Calibri" w:hAnsi="Calibri" w:eastAsia="宋体" w:cs="Calibri"/>
                      <w:b w:val="0"/>
                      <w:bCs w:val="0"/>
                      <w:color w:val="auto"/>
                      <w:sz w:val="21"/>
                      <w:szCs w:val="21"/>
                      <w:vertAlign w:val="baseline"/>
                      <w:lang w:val="en-US" w:eastAsia="zh-CN"/>
                    </w:rPr>
                  </w:pPr>
                  <w:r>
                    <w:rPr>
                      <w:rFonts w:hint="default" w:ascii="Calibri" w:hAnsi="Calibri" w:eastAsia="宋体" w:cs="Calibri"/>
                      <w:b w:val="0"/>
                      <w:bCs w:val="0"/>
                      <w:color w:val="auto"/>
                      <w:sz w:val="21"/>
                      <w:szCs w:val="21"/>
                      <w:vertAlign w:val="baseline"/>
                      <w:lang w:val="en-US" w:eastAsia="zh-CN"/>
                    </w:rPr>
                    <w:t>危险废物贮存执行《危险废物贮存污染控制标准》（GB18597-2023）；日常管理执行《危险废物管理计划和管理台账制定技术导则》（HJ 1259—2022）；标识牌设置执行《危险废物识别标志设置技术规范》（HJ 1276—2022）；危险废物运输执行《危险废物收集贮存运输技术规范》</w:t>
                  </w:r>
                  <w:r>
                    <w:rPr>
                      <w:rFonts w:hint="default" w:ascii="Calibri" w:hAnsi="Calibri" w:eastAsia="宋体" w:cs="Calibri"/>
                      <w:b w:val="0"/>
                      <w:bCs w:val="0"/>
                      <w:color w:val="auto"/>
                      <w:sz w:val="21"/>
                      <w:szCs w:val="21"/>
                      <w:vertAlign w:val="baseline"/>
                      <w:lang w:val="en-US" w:eastAsia="zh-CN"/>
                    </w:rPr>
                    <w:fldChar w:fldCharType="begin"/>
                  </w:r>
                  <w:r>
                    <w:rPr>
                      <w:rFonts w:hint="default" w:ascii="Calibri" w:hAnsi="Calibri" w:eastAsia="宋体" w:cs="Calibri"/>
                      <w:b w:val="0"/>
                      <w:bCs w:val="0"/>
                      <w:color w:val="auto"/>
                      <w:sz w:val="21"/>
                      <w:szCs w:val="21"/>
                      <w:vertAlign w:val="baseline"/>
                      <w:lang w:val="en-US" w:eastAsia="zh-CN"/>
                    </w:rPr>
                    <w:instrText xml:space="preserve">HYPERLINK"https://www.mee.gov.cn/ywgz/fgbz/bz/bzwb/other/hjbhgc/201212/W020121231388626474080.pdf"</w:instrText>
                  </w:r>
                  <w:r>
                    <w:rPr>
                      <w:rFonts w:hint="default" w:ascii="Calibri" w:hAnsi="Calibri" w:eastAsia="宋体" w:cs="Calibri"/>
                      <w:b w:val="0"/>
                      <w:bCs w:val="0"/>
                      <w:color w:val="auto"/>
                      <w:sz w:val="21"/>
                      <w:szCs w:val="21"/>
                      <w:vertAlign w:val="baseline"/>
                      <w:lang w:val="en-US" w:eastAsia="zh-CN"/>
                    </w:rPr>
                    <w:fldChar w:fldCharType="separate"/>
                  </w:r>
                  <w:r>
                    <w:rPr>
                      <w:rFonts w:hint="default" w:ascii="Calibri" w:hAnsi="Calibri" w:eastAsia="宋体" w:cs="Calibri"/>
                      <w:b w:val="0"/>
                      <w:bCs w:val="0"/>
                      <w:color w:val="auto"/>
                      <w:sz w:val="21"/>
                      <w:szCs w:val="21"/>
                      <w:vertAlign w:val="baseline"/>
                      <w:lang w:val="en-US" w:eastAsia="zh-CN"/>
                    </w:rPr>
                    <w:t>(HJ 2025-2012</w:t>
                  </w:r>
                  <w:r>
                    <w:rPr>
                      <w:rFonts w:hint="eastAsia" w:ascii="Calibri" w:hAnsi="Calibri" w:eastAsia="宋体" w:cs="Calibri"/>
                      <w:b w:val="0"/>
                      <w:bCs w:val="0"/>
                      <w:color w:val="auto"/>
                      <w:sz w:val="21"/>
                      <w:szCs w:val="21"/>
                      <w:vertAlign w:val="baseline"/>
                      <w:lang w:val="en-US" w:eastAsia="zh-CN"/>
                    </w:rPr>
                    <w:t>）</w:t>
                  </w:r>
                  <w:r>
                    <w:rPr>
                      <w:rFonts w:hint="default" w:ascii="Calibri" w:hAnsi="Calibri" w:eastAsia="宋体" w:cs="Calibri"/>
                      <w:b w:val="0"/>
                      <w:bCs w:val="0"/>
                      <w:color w:val="auto"/>
                      <w:sz w:val="21"/>
                      <w:szCs w:val="21"/>
                      <w:vertAlign w:val="baseline"/>
                      <w:lang w:val="en-US" w:eastAsia="zh-CN"/>
                    </w:rPr>
                    <w:fldChar w:fldCharType="end"/>
                  </w:r>
                  <w:r>
                    <w:rPr>
                      <w:rFonts w:hint="default" w:ascii="Calibri" w:hAnsi="Calibri" w:eastAsia="宋体" w:cs="Calibri"/>
                      <w:b w:val="0"/>
                      <w:bCs w:val="0"/>
                      <w:color w:val="auto"/>
                      <w:sz w:val="21"/>
                      <w:szCs w:val="21"/>
                      <w:vertAlign w:val="baseline"/>
                      <w:lang w:val="en-US" w:eastAsia="zh-CN"/>
                    </w:rPr>
                    <w:t>（本项目不涉及运输）。</w:t>
                  </w:r>
                </w:p>
              </w:tc>
              <w:tc>
                <w:tcPr>
                  <w:tcW w:w="399" w:type="pct"/>
                  <w:vAlign w:val="center"/>
                </w:tcPr>
                <w:p w14:paraId="3EED4A35">
                  <w:pPr>
                    <w:pStyle w:val="3"/>
                    <w:spacing w:before="0" w:after="0" w:line="240" w:lineRule="auto"/>
                    <w:ind w:left="0" w:firstLine="0"/>
                    <w:jc w:val="center"/>
                    <w:rPr>
                      <w:rFonts w:hint="default" w:ascii="Calibri" w:hAnsi="Calibri" w:eastAsia="宋体" w:cs="Calibri"/>
                      <w:b w:val="0"/>
                      <w:bCs w:val="0"/>
                      <w:color w:val="auto"/>
                      <w:kern w:val="44"/>
                      <w:sz w:val="21"/>
                      <w:szCs w:val="21"/>
                      <w:vertAlign w:val="baseline"/>
                      <w:lang w:val="en-US" w:eastAsia="zh-CN" w:bidi="ar-SA"/>
                    </w:rPr>
                  </w:pPr>
                  <w:r>
                    <w:rPr>
                      <w:rFonts w:hint="default" w:ascii="Calibri" w:hAnsi="Calibri" w:eastAsia="宋体" w:cs="Calibri"/>
                      <w:b w:val="0"/>
                      <w:bCs w:val="0"/>
                      <w:color w:val="auto"/>
                      <w:sz w:val="21"/>
                      <w:szCs w:val="21"/>
                      <w:vertAlign w:val="baseline"/>
                      <w:lang w:val="en-US" w:eastAsia="zh-CN"/>
                    </w:rPr>
                    <w:t>符合</w:t>
                  </w:r>
                </w:p>
              </w:tc>
            </w:tr>
          </w:tbl>
          <w:p w14:paraId="35A13050">
            <w:pPr>
              <w:pStyle w:val="10"/>
              <w:keepNext w:val="0"/>
              <w:keepLines w:val="0"/>
              <w:pageBreakBefore w:val="0"/>
              <w:widowControl w:val="0"/>
              <w:kinsoku/>
              <w:wordWrap/>
              <w:overflowPunct/>
              <w:topLinePunct w:val="0"/>
              <w:bidi w:val="0"/>
              <w:spacing w:line="520" w:lineRule="exact"/>
              <w:ind w:firstLine="420" w:firstLineChars="200"/>
              <w:textAlignment w:val="auto"/>
              <w:rPr>
                <w:rFonts w:hint="default" w:ascii="Calibri" w:hAnsi="Calibri" w:eastAsia="宋体" w:cs="Calibri"/>
                <w:color w:val="auto"/>
                <w:sz w:val="21"/>
                <w:szCs w:val="21"/>
                <w:lang w:val="en-US" w:eastAsia="zh-CN"/>
              </w:rPr>
            </w:pPr>
          </w:p>
          <w:p w14:paraId="41CCF5EA">
            <w:pPr>
              <w:pStyle w:val="11"/>
              <w:rPr>
                <w:rFonts w:hint="default" w:ascii="Calibri" w:hAnsi="Calibri" w:eastAsia="宋体" w:cs="Calibri"/>
                <w:color w:val="auto"/>
                <w:sz w:val="21"/>
                <w:szCs w:val="21"/>
                <w:lang w:val="en-US" w:eastAsia="zh-CN"/>
              </w:rPr>
            </w:pPr>
          </w:p>
          <w:p w14:paraId="2DBE1CA9">
            <w:pPr>
              <w:rPr>
                <w:rFonts w:hint="default" w:ascii="Calibri" w:hAnsi="Calibri" w:eastAsia="宋体" w:cs="Calibri"/>
                <w:color w:val="auto"/>
                <w:sz w:val="21"/>
                <w:szCs w:val="21"/>
                <w:lang w:val="en-US" w:eastAsia="zh-CN"/>
              </w:rPr>
            </w:pPr>
          </w:p>
          <w:p w14:paraId="2F57353B">
            <w:pPr>
              <w:rPr>
                <w:rFonts w:hint="default" w:ascii="Calibri" w:hAnsi="Calibri" w:eastAsia="宋体" w:cs="Calibri"/>
                <w:color w:val="auto"/>
                <w:sz w:val="21"/>
                <w:szCs w:val="21"/>
                <w:lang w:val="en-US" w:eastAsia="zh-CN"/>
              </w:rPr>
            </w:pPr>
          </w:p>
          <w:p w14:paraId="31441FC9">
            <w:pPr>
              <w:rPr>
                <w:rFonts w:hint="default" w:ascii="Calibri" w:hAnsi="Calibri" w:eastAsia="宋体" w:cs="Calibri"/>
                <w:color w:val="auto"/>
                <w:sz w:val="21"/>
                <w:szCs w:val="21"/>
                <w:lang w:val="en-US" w:eastAsia="zh-CN"/>
              </w:rPr>
            </w:pPr>
          </w:p>
          <w:p w14:paraId="5293CF09">
            <w:pPr>
              <w:rPr>
                <w:rFonts w:hint="default" w:ascii="Calibri" w:hAnsi="Calibri" w:eastAsia="宋体" w:cs="Calibri"/>
                <w:color w:val="auto"/>
                <w:sz w:val="21"/>
                <w:szCs w:val="21"/>
                <w:lang w:val="en-US" w:eastAsia="zh-CN"/>
              </w:rPr>
            </w:pPr>
          </w:p>
          <w:p w14:paraId="7859442E">
            <w:pPr>
              <w:rPr>
                <w:rFonts w:hint="default" w:ascii="Calibri" w:hAnsi="Calibri" w:eastAsia="宋体" w:cs="Calibri"/>
                <w:color w:val="auto"/>
                <w:sz w:val="21"/>
                <w:szCs w:val="21"/>
                <w:lang w:val="en-US" w:eastAsia="zh-CN"/>
              </w:rPr>
            </w:pPr>
          </w:p>
          <w:p w14:paraId="5660703D">
            <w:pPr>
              <w:rPr>
                <w:rFonts w:hint="default" w:ascii="Calibri" w:hAnsi="Calibri" w:eastAsia="宋体" w:cs="Calibri"/>
                <w:color w:val="auto"/>
                <w:sz w:val="21"/>
                <w:szCs w:val="21"/>
                <w:lang w:val="en-US" w:eastAsia="zh-CN"/>
              </w:rPr>
            </w:pPr>
          </w:p>
          <w:p w14:paraId="046D1CDA">
            <w:pPr>
              <w:rPr>
                <w:rFonts w:hint="default" w:ascii="Calibri" w:hAnsi="Calibri" w:eastAsia="宋体" w:cs="Calibri"/>
                <w:color w:val="auto"/>
                <w:sz w:val="21"/>
                <w:szCs w:val="21"/>
                <w:lang w:val="en-US" w:eastAsia="zh-CN"/>
              </w:rPr>
            </w:pPr>
          </w:p>
          <w:p w14:paraId="3707B015">
            <w:pPr>
              <w:rPr>
                <w:rFonts w:hint="default" w:ascii="Calibri" w:hAnsi="Calibri" w:eastAsia="宋体" w:cs="Calibri"/>
                <w:color w:val="auto"/>
                <w:sz w:val="21"/>
                <w:szCs w:val="21"/>
                <w:lang w:val="en-US" w:eastAsia="zh-CN"/>
              </w:rPr>
            </w:pPr>
          </w:p>
          <w:p w14:paraId="11C8710D">
            <w:pPr>
              <w:rPr>
                <w:rFonts w:hint="default" w:ascii="Calibri" w:hAnsi="Calibri" w:eastAsia="宋体" w:cs="Calibri"/>
                <w:color w:val="auto"/>
                <w:sz w:val="21"/>
                <w:szCs w:val="21"/>
                <w:lang w:val="en-US" w:eastAsia="zh-CN"/>
              </w:rPr>
            </w:pPr>
          </w:p>
          <w:p w14:paraId="5779FB8A">
            <w:pPr>
              <w:rPr>
                <w:rFonts w:hint="default" w:ascii="Calibri" w:hAnsi="Calibri" w:eastAsia="宋体" w:cs="Calibri"/>
                <w:color w:val="auto"/>
                <w:sz w:val="21"/>
                <w:szCs w:val="21"/>
                <w:lang w:val="en-US" w:eastAsia="zh-CN"/>
              </w:rPr>
            </w:pPr>
          </w:p>
          <w:p w14:paraId="23FF00FA">
            <w:pPr>
              <w:rPr>
                <w:rFonts w:hint="default" w:ascii="Calibri" w:hAnsi="Calibri" w:eastAsia="宋体" w:cs="Calibri"/>
                <w:color w:val="auto"/>
                <w:sz w:val="21"/>
                <w:szCs w:val="21"/>
                <w:lang w:val="en-US" w:eastAsia="zh-CN"/>
              </w:rPr>
            </w:pPr>
          </w:p>
          <w:p w14:paraId="6CAEE285">
            <w:pPr>
              <w:rPr>
                <w:rFonts w:hint="default" w:ascii="Calibri" w:hAnsi="Calibri" w:eastAsia="宋体" w:cs="Calibri"/>
                <w:color w:val="auto"/>
                <w:sz w:val="21"/>
                <w:szCs w:val="21"/>
                <w:lang w:val="en-US" w:eastAsia="zh-CN"/>
              </w:rPr>
            </w:pPr>
          </w:p>
          <w:p w14:paraId="6F4D6CA9">
            <w:pPr>
              <w:rPr>
                <w:rFonts w:hint="default" w:ascii="Calibri" w:hAnsi="Calibri" w:eastAsia="宋体" w:cs="Calibri"/>
                <w:color w:val="auto"/>
                <w:sz w:val="21"/>
                <w:szCs w:val="21"/>
                <w:lang w:val="en-US" w:eastAsia="zh-CN"/>
              </w:rPr>
            </w:pPr>
          </w:p>
          <w:p w14:paraId="197C6DC4">
            <w:pPr>
              <w:rPr>
                <w:rFonts w:hint="default" w:ascii="Calibri" w:hAnsi="Calibri" w:eastAsia="宋体" w:cs="Calibri"/>
                <w:color w:val="auto"/>
                <w:sz w:val="21"/>
                <w:szCs w:val="21"/>
                <w:lang w:val="en-US" w:eastAsia="zh-CN"/>
              </w:rPr>
            </w:pPr>
          </w:p>
          <w:p w14:paraId="0C483B0D">
            <w:pPr>
              <w:rPr>
                <w:rFonts w:hint="default" w:ascii="Calibri" w:hAnsi="Calibri" w:eastAsia="宋体" w:cs="Calibri"/>
                <w:color w:val="auto"/>
                <w:sz w:val="21"/>
                <w:szCs w:val="21"/>
                <w:lang w:val="en-US" w:eastAsia="zh-CN"/>
              </w:rPr>
            </w:pPr>
          </w:p>
          <w:p w14:paraId="5E670F53">
            <w:pPr>
              <w:rPr>
                <w:rFonts w:hint="default" w:ascii="Calibri" w:hAnsi="Calibri" w:eastAsia="宋体" w:cs="Calibri"/>
                <w:color w:val="auto"/>
                <w:sz w:val="21"/>
                <w:szCs w:val="21"/>
                <w:lang w:val="en-US" w:eastAsia="zh-CN"/>
              </w:rPr>
            </w:pPr>
          </w:p>
          <w:p w14:paraId="650C8C4F">
            <w:pPr>
              <w:rPr>
                <w:rFonts w:hint="default" w:ascii="Calibri" w:hAnsi="Calibri" w:eastAsia="宋体" w:cs="Calibri"/>
                <w:color w:val="auto"/>
                <w:sz w:val="21"/>
                <w:szCs w:val="21"/>
                <w:lang w:val="en-US" w:eastAsia="zh-CN"/>
              </w:rPr>
            </w:pPr>
          </w:p>
          <w:p w14:paraId="24443DB5">
            <w:pPr>
              <w:rPr>
                <w:rFonts w:hint="default" w:ascii="Calibri" w:hAnsi="Calibri" w:eastAsia="宋体" w:cs="Calibri"/>
                <w:color w:val="auto"/>
                <w:sz w:val="21"/>
                <w:szCs w:val="21"/>
                <w:lang w:val="en-US" w:eastAsia="zh-CN"/>
              </w:rPr>
            </w:pPr>
          </w:p>
          <w:p w14:paraId="3804C577">
            <w:pPr>
              <w:rPr>
                <w:rFonts w:hint="default" w:ascii="Calibri" w:hAnsi="Calibri" w:eastAsia="宋体" w:cs="Calibri"/>
                <w:color w:val="auto"/>
                <w:sz w:val="21"/>
                <w:szCs w:val="21"/>
                <w:lang w:val="en-US" w:eastAsia="zh-CN"/>
              </w:rPr>
            </w:pPr>
          </w:p>
          <w:p w14:paraId="7BA176D4">
            <w:pPr>
              <w:rPr>
                <w:rFonts w:hint="default" w:ascii="Calibri" w:hAnsi="Calibri" w:eastAsia="宋体" w:cs="Calibri"/>
                <w:color w:val="auto"/>
                <w:sz w:val="21"/>
                <w:szCs w:val="21"/>
                <w:lang w:val="en-US" w:eastAsia="zh-CN"/>
              </w:rPr>
            </w:pPr>
          </w:p>
          <w:p w14:paraId="039A1732">
            <w:pPr>
              <w:rPr>
                <w:rFonts w:hint="default" w:ascii="Calibri" w:hAnsi="Calibri" w:eastAsia="宋体" w:cs="Calibri"/>
                <w:color w:val="auto"/>
                <w:sz w:val="21"/>
                <w:szCs w:val="21"/>
                <w:lang w:val="en-US" w:eastAsia="zh-CN"/>
              </w:rPr>
            </w:pPr>
          </w:p>
          <w:p w14:paraId="3EE9F965">
            <w:pPr>
              <w:rPr>
                <w:rFonts w:hint="default" w:ascii="Calibri" w:hAnsi="Calibri" w:eastAsia="宋体" w:cs="Calibri"/>
                <w:color w:val="auto"/>
                <w:sz w:val="21"/>
                <w:szCs w:val="21"/>
                <w:lang w:val="en-US" w:eastAsia="zh-CN"/>
              </w:rPr>
            </w:pPr>
          </w:p>
          <w:p w14:paraId="7E3FCB39">
            <w:pPr>
              <w:rPr>
                <w:rFonts w:hint="default" w:ascii="Calibri" w:hAnsi="Calibri" w:eastAsia="宋体" w:cs="Calibri"/>
                <w:color w:val="auto"/>
                <w:sz w:val="21"/>
                <w:szCs w:val="21"/>
                <w:lang w:val="en-US" w:eastAsia="zh-CN"/>
              </w:rPr>
            </w:pPr>
          </w:p>
          <w:p w14:paraId="3F1C7EB1">
            <w:pPr>
              <w:rPr>
                <w:rFonts w:hint="default" w:ascii="Calibri" w:hAnsi="Calibri" w:eastAsia="宋体" w:cs="Calibri"/>
                <w:color w:val="auto"/>
                <w:sz w:val="21"/>
                <w:szCs w:val="21"/>
                <w:lang w:val="en-US" w:eastAsia="zh-CN"/>
              </w:rPr>
            </w:pPr>
          </w:p>
          <w:p w14:paraId="62F37AEB">
            <w:pPr>
              <w:rPr>
                <w:rFonts w:hint="default" w:ascii="Calibri" w:hAnsi="Calibri" w:eastAsia="宋体" w:cs="Calibri"/>
                <w:color w:val="auto"/>
                <w:sz w:val="21"/>
                <w:szCs w:val="21"/>
                <w:lang w:val="en-US" w:eastAsia="zh-CN"/>
              </w:rPr>
            </w:pPr>
          </w:p>
          <w:p w14:paraId="72BB9D76">
            <w:pPr>
              <w:pStyle w:val="3"/>
              <w:ind w:left="0" w:leftChars="0" w:firstLine="0" w:firstLineChars="0"/>
              <w:rPr>
                <w:rFonts w:hint="default" w:ascii="Calibri" w:hAnsi="Calibri" w:eastAsia="宋体" w:cs="Calibri"/>
                <w:color w:val="auto"/>
                <w:sz w:val="21"/>
                <w:szCs w:val="21"/>
              </w:rPr>
            </w:pPr>
          </w:p>
        </w:tc>
      </w:tr>
    </w:tbl>
    <w:p w14:paraId="00DEE12E">
      <w:pPr>
        <w:spacing w:line="360" w:lineRule="auto"/>
        <w:outlineLvl w:val="0"/>
        <w:rPr>
          <w:rFonts w:eastAsia="黑体"/>
          <w:color w:val="auto"/>
          <w:sz w:val="30"/>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0C15949A">
      <w:pPr>
        <w:pStyle w:val="20"/>
        <w:jc w:val="center"/>
        <w:outlineLvl w:val="0"/>
        <w:rPr>
          <w:rFonts w:ascii="黑体" w:hAnsi="黑体" w:eastAsia="黑体"/>
          <w:snapToGrid w:val="0"/>
          <w:color w:val="auto"/>
          <w:sz w:val="30"/>
          <w:szCs w:val="30"/>
        </w:rPr>
      </w:pPr>
      <w:bookmarkStart w:id="4" w:name="_Toc3561"/>
      <w:bookmarkStart w:id="5" w:name="_Toc5790"/>
      <w:r>
        <w:rPr>
          <w:rFonts w:hint="eastAsia" w:ascii="黑体" w:hAnsi="黑体" w:eastAsia="黑体"/>
          <w:snapToGrid w:val="0"/>
          <w:color w:val="auto"/>
          <w:sz w:val="30"/>
          <w:szCs w:val="30"/>
        </w:rPr>
        <w:t>二、建设内容</w:t>
      </w:r>
      <w:bookmarkEnd w:id="4"/>
      <w:bookmarkEnd w:id="5"/>
    </w:p>
    <w:tbl>
      <w:tblPr>
        <w:tblStyle w:val="2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070"/>
      </w:tblGrid>
      <w:tr w14:paraId="2DAD3A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227" w:type="pct"/>
            <w:noWrap w:val="0"/>
            <w:vAlign w:val="center"/>
          </w:tcPr>
          <w:p w14:paraId="39A85E8F">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地理位置</w:t>
            </w:r>
          </w:p>
        </w:tc>
        <w:tc>
          <w:tcPr>
            <w:tcW w:w="4772" w:type="pct"/>
            <w:noWrap w:val="0"/>
            <w:vAlign w:val="center"/>
          </w:tcPr>
          <w:p w14:paraId="559E540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Calibri" w:hAnsi="Calibri" w:cs="Calibri"/>
                <w:color w:val="auto"/>
                <w:kern w:val="0"/>
                <w:sz w:val="24"/>
                <w:szCs w:val="24"/>
                <w:lang w:val="en-US" w:eastAsia="zh-CN"/>
              </w:rPr>
            </w:pPr>
            <w:r>
              <w:rPr>
                <w:rFonts w:hint="default" w:ascii="Calibri" w:hAnsi="Calibri" w:cs="Calibri"/>
                <w:color w:val="auto"/>
                <w:kern w:val="0"/>
                <w:sz w:val="24"/>
                <w:szCs w:val="24"/>
                <w:lang w:val="en-US" w:eastAsia="zh-CN"/>
              </w:rPr>
              <w:t>本项目位于新疆维吾尔自治区巴音郭楞蒙古自治州若羌县县城东南方向，</w:t>
            </w:r>
            <w:r>
              <w:rPr>
                <w:rFonts w:hint="eastAsia" w:ascii="Calibri" w:hAnsi="Calibri" w:cs="Calibri"/>
                <w:color w:val="auto"/>
                <w:kern w:val="0"/>
                <w:sz w:val="24"/>
                <w:szCs w:val="24"/>
                <w:lang w:val="en-US" w:eastAsia="zh-CN"/>
              </w:rPr>
              <w:t>直线距离约70km</w:t>
            </w:r>
            <w:r>
              <w:rPr>
                <w:rFonts w:hint="default" w:ascii="Calibri" w:hAnsi="Calibri" w:cs="Calibri"/>
                <w:color w:val="auto"/>
                <w:kern w:val="0"/>
                <w:sz w:val="24"/>
                <w:szCs w:val="24"/>
                <w:lang w:val="en-US" w:eastAsia="zh-CN"/>
              </w:rPr>
              <w:t>。具体地理位置见附图1。</w:t>
            </w:r>
          </w:p>
          <w:p w14:paraId="22BEDF5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项目坐标A段：起点E88°28′45.627″,N38°26′12.598″，终点E88°27′1.075″,N38°10′14.896″；</w:t>
            </w:r>
          </w:p>
          <w:p w14:paraId="4DDC121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项目坐标B段：起点E88°27′2.126″,N38°10′14.265″，终点E88°5′41.506″,N38°13′6.634″；</w:t>
            </w:r>
          </w:p>
          <w:p w14:paraId="51B2D86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Calibri" w:hAnsi="Calibri" w:eastAsia="宋体" w:cs="Calibri"/>
                <w:color w:val="auto"/>
                <w:kern w:val="0"/>
                <w:sz w:val="24"/>
                <w:szCs w:val="24"/>
                <w:lang w:val="en-US" w:eastAsia="zh-CN"/>
              </w:rPr>
            </w:pPr>
            <w:r>
              <w:rPr>
                <w:rFonts w:hint="eastAsia" w:ascii="宋体" w:hAnsi="宋体" w:eastAsia="宋体" w:cs="宋体"/>
                <w:color w:val="auto"/>
                <w:kern w:val="0"/>
                <w:sz w:val="24"/>
                <w:szCs w:val="24"/>
                <w:lang w:val="en-US" w:eastAsia="zh-CN"/>
              </w:rPr>
              <w:t>项目</w:t>
            </w:r>
            <w:r>
              <w:rPr>
                <w:rFonts w:hint="eastAsia" w:ascii="宋体" w:hAnsi="宋体" w:cs="宋体"/>
                <w:color w:val="auto"/>
                <w:kern w:val="0"/>
                <w:sz w:val="24"/>
                <w:szCs w:val="24"/>
                <w:lang w:val="en-US" w:eastAsia="zh-CN"/>
              </w:rPr>
              <w:t>南部矿区110kv</w:t>
            </w:r>
            <w:r>
              <w:rPr>
                <w:rFonts w:hint="eastAsia" w:ascii="宋体" w:hAnsi="宋体" w:eastAsia="宋体" w:cs="宋体"/>
                <w:color w:val="auto"/>
                <w:kern w:val="0"/>
                <w:sz w:val="24"/>
                <w:szCs w:val="24"/>
                <w:lang w:val="en-US" w:eastAsia="zh-CN"/>
              </w:rPr>
              <w:t>变电站站址中心：E88°27′4.255″,N38°10′14.980″</w:t>
            </w:r>
            <w:r>
              <w:rPr>
                <w:rFonts w:hint="default" w:ascii="Calibri" w:hAnsi="Calibri" w:cs="Calibri"/>
                <w:color w:val="auto"/>
                <w:kern w:val="0"/>
                <w:sz w:val="24"/>
                <w:szCs w:val="24"/>
                <w:lang w:val="en-US" w:eastAsia="zh-CN"/>
              </w:rPr>
              <w:t>。线路路径示意图见附图3</w:t>
            </w:r>
            <w:r>
              <w:rPr>
                <w:rFonts w:hint="eastAsia" w:ascii="Calibri" w:hAnsi="Calibri" w:cs="Calibri"/>
                <w:color w:val="auto"/>
                <w:kern w:val="0"/>
                <w:sz w:val="24"/>
                <w:szCs w:val="24"/>
                <w:lang w:val="en-US" w:eastAsia="zh-CN"/>
              </w:rPr>
              <w:t>-1，附图3-2</w:t>
            </w:r>
            <w:r>
              <w:rPr>
                <w:rFonts w:hint="default" w:ascii="Calibri" w:hAnsi="Calibri" w:cs="Calibri"/>
                <w:color w:val="auto"/>
                <w:kern w:val="0"/>
                <w:sz w:val="24"/>
                <w:szCs w:val="24"/>
                <w:lang w:val="en-US" w:eastAsia="zh-CN"/>
              </w:rPr>
              <w:t>。</w:t>
            </w:r>
          </w:p>
          <w:p w14:paraId="35DF4F7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Calibri" w:hAnsi="Calibri" w:eastAsia="宋体" w:cs="Calibri"/>
                <w:color w:val="auto"/>
                <w:kern w:val="0"/>
                <w:sz w:val="24"/>
                <w:szCs w:val="24"/>
                <w:lang w:val="en-US" w:eastAsia="zh-CN"/>
              </w:rPr>
            </w:pPr>
            <w:r>
              <w:rPr>
                <w:rFonts w:hint="default" w:ascii="Calibri" w:hAnsi="Calibri" w:eastAsia="宋体" w:cs="Calibri"/>
                <w:color w:val="auto"/>
                <w:kern w:val="0"/>
                <w:sz w:val="24"/>
                <w:szCs w:val="24"/>
                <w:lang w:val="en-US" w:eastAsia="zh-CN"/>
              </w:rPr>
              <w:t>本项目跨越</w:t>
            </w:r>
            <w:r>
              <w:rPr>
                <w:rFonts w:hint="default" w:ascii="Calibri" w:hAnsi="Calibri" w:cs="Calibri"/>
                <w:color w:val="auto"/>
                <w:kern w:val="0"/>
                <w:sz w:val="24"/>
                <w:szCs w:val="24"/>
                <w:lang w:val="en-US" w:eastAsia="zh-CN"/>
              </w:rPr>
              <w:t>若羌河</w:t>
            </w:r>
            <w:r>
              <w:rPr>
                <w:rFonts w:hint="eastAsia" w:ascii="Calibri" w:hAnsi="Calibri" w:cs="Calibri"/>
                <w:color w:val="auto"/>
                <w:kern w:val="0"/>
                <w:sz w:val="24"/>
                <w:szCs w:val="24"/>
                <w:lang w:val="en-US" w:eastAsia="zh-CN"/>
              </w:rPr>
              <w:t>18次</w:t>
            </w:r>
            <w:r>
              <w:rPr>
                <w:rFonts w:hint="default" w:ascii="Calibri" w:hAnsi="Calibri" w:eastAsia="宋体" w:cs="Calibri"/>
                <w:color w:val="auto"/>
                <w:kern w:val="0"/>
                <w:sz w:val="24"/>
                <w:szCs w:val="24"/>
                <w:lang w:val="en-US" w:eastAsia="zh-CN"/>
              </w:rPr>
              <w:t>，</w:t>
            </w:r>
            <w:r>
              <w:rPr>
                <w:rFonts w:hint="eastAsia" w:ascii="Calibri" w:hAnsi="Calibri" w:cs="Calibri"/>
                <w:color w:val="auto"/>
                <w:kern w:val="0"/>
                <w:sz w:val="24"/>
                <w:szCs w:val="24"/>
                <w:lang w:val="en-US" w:eastAsia="zh-CN"/>
              </w:rPr>
              <w:t>与若羌河无水力联系，全线</w:t>
            </w:r>
            <w:r>
              <w:rPr>
                <w:rFonts w:hint="default" w:ascii="Calibri" w:hAnsi="Calibri" w:eastAsia="宋体" w:cs="Calibri"/>
                <w:color w:val="auto"/>
                <w:kern w:val="0"/>
                <w:sz w:val="24"/>
                <w:szCs w:val="24"/>
                <w:lang w:val="en-US" w:eastAsia="zh-CN"/>
              </w:rPr>
              <w:t>塔基不占</w:t>
            </w:r>
            <w:r>
              <w:rPr>
                <w:rFonts w:hint="eastAsia" w:ascii="Calibri" w:hAnsi="Calibri" w:cs="Calibri"/>
                <w:color w:val="auto"/>
                <w:kern w:val="0"/>
                <w:sz w:val="24"/>
                <w:szCs w:val="24"/>
                <w:lang w:val="en-US" w:eastAsia="zh-CN"/>
              </w:rPr>
              <w:t>用河流</w:t>
            </w:r>
            <w:r>
              <w:rPr>
                <w:rFonts w:hint="default" w:ascii="Calibri" w:hAnsi="Calibri" w:eastAsia="宋体" w:cs="Calibri"/>
                <w:color w:val="auto"/>
                <w:kern w:val="0"/>
                <w:sz w:val="24"/>
                <w:szCs w:val="24"/>
                <w:lang w:val="en-US" w:eastAsia="zh-CN"/>
              </w:rPr>
              <w:t>。</w:t>
            </w:r>
          </w:p>
          <w:p w14:paraId="208CABE3">
            <w:pPr>
              <w:pStyle w:val="3"/>
              <w:keepNext/>
              <w:keepLines w:val="0"/>
              <w:pageBreakBefore w:val="0"/>
              <w:widowControl w:val="0"/>
              <w:kinsoku/>
              <w:wordWrap/>
              <w:overflowPunct w:val="0"/>
              <w:topLinePunct w:val="0"/>
              <w:autoSpaceDE/>
              <w:autoSpaceDN/>
              <w:bidi w:val="0"/>
              <w:adjustRightInd/>
              <w:snapToGrid w:val="0"/>
              <w:spacing w:before="0" w:after="0" w:line="480" w:lineRule="exact"/>
              <w:ind w:left="0" w:firstLine="0"/>
              <w:jc w:val="center"/>
              <w:textAlignment w:val="auto"/>
              <w:rPr>
                <w:rFonts w:hint="eastAsia" w:ascii="宋体" w:hAnsi="宋体" w:eastAsia="宋体" w:cs="宋体"/>
                <w:b/>
                <w:bCs/>
                <w:color w:val="auto"/>
                <w:kern w:val="0"/>
                <w:sz w:val="24"/>
                <w:szCs w:val="24"/>
                <w:lang w:val="en-US" w:eastAsia="zh-CN" w:bidi="ar-SA"/>
              </w:rPr>
            </w:pPr>
            <w:bookmarkStart w:id="6" w:name="_Toc31784"/>
            <w:bookmarkStart w:id="7" w:name="_Toc32568"/>
            <w:bookmarkStart w:id="8" w:name="_Toc17410"/>
            <w:r>
              <w:rPr>
                <w:rFonts w:hint="eastAsia" w:ascii="宋体" w:hAnsi="宋体" w:eastAsia="宋体" w:cs="宋体"/>
                <w:b/>
                <w:bCs/>
                <w:color w:val="auto"/>
                <w:kern w:val="0"/>
                <w:sz w:val="24"/>
                <w:szCs w:val="24"/>
                <w:lang w:val="en-US" w:eastAsia="zh-CN" w:bidi="ar-SA"/>
              </w:rPr>
              <w:t>表2-1    输变电线路拐点坐标一览表</w:t>
            </w:r>
            <w:bookmarkEnd w:id="6"/>
            <w:bookmarkEnd w:id="7"/>
            <w:bookmarkEnd w:id="8"/>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36"/>
              <w:gridCol w:w="3225"/>
              <w:gridCol w:w="789"/>
              <w:gridCol w:w="3191"/>
            </w:tblGrid>
            <w:tr w14:paraId="1A420A99">
              <w:tblPrEx>
                <w:tblCellMar>
                  <w:top w:w="0" w:type="dxa"/>
                  <w:left w:w="108" w:type="dxa"/>
                  <w:bottom w:w="0" w:type="dxa"/>
                  <w:right w:w="108" w:type="dxa"/>
                </w:tblCellMar>
              </w:tblPrEx>
              <w:trPr>
                <w:trHeight w:val="270" w:hRule="atLeast"/>
              </w:trPr>
              <w:tc>
                <w:tcPr>
                  <w:tcW w:w="385" w:type="pct"/>
                  <w:shd w:val="clear" w:color="auto" w:fill="auto"/>
                  <w:noWrap/>
                  <w:vAlign w:val="center"/>
                </w:tcPr>
                <w:p w14:paraId="74956ECB">
                  <w:pPr>
                    <w:keepNext w:val="0"/>
                    <w:keepLines w:val="0"/>
                    <w:widowControl/>
                    <w:suppressLineNumbers w:val="0"/>
                    <w:jc w:val="center"/>
                    <w:textAlignment w:val="center"/>
                    <w:rPr>
                      <w:rFonts w:hint="default" w:ascii="Calibri" w:hAnsi="Calibri" w:eastAsia="宋体" w:cs="Calibri"/>
                      <w:b w:val="0"/>
                      <w:bCs w:val="0"/>
                      <w:i w:val="0"/>
                      <w:iCs w:val="0"/>
                      <w:color w:val="auto"/>
                      <w:sz w:val="21"/>
                      <w:szCs w:val="21"/>
                      <w:u w:val="none"/>
                    </w:rPr>
                  </w:pPr>
                  <w:r>
                    <w:rPr>
                      <w:rFonts w:hint="default" w:ascii="Calibri" w:hAnsi="Calibri" w:eastAsia="宋体" w:cs="Calibri"/>
                      <w:b w:val="0"/>
                      <w:bCs w:val="0"/>
                      <w:i w:val="0"/>
                      <w:iCs w:val="0"/>
                      <w:color w:val="auto"/>
                      <w:kern w:val="0"/>
                      <w:sz w:val="21"/>
                      <w:szCs w:val="21"/>
                      <w:u w:val="none"/>
                      <w:lang w:val="en-US" w:eastAsia="zh-CN" w:bidi="ar"/>
                    </w:rPr>
                    <w:t>序号</w:t>
                  </w:r>
                </w:p>
              </w:tc>
              <w:tc>
                <w:tcPr>
                  <w:tcW w:w="2063" w:type="pct"/>
                  <w:shd w:val="clear" w:color="auto" w:fill="auto"/>
                  <w:noWrap/>
                  <w:vAlign w:val="center"/>
                </w:tcPr>
                <w:p w14:paraId="34E8A799">
                  <w:pPr>
                    <w:keepNext w:val="0"/>
                    <w:keepLines w:val="0"/>
                    <w:widowControl/>
                    <w:suppressLineNumbers w:val="0"/>
                    <w:jc w:val="center"/>
                    <w:textAlignment w:val="center"/>
                    <w:rPr>
                      <w:rFonts w:hint="default" w:ascii="Calibri" w:hAnsi="Calibri" w:eastAsia="宋体" w:cs="Calibri"/>
                      <w:b w:val="0"/>
                      <w:bCs w:val="0"/>
                      <w:i w:val="0"/>
                      <w:iCs w:val="0"/>
                      <w:color w:val="auto"/>
                      <w:sz w:val="21"/>
                      <w:szCs w:val="21"/>
                      <w:u w:val="none"/>
                    </w:rPr>
                  </w:pPr>
                  <w:r>
                    <w:rPr>
                      <w:rFonts w:hint="default" w:ascii="Calibri" w:hAnsi="Calibri" w:eastAsia="宋体" w:cs="Calibri"/>
                      <w:b w:val="0"/>
                      <w:bCs w:val="0"/>
                      <w:i w:val="0"/>
                      <w:iCs w:val="0"/>
                      <w:color w:val="auto"/>
                      <w:kern w:val="0"/>
                      <w:sz w:val="21"/>
                      <w:szCs w:val="21"/>
                      <w:u w:val="none"/>
                      <w:lang w:val="en-US" w:eastAsia="zh-CN" w:bidi="ar"/>
                    </w:rPr>
                    <w:t>A段</w:t>
                  </w:r>
                </w:p>
              </w:tc>
              <w:tc>
                <w:tcPr>
                  <w:tcW w:w="510" w:type="pct"/>
                  <w:shd w:val="clear" w:color="auto" w:fill="auto"/>
                  <w:noWrap/>
                  <w:vAlign w:val="center"/>
                </w:tcPr>
                <w:p w14:paraId="4304868D">
                  <w:pPr>
                    <w:keepNext w:val="0"/>
                    <w:keepLines w:val="0"/>
                    <w:widowControl/>
                    <w:suppressLineNumbers w:val="0"/>
                    <w:jc w:val="center"/>
                    <w:textAlignment w:val="center"/>
                    <w:rPr>
                      <w:rFonts w:hint="default" w:ascii="Calibri" w:hAnsi="Calibri" w:eastAsia="宋体" w:cs="Calibri"/>
                      <w:b w:val="0"/>
                      <w:bCs w:val="0"/>
                      <w:i w:val="0"/>
                      <w:iCs w:val="0"/>
                      <w:color w:val="auto"/>
                      <w:sz w:val="21"/>
                      <w:szCs w:val="21"/>
                      <w:u w:val="none"/>
                    </w:rPr>
                  </w:pPr>
                  <w:r>
                    <w:rPr>
                      <w:rFonts w:hint="default" w:ascii="Calibri" w:hAnsi="Calibri" w:eastAsia="宋体" w:cs="Calibri"/>
                      <w:b w:val="0"/>
                      <w:bCs w:val="0"/>
                      <w:i w:val="0"/>
                      <w:iCs w:val="0"/>
                      <w:color w:val="auto"/>
                      <w:kern w:val="0"/>
                      <w:sz w:val="21"/>
                      <w:szCs w:val="21"/>
                      <w:u w:val="none"/>
                      <w:lang w:val="en-US" w:eastAsia="zh-CN" w:bidi="ar"/>
                    </w:rPr>
                    <w:t>序号</w:t>
                  </w:r>
                </w:p>
              </w:tc>
              <w:tc>
                <w:tcPr>
                  <w:tcW w:w="2041" w:type="pct"/>
                  <w:shd w:val="clear" w:color="auto" w:fill="auto"/>
                  <w:noWrap/>
                  <w:vAlign w:val="center"/>
                </w:tcPr>
                <w:p w14:paraId="2E55A913">
                  <w:pPr>
                    <w:keepNext w:val="0"/>
                    <w:keepLines w:val="0"/>
                    <w:widowControl/>
                    <w:suppressLineNumbers w:val="0"/>
                    <w:jc w:val="center"/>
                    <w:textAlignment w:val="center"/>
                    <w:rPr>
                      <w:rFonts w:hint="default" w:ascii="Calibri" w:hAnsi="Calibri" w:eastAsia="宋体" w:cs="Calibri"/>
                      <w:b w:val="0"/>
                      <w:bCs w:val="0"/>
                      <w:i w:val="0"/>
                      <w:iCs w:val="0"/>
                      <w:color w:val="auto"/>
                      <w:sz w:val="21"/>
                      <w:szCs w:val="21"/>
                      <w:u w:val="none"/>
                      <w:lang w:val="en-US" w:eastAsia="zh-CN"/>
                    </w:rPr>
                  </w:pPr>
                  <w:r>
                    <w:rPr>
                      <w:rFonts w:hint="default" w:ascii="Calibri" w:hAnsi="Calibri" w:eastAsia="宋体" w:cs="Calibri"/>
                      <w:b w:val="0"/>
                      <w:bCs w:val="0"/>
                      <w:i w:val="0"/>
                      <w:iCs w:val="0"/>
                      <w:color w:val="auto"/>
                      <w:sz w:val="21"/>
                      <w:szCs w:val="21"/>
                      <w:u w:val="none"/>
                      <w:lang w:val="en-US" w:eastAsia="zh-CN"/>
                    </w:rPr>
                    <w:t>B段</w:t>
                  </w:r>
                </w:p>
              </w:tc>
            </w:tr>
            <w:tr w14:paraId="367F0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85" w:type="pct"/>
                  <w:shd w:val="clear" w:color="auto" w:fill="auto"/>
                  <w:noWrap/>
                  <w:vAlign w:val="center"/>
                </w:tcPr>
                <w:p w14:paraId="1F0D7A6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w:t>
                  </w:r>
                </w:p>
              </w:tc>
              <w:tc>
                <w:tcPr>
                  <w:tcW w:w="2063" w:type="pct"/>
                  <w:shd w:val="clear" w:color="auto" w:fill="auto"/>
                  <w:noWrap/>
                  <w:vAlign w:val="center"/>
                </w:tcPr>
                <w:p w14:paraId="456EB56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88.47934104,38.4368328</w:t>
                  </w:r>
                </w:p>
              </w:tc>
              <w:tc>
                <w:tcPr>
                  <w:tcW w:w="510" w:type="pct"/>
                  <w:shd w:val="clear" w:color="auto" w:fill="auto"/>
                  <w:noWrap/>
                  <w:vAlign w:val="center"/>
                </w:tcPr>
                <w:p w14:paraId="2D7E41B3">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w:t>
                  </w:r>
                </w:p>
              </w:tc>
              <w:tc>
                <w:tcPr>
                  <w:tcW w:w="2041" w:type="pct"/>
                  <w:shd w:val="clear" w:color="auto" w:fill="auto"/>
                  <w:noWrap/>
                  <w:vAlign w:val="center"/>
                </w:tcPr>
                <w:p w14:paraId="15A95101">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88.45059073,38.17062942</w:t>
                  </w:r>
                </w:p>
              </w:tc>
            </w:tr>
            <w:tr w14:paraId="5E519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85" w:type="pct"/>
                  <w:shd w:val="clear" w:color="auto" w:fill="auto"/>
                  <w:noWrap/>
                  <w:vAlign w:val="center"/>
                </w:tcPr>
                <w:p w14:paraId="45FAB987">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2</w:t>
                  </w:r>
                </w:p>
              </w:tc>
              <w:tc>
                <w:tcPr>
                  <w:tcW w:w="2063" w:type="pct"/>
                  <w:shd w:val="clear" w:color="auto" w:fill="auto"/>
                  <w:noWrap/>
                  <w:vAlign w:val="center"/>
                </w:tcPr>
                <w:p w14:paraId="6A914DB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88.47761371,38.43488723</w:t>
                  </w:r>
                </w:p>
              </w:tc>
              <w:tc>
                <w:tcPr>
                  <w:tcW w:w="510" w:type="pct"/>
                  <w:shd w:val="clear" w:color="auto" w:fill="auto"/>
                  <w:noWrap/>
                  <w:vAlign w:val="center"/>
                </w:tcPr>
                <w:p w14:paraId="7A29ADD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w:t>
                  </w:r>
                </w:p>
              </w:tc>
              <w:tc>
                <w:tcPr>
                  <w:tcW w:w="2041" w:type="pct"/>
                  <w:shd w:val="clear" w:color="auto" w:fill="auto"/>
                  <w:noWrap/>
                  <w:vAlign w:val="center"/>
                </w:tcPr>
                <w:p w14:paraId="4B8E4AC1">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88.44703189,38.16931047</w:t>
                  </w:r>
                </w:p>
              </w:tc>
            </w:tr>
            <w:tr w14:paraId="310C7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85" w:type="pct"/>
                  <w:shd w:val="clear" w:color="auto" w:fill="auto"/>
                  <w:noWrap/>
                  <w:vAlign w:val="center"/>
                </w:tcPr>
                <w:p w14:paraId="62E577D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3</w:t>
                  </w:r>
                </w:p>
              </w:tc>
              <w:tc>
                <w:tcPr>
                  <w:tcW w:w="2063" w:type="pct"/>
                  <w:shd w:val="clear" w:color="auto" w:fill="auto"/>
                  <w:noWrap/>
                  <w:vAlign w:val="center"/>
                </w:tcPr>
                <w:p w14:paraId="20B1206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88.47581854,38.43205791</w:t>
                  </w:r>
                </w:p>
              </w:tc>
              <w:tc>
                <w:tcPr>
                  <w:tcW w:w="510" w:type="pct"/>
                  <w:shd w:val="clear" w:color="auto" w:fill="auto"/>
                  <w:noWrap/>
                  <w:vAlign w:val="center"/>
                </w:tcPr>
                <w:p w14:paraId="55FC58D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3</w:t>
                  </w:r>
                </w:p>
              </w:tc>
              <w:tc>
                <w:tcPr>
                  <w:tcW w:w="2041" w:type="pct"/>
                  <w:shd w:val="clear" w:color="auto" w:fill="auto"/>
                  <w:noWrap/>
                  <w:vAlign w:val="center"/>
                </w:tcPr>
                <w:p w14:paraId="4B3A0F71">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88.44344839,38.16798222</w:t>
                  </w:r>
                </w:p>
              </w:tc>
            </w:tr>
            <w:tr w14:paraId="7FB34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85" w:type="pct"/>
                  <w:shd w:val="clear" w:color="auto" w:fill="auto"/>
                  <w:noWrap/>
                  <w:vAlign w:val="center"/>
                </w:tcPr>
                <w:p w14:paraId="1002F67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4</w:t>
                  </w:r>
                </w:p>
              </w:tc>
              <w:tc>
                <w:tcPr>
                  <w:tcW w:w="2063" w:type="pct"/>
                  <w:shd w:val="clear" w:color="auto" w:fill="auto"/>
                  <w:noWrap/>
                  <w:vAlign w:val="center"/>
                </w:tcPr>
                <w:p w14:paraId="1A31D62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88.47433699,38.42972281</w:t>
                  </w:r>
                </w:p>
              </w:tc>
              <w:tc>
                <w:tcPr>
                  <w:tcW w:w="510" w:type="pct"/>
                  <w:shd w:val="clear" w:color="auto" w:fill="auto"/>
                  <w:noWrap/>
                  <w:vAlign w:val="center"/>
                </w:tcPr>
                <w:p w14:paraId="6441BEE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w:t>
                  </w:r>
                </w:p>
              </w:tc>
              <w:tc>
                <w:tcPr>
                  <w:tcW w:w="2041" w:type="pct"/>
                  <w:shd w:val="clear" w:color="auto" w:fill="auto"/>
                  <w:noWrap/>
                  <w:vAlign w:val="center"/>
                </w:tcPr>
                <w:p w14:paraId="7BD5440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88.43999346,38.16670147</w:t>
                  </w:r>
                </w:p>
              </w:tc>
            </w:tr>
            <w:tr w14:paraId="4CC29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85" w:type="pct"/>
                  <w:shd w:val="clear" w:color="auto" w:fill="auto"/>
                  <w:noWrap/>
                  <w:vAlign w:val="center"/>
                </w:tcPr>
                <w:p w14:paraId="7A838A2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5</w:t>
                  </w:r>
                </w:p>
              </w:tc>
              <w:tc>
                <w:tcPr>
                  <w:tcW w:w="2063" w:type="pct"/>
                  <w:shd w:val="clear" w:color="auto" w:fill="auto"/>
                  <w:noWrap/>
                  <w:vAlign w:val="center"/>
                </w:tcPr>
                <w:p w14:paraId="16C6005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88.47106306,38.42791876</w:t>
                  </w:r>
                </w:p>
              </w:tc>
              <w:tc>
                <w:tcPr>
                  <w:tcW w:w="510" w:type="pct"/>
                  <w:shd w:val="clear" w:color="auto" w:fill="auto"/>
                  <w:noWrap/>
                  <w:vAlign w:val="center"/>
                </w:tcPr>
                <w:p w14:paraId="34B32E9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5</w:t>
                  </w:r>
                </w:p>
              </w:tc>
              <w:tc>
                <w:tcPr>
                  <w:tcW w:w="2041" w:type="pct"/>
                  <w:shd w:val="clear" w:color="auto" w:fill="auto"/>
                  <w:noWrap/>
                  <w:vAlign w:val="center"/>
                </w:tcPr>
                <w:p w14:paraId="7D195D0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88.4365794</w:t>
                  </w:r>
                  <w:r>
                    <w:rPr>
                      <w:rFonts w:hint="eastAsia" w:ascii="Calibri" w:hAnsi="Calibri" w:eastAsia="宋体" w:cs="Calibri"/>
                      <w:i w:val="0"/>
                      <w:iCs w:val="0"/>
                      <w:color w:val="000000"/>
                      <w:kern w:val="0"/>
                      <w:sz w:val="21"/>
                      <w:szCs w:val="21"/>
                      <w:u w:val="none"/>
                      <w:lang w:val="en-US" w:eastAsia="zh-CN" w:bidi="ar"/>
                    </w:rPr>
                    <w:t>0</w:t>
                  </w:r>
                  <w:r>
                    <w:rPr>
                      <w:rFonts w:hint="default" w:ascii="Calibri" w:hAnsi="Calibri" w:eastAsia="宋体" w:cs="Calibri"/>
                      <w:i w:val="0"/>
                      <w:iCs w:val="0"/>
                      <w:color w:val="000000"/>
                      <w:kern w:val="0"/>
                      <w:sz w:val="21"/>
                      <w:szCs w:val="21"/>
                      <w:u w:val="none"/>
                      <w:lang w:val="en-US" w:eastAsia="zh-CN" w:bidi="ar"/>
                    </w:rPr>
                    <w:t>,38.1654357</w:t>
                  </w:r>
                </w:p>
              </w:tc>
            </w:tr>
            <w:tr w14:paraId="440A5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85" w:type="pct"/>
                  <w:shd w:val="clear" w:color="auto" w:fill="auto"/>
                  <w:noWrap/>
                  <w:vAlign w:val="center"/>
                </w:tcPr>
                <w:p w14:paraId="35AB28D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6</w:t>
                  </w:r>
                </w:p>
              </w:tc>
              <w:tc>
                <w:tcPr>
                  <w:tcW w:w="2063" w:type="pct"/>
                  <w:shd w:val="clear" w:color="auto" w:fill="auto"/>
                  <w:noWrap/>
                  <w:vAlign w:val="center"/>
                </w:tcPr>
                <w:p w14:paraId="5D28968F">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88.46769016,38.42606001</w:t>
                  </w:r>
                </w:p>
              </w:tc>
              <w:tc>
                <w:tcPr>
                  <w:tcW w:w="510" w:type="pct"/>
                  <w:shd w:val="clear" w:color="auto" w:fill="auto"/>
                  <w:noWrap/>
                  <w:vAlign w:val="center"/>
                </w:tcPr>
                <w:p w14:paraId="73F59E5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6</w:t>
                  </w:r>
                </w:p>
              </w:tc>
              <w:tc>
                <w:tcPr>
                  <w:tcW w:w="2041" w:type="pct"/>
                  <w:shd w:val="clear" w:color="auto" w:fill="auto"/>
                  <w:noWrap/>
                  <w:vAlign w:val="center"/>
                </w:tcPr>
                <w:p w14:paraId="54F50CE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88.43342094,38.16426458</w:t>
                  </w:r>
                </w:p>
              </w:tc>
            </w:tr>
            <w:tr w14:paraId="1A499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85" w:type="pct"/>
                  <w:shd w:val="clear" w:color="auto" w:fill="auto"/>
                  <w:noWrap/>
                  <w:vAlign w:val="center"/>
                </w:tcPr>
                <w:p w14:paraId="1A90C6A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7</w:t>
                  </w:r>
                </w:p>
              </w:tc>
              <w:tc>
                <w:tcPr>
                  <w:tcW w:w="2063" w:type="pct"/>
                  <w:shd w:val="clear" w:color="auto" w:fill="auto"/>
                  <w:noWrap/>
                  <w:vAlign w:val="center"/>
                </w:tcPr>
                <w:p w14:paraId="2923565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88.46436361,38.42422671</w:t>
                  </w:r>
                </w:p>
              </w:tc>
              <w:tc>
                <w:tcPr>
                  <w:tcW w:w="510" w:type="pct"/>
                  <w:shd w:val="clear" w:color="auto" w:fill="auto"/>
                  <w:noWrap/>
                  <w:vAlign w:val="center"/>
                </w:tcPr>
                <w:p w14:paraId="1D03D15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7</w:t>
                  </w:r>
                </w:p>
              </w:tc>
              <w:tc>
                <w:tcPr>
                  <w:tcW w:w="2041" w:type="pct"/>
                  <w:shd w:val="clear" w:color="auto" w:fill="auto"/>
                  <w:noWrap/>
                  <w:vAlign w:val="center"/>
                </w:tcPr>
                <w:p w14:paraId="6B33204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88.43051814,38.16318813</w:t>
                  </w:r>
                </w:p>
              </w:tc>
            </w:tr>
            <w:tr w14:paraId="41CB5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85" w:type="pct"/>
                  <w:shd w:val="clear" w:color="auto" w:fill="auto"/>
                  <w:noWrap/>
                  <w:vAlign w:val="center"/>
                </w:tcPr>
                <w:p w14:paraId="374F376F">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w:t>
                  </w:r>
                </w:p>
              </w:tc>
              <w:tc>
                <w:tcPr>
                  <w:tcW w:w="2063" w:type="pct"/>
                  <w:shd w:val="clear" w:color="auto" w:fill="auto"/>
                  <w:noWrap/>
                  <w:vAlign w:val="center"/>
                </w:tcPr>
                <w:p w14:paraId="7F12E1E7">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88.46108925,38.42242184</w:t>
                  </w:r>
                </w:p>
              </w:tc>
              <w:tc>
                <w:tcPr>
                  <w:tcW w:w="510" w:type="pct"/>
                  <w:shd w:val="clear" w:color="auto" w:fill="auto"/>
                  <w:noWrap/>
                  <w:vAlign w:val="center"/>
                </w:tcPr>
                <w:p w14:paraId="26AED15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8</w:t>
                  </w:r>
                </w:p>
              </w:tc>
              <w:tc>
                <w:tcPr>
                  <w:tcW w:w="2041" w:type="pct"/>
                  <w:shd w:val="clear" w:color="auto" w:fill="auto"/>
                  <w:noWrap/>
                  <w:vAlign w:val="center"/>
                </w:tcPr>
                <w:p w14:paraId="0EE4419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88.4271198</w:t>
                  </w:r>
                  <w:r>
                    <w:rPr>
                      <w:rFonts w:hint="eastAsia" w:ascii="Calibri" w:hAnsi="Calibri" w:eastAsia="宋体" w:cs="Calibri"/>
                      <w:i w:val="0"/>
                      <w:iCs w:val="0"/>
                      <w:color w:val="000000"/>
                      <w:kern w:val="0"/>
                      <w:sz w:val="21"/>
                      <w:szCs w:val="21"/>
                      <w:u w:val="none"/>
                      <w:lang w:val="en-US" w:eastAsia="zh-CN" w:bidi="ar"/>
                    </w:rPr>
                    <w:t>0</w:t>
                  </w:r>
                  <w:r>
                    <w:rPr>
                      <w:rFonts w:hint="default" w:ascii="Calibri" w:hAnsi="Calibri" w:eastAsia="宋体" w:cs="Calibri"/>
                      <w:i w:val="0"/>
                      <w:iCs w:val="0"/>
                      <w:color w:val="000000"/>
                      <w:kern w:val="0"/>
                      <w:sz w:val="21"/>
                      <w:szCs w:val="21"/>
                      <w:u w:val="none"/>
                      <w:lang w:val="en-US" w:eastAsia="zh-CN" w:bidi="ar"/>
                    </w:rPr>
                    <w:t>,38.1619279</w:t>
                  </w:r>
                </w:p>
              </w:tc>
            </w:tr>
            <w:tr w14:paraId="6DCAD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85" w:type="pct"/>
                  <w:shd w:val="clear" w:color="auto" w:fill="auto"/>
                  <w:noWrap/>
                  <w:vAlign w:val="center"/>
                </w:tcPr>
                <w:p w14:paraId="4BBE761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9</w:t>
                  </w:r>
                </w:p>
              </w:tc>
              <w:tc>
                <w:tcPr>
                  <w:tcW w:w="2063" w:type="pct"/>
                  <w:shd w:val="clear" w:color="auto" w:fill="auto"/>
                  <w:noWrap/>
                  <w:vAlign w:val="center"/>
                </w:tcPr>
                <w:p w14:paraId="0465068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88.45895808,38.41979286</w:t>
                  </w:r>
                </w:p>
              </w:tc>
              <w:tc>
                <w:tcPr>
                  <w:tcW w:w="510" w:type="pct"/>
                  <w:shd w:val="clear" w:color="auto" w:fill="auto"/>
                  <w:noWrap/>
                  <w:vAlign w:val="center"/>
                </w:tcPr>
                <w:p w14:paraId="293EC8E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w:t>
                  </w:r>
                </w:p>
              </w:tc>
              <w:tc>
                <w:tcPr>
                  <w:tcW w:w="2041" w:type="pct"/>
                  <w:shd w:val="clear" w:color="auto" w:fill="auto"/>
                  <w:noWrap/>
                  <w:vAlign w:val="center"/>
                </w:tcPr>
                <w:p w14:paraId="2EBF3330">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88.4242993</w:t>
                  </w:r>
                  <w:r>
                    <w:rPr>
                      <w:rFonts w:hint="eastAsia" w:ascii="Calibri" w:hAnsi="Calibri" w:eastAsia="宋体" w:cs="Calibri"/>
                      <w:i w:val="0"/>
                      <w:iCs w:val="0"/>
                      <w:color w:val="000000"/>
                      <w:kern w:val="0"/>
                      <w:sz w:val="21"/>
                      <w:szCs w:val="21"/>
                      <w:u w:val="none"/>
                      <w:lang w:val="en-US" w:eastAsia="zh-CN" w:bidi="ar"/>
                    </w:rPr>
                    <w:t>0</w:t>
                  </w:r>
                  <w:r>
                    <w:rPr>
                      <w:rFonts w:hint="default" w:ascii="Calibri" w:hAnsi="Calibri" w:eastAsia="宋体" w:cs="Calibri"/>
                      <w:i w:val="0"/>
                      <w:iCs w:val="0"/>
                      <w:color w:val="000000"/>
                      <w:kern w:val="0"/>
                      <w:sz w:val="21"/>
                      <w:szCs w:val="21"/>
                      <w:u w:val="none"/>
                      <w:lang w:val="en-US" w:eastAsia="zh-CN" w:bidi="ar"/>
                    </w:rPr>
                    <w:t>,38.16088178</w:t>
                  </w:r>
                </w:p>
              </w:tc>
            </w:tr>
            <w:tr w14:paraId="7E4CF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85" w:type="pct"/>
                  <w:shd w:val="clear" w:color="auto" w:fill="auto"/>
                  <w:noWrap/>
                  <w:vAlign w:val="center"/>
                </w:tcPr>
                <w:p w14:paraId="2DB4115F">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10</w:t>
                  </w:r>
                </w:p>
              </w:tc>
              <w:tc>
                <w:tcPr>
                  <w:tcW w:w="2063" w:type="pct"/>
                  <w:shd w:val="clear" w:color="auto" w:fill="auto"/>
                  <w:noWrap/>
                  <w:vAlign w:val="center"/>
                </w:tcPr>
                <w:p w14:paraId="200D0B47">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88.45655946,38.41683388</w:t>
                  </w:r>
                </w:p>
              </w:tc>
              <w:tc>
                <w:tcPr>
                  <w:tcW w:w="510" w:type="pct"/>
                  <w:shd w:val="clear" w:color="auto" w:fill="auto"/>
                  <w:noWrap/>
                  <w:vAlign w:val="center"/>
                </w:tcPr>
                <w:p w14:paraId="19F82E6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2041" w:type="pct"/>
                  <w:shd w:val="clear" w:color="auto" w:fill="auto"/>
                  <w:noWrap/>
                  <w:vAlign w:val="center"/>
                </w:tcPr>
                <w:p w14:paraId="7343899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88.42216341,38.16008953</w:t>
                  </w:r>
                </w:p>
              </w:tc>
            </w:tr>
            <w:tr w14:paraId="57AC5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85" w:type="pct"/>
                  <w:shd w:val="clear" w:color="auto" w:fill="auto"/>
                  <w:noWrap/>
                  <w:vAlign w:val="center"/>
                </w:tcPr>
                <w:p w14:paraId="48A2BEDF">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11</w:t>
                  </w:r>
                </w:p>
              </w:tc>
              <w:tc>
                <w:tcPr>
                  <w:tcW w:w="2063" w:type="pct"/>
                  <w:shd w:val="clear" w:color="auto" w:fill="auto"/>
                  <w:noWrap/>
                  <w:vAlign w:val="center"/>
                </w:tcPr>
                <w:p w14:paraId="5574E59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88.45796199,38.41309200</w:t>
                  </w:r>
                </w:p>
              </w:tc>
              <w:tc>
                <w:tcPr>
                  <w:tcW w:w="510" w:type="pct"/>
                  <w:shd w:val="clear" w:color="auto" w:fill="auto"/>
                  <w:noWrap/>
                  <w:vAlign w:val="center"/>
                </w:tcPr>
                <w:p w14:paraId="43B668D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11</w:t>
                  </w:r>
                </w:p>
              </w:tc>
              <w:tc>
                <w:tcPr>
                  <w:tcW w:w="2041" w:type="pct"/>
                  <w:shd w:val="clear" w:color="auto" w:fill="auto"/>
                  <w:noWrap/>
                  <w:vAlign w:val="center"/>
                </w:tcPr>
                <w:p w14:paraId="3CB67A8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88.41863663,38.15888315</w:t>
                  </w:r>
                </w:p>
              </w:tc>
            </w:tr>
            <w:tr w14:paraId="62D4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85" w:type="pct"/>
                  <w:shd w:val="clear" w:color="auto" w:fill="auto"/>
                  <w:noWrap/>
                  <w:vAlign w:val="center"/>
                </w:tcPr>
                <w:p w14:paraId="1C8696A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12</w:t>
                  </w:r>
                </w:p>
              </w:tc>
              <w:tc>
                <w:tcPr>
                  <w:tcW w:w="2063" w:type="pct"/>
                  <w:shd w:val="clear" w:color="auto" w:fill="auto"/>
                  <w:noWrap/>
                  <w:vAlign w:val="center"/>
                </w:tcPr>
                <w:p w14:paraId="5C93DE1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88.45857901,38.41144571</w:t>
                  </w:r>
                </w:p>
              </w:tc>
              <w:tc>
                <w:tcPr>
                  <w:tcW w:w="510" w:type="pct"/>
                  <w:shd w:val="clear" w:color="auto" w:fill="auto"/>
                  <w:noWrap/>
                  <w:vAlign w:val="center"/>
                </w:tcPr>
                <w:p w14:paraId="4992777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12</w:t>
                  </w:r>
                </w:p>
              </w:tc>
              <w:tc>
                <w:tcPr>
                  <w:tcW w:w="2041" w:type="pct"/>
                  <w:shd w:val="clear" w:color="auto" w:fill="auto"/>
                  <w:noWrap/>
                  <w:vAlign w:val="center"/>
                </w:tcPr>
                <w:p w14:paraId="1CB8636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88.4162424,38.15806426</w:t>
                  </w:r>
                </w:p>
              </w:tc>
            </w:tr>
            <w:tr w14:paraId="7CD57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385" w:type="pct"/>
                  <w:shd w:val="clear" w:color="auto" w:fill="auto"/>
                  <w:noWrap/>
                  <w:vAlign w:val="center"/>
                </w:tcPr>
                <w:p w14:paraId="4FA9F17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13</w:t>
                  </w:r>
                </w:p>
              </w:tc>
              <w:tc>
                <w:tcPr>
                  <w:tcW w:w="2063" w:type="pct"/>
                  <w:shd w:val="clear" w:color="auto" w:fill="auto"/>
                  <w:noWrap/>
                  <w:vAlign w:val="center"/>
                </w:tcPr>
                <w:p w14:paraId="45215AE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88.45952093,38.40893186</w:t>
                  </w:r>
                </w:p>
              </w:tc>
              <w:tc>
                <w:tcPr>
                  <w:tcW w:w="510" w:type="pct"/>
                  <w:shd w:val="clear" w:color="auto" w:fill="auto"/>
                  <w:noWrap/>
                  <w:vAlign w:val="center"/>
                </w:tcPr>
                <w:p w14:paraId="199F0E7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13</w:t>
                  </w:r>
                </w:p>
              </w:tc>
              <w:tc>
                <w:tcPr>
                  <w:tcW w:w="2041" w:type="pct"/>
                  <w:shd w:val="clear" w:color="auto" w:fill="auto"/>
                  <w:noWrap/>
                  <w:vAlign w:val="center"/>
                </w:tcPr>
                <w:p w14:paraId="7B554B3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88.41294918,38.15693753</w:t>
                  </w:r>
                </w:p>
              </w:tc>
            </w:tr>
            <w:tr w14:paraId="3955F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85" w:type="pct"/>
                  <w:shd w:val="clear" w:color="auto" w:fill="auto"/>
                  <w:noWrap/>
                  <w:vAlign w:val="center"/>
                </w:tcPr>
                <w:p w14:paraId="608F722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14</w:t>
                  </w:r>
                </w:p>
              </w:tc>
              <w:tc>
                <w:tcPr>
                  <w:tcW w:w="2063" w:type="pct"/>
                  <w:shd w:val="clear" w:color="auto" w:fill="auto"/>
                  <w:noWrap/>
                  <w:vAlign w:val="center"/>
                </w:tcPr>
                <w:p w14:paraId="5B7E30E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88.46079015,38.40554430</w:t>
                  </w:r>
                </w:p>
              </w:tc>
              <w:tc>
                <w:tcPr>
                  <w:tcW w:w="510" w:type="pct"/>
                  <w:shd w:val="clear" w:color="auto" w:fill="auto"/>
                  <w:noWrap/>
                  <w:vAlign w:val="center"/>
                </w:tcPr>
                <w:p w14:paraId="4E2728B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14</w:t>
                  </w:r>
                </w:p>
              </w:tc>
              <w:tc>
                <w:tcPr>
                  <w:tcW w:w="2041" w:type="pct"/>
                  <w:shd w:val="clear" w:color="auto" w:fill="auto"/>
                  <w:noWrap/>
                  <w:vAlign w:val="center"/>
                </w:tcPr>
                <w:p w14:paraId="4A97960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88.40898102,38.15558</w:t>
                  </w:r>
                  <w:r>
                    <w:rPr>
                      <w:rFonts w:hint="eastAsia" w:ascii="Calibri" w:hAnsi="Calibri" w:eastAsia="宋体" w:cs="Calibri"/>
                      <w:i w:val="0"/>
                      <w:iCs w:val="0"/>
                      <w:color w:val="000000"/>
                      <w:kern w:val="0"/>
                      <w:sz w:val="21"/>
                      <w:szCs w:val="21"/>
                      <w:u w:val="none"/>
                      <w:lang w:val="en-US" w:eastAsia="zh-CN" w:bidi="ar"/>
                    </w:rPr>
                    <w:t>000</w:t>
                  </w:r>
                </w:p>
              </w:tc>
            </w:tr>
            <w:tr w14:paraId="2A25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15D11101">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15</w:t>
                  </w:r>
                </w:p>
              </w:tc>
              <w:tc>
                <w:tcPr>
                  <w:tcW w:w="0" w:type="auto"/>
                  <w:shd w:val="clear" w:color="auto" w:fill="auto"/>
                  <w:vAlign w:val="center"/>
                </w:tcPr>
                <w:p w14:paraId="6B515D6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88.46196696,38.40240370</w:t>
                  </w:r>
                </w:p>
              </w:tc>
              <w:tc>
                <w:tcPr>
                  <w:tcW w:w="510" w:type="pct"/>
                  <w:shd w:val="clear" w:color="auto" w:fill="auto"/>
                  <w:vAlign w:val="center"/>
                </w:tcPr>
                <w:p w14:paraId="6E256A8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15</w:t>
                  </w:r>
                </w:p>
              </w:tc>
              <w:tc>
                <w:tcPr>
                  <w:tcW w:w="0" w:type="auto"/>
                  <w:shd w:val="clear" w:color="auto" w:fill="auto"/>
                  <w:vAlign w:val="center"/>
                </w:tcPr>
                <w:p w14:paraId="16A8F1D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88.40683468,38.15434609</w:t>
                  </w:r>
                </w:p>
              </w:tc>
            </w:tr>
            <w:tr w14:paraId="0B00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4EB747E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16</w:t>
                  </w:r>
                </w:p>
              </w:tc>
              <w:tc>
                <w:tcPr>
                  <w:tcW w:w="0" w:type="auto"/>
                  <w:shd w:val="clear" w:color="auto" w:fill="auto"/>
                  <w:vAlign w:val="center"/>
                </w:tcPr>
                <w:p w14:paraId="39F5A51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88.46299708,38.39965364</w:t>
                  </w:r>
                </w:p>
              </w:tc>
              <w:tc>
                <w:tcPr>
                  <w:tcW w:w="510" w:type="pct"/>
                  <w:shd w:val="clear" w:color="auto" w:fill="auto"/>
                  <w:vAlign w:val="center"/>
                </w:tcPr>
                <w:p w14:paraId="487056C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16</w:t>
                  </w:r>
                </w:p>
              </w:tc>
              <w:tc>
                <w:tcPr>
                  <w:tcW w:w="0" w:type="auto"/>
                  <w:shd w:val="clear" w:color="auto" w:fill="auto"/>
                  <w:vAlign w:val="center"/>
                </w:tcPr>
                <w:p w14:paraId="030FEF9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88.40384566,38.15358382</w:t>
                  </w:r>
                </w:p>
              </w:tc>
            </w:tr>
            <w:tr w14:paraId="7282E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67D690AF">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17</w:t>
                  </w:r>
                </w:p>
              </w:tc>
              <w:tc>
                <w:tcPr>
                  <w:tcW w:w="0" w:type="auto"/>
                  <w:shd w:val="clear" w:color="auto" w:fill="auto"/>
                  <w:vAlign w:val="center"/>
                </w:tcPr>
                <w:p w14:paraId="265CAFE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88.46404516,38.39685563</w:t>
                  </w:r>
                </w:p>
              </w:tc>
              <w:tc>
                <w:tcPr>
                  <w:tcW w:w="510" w:type="pct"/>
                  <w:shd w:val="clear" w:color="auto" w:fill="auto"/>
                  <w:vAlign w:val="center"/>
                </w:tcPr>
                <w:p w14:paraId="3682114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17</w:t>
                  </w:r>
                </w:p>
              </w:tc>
              <w:tc>
                <w:tcPr>
                  <w:tcW w:w="0" w:type="auto"/>
                  <w:shd w:val="clear" w:color="auto" w:fill="auto"/>
                  <w:vAlign w:val="center"/>
                </w:tcPr>
                <w:p w14:paraId="12479D3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88.40007595,38.15262241</w:t>
                  </w:r>
                </w:p>
              </w:tc>
            </w:tr>
            <w:tr w14:paraId="4364D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4A66A0A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18</w:t>
                  </w:r>
                </w:p>
              </w:tc>
              <w:tc>
                <w:tcPr>
                  <w:tcW w:w="0" w:type="auto"/>
                  <w:shd w:val="clear" w:color="auto" w:fill="auto"/>
                  <w:vAlign w:val="center"/>
                </w:tcPr>
                <w:p w14:paraId="084215AF">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88.46276682,38.39358112</w:t>
                  </w:r>
                </w:p>
              </w:tc>
              <w:tc>
                <w:tcPr>
                  <w:tcW w:w="510" w:type="pct"/>
                  <w:shd w:val="clear" w:color="auto" w:fill="auto"/>
                  <w:vAlign w:val="center"/>
                </w:tcPr>
                <w:p w14:paraId="3AE7618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18</w:t>
                  </w:r>
                </w:p>
              </w:tc>
              <w:tc>
                <w:tcPr>
                  <w:tcW w:w="0" w:type="auto"/>
                  <w:shd w:val="clear" w:color="auto" w:fill="auto"/>
                  <w:vAlign w:val="center"/>
                </w:tcPr>
                <w:p w14:paraId="514C10F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88.39630435,38.15166038</w:t>
                  </w:r>
                </w:p>
              </w:tc>
            </w:tr>
            <w:tr w14:paraId="65A71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1FC9AD1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19</w:t>
                  </w:r>
                </w:p>
              </w:tc>
              <w:tc>
                <w:tcPr>
                  <w:tcW w:w="0" w:type="auto"/>
                  <w:shd w:val="clear" w:color="auto" w:fill="auto"/>
                  <w:vAlign w:val="center"/>
                </w:tcPr>
                <w:p w14:paraId="51C0FE80">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88.46149981,38.39033531</w:t>
                  </w:r>
                </w:p>
              </w:tc>
              <w:tc>
                <w:tcPr>
                  <w:tcW w:w="510" w:type="pct"/>
                  <w:shd w:val="clear" w:color="auto" w:fill="auto"/>
                  <w:vAlign w:val="center"/>
                </w:tcPr>
                <w:p w14:paraId="41CB1C9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19</w:t>
                  </w:r>
                </w:p>
              </w:tc>
              <w:tc>
                <w:tcPr>
                  <w:tcW w:w="0" w:type="auto"/>
                  <w:shd w:val="clear" w:color="auto" w:fill="auto"/>
                  <w:vAlign w:val="center"/>
                </w:tcPr>
                <w:p w14:paraId="3F335C1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88.39217254,38.15108192</w:t>
                  </w:r>
                </w:p>
              </w:tc>
            </w:tr>
            <w:tr w14:paraId="3811D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2EFAA4F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20</w:t>
                  </w:r>
                </w:p>
              </w:tc>
              <w:tc>
                <w:tcPr>
                  <w:tcW w:w="0" w:type="auto"/>
                  <w:shd w:val="clear" w:color="auto" w:fill="auto"/>
                  <w:vAlign w:val="center"/>
                </w:tcPr>
                <w:p w14:paraId="70F4841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88.46055335,38.38791015</w:t>
                  </w:r>
                </w:p>
              </w:tc>
              <w:tc>
                <w:tcPr>
                  <w:tcW w:w="510" w:type="pct"/>
                  <w:shd w:val="clear" w:color="auto" w:fill="auto"/>
                  <w:vAlign w:val="center"/>
                </w:tcPr>
                <w:p w14:paraId="55F68B2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20</w:t>
                  </w:r>
                </w:p>
              </w:tc>
              <w:tc>
                <w:tcPr>
                  <w:tcW w:w="0" w:type="auto"/>
                  <w:shd w:val="clear" w:color="auto" w:fill="auto"/>
                  <w:vAlign w:val="center"/>
                </w:tcPr>
                <w:p w14:paraId="11DE689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88.38846939,38.15056344</w:t>
                  </w:r>
                </w:p>
              </w:tc>
            </w:tr>
            <w:tr w14:paraId="1EF4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1687A59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21</w:t>
                  </w:r>
                </w:p>
              </w:tc>
              <w:tc>
                <w:tcPr>
                  <w:tcW w:w="0" w:type="auto"/>
                  <w:shd w:val="clear" w:color="auto" w:fill="auto"/>
                  <w:vAlign w:val="center"/>
                </w:tcPr>
                <w:p w14:paraId="46B2579C">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88.45935616,38.38484282</w:t>
                  </w:r>
                </w:p>
              </w:tc>
              <w:tc>
                <w:tcPr>
                  <w:tcW w:w="510" w:type="pct"/>
                  <w:shd w:val="clear" w:color="auto" w:fill="auto"/>
                  <w:vAlign w:val="center"/>
                </w:tcPr>
                <w:p w14:paraId="2445AA0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21</w:t>
                  </w:r>
                </w:p>
              </w:tc>
              <w:tc>
                <w:tcPr>
                  <w:tcW w:w="0" w:type="auto"/>
                  <w:shd w:val="clear" w:color="auto" w:fill="auto"/>
                  <w:vAlign w:val="center"/>
                </w:tcPr>
                <w:p w14:paraId="253D6A4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88.3847123</w:t>
                  </w:r>
                  <w:r>
                    <w:rPr>
                      <w:rFonts w:hint="eastAsia" w:ascii="Calibri" w:hAnsi="Calibri" w:eastAsia="宋体" w:cs="Calibri"/>
                      <w:i w:val="0"/>
                      <w:iCs w:val="0"/>
                      <w:color w:val="000000"/>
                      <w:kern w:val="0"/>
                      <w:sz w:val="21"/>
                      <w:szCs w:val="21"/>
                      <w:u w:val="none"/>
                      <w:lang w:val="en-US" w:eastAsia="zh-CN" w:bidi="ar"/>
                    </w:rPr>
                    <w:t>0</w:t>
                  </w:r>
                  <w:r>
                    <w:rPr>
                      <w:rFonts w:hint="default" w:ascii="Calibri" w:hAnsi="Calibri" w:eastAsia="宋体" w:cs="Calibri"/>
                      <w:i w:val="0"/>
                      <w:iCs w:val="0"/>
                      <w:color w:val="000000"/>
                      <w:kern w:val="0"/>
                      <w:sz w:val="21"/>
                      <w:szCs w:val="21"/>
                      <w:u w:val="none"/>
                      <w:lang w:val="en-US" w:eastAsia="zh-CN" w:bidi="ar"/>
                    </w:rPr>
                    <w:t>,38.149463</w:t>
                  </w:r>
                  <w:r>
                    <w:rPr>
                      <w:rFonts w:hint="eastAsia" w:ascii="Calibri" w:hAnsi="Calibri" w:eastAsia="宋体" w:cs="Calibri"/>
                      <w:i w:val="0"/>
                      <w:iCs w:val="0"/>
                      <w:color w:val="000000"/>
                      <w:kern w:val="0"/>
                      <w:sz w:val="21"/>
                      <w:szCs w:val="21"/>
                      <w:u w:val="none"/>
                      <w:lang w:val="en-US" w:eastAsia="zh-CN" w:bidi="ar"/>
                    </w:rPr>
                    <w:t>00</w:t>
                  </w:r>
                </w:p>
              </w:tc>
            </w:tr>
            <w:tr w14:paraId="0C7D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315185D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22</w:t>
                  </w:r>
                </w:p>
              </w:tc>
              <w:tc>
                <w:tcPr>
                  <w:tcW w:w="0" w:type="auto"/>
                  <w:shd w:val="clear" w:color="auto" w:fill="auto"/>
                  <w:vAlign w:val="center"/>
                </w:tcPr>
                <w:p w14:paraId="62B594C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88.45997761,38.38172189</w:t>
                  </w:r>
                </w:p>
              </w:tc>
              <w:tc>
                <w:tcPr>
                  <w:tcW w:w="510" w:type="pct"/>
                  <w:shd w:val="clear" w:color="auto" w:fill="auto"/>
                  <w:vAlign w:val="center"/>
                </w:tcPr>
                <w:p w14:paraId="7F26E6E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22</w:t>
                  </w:r>
                </w:p>
              </w:tc>
              <w:tc>
                <w:tcPr>
                  <w:tcW w:w="0" w:type="auto"/>
                  <w:shd w:val="clear" w:color="auto" w:fill="auto"/>
                  <w:vAlign w:val="center"/>
                </w:tcPr>
                <w:p w14:paraId="70956C4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88.38149805,38.14852145</w:t>
                  </w:r>
                </w:p>
              </w:tc>
            </w:tr>
            <w:tr w14:paraId="1755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545E2F3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23</w:t>
                  </w:r>
                </w:p>
              </w:tc>
              <w:tc>
                <w:tcPr>
                  <w:tcW w:w="0" w:type="auto"/>
                  <w:shd w:val="clear" w:color="auto" w:fill="auto"/>
                  <w:vAlign w:val="center"/>
                </w:tcPr>
                <w:p w14:paraId="1FAB26B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88.46053145,38.37893960</w:t>
                  </w:r>
                </w:p>
              </w:tc>
              <w:tc>
                <w:tcPr>
                  <w:tcW w:w="510" w:type="pct"/>
                  <w:shd w:val="clear" w:color="auto" w:fill="auto"/>
                  <w:vAlign w:val="center"/>
                </w:tcPr>
                <w:p w14:paraId="388D474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23</w:t>
                  </w:r>
                </w:p>
              </w:tc>
              <w:tc>
                <w:tcPr>
                  <w:tcW w:w="0" w:type="auto"/>
                  <w:shd w:val="clear" w:color="auto" w:fill="auto"/>
                  <w:vAlign w:val="center"/>
                </w:tcPr>
                <w:p w14:paraId="1AD7EB6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88.37905846,38.14603319</w:t>
                  </w:r>
                </w:p>
              </w:tc>
            </w:tr>
            <w:tr w14:paraId="5EDA5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023DEB40">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24</w:t>
                  </w:r>
                </w:p>
              </w:tc>
              <w:tc>
                <w:tcPr>
                  <w:tcW w:w="0" w:type="auto"/>
                  <w:shd w:val="clear" w:color="auto" w:fill="auto"/>
                  <w:vAlign w:val="center"/>
                </w:tcPr>
                <w:p w14:paraId="344D3BB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88.45934328,38.37618035</w:t>
                  </w:r>
                </w:p>
              </w:tc>
              <w:tc>
                <w:tcPr>
                  <w:tcW w:w="510" w:type="pct"/>
                  <w:shd w:val="clear" w:color="auto" w:fill="auto"/>
                  <w:vAlign w:val="center"/>
                </w:tcPr>
                <w:p w14:paraId="3BFF479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24</w:t>
                  </w:r>
                </w:p>
              </w:tc>
              <w:tc>
                <w:tcPr>
                  <w:tcW w:w="0" w:type="auto"/>
                  <w:shd w:val="clear" w:color="auto" w:fill="auto"/>
                  <w:vAlign w:val="center"/>
                </w:tcPr>
                <w:p w14:paraId="058AEC0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88.37563581,38.14512415</w:t>
                  </w:r>
                </w:p>
              </w:tc>
            </w:tr>
            <w:tr w14:paraId="19727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64888B8F">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25</w:t>
                  </w:r>
                </w:p>
              </w:tc>
              <w:tc>
                <w:tcPr>
                  <w:tcW w:w="0" w:type="auto"/>
                  <w:shd w:val="clear" w:color="auto" w:fill="auto"/>
                  <w:vAlign w:val="center"/>
                </w:tcPr>
                <w:p w14:paraId="0152883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88.45793914,38.37292018</w:t>
                  </w:r>
                </w:p>
              </w:tc>
              <w:tc>
                <w:tcPr>
                  <w:tcW w:w="510" w:type="pct"/>
                  <w:shd w:val="clear" w:color="auto" w:fill="auto"/>
                  <w:vAlign w:val="center"/>
                </w:tcPr>
                <w:p w14:paraId="023C0F0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25</w:t>
                  </w:r>
                </w:p>
              </w:tc>
              <w:tc>
                <w:tcPr>
                  <w:tcW w:w="0" w:type="auto"/>
                  <w:shd w:val="clear" w:color="auto" w:fill="auto"/>
                  <w:vAlign w:val="center"/>
                </w:tcPr>
                <w:p w14:paraId="18F29B3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88.37161801,38.14405701</w:t>
                  </w:r>
                </w:p>
              </w:tc>
            </w:tr>
            <w:tr w14:paraId="1547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192862F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26</w:t>
                  </w:r>
                </w:p>
              </w:tc>
              <w:tc>
                <w:tcPr>
                  <w:tcW w:w="0" w:type="auto"/>
                  <w:shd w:val="clear" w:color="auto" w:fill="auto"/>
                  <w:vAlign w:val="center"/>
                </w:tcPr>
                <w:p w14:paraId="1D6DCABC">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88.45652231,38.36962880</w:t>
                  </w:r>
                </w:p>
              </w:tc>
              <w:tc>
                <w:tcPr>
                  <w:tcW w:w="510" w:type="pct"/>
                  <w:shd w:val="clear" w:color="auto" w:fill="auto"/>
                  <w:vAlign w:val="center"/>
                </w:tcPr>
                <w:p w14:paraId="5F4B7BD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26</w:t>
                  </w:r>
                </w:p>
              </w:tc>
              <w:tc>
                <w:tcPr>
                  <w:tcW w:w="0" w:type="auto"/>
                  <w:shd w:val="clear" w:color="auto" w:fill="auto"/>
                  <w:vAlign w:val="center"/>
                </w:tcPr>
                <w:p w14:paraId="300975FC">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88.36798098,38.14309055</w:t>
                  </w:r>
                </w:p>
              </w:tc>
            </w:tr>
            <w:tr w14:paraId="22661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553ED14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27</w:t>
                  </w:r>
                </w:p>
              </w:tc>
              <w:tc>
                <w:tcPr>
                  <w:tcW w:w="0" w:type="auto"/>
                  <w:shd w:val="clear" w:color="auto" w:fill="auto"/>
                  <w:vAlign w:val="center"/>
                </w:tcPr>
                <w:p w14:paraId="789730B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88.45637735,38.36706942</w:t>
                  </w:r>
                </w:p>
              </w:tc>
              <w:tc>
                <w:tcPr>
                  <w:tcW w:w="510" w:type="pct"/>
                  <w:shd w:val="clear" w:color="auto" w:fill="auto"/>
                  <w:vAlign w:val="center"/>
                </w:tcPr>
                <w:p w14:paraId="240C1BD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27</w:t>
                  </w:r>
                </w:p>
              </w:tc>
              <w:tc>
                <w:tcPr>
                  <w:tcW w:w="0" w:type="auto"/>
                  <w:shd w:val="clear" w:color="auto" w:fill="auto"/>
                  <w:vAlign w:val="center"/>
                </w:tcPr>
                <w:p w14:paraId="15F2960C">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88.363874</w:t>
                  </w:r>
                  <w:r>
                    <w:rPr>
                      <w:rFonts w:hint="eastAsia" w:ascii="Calibri" w:hAnsi="Calibri" w:eastAsia="宋体" w:cs="Calibri"/>
                      <w:i w:val="0"/>
                      <w:iCs w:val="0"/>
                      <w:color w:val="000000"/>
                      <w:kern w:val="0"/>
                      <w:sz w:val="21"/>
                      <w:szCs w:val="21"/>
                      <w:u w:val="none"/>
                      <w:lang w:val="en-US" w:eastAsia="zh-CN" w:bidi="ar"/>
                    </w:rPr>
                    <w:t>00</w:t>
                  </w:r>
                  <w:r>
                    <w:rPr>
                      <w:rFonts w:hint="default" w:ascii="Calibri" w:hAnsi="Calibri" w:eastAsia="宋体" w:cs="Calibri"/>
                      <w:i w:val="0"/>
                      <w:iCs w:val="0"/>
                      <w:color w:val="000000"/>
                      <w:kern w:val="0"/>
                      <w:sz w:val="21"/>
                      <w:szCs w:val="21"/>
                      <w:u w:val="none"/>
                      <w:lang w:val="en-US" w:eastAsia="zh-CN" w:bidi="ar"/>
                    </w:rPr>
                    <w:t>,38.14254666</w:t>
                  </w:r>
                </w:p>
              </w:tc>
            </w:tr>
            <w:tr w14:paraId="0689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0C7F9851">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28</w:t>
                  </w:r>
                </w:p>
              </w:tc>
              <w:tc>
                <w:tcPr>
                  <w:tcW w:w="0" w:type="auto"/>
                  <w:shd w:val="clear" w:color="auto" w:fill="auto"/>
                  <w:vAlign w:val="center"/>
                </w:tcPr>
                <w:p w14:paraId="2EA37A9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88.45618693,38.36370370</w:t>
                  </w:r>
                </w:p>
              </w:tc>
              <w:tc>
                <w:tcPr>
                  <w:tcW w:w="510" w:type="pct"/>
                  <w:shd w:val="clear" w:color="auto" w:fill="auto"/>
                  <w:vAlign w:val="center"/>
                </w:tcPr>
                <w:p w14:paraId="67D5112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28</w:t>
                  </w:r>
                </w:p>
              </w:tc>
              <w:tc>
                <w:tcPr>
                  <w:tcW w:w="0" w:type="auto"/>
                  <w:shd w:val="clear" w:color="auto" w:fill="auto"/>
                  <w:vAlign w:val="center"/>
                </w:tcPr>
                <w:p w14:paraId="7E62B66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88.35992666,38.14201993</w:t>
                  </w:r>
                </w:p>
              </w:tc>
            </w:tr>
            <w:tr w14:paraId="4485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38F3CEC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29</w:t>
                  </w:r>
                </w:p>
              </w:tc>
              <w:tc>
                <w:tcPr>
                  <w:tcW w:w="0" w:type="auto"/>
                  <w:shd w:val="clear" w:color="auto" w:fill="auto"/>
                  <w:vAlign w:val="center"/>
                </w:tcPr>
                <w:p w14:paraId="3C59FA0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88.45599738,38.36035487</w:t>
                  </w:r>
                </w:p>
              </w:tc>
              <w:tc>
                <w:tcPr>
                  <w:tcW w:w="510" w:type="pct"/>
                  <w:shd w:val="clear" w:color="auto" w:fill="auto"/>
                  <w:vAlign w:val="center"/>
                </w:tcPr>
                <w:p w14:paraId="75E676F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29</w:t>
                  </w:r>
                </w:p>
              </w:tc>
              <w:tc>
                <w:tcPr>
                  <w:tcW w:w="0" w:type="auto"/>
                  <w:shd w:val="clear" w:color="auto" w:fill="auto"/>
                  <w:vAlign w:val="center"/>
                </w:tcPr>
                <w:p w14:paraId="2E5BBE7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88.35588885,38.14148302</w:t>
                  </w:r>
                </w:p>
              </w:tc>
            </w:tr>
            <w:tr w14:paraId="6948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357E741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30</w:t>
                  </w:r>
                </w:p>
              </w:tc>
              <w:tc>
                <w:tcPr>
                  <w:tcW w:w="0" w:type="auto"/>
                  <w:shd w:val="clear" w:color="auto" w:fill="auto"/>
                  <w:vAlign w:val="center"/>
                </w:tcPr>
                <w:p w14:paraId="24D31E41">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88.45581393,38.35711121</w:t>
                  </w:r>
                </w:p>
              </w:tc>
              <w:tc>
                <w:tcPr>
                  <w:tcW w:w="510" w:type="pct"/>
                  <w:shd w:val="clear" w:color="auto" w:fill="auto"/>
                  <w:vAlign w:val="center"/>
                </w:tcPr>
                <w:p w14:paraId="442C68C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30</w:t>
                  </w:r>
                </w:p>
              </w:tc>
              <w:tc>
                <w:tcPr>
                  <w:tcW w:w="0" w:type="auto"/>
                  <w:shd w:val="clear" w:color="auto" w:fill="auto"/>
                  <w:vAlign w:val="center"/>
                </w:tcPr>
                <w:p w14:paraId="5ED87B97">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88.3524897,38.14103084</w:t>
                  </w:r>
                </w:p>
              </w:tc>
            </w:tr>
            <w:tr w14:paraId="5A0D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47DC040C">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31</w:t>
                  </w:r>
                </w:p>
              </w:tc>
              <w:tc>
                <w:tcPr>
                  <w:tcW w:w="0" w:type="auto"/>
                  <w:shd w:val="clear" w:color="auto" w:fill="auto"/>
                  <w:vAlign w:val="center"/>
                </w:tcPr>
                <w:p w14:paraId="5A92238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88.4556584,38.35436107</w:t>
                  </w:r>
                </w:p>
              </w:tc>
              <w:tc>
                <w:tcPr>
                  <w:tcW w:w="510" w:type="pct"/>
                  <w:shd w:val="clear" w:color="auto" w:fill="auto"/>
                  <w:vAlign w:val="center"/>
                </w:tcPr>
                <w:p w14:paraId="4E1AEDC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31</w:t>
                  </w:r>
                </w:p>
              </w:tc>
              <w:tc>
                <w:tcPr>
                  <w:tcW w:w="0" w:type="auto"/>
                  <w:shd w:val="clear" w:color="auto" w:fill="auto"/>
                  <w:vAlign w:val="center"/>
                </w:tcPr>
                <w:p w14:paraId="6288558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88.34905498,38.14057374</w:t>
                  </w:r>
                </w:p>
              </w:tc>
            </w:tr>
            <w:tr w14:paraId="722BA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0AE32011">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32</w:t>
                  </w:r>
                </w:p>
              </w:tc>
              <w:tc>
                <w:tcPr>
                  <w:tcW w:w="0" w:type="auto"/>
                  <w:shd w:val="clear" w:color="auto" w:fill="auto"/>
                  <w:vAlign w:val="center"/>
                </w:tcPr>
                <w:p w14:paraId="2FBA7F6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88.45547381,38.35109806</w:t>
                  </w:r>
                </w:p>
              </w:tc>
              <w:tc>
                <w:tcPr>
                  <w:tcW w:w="510" w:type="pct"/>
                  <w:shd w:val="clear" w:color="auto" w:fill="auto"/>
                  <w:vAlign w:val="center"/>
                </w:tcPr>
                <w:p w14:paraId="4A6A722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32</w:t>
                  </w:r>
                </w:p>
              </w:tc>
              <w:tc>
                <w:tcPr>
                  <w:tcW w:w="0" w:type="auto"/>
                  <w:shd w:val="clear" w:color="auto" w:fill="auto"/>
                  <w:vAlign w:val="center"/>
                </w:tcPr>
                <w:p w14:paraId="1BB8552C">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88.34558297,38.1401119</w:t>
                  </w:r>
                </w:p>
              </w:tc>
            </w:tr>
            <w:tr w14:paraId="1FD0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46DFEB0F">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33</w:t>
                  </w:r>
                </w:p>
              </w:tc>
              <w:tc>
                <w:tcPr>
                  <w:tcW w:w="0" w:type="auto"/>
                  <w:shd w:val="clear" w:color="auto" w:fill="auto"/>
                  <w:vAlign w:val="center"/>
                </w:tcPr>
                <w:p w14:paraId="4BE2967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88.45529865,38.34799934</w:t>
                  </w:r>
                </w:p>
              </w:tc>
              <w:tc>
                <w:tcPr>
                  <w:tcW w:w="510" w:type="pct"/>
                  <w:shd w:val="clear" w:color="auto" w:fill="auto"/>
                  <w:vAlign w:val="center"/>
                </w:tcPr>
                <w:p w14:paraId="461E55E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33</w:t>
                  </w:r>
                </w:p>
              </w:tc>
              <w:tc>
                <w:tcPr>
                  <w:tcW w:w="0" w:type="auto"/>
                  <w:shd w:val="clear" w:color="auto" w:fill="auto"/>
                  <w:vAlign w:val="center"/>
                </w:tcPr>
                <w:p w14:paraId="2A89C970">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88.34224187,38.13890789</w:t>
                  </w:r>
                </w:p>
              </w:tc>
            </w:tr>
            <w:tr w14:paraId="2C70E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3DAA0587">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34</w:t>
                  </w:r>
                </w:p>
              </w:tc>
              <w:tc>
                <w:tcPr>
                  <w:tcW w:w="0" w:type="auto"/>
                  <w:shd w:val="clear" w:color="auto" w:fill="auto"/>
                  <w:vAlign w:val="center"/>
                </w:tcPr>
                <w:p w14:paraId="5A44CBE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88.45511255,38.34470552</w:t>
                  </w:r>
                </w:p>
              </w:tc>
              <w:tc>
                <w:tcPr>
                  <w:tcW w:w="510" w:type="pct"/>
                  <w:shd w:val="clear" w:color="auto" w:fill="auto"/>
                  <w:vAlign w:val="center"/>
                </w:tcPr>
                <w:p w14:paraId="14361BE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34</w:t>
                  </w:r>
                </w:p>
              </w:tc>
              <w:tc>
                <w:tcPr>
                  <w:tcW w:w="0" w:type="auto"/>
                  <w:shd w:val="clear" w:color="auto" w:fill="auto"/>
                  <w:vAlign w:val="center"/>
                </w:tcPr>
                <w:p w14:paraId="2B7A9A0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88.33851707,38.13756552</w:t>
                  </w:r>
                </w:p>
              </w:tc>
            </w:tr>
            <w:tr w14:paraId="30787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3DD5F70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35</w:t>
                  </w:r>
                </w:p>
              </w:tc>
              <w:tc>
                <w:tcPr>
                  <w:tcW w:w="0" w:type="auto"/>
                  <w:shd w:val="clear" w:color="auto" w:fill="auto"/>
                  <w:vAlign w:val="center"/>
                </w:tcPr>
                <w:p w14:paraId="47A5FBE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88.45493495,38.34156701</w:t>
                  </w:r>
                </w:p>
              </w:tc>
              <w:tc>
                <w:tcPr>
                  <w:tcW w:w="510" w:type="pct"/>
                  <w:shd w:val="clear" w:color="auto" w:fill="auto"/>
                  <w:vAlign w:val="center"/>
                </w:tcPr>
                <w:p w14:paraId="3D41C07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35</w:t>
                  </w:r>
                </w:p>
              </w:tc>
              <w:tc>
                <w:tcPr>
                  <w:tcW w:w="0" w:type="auto"/>
                  <w:shd w:val="clear" w:color="auto" w:fill="auto"/>
                  <w:vAlign w:val="center"/>
                </w:tcPr>
                <w:p w14:paraId="563E04F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88.33499984,38.13629778</w:t>
                  </w:r>
                </w:p>
              </w:tc>
            </w:tr>
            <w:tr w14:paraId="3B650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797C6F0C">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36</w:t>
                  </w:r>
                </w:p>
              </w:tc>
              <w:tc>
                <w:tcPr>
                  <w:tcW w:w="0" w:type="auto"/>
                  <w:shd w:val="clear" w:color="auto" w:fill="auto"/>
                  <w:vAlign w:val="center"/>
                </w:tcPr>
                <w:p w14:paraId="31BD760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88.4547789,38.33880812</w:t>
                  </w:r>
                </w:p>
              </w:tc>
              <w:tc>
                <w:tcPr>
                  <w:tcW w:w="510" w:type="pct"/>
                  <w:shd w:val="clear" w:color="auto" w:fill="auto"/>
                  <w:vAlign w:val="center"/>
                </w:tcPr>
                <w:p w14:paraId="41B5BC0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36</w:t>
                  </w:r>
                </w:p>
              </w:tc>
              <w:tc>
                <w:tcPr>
                  <w:tcW w:w="0" w:type="auto"/>
                  <w:shd w:val="clear" w:color="auto" w:fill="auto"/>
                  <w:vAlign w:val="center"/>
                </w:tcPr>
                <w:p w14:paraId="3B277FBC">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88.33176582,38.13513203</w:t>
                  </w:r>
                </w:p>
              </w:tc>
            </w:tr>
            <w:tr w14:paraId="19F2B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7C699EB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37</w:t>
                  </w:r>
                </w:p>
              </w:tc>
              <w:tc>
                <w:tcPr>
                  <w:tcW w:w="0" w:type="auto"/>
                  <w:shd w:val="clear" w:color="auto" w:fill="auto"/>
                  <w:vAlign w:val="center"/>
                </w:tcPr>
                <w:p w14:paraId="39C090EC">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88.45461958,38.33598846</w:t>
                  </w:r>
                </w:p>
              </w:tc>
              <w:tc>
                <w:tcPr>
                  <w:tcW w:w="510" w:type="pct"/>
                  <w:shd w:val="clear" w:color="auto" w:fill="auto"/>
                  <w:vAlign w:val="center"/>
                </w:tcPr>
                <w:p w14:paraId="4F9EF77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37</w:t>
                  </w:r>
                </w:p>
              </w:tc>
              <w:tc>
                <w:tcPr>
                  <w:tcW w:w="0" w:type="auto"/>
                  <w:shd w:val="clear" w:color="auto" w:fill="auto"/>
                  <w:vAlign w:val="center"/>
                </w:tcPr>
                <w:p w14:paraId="2DC9E35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88.32805914,38.13379563</w:t>
                  </w:r>
                </w:p>
              </w:tc>
            </w:tr>
            <w:tr w14:paraId="31F8B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4E191851">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38</w:t>
                  </w:r>
                </w:p>
              </w:tc>
              <w:tc>
                <w:tcPr>
                  <w:tcW w:w="0" w:type="auto"/>
                  <w:shd w:val="clear" w:color="auto" w:fill="auto"/>
                  <w:vAlign w:val="center"/>
                </w:tcPr>
                <w:p w14:paraId="098417F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88.45443503,38.33272327</w:t>
                  </w:r>
                </w:p>
              </w:tc>
              <w:tc>
                <w:tcPr>
                  <w:tcW w:w="510" w:type="pct"/>
                  <w:shd w:val="clear" w:color="auto" w:fill="auto"/>
                  <w:vAlign w:val="center"/>
                </w:tcPr>
                <w:p w14:paraId="52BADF6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38</w:t>
                  </w:r>
                </w:p>
              </w:tc>
              <w:tc>
                <w:tcPr>
                  <w:tcW w:w="0" w:type="auto"/>
                  <w:shd w:val="clear" w:color="auto" w:fill="auto"/>
                  <w:vAlign w:val="center"/>
                </w:tcPr>
                <w:p w14:paraId="5FE192A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88.3245526,38.13253132</w:t>
                  </w:r>
                </w:p>
              </w:tc>
            </w:tr>
            <w:tr w14:paraId="4892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093E6EB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39</w:t>
                  </w:r>
                </w:p>
              </w:tc>
              <w:tc>
                <w:tcPr>
                  <w:tcW w:w="0" w:type="auto"/>
                  <w:shd w:val="clear" w:color="auto" w:fill="auto"/>
                  <w:vAlign w:val="center"/>
                </w:tcPr>
                <w:p w14:paraId="60E61AD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88.45294285,38.330278</w:t>
                  </w:r>
                  <w:r>
                    <w:rPr>
                      <w:rFonts w:hint="eastAsia" w:ascii="Calibri" w:hAnsi="Calibri" w:eastAsia="宋体" w:cs="Calibri"/>
                      <w:i w:val="0"/>
                      <w:iCs w:val="0"/>
                      <w:color w:val="000000"/>
                      <w:kern w:val="0"/>
                      <w:sz w:val="21"/>
                      <w:szCs w:val="21"/>
                      <w:u w:val="none"/>
                      <w:lang w:val="en-US" w:eastAsia="zh-CN" w:bidi="ar"/>
                    </w:rPr>
                    <w:t>00</w:t>
                  </w:r>
                </w:p>
              </w:tc>
              <w:tc>
                <w:tcPr>
                  <w:tcW w:w="510" w:type="pct"/>
                  <w:shd w:val="clear" w:color="auto" w:fill="auto"/>
                  <w:vAlign w:val="center"/>
                </w:tcPr>
                <w:p w14:paraId="2CE9C30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39</w:t>
                  </w:r>
                </w:p>
              </w:tc>
              <w:tc>
                <w:tcPr>
                  <w:tcW w:w="0" w:type="auto"/>
                  <w:shd w:val="clear" w:color="auto" w:fill="auto"/>
                  <w:vAlign w:val="center"/>
                </w:tcPr>
                <w:p w14:paraId="2B3EDF87">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88.32168937,38.13149879</w:t>
                  </w:r>
                </w:p>
              </w:tc>
            </w:tr>
            <w:tr w14:paraId="3346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195A537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40</w:t>
                  </w:r>
                </w:p>
              </w:tc>
              <w:tc>
                <w:tcPr>
                  <w:tcW w:w="0" w:type="auto"/>
                  <w:shd w:val="clear" w:color="auto" w:fill="auto"/>
                  <w:vAlign w:val="center"/>
                </w:tcPr>
                <w:p w14:paraId="2BED89B0">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88.45140662,38.32776019</w:t>
                  </w:r>
                </w:p>
              </w:tc>
              <w:tc>
                <w:tcPr>
                  <w:tcW w:w="510" w:type="pct"/>
                  <w:shd w:val="clear" w:color="auto" w:fill="auto"/>
                  <w:vAlign w:val="center"/>
                </w:tcPr>
                <w:p w14:paraId="5DB19EC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40</w:t>
                  </w:r>
                </w:p>
              </w:tc>
              <w:tc>
                <w:tcPr>
                  <w:tcW w:w="0" w:type="auto"/>
                  <w:shd w:val="clear" w:color="auto" w:fill="auto"/>
                  <w:vAlign w:val="center"/>
                </w:tcPr>
                <w:p w14:paraId="7E63E67F">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88.31756298,38.13001071</w:t>
                  </w:r>
                </w:p>
              </w:tc>
            </w:tr>
            <w:tr w14:paraId="3DDA8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797CF72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41</w:t>
                  </w:r>
                </w:p>
              </w:tc>
              <w:tc>
                <w:tcPr>
                  <w:tcW w:w="0" w:type="auto"/>
                  <w:shd w:val="clear" w:color="auto" w:fill="auto"/>
                  <w:vAlign w:val="center"/>
                </w:tcPr>
                <w:p w14:paraId="20C7C76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88.44988971,38.32527401</w:t>
                  </w:r>
                </w:p>
              </w:tc>
              <w:tc>
                <w:tcPr>
                  <w:tcW w:w="510" w:type="pct"/>
                  <w:shd w:val="clear" w:color="auto" w:fill="auto"/>
                  <w:vAlign w:val="center"/>
                </w:tcPr>
                <w:p w14:paraId="3B503D3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41</w:t>
                  </w:r>
                </w:p>
              </w:tc>
              <w:tc>
                <w:tcPr>
                  <w:tcW w:w="0" w:type="auto"/>
                  <w:shd w:val="clear" w:color="auto" w:fill="auto"/>
                  <w:vAlign w:val="center"/>
                </w:tcPr>
                <w:p w14:paraId="334EBB3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88.31407171,38.12875155</w:t>
                  </w:r>
                </w:p>
              </w:tc>
            </w:tr>
            <w:tr w14:paraId="55971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785BB01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42</w:t>
                  </w:r>
                </w:p>
              </w:tc>
              <w:tc>
                <w:tcPr>
                  <w:tcW w:w="0" w:type="auto"/>
                  <w:shd w:val="clear" w:color="auto" w:fill="auto"/>
                  <w:vAlign w:val="center"/>
                </w:tcPr>
                <w:p w14:paraId="65B5D16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88.44823985,38.32256985</w:t>
                  </w:r>
                </w:p>
              </w:tc>
              <w:tc>
                <w:tcPr>
                  <w:tcW w:w="510" w:type="pct"/>
                  <w:shd w:val="clear" w:color="auto" w:fill="auto"/>
                  <w:vAlign w:val="center"/>
                </w:tcPr>
                <w:p w14:paraId="313B789E">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42</w:t>
                  </w:r>
                </w:p>
              </w:tc>
              <w:tc>
                <w:tcPr>
                  <w:tcW w:w="0" w:type="auto"/>
                  <w:shd w:val="clear" w:color="auto" w:fill="auto"/>
                  <w:vAlign w:val="center"/>
                </w:tcPr>
                <w:p w14:paraId="41273E8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88.30980798,38.12783271</w:t>
                  </w:r>
                </w:p>
              </w:tc>
            </w:tr>
            <w:tr w14:paraId="203C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4A66AF0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43</w:t>
                  </w:r>
                </w:p>
              </w:tc>
              <w:tc>
                <w:tcPr>
                  <w:tcW w:w="0" w:type="auto"/>
                  <w:shd w:val="clear" w:color="auto" w:fill="auto"/>
                  <w:vAlign w:val="center"/>
                </w:tcPr>
                <w:p w14:paraId="0563AC9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88.44667179,38.31999915</w:t>
                  </w:r>
                </w:p>
              </w:tc>
              <w:tc>
                <w:tcPr>
                  <w:tcW w:w="510" w:type="pct"/>
                  <w:shd w:val="clear" w:color="auto" w:fill="auto"/>
                  <w:vAlign w:val="center"/>
                </w:tcPr>
                <w:p w14:paraId="6A943A5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43</w:t>
                  </w:r>
                </w:p>
              </w:tc>
              <w:tc>
                <w:tcPr>
                  <w:tcW w:w="0" w:type="auto"/>
                  <w:shd w:val="clear" w:color="auto" w:fill="auto"/>
                  <w:vAlign w:val="center"/>
                </w:tcPr>
                <w:p w14:paraId="5FCDE20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88.30638544,38.12709488</w:t>
                  </w:r>
                </w:p>
              </w:tc>
            </w:tr>
            <w:tr w14:paraId="6B8A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5079906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44</w:t>
                  </w:r>
                </w:p>
              </w:tc>
              <w:tc>
                <w:tcPr>
                  <w:tcW w:w="0" w:type="auto"/>
                  <w:shd w:val="clear" w:color="auto" w:fill="auto"/>
                  <w:vAlign w:val="center"/>
                </w:tcPr>
                <w:p w14:paraId="175BE3C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88.44508277,38.31739417</w:t>
                  </w:r>
                </w:p>
              </w:tc>
              <w:tc>
                <w:tcPr>
                  <w:tcW w:w="510" w:type="pct"/>
                  <w:shd w:val="clear" w:color="auto" w:fill="auto"/>
                  <w:vAlign w:val="center"/>
                </w:tcPr>
                <w:p w14:paraId="332E037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44</w:t>
                  </w:r>
                </w:p>
              </w:tc>
              <w:tc>
                <w:tcPr>
                  <w:tcW w:w="0" w:type="auto"/>
                  <w:shd w:val="clear" w:color="auto" w:fill="auto"/>
                  <w:vAlign w:val="center"/>
                </w:tcPr>
                <w:p w14:paraId="58D97DC7">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88.30220989,38.12619455</w:t>
                  </w:r>
                </w:p>
              </w:tc>
            </w:tr>
            <w:tr w14:paraId="431A4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14374E9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45</w:t>
                  </w:r>
                </w:p>
              </w:tc>
              <w:tc>
                <w:tcPr>
                  <w:tcW w:w="0" w:type="auto"/>
                  <w:shd w:val="clear" w:color="auto" w:fill="auto"/>
                  <w:vAlign w:val="center"/>
                </w:tcPr>
                <w:p w14:paraId="765D8CF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88.44321891,38.31433793</w:t>
                  </w:r>
                </w:p>
              </w:tc>
              <w:tc>
                <w:tcPr>
                  <w:tcW w:w="510" w:type="pct"/>
                  <w:shd w:val="clear" w:color="auto" w:fill="auto"/>
                  <w:vAlign w:val="center"/>
                </w:tcPr>
                <w:p w14:paraId="08BBBFD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45</w:t>
                  </w:r>
                </w:p>
              </w:tc>
              <w:tc>
                <w:tcPr>
                  <w:tcW w:w="0" w:type="auto"/>
                  <w:shd w:val="clear" w:color="auto" w:fill="auto"/>
                  <w:vAlign w:val="center"/>
                </w:tcPr>
                <w:p w14:paraId="2A7A2DA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88.29869533,38.1254366</w:t>
                  </w:r>
                </w:p>
              </w:tc>
            </w:tr>
            <w:tr w14:paraId="2B2E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4432D33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46</w:t>
                  </w:r>
                </w:p>
              </w:tc>
              <w:tc>
                <w:tcPr>
                  <w:tcW w:w="0" w:type="auto"/>
                  <w:shd w:val="clear" w:color="auto" w:fill="auto"/>
                  <w:vAlign w:val="center"/>
                </w:tcPr>
                <w:p w14:paraId="13A126F7">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88.44150947,38.31153495</w:t>
                  </w:r>
                </w:p>
              </w:tc>
              <w:tc>
                <w:tcPr>
                  <w:tcW w:w="510" w:type="pct"/>
                  <w:shd w:val="clear" w:color="auto" w:fill="auto"/>
                  <w:vAlign w:val="center"/>
                </w:tcPr>
                <w:p w14:paraId="67D573F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46</w:t>
                  </w:r>
                </w:p>
              </w:tc>
              <w:tc>
                <w:tcPr>
                  <w:tcW w:w="0" w:type="auto"/>
                  <w:shd w:val="clear" w:color="auto" w:fill="auto"/>
                  <w:vAlign w:val="center"/>
                </w:tcPr>
                <w:p w14:paraId="7368167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88.29466446,38.12456726</w:t>
                  </w:r>
                </w:p>
              </w:tc>
            </w:tr>
            <w:tr w14:paraId="2154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3A29DDEC">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47</w:t>
                  </w:r>
                </w:p>
              </w:tc>
              <w:tc>
                <w:tcPr>
                  <w:tcW w:w="0" w:type="auto"/>
                  <w:shd w:val="clear" w:color="auto" w:fill="auto"/>
                  <w:vAlign w:val="center"/>
                </w:tcPr>
                <w:p w14:paraId="7AAB3D8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88.43989743,38.30889158</w:t>
                  </w:r>
                </w:p>
              </w:tc>
              <w:tc>
                <w:tcPr>
                  <w:tcW w:w="510" w:type="pct"/>
                  <w:shd w:val="clear" w:color="auto" w:fill="auto"/>
                  <w:vAlign w:val="center"/>
                </w:tcPr>
                <w:p w14:paraId="6F05016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47</w:t>
                  </w:r>
                </w:p>
              </w:tc>
              <w:tc>
                <w:tcPr>
                  <w:tcW w:w="0" w:type="auto"/>
                  <w:shd w:val="clear" w:color="auto" w:fill="auto"/>
                  <w:vAlign w:val="center"/>
                </w:tcPr>
                <w:p w14:paraId="76289B9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88.29106383,38.1237905</w:t>
                  </w:r>
                  <w:r>
                    <w:rPr>
                      <w:rFonts w:hint="eastAsia" w:ascii="Calibri" w:hAnsi="Calibri" w:eastAsia="宋体" w:cs="Calibri"/>
                      <w:i w:val="0"/>
                      <w:iCs w:val="0"/>
                      <w:color w:val="000000"/>
                      <w:kern w:val="0"/>
                      <w:sz w:val="21"/>
                      <w:szCs w:val="21"/>
                      <w:u w:val="none"/>
                      <w:lang w:val="en-US" w:eastAsia="zh-CN" w:bidi="ar"/>
                    </w:rPr>
                    <w:t>0</w:t>
                  </w:r>
                </w:p>
              </w:tc>
            </w:tr>
            <w:tr w14:paraId="60ED9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6D2CFEB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48</w:t>
                  </w:r>
                </w:p>
              </w:tc>
              <w:tc>
                <w:tcPr>
                  <w:tcW w:w="0" w:type="auto"/>
                  <w:shd w:val="clear" w:color="auto" w:fill="auto"/>
                  <w:vAlign w:val="center"/>
                </w:tcPr>
                <w:p w14:paraId="5564150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88.43822182,38.30614359</w:t>
                  </w:r>
                </w:p>
              </w:tc>
              <w:tc>
                <w:tcPr>
                  <w:tcW w:w="510" w:type="pct"/>
                  <w:shd w:val="clear" w:color="auto" w:fill="auto"/>
                  <w:vAlign w:val="center"/>
                </w:tcPr>
                <w:p w14:paraId="25AA497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48</w:t>
                  </w:r>
                </w:p>
              </w:tc>
              <w:tc>
                <w:tcPr>
                  <w:tcW w:w="0" w:type="auto"/>
                  <w:shd w:val="clear" w:color="auto" w:fill="auto"/>
                  <w:vAlign w:val="center"/>
                </w:tcPr>
                <w:p w14:paraId="18B1A54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88.28771226,38.1230673</w:t>
                  </w:r>
                  <w:r>
                    <w:rPr>
                      <w:rFonts w:hint="eastAsia" w:ascii="Calibri" w:hAnsi="Calibri" w:eastAsia="宋体" w:cs="Calibri"/>
                      <w:i w:val="0"/>
                      <w:iCs w:val="0"/>
                      <w:color w:val="000000"/>
                      <w:kern w:val="0"/>
                      <w:sz w:val="21"/>
                      <w:szCs w:val="21"/>
                      <w:u w:val="none"/>
                      <w:lang w:val="en-US" w:eastAsia="zh-CN" w:bidi="ar"/>
                    </w:rPr>
                    <w:t>0</w:t>
                  </w:r>
                </w:p>
              </w:tc>
            </w:tr>
            <w:tr w14:paraId="6C86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2060171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49</w:t>
                  </w:r>
                </w:p>
              </w:tc>
              <w:tc>
                <w:tcPr>
                  <w:tcW w:w="0" w:type="auto"/>
                  <w:shd w:val="clear" w:color="auto" w:fill="auto"/>
                  <w:vAlign w:val="center"/>
                </w:tcPr>
                <w:p w14:paraId="0CF00A90">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88.43889538,38.30283256</w:t>
                  </w:r>
                </w:p>
              </w:tc>
              <w:tc>
                <w:tcPr>
                  <w:tcW w:w="510" w:type="pct"/>
                  <w:shd w:val="clear" w:color="auto" w:fill="auto"/>
                  <w:vAlign w:val="center"/>
                </w:tcPr>
                <w:p w14:paraId="54E4833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49</w:t>
                  </w:r>
                </w:p>
              </w:tc>
              <w:tc>
                <w:tcPr>
                  <w:tcW w:w="0" w:type="auto"/>
                  <w:shd w:val="clear" w:color="auto" w:fill="auto"/>
                  <w:vAlign w:val="center"/>
                </w:tcPr>
                <w:p w14:paraId="7017FE2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88.28446935,38.12346027</w:t>
                  </w:r>
                </w:p>
              </w:tc>
            </w:tr>
            <w:tr w14:paraId="4081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0F14C4C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50</w:t>
                  </w:r>
                </w:p>
              </w:tc>
              <w:tc>
                <w:tcPr>
                  <w:tcW w:w="0" w:type="auto"/>
                  <w:shd w:val="clear" w:color="auto" w:fill="auto"/>
                  <w:vAlign w:val="center"/>
                </w:tcPr>
                <w:p w14:paraId="72A2438C">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88.4395606,38.29956251</w:t>
                  </w:r>
                </w:p>
              </w:tc>
              <w:tc>
                <w:tcPr>
                  <w:tcW w:w="510" w:type="pct"/>
                  <w:shd w:val="clear" w:color="auto" w:fill="auto"/>
                  <w:vAlign w:val="center"/>
                </w:tcPr>
                <w:p w14:paraId="151F42D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50</w:t>
                  </w:r>
                </w:p>
              </w:tc>
              <w:tc>
                <w:tcPr>
                  <w:tcW w:w="0" w:type="auto"/>
                  <w:shd w:val="clear" w:color="auto" w:fill="auto"/>
                  <w:vAlign w:val="center"/>
                </w:tcPr>
                <w:p w14:paraId="0C8B9DA0">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88.28168545,38.12290437</w:t>
                  </w:r>
                </w:p>
              </w:tc>
            </w:tr>
            <w:tr w14:paraId="76DC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75FC1C4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51</w:t>
                  </w:r>
                </w:p>
              </w:tc>
              <w:tc>
                <w:tcPr>
                  <w:tcW w:w="0" w:type="auto"/>
                  <w:shd w:val="clear" w:color="auto" w:fill="auto"/>
                  <w:vAlign w:val="center"/>
                </w:tcPr>
                <w:p w14:paraId="72E8F78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88.44007151,38.29705014</w:t>
                  </w:r>
                </w:p>
              </w:tc>
              <w:tc>
                <w:tcPr>
                  <w:tcW w:w="510" w:type="pct"/>
                  <w:shd w:val="clear" w:color="auto" w:fill="auto"/>
                  <w:vAlign w:val="center"/>
                </w:tcPr>
                <w:p w14:paraId="6E99AF1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51</w:t>
                  </w:r>
                </w:p>
              </w:tc>
              <w:tc>
                <w:tcPr>
                  <w:tcW w:w="0" w:type="auto"/>
                  <w:shd w:val="clear" w:color="auto" w:fill="auto"/>
                  <w:vAlign w:val="center"/>
                </w:tcPr>
                <w:p w14:paraId="4DAC6F5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88.27825991,38.12222036</w:t>
                  </w:r>
                </w:p>
              </w:tc>
            </w:tr>
            <w:tr w14:paraId="7273A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7EF2C75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52</w:t>
                  </w:r>
                </w:p>
              </w:tc>
              <w:tc>
                <w:tcPr>
                  <w:tcW w:w="0" w:type="auto"/>
                  <w:shd w:val="clear" w:color="auto" w:fill="auto"/>
                  <w:vAlign w:val="center"/>
                </w:tcPr>
                <w:p w14:paraId="183D0651">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88.43963722,38.29414163</w:t>
                  </w:r>
                </w:p>
              </w:tc>
              <w:tc>
                <w:tcPr>
                  <w:tcW w:w="510" w:type="pct"/>
                  <w:shd w:val="clear" w:color="auto" w:fill="auto"/>
                  <w:vAlign w:val="center"/>
                </w:tcPr>
                <w:p w14:paraId="1C96A1B3">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52</w:t>
                  </w:r>
                </w:p>
              </w:tc>
              <w:tc>
                <w:tcPr>
                  <w:tcW w:w="0" w:type="auto"/>
                  <w:shd w:val="clear" w:color="auto" w:fill="auto"/>
                  <w:vAlign w:val="center"/>
                </w:tcPr>
                <w:p w14:paraId="23808F5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88.27413497,38.12139636</w:t>
                  </w:r>
                </w:p>
              </w:tc>
            </w:tr>
            <w:tr w14:paraId="3A33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4649925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53</w:t>
                  </w:r>
                </w:p>
              </w:tc>
              <w:tc>
                <w:tcPr>
                  <w:tcW w:w="0" w:type="auto"/>
                  <w:shd w:val="clear" w:color="auto" w:fill="auto"/>
                  <w:vAlign w:val="center"/>
                </w:tcPr>
                <w:p w14:paraId="2FE7F757">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88.43921526,38.29131509</w:t>
                  </w:r>
                </w:p>
              </w:tc>
              <w:tc>
                <w:tcPr>
                  <w:tcW w:w="510" w:type="pct"/>
                  <w:shd w:val="clear" w:color="auto" w:fill="auto"/>
                  <w:vAlign w:val="center"/>
                </w:tcPr>
                <w:p w14:paraId="6AFCABC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53</w:t>
                  </w:r>
                </w:p>
              </w:tc>
              <w:tc>
                <w:tcPr>
                  <w:tcW w:w="0" w:type="auto"/>
                  <w:shd w:val="clear" w:color="auto" w:fill="auto"/>
                  <w:vAlign w:val="center"/>
                </w:tcPr>
                <w:p w14:paraId="201F0017">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88.27029854,38.12062989</w:t>
                  </w:r>
                </w:p>
              </w:tc>
            </w:tr>
            <w:tr w14:paraId="2F17B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685A7A5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54</w:t>
                  </w:r>
                </w:p>
              </w:tc>
              <w:tc>
                <w:tcPr>
                  <w:tcW w:w="0" w:type="auto"/>
                  <w:shd w:val="clear" w:color="auto" w:fill="auto"/>
                  <w:vAlign w:val="center"/>
                </w:tcPr>
                <w:p w14:paraId="7647FAF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88.43876454,38.28829623</w:t>
                  </w:r>
                </w:p>
              </w:tc>
              <w:tc>
                <w:tcPr>
                  <w:tcW w:w="510" w:type="pct"/>
                  <w:shd w:val="clear" w:color="auto" w:fill="auto"/>
                  <w:vAlign w:val="center"/>
                </w:tcPr>
                <w:p w14:paraId="0C523BB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54</w:t>
                  </w:r>
                </w:p>
              </w:tc>
              <w:tc>
                <w:tcPr>
                  <w:tcW w:w="0" w:type="auto"/>
                  <w:shd w:val="clear" w:color="auto" w:fill="auto"/>
                  <w:vAlign w:val="center"/>
                </w:tcPr>
                <w:p w14:paraId="2A2D0CE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88.26645452,38.11986199</w:t>
                  </w:r>
                </w:p>
              </w:tc>
            </w:tr>
            <w:tr w14:paraId="7E2A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3430C0D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55</w:t>
                  </w:r>
                </w:p>
              </w:tc>
              <w:tc>
                <w:tcPr>
                  <w:tcW w:w="0" w:type="auto"/>
                  <w:shd w:val="clear" w:color="auto" w:fill="auto"/>
                  <w:vAlign w:val="center"/>
                </w:tcPr>
                <w:p w14:paraId="5F4AA9E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88.43832708,38.2853647</w:t>
                  </w:r>
                </w:p>
              </w:tc>
              <w:tc>
                <w:tcPr>
                  <w:tcW w:w="510" w:type="pct"/>
                  <w:shd w:val="clear" w:color="auto" w:fill="auto"/>
                  <w:vAlign w:val="center"/>
                </w:tcPr>
                <w:p w14:paraId="5B6FE87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55</w:t>
                  </w:r>
                </w:p>
              </w:tc>
              <w:tc>
                <w:tcPr>
                  <w:tcW w:w="0" w:type="auto"/>
                  <w:shd w:val="clear" w:color="auto" w:fill="auto"/>
                  <w:vAlign w:val="center"/>
                </w:tcPr>
                <w:p w14:paraId="0EDC6E5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88.26270912,38.11911329</w:t>
                  </w:r>
                </w:p>
              </w:tc>
            </w:tr>
            <w:tr w14:paraId="7E69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5383A62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56</w:t>
                  </w:r>
                </w:p>
              </w:tc>
              <w:tc>
                <w:tcPr>
                  <w:tcW w:w="0" w:type="auto"/>
                  <w:shd w:val="clear" w:color="auto" w:fill="auto"/>
                  <w:vAlign w:val="center"/>
                </w:tcPr>
                <w:p w14:paraId="58020A7C">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88.43791425,38.28259907</w:t>
                  </w:r>
                </w:p>
              </w:tc>
              <w:tc>
                <w:tcPr>
                  <w:tcW w:w="510" w:type="pct"/>
                  <w:shd w:val="clear" w:color="auto" w:fill="auto"/>
                  <w:vAlign w:val="center"/>
                </w:tcPr>
                <w:p w14:paraId="31F8793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56</w:t>
                  </w:r>
                </w:p>
              </w:tc>
              <w:tc>
                <w:tcPr>
                  <w:tcW w:w="0" w:type="auto"/>
                  <w:shd w:val="clear" w:color="auto" w:fill="auto"/>
                  <w:vAlign w:val="center"/>
                </w:tcPr>
                <w:p w14:paraId="10BD183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88.25873878,38.11831983</w:t>
                  </w:r>
                </w:p>
              </w:tc>
            </w:tr>
            <w:tr w14:paraId="67E0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0B9128CC">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57</w:t>
                  </w:r>
                </w:p>
              </w:tc>
              <w:tc>
                <w:tcPr>
                  <w:tcW w:w="0" w:type="auto"/>
                  <w:shd w:val="clear" w:color="auto" w:fill="auto"/>
                  <w:vAlign w:val="center"/>
                </w:tcPr>
                <w:p w14:paraId="4817238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88.43745367,38.27951335</w:t>
                  </w:r>
                </w:p>
              </w:tc>
              <w:tc>
                <w:tcPr>
                  <w:tcW w:w="510" w:type="pct"/>
                  <w:shd w:val="clear" w:color="auto" w:fill="auto"/>
                  <w:vAlign w:val="center"/>
                </w:tcPr>
                <w:p w14:paraId="4F99AB9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57</w:t>
                  </w:r>
                </w:p>
              </w:tc>
              <w:tc>
                <w:tcPr>
                  <w:tcW w:w="0" w:type="auto"/>
                  <w:shd w:val="clear" w:color="auto" w:fill="auto"/>
                  <w:vAlign w:val="center"/>
                </w:tcPr>
                <w:p w14:paraId="7CFF0D7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88.25510114,38.11759245</w:t>
                  </w:r>
                </w:p>
              </w:tc>
            </w:tr>
            <w:tr w14:paraId="318F7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078B1AB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58</w:t>
                  </w:r>
                </w:p>
              </w:tc>
              <w:tc>
                <w:tcPr>
                  <w:tcW w:w="0" w:type="auto"/>
                  <w:shd w:val="clear" w:color="auto" w:fill="auto"/>
                  <w:vAlign w:val="center"/>
                </w:tcPr>
                <w:p w14:paraId="7B773387">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88.43819399,38.2764349</w:t>
                  </w:r>
                </w:p>
              </w:tc>
              <w:tc>
                <w:tcPr>
                  <w:tcW w:w="510" w:type="pct"/>
                  <w:shd w:val="clear" w:color="auto" w:fill="auto"/>
                  <w:vAlign w:val="center"/>
                </w:tcPr>
                <w:p w14:paraId="3AEDD3A5">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58</w:t>
                  </w:r>
                </w:p>
              </w:tc>
              <w:tc>
                <w:tcPr>
                  <w:tcW w:w="0" w:type="auto"/>
                  <w:shd w:val="clear" w:color="auto" w:fill="auto"/>
                  <w:vAlign w:val="center"/>
                </w:tcPr>
                <w:p w14:paraId="678EB39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88.25167002,38.1169063</w:t>
                  </w:r>
                </w:p>
              </w:tc>
            </w:tr>
            <w:tr w14:paraId="5B435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42E28D7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59</w:t>
                  </w:r>
                </w:p>
              </w:tc>
              <w:tc>
                <w:tcPr>
                  <w:tcW w:w="0" w:type="auto"/>
                  <w:shd w:val="clear" w:color="auto" w:fill="auto"/>
                  <w:vAlign w:val="center"/>
                </w:tcPr>
                <w:p w14:paraId="6B14DD8F">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88.4379851,38.2733495</w:t>
                  </w:r>
                  <w:r>
                    <w:rPr>
                      <w:rFonts w:hint="eastAsia" w:ascii="Calibri" w:hAnsi="Calibri" w:eastAsia="宋体" w:cs="Calibri"/>
                      <w:i w:val="0"/>
                      <w:iCs w:val="0"/>
                      <w:color w:val="000000"/>
                      <w:kern w:val="0"/>
                      <w:sz w:val="21"/>
                      <w:szCs w:val="21"/>
                      <w:u w:val="none"/>
                      <w:lang w:val="en-US" w:eastAsia="zh-CN" w:bidi="ar"/>
                    </w:rPr>
                    <w:t>0</w:t>
                  </w:r>
                </w:p>
              </w:tc>
              <w:tc>
                <w:tcPr>
                  <w:tcW w:w="510" w:type="pct"/>
                  <w:shd w:val="clear" w:color="auto" w:fill="auto"/>
                  <w:vAlign w:val="center"/>
                </w:tcPr>
                <w:p w14:paraId="7773924D">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59</w:t>
                  </w:r>
                </w:p>
              </w:tc>
              <w:tc>
                <w:tcPr>
                  <w:tcW w:w="0" w:type="auto"/>
                  <w:shd w:val="clear" w:color="auto" w:fill="auto"/>
                  <w:vAlign w:val="center"/>
                </w:tcPr>
                <w:p w14:paraId="0BF8CEB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88.24806811,38.1161859</w:t>
                  </w:r>
                </w:p>
              </w:tc>
            </w:tr>
            <w:tr w14:paraId="317F3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7A0C8921">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60</w:t>
                  </w:r>
                </w:p>
              </w:tc>
              <w:tc>
                <w:tcPr>
                  <w:tcW w:w="0" w:type="auto"/>
                  <w:shd w:val="clear" w:color="auto" w:fill="auto"/>
                  <w:vAlign w:val="center"/>
                </w:tcPr>
                <w:p w14:paraId="7409EA0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88.43776944,38.27016567</w:t>
                  </w:r>
                </w:p>
              </w:tc>
              <w:tc>
                <w:tcPr>
                  <w:tcW w:w="510" w:type="pct"/>
                  <w:shd w:val="clear" w:color="auto" w:fill="auto"/>
                  <w:vAlign w:val="center"/>
                </w:tcPr>
                <w:p w14:paraId="4E4284C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60</w:t>
                  </w:r>
                </w:p>
              </w:tc>
              <w:tc>
                <w:tcPr>
                  <w:tcW w:w="0" w:type="auto"/>
                  <w:shd w:val="clear" w:color="auto" w:fill="auto"/>
                  <w:vAlign w:val="center"/>
                </w:tcPr>
                <w:p w14:paraId="5BC8D80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88.24445753,38.1154639</w:t>
                  </w:r>
                </w:p>
              </w:tc>
            </w:tr>
            <w:tr w14:paraId="63B31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1DF9898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61</w:t>
                  </w:r>
                </w:p>
              </w:tc>
              <w:tc>
                <w:tcPr>
                  <w:tcW w:w="0" w:type="auto"/>
                  <w:shd w:val="clear" w:color="auto" w:fill="auto"/>
                  <w:vAlign w:val="center"/>
                </w:tcPr>
                <w:p w14:paraId="0139FA2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88.4375693,38.26720947</w:t>
                  </w:r>
                </w:p>
              </w:tc>
              <w:tc>
                <w:tcPr>
                  <w:tcW w:w="510" w:type="pct"/>
                  <w:shd w:val="clear" w:color="auto" w:fill="auto"/>
                  <w:vAlign w:val="center"/>
                </w:tcPr>
                <w:p w14:paraId="65DEB0B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61</w:t>
                  </w:r>
                </w:p>
              </w:tc>
              <w:tc>
                <w:tcPr>
                  <w:tcW w:w="0" w:type="auto"/>
                  <w:shd w:val="clear" w:color="auto" w:fill="auto"/>
                  <w:vAlign w:val="center"/>
                </w:tcPr>
                <w:p w14:paraId="7901A6F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88.24047499,38.11466703</w:t>
                  </w:r>
                </w:p>
              </w:tc>
            </w:tr>
            <w:tr w14:paraId="4249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775FB1C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62</w:t>
                  </w:r>
                </w:p>
              </w:tc>
              <w:tc>
                <w:tcPr>
                  <w:tcW w:w="0" w:type="auto"/>
                  <w:shd w:val="clear" w:color="auto" w:fill="auto"/>
                  <w:vAlign w:val="center"/>
                </w:tcPr>
                <w:p w14:paraId="5E97633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88.43735547,38.26405142</w:t>
                  </w:r>
                </w:p>
              </w:tc>
              <w:tc>
                <w:tcPr>
                  <w:tcW w:w="510" w:type="pct"/>
                  <w:shd w:val="clear" w:color="auto" w:fill="auto"/>
                  <w:vAlign w:val="center"/>
                </w:tcPr>
                <w:p w14:paraId="7B57176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62</w:t>
                  </w:r>
                </w:p>
              </w:tc>
              <w:tc>
                <w:tcPr>
                  <w:tcW w:w="0" w:type="auto"/>
                  <w:shd w:val="clear" w:color="auto" w:fill="auto"/>
                  <w:vAlign w:val="center"/>
                </w:tcPr>
                <w:p w14:paraId="64EE0E6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88.23658231,38.11480731</w:t>
                  </w:r>
                </w:p>
              </w:tc>
            </w:tr>
            <w:tr w14:paraId="63632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0CD0557C">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63</w:t>
                  </w:r>
                </w:p>
              </w:tc>
              <w:tc>
                <w:tcPr>
                  <w:tcW w:w="0" w:type="auto"/>
                  <w:shd w:val="clear" w:color="auto" w:fill="auto"/>
                  <w:vAlign w:val="center"/>
                </w:tcPr>
                <w:p w14:paraId="78A2071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88.43714471,38.26093726</w:t>
                  </w:r>
                </w:p>
              </w:tc>
              <w:tc>
                <w:tcPr>
                  <w:tcW w:w="510" w:type="pct"/>
                  <w:shd w:val="clear" w:color="auto" w:fill="auto"/>
                  <w:vAlign w:val="center"/>
                </w:tcPr>
                <w:p w14:paraId="68C06AE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63</w:t>
                  </w:r>
                </w:p>
              </w:tc>
              <w:tc>
                <w:tcPr>
                  <w:tcW w:w="0" w:type="auto"/>
                  <w:shd w:val="clear" w:color="auto" w:fill="auto"/>
                  <w:vAlign w:val="center"/>
                </w:tcPr>
                <w:p w14:paraId="481AB89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88.23266179,38.1149484</w:t>
                  </w:r>
                </w:p>
              </w:tc>
            </w:tr>
            <w:tr w14:paraId="0886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64722FE0">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64</w:t>
                  </w:r>
                </w:p>
              </w:tc>
              <w:tc>
                <w:tcPr>
                  <w:tcW w:w="0" w:type="auto"/>
                  <w:shd w:val="clear" w:color="auto" w:fill="auto"/>
                  <w:vAlign w:val="center"/>
                </w:tcPr>
                <w:p w14:paraId="41ECC221">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88.4369333</w:t>
                  </w:r>
                  <w:r>
                    <w:rPr>
                      <w:rFonts w:hint="eastAsia" w:ascii="Calibri" w:hAnsi="Calibri" w:eastAsia="宋体" w:cs="Calibri"/>
                      <w:i w:val="0"/>
                      <w:iCs w:val="0"/>
                      <w:color w:val="000000"/>
                      <w:kern w:val="0"/>
                      <w:sz w:val="21"/>
                      <w:szCs w:val="21"/>
                      <w:u w:val="none"/>
                      <w:lang w:val="en-US" w:eastAsia="zh-CN" w:bidi="ar"/>
                    </w:rPr>
                    <w:t>0</w:t>
                  </w:r>
                  <w:r>
                    <w:rPr>
                      <w:rFonts w:hint="default" w:ascii="Calibri" w:hAnsi="Calibri" w:eastAsia="宋体" w:cs="Calibri"/>
                      <w:i w:val="0"/>
                      <w:iCs w:val="0"/>
                      <w:color w:val="000000"/>
                      <w:kern w:val="0"/>
                      <w:sz w:val="21"/>
                      <w:szCs w:val="21"/>
                      <w:u w:val="none"/>
                      <w:lang w:val="en-US" w:eastAsia="zh-CN" w:bidi="ar"/>
                    </w:rPr>
                    <w:t>,38.2578147</w:t>
                  </w:r>
                  <w:r>
                    <w:rPr>
                      <w:rFonts w:hint="eastAsia" w:ascii="Calibri" w:hAnsi="Calibri" w:eastAsia="宋体" w:cs="Calibri"/>
                      <w:i w:val="0"/>
                      <w:iCs w:val="0"/>
                      <w:color w:val="000000"/>
                      <w:kern w:val="0"/>
                      <w:sz w:val="21"/>
                      <w:szCs w:val="21"/>
                      <w:u w:val="none"/>
                      <w:lang w:val="en-US" w:eastAsia="zh-CN" w:bidi="ar"/>
                    </w:rPr>
                    <w:t>0</w:t>
                  </w:r>
                </w:p>
              </w:tc>
              <w:tc>
                <w:tcPr>
                  <w:tcW w:w="510" w:type="pct"/>
                  <w:shd w:val="clear" w:color="auto" w:fill="auto"/>
                  <w:vAlign w:val="center"/>
                </w:tcPr>
                <w:p w14:paraId="346EB7F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64</w:t>
                  </w:r>
                </w:p>
              </w:tc>
              <w:tc>
                <w:tcPr>
                  <w:tcW w:w="0" w:type="auto"/>
                  <w:shd w:val="clear" w:color="auto" w:fill="auto"/>
                  <w:vAlign w:val="center"/>
                </w:tcPr>
                <w:p w14:paraId="33326E5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88.22868573,38.11509139</w:t>
                  </w:r>
                </w:p>
              </w:tc>
            </w:tr>
            <w:tr w14:paraId="40020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1E436F5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65</w:t>
                  </w:r>
                </w:p>
              </w:tc>
              <w:tc>
                <w:tcPr>
                  <w:tcW w:w="0" w:type="auto"/>
                  <w:shd w:val="clear" w:color="auto" w:fill="auto"/>
                  <w:vAlign w:val="center"/>
                </w:tcPr>
                <w:p w14:paraId="61E04F1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88.43709273,38.25471716</w:t>
                  </w:r>
                </w:p>
              </w:tc>
              <w:tc>
                <w:tcPr>
                  <w:tcW w:w="510" w:type="pct"/>
                  <w:shd w:val="clear" w:color="auto" w:fill="auto"/>
                  <w:vAlign w:val="center"/>
                </w:tcPr>
                <w:p w14:paraId="0FA0A62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65</w:t>
                  </w:r>
                </w:p>
              </w:tc>
              <w:tc>
                <w:tcPr>
                  <w:tcW w:w="0" w:type="auto"/>
                  <w:shd w:val="clear" w:color="auto" w:fill="auto"/>
                  <w:vAlign w:val="center"/>
                </w:tcPr>
                <w:p w14:paraId="5A0C1EC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88.22452056,38.11524094</w:t>
                  </w:r>
                </w:p>
              </w:tc>
            </w:tr>
            <w:tr w14:paraId="174E6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32AA1BA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66</w:t>
                  </w:r>
                </w:p>
              </w:tc>
              <w:tc>
                <w:tcPr>
                  <w:tcW w:w="0" w:type="auto"/>
                  <w:shd w:val="clear" w:color="auto" w:fill="auto"/>
                  <w:vAlign w:val="center"/>
                </w:tcPr>
                <w:p w14:paraId="4AE5C800">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88.43725097,38.25163908</w:t>
                  </w:r>
                </w:p>
              </w:tc>
              <w:tc>
                <w:tcPr>
                  <w:tcW w:w="510" w:type="pct"/>
                  <w:shd w:val="clear" w:color="auto" w:fill="auto"/>
                  <w:vAlign w:val="center"/>
                </w:tcPr>
                <w:p w14:paraId="4FA1352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66</w:t>
                  </w:r>
                </w:p>
              </w:tc>
              <w:tc>
                <w:tcPr>
                  <w:tcW w:w="0" w:type="auto"/>
                  <w:shd w:val="clear" w:color="auto" w:fill="auto"/>
                  <w:vAlign w:val="center"/>
                </w:tcPr>
                <w:p w14:paraId="5AFBC84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88.22057766,38.11538281</w:t>
                  </w:r>
                </w:p>
              </w:tc>
            </w:tr>
            <w:tr w14:paraId="755DF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38251CE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67</w:t>
                  </w:r>
                </w:p>
              </w:tc>
              <w:tc>
                <w:tcPr>
                  <w:tcW w:w="0" w:type="auto"/>
                  <w:shd w:val="clear" w:color="auto" w:fill="auto"/>
                  <w:vAlign w:val="center"/>
                </w:tcPr>
                <w:p w14:paraId="7C4A334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88.43741409,38.24847037</w:t>
                  </w:r>
                </w:p>
              </w:tc>
              <w:tc>
                <w:tcPr>
                  <w:tcW w:w="510" w:type="pct"/>
                  <w:shd w:val="clear" w:color="auto" w:fill="auto"/>
                  <w:vAlign w:val="center"/>
                </w:tcPr>
                <w:p w14:paraId="39CF3AE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67</w:t>
                  </w:r>
                </w:p>
              </w:tc>
              <w:tc>
                <w:tcPr>
                  <w:tcW w:w="0" w:type="auto"/>
                  <w:shd w:val="clear" w:color="auto" w:fill="auto"/>
                  <w:vAlign w:val="center"/>
                </w:tcPr>
                <w:p w14:paraId="16D8424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88.21647492,38.1155298</w:t>
                  </w:r>
                </w:p>
              </w:tc>
            </w:tr>
            <w:tr w14:paraId="6A30E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0DBEA2A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68</w:t>
                  </w:r>
                </w:p>
              </w:tc>
              <w:tc>
                <w:tcPr>
                  <w:tcW w:w="0" w:type="auto"/>
                  <w:shd w:val="clear" w:color="auto" w:fill="auto"/>
                  <w:vAlign w:val="center"/>
                </w:tcPr>
                <w:p w14:paraId="27A80710">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88.43758315,38.24518361</w:t>
                  </w:r>
                </w:p>
              </w:tc>
              <w:tc>
                <w:tcPr>
                  <w:tcW w:w="510" w:type="pct"/>
                  <w:shd w:val="clear" w:color="auto" w:fill="auto"/>
                  <w:vAlign w:val="center"/>
                </w:tcPr>
                <w:p w14:paraId="2CA32C5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68</w:t>
                  </w:r>
                </w:p>
              </w:tc>
              <w:tc>
                <w:tcPr>
                  <w:tcW w:w="0" w:type="auto"/>
                  <w:shd w:val="clear" w:color="auto" w:fill="auto"/>
                  <w:vAlign w:val="center"/>
                </w:tcPr>
                <w:p w14:paraId="3A57E88C">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88.21217678,38.11568374</w:t>
                  </w:r>
                </w:p>
              </w:tc>
            </w:tr>
            <w:tr w14:paraId="7CA5B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0EC9EE0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69</w:t>
                  </w:r>
                </w:p>
              </w:tc>
              <w:tc>
                <w:tcPr>
                  <w:tcW w:w="0" w:type="auto"/>
                  <w:shd w:val="clear" w:color="auto" w:fill="auto"/>
                  <w:vAlign w:val="center"/>
                </w:tcPr>
                <w:p w14:paraId="41D3C0B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88.43827044,38.24231299</w:t>
                  </w:r>
                </w:p>
              </w:tc>
              <w:tc>
                <w:tcPr>
                  <w:tcW w:w="510" w:type="pct"/>
                  <w:shd w:val="clear" w:color="auto" w:fill="auto"/>
                  <w:vAlign w:val="center"/>
                </w:tcPr>
                <w:p w14:paraId="24B8615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69</w:t>
                  </w:r>
                </w:p>
              </w:tc>
              <w:tc>
                <w:tcPr>
                  <w:tcW w:w="0" w:type="auto"/>
                  <w:shd w:val="clear" w:color="auto" w:fill="auto"/>
                  <w:vAlign w:val="center"/>
                </w:tcPr>
                <w:p w14:paraId="70D4113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88.20800082,38.11583313</w:t>
                  </w:r>
                </w:p>
              </w:tc>
            </w:tr>
            <w:tr w14:paraId="0ABB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373DDCC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70</w:t>
                  </w:r>
                </w:p>
              </w:tc>
              <w:tc>
                <w:tcPr>
                  <w:tcW w:w="0" w:type="auto"/>
                  <w:shd w:val="clear" w:color="auto" w:fill="auto"/>
                  <w:vAlign w:val="center"/>
                </w:tcPr>
                <w:p w14:paraId="1DCFDAF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88.43897267,38.23938088</w:t>
                  </w:r>
                </w:p>
              </w:tc>
              <w:tc>
                <w:tcPr>
                  <w:tcW w:w="510" w:type="pct"/>
                  <w:shd w:val="clear" w:color="auto" w:fill="auto"/>
                  <w:vAlign w:val="center"/>
                </w:tcPr>
                <w:p w14:paraId="5DCEC4E6">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70</w:t>
                  </w:r>
                </w:p>
              </w:tc>
              <w:tc>
                <w:tcPr>
                  <w:tcW w:w="0" w:type="auto"/>
                  <w:shd w:val="clear" w:color="auto" w:fill="auto"/>
                  <w:vAlign w:val="center"/>
                </w:tcPr>
                <w:p w14:paraId="631872AF">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88.20373555,38.11598563</w:t>
                  </w:r>
                </w:p>
              </w:tc>
            </w:tr>
            <w:tr w14:paraId="54244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779B1BA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71</w:t>
                  </w:r>
                </w:p>
              </w:tc>
              <w:tc>
                <w:tcPr>
                  <w:tcW w:w="0" w:type="auto"/>
                  <w:shd w:val="clear" w:color="auto" w:fill="auto"/>
                  <w:vAlign w:val="center"/>
                </w:tcPr>
                <w:p w14:paraId="122E9D6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88.43965218,38.23654248</w:t>
                  </w:r>
                </w:p>
              </w:tc>
              <w:tc>
                <w:tcPr>
                  <w:tcW w:w="510" w:type="pct"/>
                  <w:shd w:val="clear" w:color="auto" w:fill="auto"/>
                  <w:vAlign w:val="center"/>
                </w:tcPr>
                <w:p w14:paraId="6634730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71</w:t>
                  </w:r>
                </w:p>
              </w:tc>
              <w:tc>
                <w:tcPr>
                  <w:tcW w:w="0" w:type="auto"/>
                  <w:shd w:val="clear" w:color="auto" w:fill="auto"/>
                  <w:vAlign w:val="center"/>
                </w:tcPr>
                <w:p w14:paraId="69F3153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88.19977286,38.11618576</w:t>
                  </w:r>
                </w:p>
              </w:tc>
            </w:tr>
            <w:tr w14:paraId="675A4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42DF51D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72</w:t>
                  </w:r>
                </w:p>
              </w:tc>
              <w:tc>
                <w:tcPr>
                  <w:tcW w:w="0" w:type="auto"/>
                  <w:shd w:val="clear" w:color="auto" w:fill="auto"/>
                  <w:vAlign w:val="center"/>
                </w:tcPr>
                <w:p w14:paraId="69C7873C">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88.44031675,38.23376642</w:t>
                  </w:r>
                </w:p>
              </w:tc>
              <w:tc>
                <w:tcPr>
                  <w:tcW w:w="510" w:type="pct"/>
                  <w:shd w:val="clear" w:color="auto" w:fill="auto"/>
                  <w:vAlign w:val="center"/>
                </w:tcPr>
                <w:p w14:paraId="54F53BA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72</w:t>
                  </w:r>
                </w:p>
              </w:tc>
              <w:tc>
                <w:tcPr>
                  <w:tcW w:w="0" w:type="auto"/>
                  <w:shd w:val="clear" w:color="auto" w:fill="auto"/>
                  <w:vAlign w:val="center"/>
                </w:tcPr>
                <w:p w14:paraId="6D432CD0">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88.19582948,38.11638436</w:t>
                  </w:r>
                </w:p>
              </w:tc>
            </w:tr>
            <w:tr w14:paraId="47EC9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7C54B0F0">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73</w:t>
                  </w:r>
                </w:p>
              </w:tc>
              <w:tc>
                <w:tcPr>
                  <w:tcW w:w="0" w:type="auto"/>
                  <w:shd w:val="clear" w:color="auto" w:fill="auto"/>
                  <w:vAlign w:val="center"/>
                </w:tcPr>
                <w:p w14:paraId="3E4D262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88.44103104,38.23078257</w:t>
                  </w:r>
                </w:p>
              </w:tc>
              <w:tc>
                <w:tcPr>
                  <w:tcW w:w="510" w:type="pct"/>
                  <w:shd w:val="clear" w:color="auto" w:fill="auto"/>
                  <w:vAlign w:val="center"/>
                </w:tcPr>
                <w:p w14:paraId="36FAD3F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73</w:t>
                  </w:r>
                </w:p>
              </w:tc>
              <w:tc>
                <w:tcPr>
                  <w:tcW w:w="0" w:type="auto"/>
                  <w:shd w:val="clear" w:color="auto" w:fill="auto"/>
                  <w:vAlign w:val="center"/>
                </w:tcPr>
                <w:p w14:paraId="3AE3A9F7">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88.19186255,38.11658432</w:t>
                  </w:r>
                </w:p>
              </w:tc>
            </w:tr>
            <w:tr w14:paraId="4474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4C82F42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74</w:t>
                  </w:r>
                </w:p>
              </w:tc>
              <w:tc>
                <w:tcPr>
                  <w:tcW w:w="0" w:type="auto"/>
                  <w:shd w:val="clear" w:color="auto" w:fill="auto"/>
                  <w:vAlign w:val="center"/>
                </w:tcPr>
                <w:p w14:paraId="62D863B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88.44175971,38.2277379</w:t>
                  </w:r>
                </w:p>
              </w:tc>
              <w:tc>
                <w:tcPr>
                  <w:tcW w:w="510" w:type="pct"/>
                  <w:shd w:val="clear" w:color="auto" w:fill="auto"/>
                  <w:vAlign w:val="center"/>
                </w:tcPr>
                <w:p w14:paraId="01476DF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74</w:t>
                  </w:r>
                </w:p>
              </w:tc>
              <w:tc>
                <w:tcPr>
                  <w:tcW w:w="0" w:type="auto"/>
                  <w:shd w:val="clear" w:color="auto" w:fill="auto"/>
                  <w:vAlign w:val="center"/>
                </w:tcPr>
                <w:p w14:paraId="6F0D062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88.18797419,38.11678016</w:t>
                  </w:r>
                </w:p>
              </w:tc>
            </w:tr>
            <w:tr w14:paraId="7A2AA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3E385CB7">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75</w:t>
                  </w:r>
                </w:p>
              </w:tc>
              <w:tc>
                <w:tcPr>
                  <w:tcW w:w="0" w:type="auto"/>
                  <w:shd w:val="clear" w:color="auto" w:fill="auto"/>
                  <w:vAlign w:val="center"/>
                </w:tcPr>
                <w:p w14:paraId="1A1C780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88.44244509,38.22487448</w:t>
                  </w:r>
                </w:p>
              </w:tc>
              <w:tc>
                <w:tcPr>
                  <w:tcW w:w="510" w:type="pct"/>
                  <w:shd w:val="clear" w:color="auto" w:fill="auto"/>
                  <w:vAlign w:val="center"/>
                </w:tcPr>
                <w:p w14:paraId="578E6ACA">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75</w:t>
                  </w:r>
                </w:p>
              </w:tc>
              <w:tc>
                <w:tcPr>
                  <w:tcW w:w="0" w:type="auto"/>
                  <w:shd w:val="clear" w:color="auto" w:fill="auto"/>
                  <w:vAlign w:val="center"/>
                </w:tcPr>
                <w:p w14:paraId="14841171">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88.18383756,38.11698834</w:t>
                  </w:r>
                </w:p>
              </w:tc>
            </w:tr>
            <w:tr w14:paraId="31C7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36127E27">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76</w:t>
                  </w:r>
                </w:p>
              </w:tc>
              <w:tc>
                <w:tcPr>
                  <w:tcW w:w="0" w:type="auto"/>
                  <w:shd w:val="clear" w:color="auto" w:fill="auto"/>
                  <w:vAlign w:val="center"/>
                </w:tcPr>
                <w:p w14:paraId="5BD87630">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88.44316831,38.22185267</w:t>
                  </w:r>
                </w:p>
              </w:tc>
              <w:tc>
                <w:tcPr>
                  <w:tcW w:w="510" w:type="pct"/>
                  <w:shd w:val="clear" w:color="auto" w:fill="auto"/>
                  <w:vAlign w:val="center"/>
                </w:tcPr>
                <w:p w14:paraId="18EED930">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76</w:t>
                  </w:r>
                </w:p>
              </w:tc>
              <w:tc>
                <w:tcPr>
                  <w:tcW w:w="0" w:type="auto"/>
                  <w:shd w:val="clear" w:color="auto" w:fill="auto"/>
                  <w:vAlign w:val="center"/>
                </w:tcPr>
                <w:p w14:paraId="70169B6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88.18042062,38.11743846</w:t>
                  </w:r>
                </w:p>
              </w:tc>
            </w:tr>
            <w:tr w14:paraId="3FAC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1B70FA9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77</w:t>
                  </w:r>
                </w:p>
              </w:tc>
              <w:tc>
                <w:tcPr>
                  <w:tcW w:w="0" w:type="auto"/>
                  <w:shd w:val="clear" w:color="auto" w:fill="auto"/>
                  <w:vAlign w:val="center"/>
                </w:tcPr>
                <w:p w14:paraId="1CB7CE7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88.44390368,38.21877969</w:t>
                  </w:r>
                </w:p>
              </w:tc>
              <w:tc>
                <w:tcPr>
                  <w:tcW w:w="510" w:type="pct"/>
                  <w:shd w:val="clear" w:color="auto" w:fill="auto"/>
                  <w:vAlign w:val="center"/>
                </w:tcPr>
                <w:p w14:paraId="29292AA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77</w:t>
                  </w:r>
                </w:p>
              </w:tc>
              <w:tc>
                <w:tcPr>
                  <w:tcW w:w="0" w:type="auto"/>
                  <w:shd w:val="clear" w:color="auto" w:fill="auto"/>
                  <w:vAlign w:val="center"/>
                </w:tcPr>
                <w:p w14:paraId="304DC83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88.17667669,38.1179313</w:t>
                  </w:r>
                  <w:r>
                    <w:rPr>
                      <w:rFonts w:hint="eastAsia" w:ascii="Calibri" w:hAnsi="Calibri" w:eastAsia="宋体" w:cs="Calibri"/>
                      <w:i w:val="0"/>
                      <w:iCs w:val="0"/>
                      <w:color w:val="000000"/>
                      <w:kern w:val="0"/>
                      <w:sz w:val="21"/>
                      <w:szCs w:val="21"/>
                      <w:u w:val="none"/>
                      <w:lang w:val="en-US" w:eastAsia="zh-CN" w:bidi="ar"/>
                    </w:rPr>
                    <w:t>0</w:t>
                  </w:r>
                </w:p>
              </w:tc>
            </w:tr>
            <w:tr w14:paraId="1691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0F078B5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78</w:t>
                  </w:r>
                </w:p>
              </w:tc>
              <w:tc>
                <w:tcPr>
                  <w:tcW w:w="0" w:type="auto"/>
                  <w:shd w:val="clear" w:color="auto" w:fill="auto"/>
                  <w:vAlign w:val="center"/>
                </w:tcPr>
                <w:p w14:paraId="756A7C9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88.44462334,38.21577244</w:t>
                  </w:r>
                </w:p>
              </w:tc>
              <w:tc>
                <w:tcPr>
                  <w:tcW w:w="510" w:type="pct"/>
                  <w:shd w:val="clear" w:color="auto" w:fill="auto"/>
                  <w:vAlign w:val="center"/>
                </w:tcPr>
                <w:p w14:paraId="14A8B532">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78</w:t>
                  </w:r>
                </w:p>
              </w:tc>
              <w:tc>
                <w:tcPr>
                  <w:tcW w:w="0" w:type="auto"/>
                  <w:shd w:val="clear" w:color="auto" w:fill="auto"/>
                  <w:vAlign w:val="center"/>
                </w:tcPr>
                <w:p w14:paraId="5214403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88.17287076,38.1184323</w:t>
                  </w:r>
                  <w:r>
                    <w:rPr>
                      <w:rFonts w:hint="eastAsia" w:ascii="Calibri" w:hAnsi="Calibri" w:eastAsia="宋体" w:cs="Calibri"/>
                      <w:i w:val="0"/>
                      <w:iCs w:val="0"/>
                      <w:color w:val="000000"/>
                      <w:kern w:val="0"/>
                      <w:sz w:val="21"/>
                      <w:szCs w:val="21"/>
                      <w:u w:val="none"/>
                      <w:lang w:val="en-US" w:eastAsia="zh-CN" w:bidi="ar"/>
                    </w:rPr>
                    <w:t>0</w:t>
                  </w:r>
                </w:p>
              </w:tc>
            </w:tr>
            <w:tr w14:paraId="19611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7E76676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79</w:t>
                  </w:r>
                </w:p>
              </w:tc>
              <w:tc>
                <w:tcPr>
                  <w:tcW w:w="0" w:type="auto"/>
                  <w:shd w:val="clear" w:color="auto" w:fill="auto"/>
                  <w:vAlign w:val="center"/>
                </w:tcPr>
                <w:p w14:paraId="7E77B64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88.44537286,38.21263904</w:t>
                  </w:r>
                </w:p>
              </w:tc>
              <w:tc>
                <w:tcPr>
                  <w:tcW w:w="510" w:type="pct"/>
                  <w:shd w:val="clear" w:color="auto" w:fill="auto"/>
                  <w:vAlign w:val="center"/>
                </w:tcPr>
                <w:p w14:paraId="1DD9897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79</w:t>
                  </w:r>
                </w:p>
              </w:tc>
              <w:tc>
                <w:tcPr>
                  <w:tcW w:w="0" w:type="auto"/>
                  <w:shd w:val="clear" w:color="auto" w:fill="auto"/>
                  <w:vAlign w:val="center"/>
                </w:tcPr>
                <w:p w14:paraId="427224F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88.16909592,38.11892898</w:t>
                  </w:r>
                </w:p>
              </w:tc>
            </w:tr>
            <w:tr w14:paraId="5F8A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5893FD5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80</w:t>
                  </w:r>
                </w:p>
              </w:tc>
              <w:tc>
                <w:tcPr>
                  <w:tcW w:w="0" w:type="auto"/>
                  <w:shd w:val="clear" w:color="auto" w:fill="auto"/>
                  <w:vAlign w:val="center"/>
                </w:tcPr>
                <w:p w14:paraId="4A7DC1A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88.44607833,38.20969098</w:t>
                  </w:r>
                </w:p>
              </w:tc>
              <w:tc>
                <w:tcPr>
                  <w:tcW w:w="510" w:type="pct"/>
                  <w:shd w:val="clear" w:color="auto" w:fill="auto"/>
                  <w:vAlign w:val="center"/>
                </w:tcPr>
                <w:p w14:paraId="0E9442D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80</w:t>
                  </w:r>
                </w:p>
              </w:tc>
              <w:tc>
                <w:tcPr>
                  <w:tcW w:w="0" w:type="auto"/>
                  <w:shd w:val="clear" w:color="auto" w:fill="auto"/>
                  <w:vAlign w:val="center"/>
                </w:tcPr>
                <w:p w14:paraId="7587C7B1">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88.1656739,38.11937927</w:t>
                  </w:r>
                </w:p>
              </w:tc>
            </w:tr>
            <w:tr w14:paraId="476DF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335B35B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81</w:t>
                  </w:r>
                </w:p>
              </w:tc>
              <w:tc>
                <w:tcPr>
                  <w:tcW w:w="0" w:type="auto"/>
                  <w:shd w:val="clear" w:color="auto" w:fill="auto"/>
                  <w:vAlign w:val="center"/>
                </w:tcPr>
                <w:p w14:paraId="0C5994B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88.44679616,38.20669024</w:t>
                  </w:r>
                </w:p>
              </w:tc>
              <w:tc>
                <w:tcPr>
                  <w:tcW w:w="510" w:type="pct"/>
                  <w:shd w:val="clear" w:color="auto" w:fill="auto"/>
                  <w:vAlign w:val="center"/>
                </w:tcPr>
                <w:p w14:paraId="2893492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81</w:t>
                  </w:r>
                </w:p>
              </w:tc>
              <w:tc>
                <w:tcPr>
                  <w:tcW w:w="0" w:type="auto"/>
                  <w:shd w:val="clear" w:color="auto" w:fill="auto"/>
                  <w:vAlign w:val="center"/>
                </w:tcPr>
                <w:p w14:paraId="6546F83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88.16180623,38.11988798</w:t>
                  </w:r>
                </w:p>
              </w:tc>
            </w:tr>
            <w:tr w14:paraId="1FB75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472A0031">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82</w:t>
                  </w:r>
                </w:p>
              </w:tc>
              <w:tc>
                <w:tcPr>
                  <w:tcW w:w="0" w:type="auto"/>
                  <w:shd w:val="clear" w:color="auto" w:fill="auto"/>
                  <w:vAlign w:val="center"/>
                </w:tcPr>
                <w:p w14:paraId="35F47EA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88.44751152,38.20369922</w:t>
                  </w:r>
                </w:p>
              </w:tc>
              <w:tc>
                <w:tcPr>
                  <w:tcW w:w="510" w:type="pct"/>
                  <w:shd w:val="clear" w:color="auto" w:fill="auto"/>
                  <w:vAlign w:val="center"/>
                </w:tcPr>
                <w:p w14:paraId="338E1AB4">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82</w:t>
                  </w:r>
                </w:p>
              </w:tc>
              <w:tc>
                <w:tcPr>
                  <w:tcW w:w="0" w:type="auto"/>
                  <w:shd w:val="clear" w:color="auto" w:fill="auto"/>
                  <w:vAlign w:val="center"/>
                </w:tcPr>
                <w:p w14:paraId="4042E63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88.15924673,38.12022447</w:t>
                  </w:r>
                </w:p>
              </w:tc>
            </w:tr>
            <w:tr w14:paraId="53CC3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12BEFAE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83</w:t>
                  </w:r>
                </w:p>
              </w:tc>
              <w:tc>
                <w:tcPr>
                  <w:tcW w:w="0" w:type="auto"/>
                  <w:shd w:val="clear" w:color="auto" w:fill="auto"/>
                  <w:vAlign w:val="center"/>
                </w:tcPr>
                <w:p w14:paraId="70D63CD0">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88.44823842,38.2006605</w:t>
                  </w:r>
                </w:p>
              </w:tc>
              <w:tc>
                <w:tcPr>
                  <w:tcW w:w="510" w:type="pct"/>
                  <w:shd w:val="clear" w:color="auto" w:fill="auto"/>
                  <w:vAlign w:val="center"/>
                </w:tcPr>
                <w:p w14:paraId="74B1204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83</w:t>
                  </w:r>
                </w:p>
              </w:tc>
              <w:tc>
                <w:tcPr>
                  <w:tcW w:w="0" w:type="auto"/>
                  <w:shd w:val="clear" w:color="auto" w:fill="auto"/>
                  <w:vAlign w:val="center"/>
                </w:tcPr>
                <w:p w14:paraId="554452E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88.15609905,38.12063826</w:t>
                  </w:r>
                </w:p>
              </w:tc>
            </w:tr>
            <w:tr w14:paraId="7CD8F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5B8A726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84</w:t>
                  </w:r>
                </w:p>
              </w:tc>
              <w:tc>
                <w:tcPr>
                  <w:tcW w:w="0" w:type="auto"/>
                  <w:shd w:val="clear" w:color="auto" w:fill="auto"/>
                  <w:vAlign w:val="center"/>
                </w:tcPr>
                <w:p w14:paraId="25AD938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88.4489205,38.19780854</w:t>
                  </w:r>
                </w:p>
              </w:tc>
              <w:tc>
                <w:tcPr>
                  <w:tcW w:w="510" w:type="pct"/>
                  <w:shd w:val="clear" w:color="auto" w:fill="auto"/>
                  <w:vAlign w:val="center"/>
                </w:tcPr>
                <w:p w14:paraId="70FC9E4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84</w:t>
                  </w:r>
                </w:p>
              </w:tc>
              <w:tc>
                <w:tcPr>
                  <w:tcW w:w="0" w:type="auto"/>
                  <w:shd w:val="clear" w:color="auto" w:fill="auto"/>
                  <w:vAlign w:val="center"/>
                </w:tcPr>
                <w:p w14:paraId="20C235C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88.15309691,38.12271774</w:t>
                  </w:r>
                </w:p>
              </w:tc>
            </w:tr>
            <w:tr w14:paraId="6534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3441FAB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85</w:t>
                  </w:r>
                </w:p>
              </w:tc>
              <w:tc>
                <w:tcPr>
                  <w:tcW w:w="0" w:type="auto"/>
                  <w:shd w:val="clear" w:color="auto" w:fill="auto"/>
                  <w:vAlign w:val="center"/>
                </w:tcPr>
                <w:p w14:paraId="0390BEA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88.44962221,38.19487376</w:t>
                  </w:r>
                </w:p>
              </w:tc>
              <w:tc>
                <w:tcPr>
                  <w:tcW w:w="510" w:type="pct"/>
                  <w:shd w:val="clear" w:color="auto" w:fill="auto"/>
                  <w:vAlign w:val="center"/>
                </w:tcPr>
                <w:p w14:paraId="456C2757">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85</w:t>
                  </w:r>
                </w:p>
              </w:tc>
              <w:tc>
                <w:tcPr>
                  <w:tcW w:w="0" w:type="auto"/>
                  <w:shd w:val="clear" w:color="auto" w:fill="auto"/>
                  <w:vAlign w:val="center"/>
                </w:tcPr>
                <w:p w14:paraId="2F380FD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88.15380004,38.12580970</w:t>
                  </w:r>
                </w:p>
              </w:tc>
            </w:tr>
            <w:tr w14:paraId="51538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648819B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86</w:t>
                  </w:r>
                </w:p>
              </w:tc>
              <w:tc>
                <w:tcPr>
                  <w:tcW w:w="0" w:type="auto"/>
                  <w:shd w:val="clear" w:color="auto" w:fill="auto"/>
                  <w:vAlign w:val="center"/>
                </w:tcPr>
                <w:p w14:paraId="68F704B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88.45031595,38.1919728</w:t>
                  </w:r>
                </w:p>
              </w:tc>
              <w:tc>
                <w:tcPr>
                  <w:tcW w:w="510" w:type="pct"/>
                  <w:shd w:val="clear" w:color="auto" w:fill="auto"/>
                  <w:vAlign w:val="center"/>
                </w:tcPr>
                <w:p w14:paraId="3A922299">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86</w:t>
                  </w:r>
                </w:p>
              </w:tc>
              <w:tc>
                <w:tcPr>
                  <w:tcW w:w="0" w:type="auto"/>
                  <w:shd w:val="clear" w:color="auto" w:fill="auto"/>
                  <w:vAlign w:val="center"/>
                </w:tcPr>
                <w:p w14:paraId="5F36A0B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88.15447499,38.12877800</w:t>
                  </w:r>
                </w:p>
              </w:tc>
            </w:tr>
            <w:tr w14:paraId="48BA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75A4517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87</w:t>
                  </w:r>
                </w:p>
              </w:tc>
              <w:tc>
                <w:tcPr>
                  <w:tcW w:w="0" w:type="auto"/>
                  <w:shd w:val="clear" w:color="auto" w:fill="auto"/>
                  <w:vAlign w:val="center"/>
                </w:tcPr>
                <w:p w14:paraId="6D3EF5C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88.45102615,38.18900259</w:t>
                  </w:r>
                </w:p>
              </w:tc>
              <w:tc>
                <w:tcPr>
                  <w:tcW w:w="510" w:type="pct"/>
                  <w:shd w:val="clear" w:color="auto" w:fill="auto"/>
                  <w:vAlign w:val="center"/>
                </w:tcPr>
                <w:p w14:paraId="44DDD858">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87</w:t>
                  </w:r>
                </w:p>
              </w:tc>
              <w:tc>
                <w:tcPr>
                  <w:tcW w:w="0" w:type="auto"/>
                  <w:shd w:val="clear" w:color="auto" w:fill="auto"/>
                  <w:vAlign w:val="center"/>
                </w:tcPr>
                <w:p w14:paraId="1E78D5A1">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88.15517792,38.13186869</w:t>
                  </w:r>
                </w:p>
              </w:tc>
            </w:tr>
            <w:tr w14:paraId="2C1F3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45252CC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w:t>
                  </w:r>
                </w:p>
              </w:tc>
              <w:tc>
                <w:tcPr>
                  <w:tcW w:w="0" w:type="auto"/>
                  <w:shd w:val="clear" w:color="auto" w:fill="auto"/>
                  <w:vAlign w:val="center"/>
                </w:tcPr>
                <w:p w14:paraId="3946F6A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88.45174757,38.18598473</w:t>
                  </w:r>
                </w:p>
              </w:tc>
              <w:tc>
                <w:tcPr>
                  <w:tcW w:w="510" w:type="pct"/>
                  <w:shd w:val="clear" w:color="auto" w:fill="auto"/>
                  <w:vAlign w:val="center"/>
                </w:tcPr>
                <w:p w14:paraId="532D27E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88</w:t>
                  </w:r>
                </w:p>
              </w:tc>
              <w:tc>
                <w:tcPr>
                  <w:tcW w:w="0" w:type="auto"/>
                  <w:shd w:val="clear" w:color="auto" w:fill="auto"/>
                  <w:vAlign w:val="center"/>
                </w:tcPr>
                <w:p w14:paraId="4488AFD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88.15585617,38.13485071</w:t>
                  </w:r>
                </w:p>
              </w:tc>
            </w:tr>
            <w:tr w14:paraId="702DD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72D33BE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89</w:t>
                  </w:r>
                </w:p>
              </w:tc>
              <w:tc>
                <w:tcPr>
                  <w:tcW w:w="0" w:type="auto"/>
                  <w:shd w:val="clear" w:color="auto" w:fill="auto"/>
                  <w:vAlign w:val="center"/>
                </w:tcPr>
                <w:p w14:paraId="69DB733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88.45247088,38.18295993</w:t>
                  </w:r>
                </w:p>
              </w:tc>
              <w:tc>
                <w:tcPr>
                  <w:tcW w:w="510" w:type="pct"/>
                  <w:shd w:val="clear" w:color="auto" w:fill="auto"/>
                  <w:vAlign w:val="center"/>
                </w:tcPr>
                <w:p w14:paraId="5389F04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89</w:t>
                  </w:r>
                </w:p>
              </w:tc>
              <w:tc>
                <w:tcPr>
                  <w:tcW w:w="0" w:type="auto"/>
                  <w:shd w:val="clear" w:color="auto" w:fill="auto"/>
                  <w:vAlign w:val="center"/>
                </w:tcPr>
                <w:p w14:paraId="324EF2F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88.15509346,38.13745875</w:t>
                  </w:r>
                </w:p>
              </w:tc>
            </w:tr>
            <w:tr w14:paraId="2E34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20D9665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90</w:t>
                  </w:r>
                </w:p>
              </w:tc>
              <w:tc>
                <w:tcPr>
                  <w:tcW w:w="0" w:type="auto"/>
                  <w:shd w:val="clear" w:color="auto" w:fill="auto"/>
                  <w:vAlign w:val="center"/>
                </w:tcPr>
                <w:p w14:paraId="0F0D442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88.45317307,38.1800222</w:t>
                  </w:r>
                </w:p>
              </w:tc>
              <w:tc>
                <w:tcPr>
                  <w:tcW w:w="510" w:type="pct"/>
                  <w:shd w:val="clear" w:color="auto" w:fill="auto"/>
                  <w:vAlign w:val="center"/>
                </w:tcPr>
                <w:p w14:paraId="05EB4911">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90</w:t>
                  </w:r>
                </w:p>
              </w:tc>
              <w:tc>
                <w:tcPr>
                  <w:tcW w:w="0" w:type="auto"/>
                  <w:shd w:val="clear" w:color="auto" w:fill="auto"/>
                  <w:vAlign w:val="center"/>
                </w:tcPr>
                <w:p w14:paraId="5D47C87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88.15430193,38.14016487</w:t>
                  </w:r>
                </w:p>
              </w:tc>
            </w:tr>
            <w:tr w14:paraId="2D6D2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2E5D87E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91</w:t>
                  </w:r>
                </w:p>
              </w:tc>
              <w:tc>
                <w:tcPr>
                  <w:tcW w:w="0" w:type="auto"/>
                  <w:shd w:val="clear" w:color="auto" w:fill="auto"/>
                  <w:vAlign w:val="center"/>
                </w:tcPr>
                <w:p w14:paraId="35820897">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88.45162157,38.17700032</w:t>
                  </w:r>
                </w:p>
              </w:tc>
              <w:tc>
                <w:tcPr>
                  <w:tcW w:w="510" w:type="pct"/>
                  <w:shd w:val="clear" w:color="auto" w:fill="auto"/>
                  <w:vAlign w:val="center"/>
                </w:tcPr>
                <w:p w14:paraId="34F695B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91</w:t>
                  </w:r>
                </w:p>
              </w:tc>
              <w:tc>
                <w:tcPr>
                  <w:tcW w:w="0" w:type="auto"/>
                  <w:shd w:val="clear" w:color="auto" w:fill="auto"/>
                  <w:vAlign w:val="center"/>
                </w:tcPr>
                <w:p w14:paraId="30D0AF2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88.15348585,38.14295488</w:t>
                  </w:r>
                </w:p>
              </w:tc>
            </w:tr>
            <w:tr w14:paraId="4CFE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23C3C50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92</w:t>
                  </w:r>
                </w:p>
              </w:tc>
              <w:tc>
                <w:tcPr>
                  <w:tcW w:w="0" w:type="auto"/>
                  <w:shd w:val="clear" w:color="auto" w:fill="auto"/>
                  <w:vAlign w:val="center"/>
                </w:tcPr>
                <w:p w14:paraId="309FEF4C">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88.45009227,38.17402138</w:t>
                  </w:r>
                </w:p>
              </w:tc>
              <w:tc>
                <w:tcPr>
                  <w:tcW w:w="510" w:type="pct"/>
                  <w:shd w:val="clear" w:color="auto" w:fill="auto"/>
                  <w:vAlign w:val="center"/>
                </w:tcPr>
                <w:p w14:paraId="04BE8F8F">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92</w:t>
                  </w:r>
                </w:p>
              </w:tc>
              <w:tc>
                <w:tcPr>
                  <w:tcW w:w="0" w:type="auto"/>
                  <w:shd w:val="clear" w:color="auto" w:fill="auto"/>
                  <w:vAlign w:val="center"/>
                </w:tcPr>
                <w:p w14:paraId="76FA51B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88.15267891,38.14571358</w:t>
                  </w:r>
                </w:p>
              </w:tc>
            </w:tr>
            <w:tr w14:paraId="0F43B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7BCB5BB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93</w:t>
                  </w:r>
                </w:p>
              </w:tc>
              <w:tc>
                <w:tcPr>
                  <w:tcW w:w="0" w:type="auto"/>
                  <w:shd w:val="clear" w:color="auto" w:fill="auto"/>
                  <w:vAlign w:val="center"/>
                </w:tcPr>
                <w:p w14:paraId="71B9AE11">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88.4502988,38.17080466</w:t>
                  </w:r>
                  <w:r>
                    <w:rPr>
                      <w:rFonts w:hint="eastAsia" w:ascii="Calibri" w:hAnsi="Calibri" w:eastAsia="宋体" w:cs="Calibri"/>
                      <w:i w:val="0"/>
                      <w:iCs w:val="0"/>
                      <w:color w:val="000000"/>
                      <w:kern w:val="0"/>
                      <w:sz w:val="21"/>
                      <w:szCs w:val="21"/>
                      <w:u w:val="none"/>
                      <w:lang w:val="en-US" w:eastAsia="zh-CN" w:bidi="ar"/>
                    </w:rPr>
                    <w:t>0</w:t>
                  </w:r>
                </w:p>
              </w:tc>
              <w:tc>
                <w:tcPr>
                  <w:tcW w:w="510" w:type="pct"/>
                  <w:shd w:val="clear" w:color="auto" w:fill="auto"/>
                  <w:vAlign w:val="center"/>
                </w:tcPr>
                <w:p w14:paraId="5612FAEB">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93</w:t>
                  </w:r>
                </w:p>
              </w:tc>
              <w:tc>
                <w:tcPr>
                  <w:tcW w:w="0" w:type="auto"/>
                  <w:shd w:val="clear" w:color="auto" w:fill="auto"/>
                  <w:vAlign w:val="center"/>
                </w:tcPr>
                <w:p w14:paraId="21A0CC4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88.15226949,38.14844099</w:t>
                  </w:r>
                </w:p>
              </w:tc>
            </w:tr>
            <w:tr w14:paraId="0BCF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6A182AB7">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5C1DFE6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36B736B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94</w:t>
                  </w:r>
                </w:p>
              </w:tc>
              <w:tc>
                <w:tcPr>
                  <w:tcW w:w="0" w:type="auto"/>
                  <w:shd w:val="clear" w:color="auto" w:fill="auto"/>
                  <w:vAlign w:val="center"/>
                </w:tcPr>
                <w:p w14:paraId="6A32978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88.15183186,38.15135635</w:t>
                  </w:r>
                </w:p>
              </w:tc>
            </w:tr>
            <w:tr w14:paraId="12144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37E163BE">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70F5F8B0">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600786F7">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95</w:t>
                  </w:r>
                </w:p>
              </w:tc>
              <w:tc>
                <w:tcPr>
                  <w:tcW w:w="0" w:type="auto"/>
                  <w:shd w:val="clear" w:color="auto" w:fill="auto"/>
                  <w:vAlign w:val="center"/>
                </w:tcPr>
                <w:p w14:paraId="0BEF7FDF">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88.15141945,38.15410312</w:t>
                  </w:r>
                </w:p>
              </w:tc>
            </w:tr>
            <w:tr w14:paraId="1228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6E66E55F">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4F37A0A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1F0BD85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96</w:t>
                  </w:r>
                </w:p>
              </w:tc>
              <w:tc>
                <w:tcPr>
                  <w:tcW w:w="0" w:type="auto"/>
                  <w:shd w:val="clear" w:color="auto" w:fill="auto"/>
                  <w:vAlign w:val="center"/>
                </w:tcPr>
                <w:p w14:paraId="5E00A98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88.15103854,38.1566404</w:t>
                  </w:r>
                </w:p>
              </w:tc>
            </w:tr>
            <w:tr w14:paraId="4015E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0ADBF8A5">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294D970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532AD5F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97</w:t>
                  </w:r>
                </w:p>
              </w:tc>
              <w:tc>
                <w:tcPr>
                  <w:tcW w:w="0" w:type="auto"/>
                  <w:shd w:val="clear" w:color="auto" w:fill="auto"/>
                  <w:vAlign w:val="center"/>
                </w:tcPr>
                <w:p w14:paraId="31C0721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88.15060981,38.1594958</w:t>
                  </w:r>
                </w:p>
              </w:tc>
            </w:tr>
            <w:tr w14:paraId="3ACB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4C52F94B">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54BC3EA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7B89DC7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98</w:t>
                  </w:r>
                </w:p>
              </w:tc>
              <w:tc>
                <w:tcPr>
                  <w:tcW w:w="0" w:type="auto"/>
                  <w:shd w:val="clear" w:color="auto" w:fill="auto"/>
                  <w:vAlign w:val="center"/>
                </w:tcPr>
                <w:p w14:paraId="0EC77AD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88.1502198,38.16209284</w:t>
                  </w:r>
                </w:p>
              </w:tc>
            </w:tr>
            <w:tr w14:paraId="09C8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01BE106B">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3FCD4501">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50D9EBE0">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99</w:t>
                  </w:r>
                </w:p>
              </w:tc>
              <w:tc>
                <w:tcPr>
                  <w:tcW w:w="0" w:type="auto"/>
                  <w:shd w:val="clear" w:color="auto" w:fill="auto"/>
                  <w:vAlign w:val="center"/>
                </w:tcPr>
                <w:p w14:paraId="06F0122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88.14983447,38.1646588</w:t>
                  </w:r>
                </w:p>
              </w:tc>
            </w:tr>
            <w:tr w14:paraId="2347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29099FD0">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05C3F47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71801AF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100</w:t>
                  </w:r>
                </w:p>
              </w:tc>
              <w:tc>
                <w:tcPr>
                  <w:tcW w:w="0" w:type="auto"/>
                  <w:shd w:val="clear" w:color="auto" w:fill="auto"/>
                  <w:vAlign w:val="center"/>
                </w:tcPr>
                <w:p w14:paraId="1F3A0DA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88.14944186,38.16727256</w:t>
                  </w:r>
                </w:p>
              </w:tc>
            </w:tr>
            <w:tr w14:paraId="69B30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1226AF89">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5900E261">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3010B67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101</w:t>
                  </w:r>
                </w:p>
              </w:tc>
              <w:tc>
                <w:tcPr>
                  <w:tcW w:w="0" w:type="auto"/>
                  <w:shd w:val="clear" w:color="auto" w:fill="auto"/>
                  <w:vAlign w:val="center"/>
                </w:tcPr>
                <w:p w14:paraId="1D35E21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88.14867648,38.16959182</w:t>
                  </w:r>
                </w:p>
              </w:tc>
            </w:tr>
            <w:tr w14:paraId="6C95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001D7F1C">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0CC2E28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21A6153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102</w:t>
                  </w:r>
                </w:p>
              </w:tc>
              <w:tc>
                <w:tcPr>
                  <w:tcW w:w="0" w:type="auto"/>
                  <w:shd w:val="clear" w:color="auto" w:fill="auto"/>
                  <w:vAlign w:val="center"/>
                </w:tcPr>
                <w:p w14:paraId="6E2E710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88.14792405,38.1718711</w:t>
                  </w:r>
                </w:p>
              </w:tc>
            </w:tr>
            <w:tr w14:paraId="0DB9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644C8858">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71FC5D6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5F493C2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103</w:t>
                  </w:r>
                </w:p>
              </w:tc>
              <w:tc>
                <w:tcPr>
                  <w:tcW w:w="0" w:type="auto"/>
                  <w:shd w:val="clear" w:color="auto" w:fill="auto"/>
                  <w:vAlign w:val="center"/>
                </w:tcPr>
                <w:p w14:paraId="1A234C3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88.14996961,38.17441043</w:t>
                  </w:r>
                </w:p>
              </w:tc>
            </w:tr>
            <w:tr w14:paraId="1EAD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57C6E8F7">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3DE90FF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044E8A0C">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104</w:t>
                  </w:r>
                </w:p>
              </w:tc>
              <w:tc>
                <w:tcPr>
                  <w:tcW w:w="0" w:type="auto"/>
                  <w:shd w:val="clear" w:color="auto" w:fill="auto"/>
                  <w:vAlign w:val="center"/>
                </w:tcPr>
                <w:p w14:paraId="3B7B17C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88.15208203,38.1770325</w:t>
                  </w:r>
                </w:p>
              </w:tc>
            </w:tr>
            <w:tr w14:paraId="5688F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17BFA3B4">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66BDA85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450B5470">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105</w:t>
                  </w:r>
                </w:p>
              </w:tc>
              <w:tc>
                <w:tcPr>
                  <w:tcW w:w="0" w:type="auto"/>
                  <w:shd w:val="clear" w:color="auto" w:fill="auto"/>
                  <w:vAlign w:val="center"/>
                </w:tcPr>
                <w:p w14:paraId="790068F0">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88.15407000,38.17949985</w:t>
                  </w:r>
                </w:p>
              </w:tc>
            </w:tr>
            <w:tr w14:paraId="414E3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7F8B50B9">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368E3AB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4297C61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106</w:t>
                  </w:r>
                </w:p>
              </w:tc>
              <w:tc>
                <w:tcPr>
                  <w:tcW w:w="0" w:type="auto"/>
                  <w:shd w:val="clear" w:color="auto" w:fill="auto"/>
                  <w:vAlign w:val="center"/>
                </w:tcPr>
                <w:p w14:paraId="186B1CC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88.15335984,38.18204123</w:t>
                  </w:r>
                </w:p>
              </w:tc>
            </w:tr>
            <w:tr w14:paraId="4253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175E4F95">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21B0E617">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09E42EF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107</w:t>
                  </w:r>
                </w:p>
              </w:tc>
              <w:tc>
                <w:tcPr>
                  <w:tcW w:w="0" w:type="auto"/>
                  <w:shd w:val="clear" w:color="auto" w:fill="auto"/>
                  <w:vAlign w:val="center"/>
                </w:tcPr>
                <w:p w14:paraId="5AB86FD1">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88.1514245,38.18326716</w:t>
                  </w:r>
                </w:p>
              </w:tc>
            </w:tr>
            <w:tr w14:paraId="0AB5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4AC4F5DD">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61739677">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19B72AA1">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108</w:t>
                  </w:r>
                </w:p>
              </w:tc>
              <w:tc>
                <w:tcPr>
                  <w:tcW w:w="0" w:type="auto"/>
                  <w:shd w:val="clear" w:color="auto" w:fill="auto"/>
                  <w:vAlign w:val="center"/>
                </w:tcPr>
                <w:p w14:paraId="1FFA61BF">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88.14932435,38.18459737</w:t>
                  </w:r>
                </w:p>
              </w:tc>
            </w:tr>
            <w:tr w14:paraId="3171A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015021F0">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6F60C30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6BE8E3C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109</w:t>
                  </w:r>
                </w:p>
              </w:tc>
              <w:tc>
                <w:tcPr>
                  <w:tcW w:w="0" w:type="auto"/>
                  <w:shd w:val="clear" w:color="auto" w:fill="auto"/>
                  <w:vAlign w:val="center"/>
                </w:tcPr>
                <w:p w14:paraId="3530A4AF">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88.14928008,38.18722329</w:t>
                  </w:r>
                </w:p>
              </w:tc>
            </w:tr>
            <w:tr w14:paraId="133F2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106E630B">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1D1FEC3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1FD630B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110</w:t>
                  </w:r>
                </w:p>
              </w:tc>
              <w:tc>
                <w:tcPr>
                  <w:tcW w:w="0" w:type="auto"/>
                  <w:shd w:val="clear" w:color="auto" w:fill="auto"/>
                  <w:vAlign w:val="center"/>
                </w:tcPr>
                <w:p w14:paraId="5ACA924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88.14761798,38.18997116</w:t>
                  </w:r>
                </w:p>
              </w:tc>
            </w:tr>
            <w:tr w14:paraId="5FBC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02C040DF">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33FC986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6699D5FC">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111</w:t>
                  </w:r>
                </w:p>
              </w:tc>
              <w:tc>
                <w:tcPr>
                  <w:tcW w:w="0" w:type="auto"/>
                  <w:shd w:val="clear" w:color="auto" w:fill="auto"/>
                  <w:vAlign w:val="center"/>
                </w:tcPr>
                <w:p w14:paraId="1F47D34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88.14630869,38.19213552</w:t>
                  </w:r>
                </w:p>
              </w:tc>
            </w:tr>
            <w:tr w14:paraId="45A6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645EB4D2">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4601F2EC">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3C1BDA07">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112</w:t>
                  </w:r>
                </w:p>
              </w:tc>
              <w:tc>
                <w:tcPr>
                  <w:tcW w:w="0" w:type="auto"/>
                  <w:shd w:val="clear" w:color="auto" w:fill="auto"/>
                  <w:vAlign w:val="center"/>
                </w:tcPr>
                <w:p w14:paraId="74FAD1E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88.14774891,38.19533947</w:t>
                  </w:r>
                </w:p>
              </w:tc>
            </w:tr>
            <w:tr w14:paraId="3CD5D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57A1DD0F">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536357A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1BECAA2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113</w:t>
                  </w:r>
                </w:p>
              </w:tc>
              <w:tc>
                <w:tcPr>
                  <w:tcW w:w="0" w:type="auto"/>
                  <w:shd w:val="clear" w:color="auto" w:fill="auto"/>
                  <w:vAlign w:val="center"/>
                </w:tcPr>
                <w:p w14:paraId="23C09C0C">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88.14616076,38.1983396</w:t>
                  </w:r>
                </w:p>
              </w:tc>
            </w:tr>
            <w:tr w14:paraId="06ED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02B37733">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0EC2F4F0">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7BCAF2C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114</w:t>
                  </w:r>
                </w:p>
              </w:tc>
              <w:tc>
                <w:tcPr>
                  <w:tcW w:w="0" w:type="auto"/>
                  <w:shd w:val="clear" w:color="auto" w:fill="auto"/>
                  <w:vAlign w:val="center"/>
                </w:tcPr>
                <w:p w14:paraId="73FB95A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88.14374764,38.19869411</w:t>
                  </w:r>
                </w:p>
              </w:tc>
            </w:tr>
            <w:tr w14:paraId="6D9A9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4215DC29">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709B588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5374860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115</w:t>
                  </w:r>
                </w:p>
              </w:tc>
              <w:tc>
                <w:tcPr>
                  <w:tcW w:w="0" w:type="auto"/>
                  <w:shd w:val="clear" w:color="auto" w:fill="auto"/>
                  <w:vAlign w:val="center"/>
                </w:tcPr>
                <w:p w14:paraId="690BD8C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88.14310659,38.20176267</w:t>
                  </w:r>
                </w:p>
              </w:tc>
            </w:tr>
            <w:tr w14:paraId="6A13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53B1C557">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2C844BEF">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2560501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116</w:t>
                  </w:r>
                </w:p>
              </w:tc>
              <w:tc>
                <w:tcPr>
                  <w:tcW w:w="0" w:type="auto"/>
                  <w:shd w:val="clear" w:color="auto" w:fill="auto"/>
                  <w:vAlign w:val="center"/>
                </w:tcPr>
                <w:p w14:paraId="6C30C3BF">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88.1412849,38.20284109</w:t>
                  </w:r>
                </w:p>
              </w:tc>
            </w:tr>
            <w:tr w14:paraId="15399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2102F5B0">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6A66EC9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6DEBFDA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117</w:t>
                  </w:r>
                </w:p>
              </w:tc>
              <w:tc>
                <w:tcPr>
                  <w:tcW w:w="0" w:type="auto"/>
                  <w:shd w:val="clear" w:color="auto" w:fill="auto"/>
                  <w:vAlign w:val="center"/>
                </w:tcPr>
                <w:p w14:paraId="778F1AA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88.13712125,38.20309902</w:t>
                  </w:r>
                </w:p>
              </w:tc>
            </w:tr>
            <w:tr w14:paraId="02D98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10D87FA2">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06AADD7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1066E7F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118</w:t>
                  </w:r>
                </w:p>
              </w:tc>
              <w:tc>
                <w:tcPr>
                  <w:tcW w:w="0" w:type="auto"/>
                  <w:shd w:val="clear" w:color="auto" w:fill="auto"/>
                  <w:vAlign w:val="center"/>
                </w:tcPr>
                <w:p w14:paraId="2CB50CB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88.13288311,38.20336131</w:t>
                  </w:r>
                </w:p>
              </w:tc>
            </w:tr>
            <w:tr w14:paraId="42724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3D7C31DD">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68EA8D7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6DDD688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119</w:t>
                  </w:r>
                </w:p>
              </w:tc>
              <w:tc>
                <w:tcPr>
                  <w:tcW w:w="0" w:type="auto"/>
                  <w:shd w:val="clear" w:color="auto" w:fill="auto"/>
                  <w:vAlign w:val="center"/>
                </w:tcPr>
                <w:p w14:paraId="21872F3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88.13134331,38.2057467</w:t>
                  </w:r>
                </w:p>
              </w:tc>
            </w:tr>
            <w:tr w14:paraId="0F9D0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7B37F919">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694A262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27F2064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120</w:t>
                  </w:r>
                </w:p>
              </w:tc>
              <w:tc>
                <w:tcPr>
                  <w:tcW w:w="0" w:type="auto"/>
                  <w:shd w:val="clear" w:color="auto" w:fill="auto"/>
                  <w:vAlign w:val="center"/>
                </w:tcPr>
                <w:p w14:paraId="2C55D76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88.1300622,38.20773112</w:t>
                  </w:r>
                </w:p>
              </w:tc>
            </w:tr>
            <w:tr w14:paraId="7506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155C97B3">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47813FC5">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4071455F">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121</w:t>
                  </w:r>
                </w:p>
              </w:tc>
              <w:tc>
                <w:tcPr>
                  <w:tcW w:w="0" w:type="auto"/>
                  <w:shd w:val="clear" w:color="auto" w:fill="auto"/>
                  <w:vAlign w:val="center"/>
                </w:tcPr>
                <w:p w14:paraId="0886ECC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88.12756367,38.20873707</w:t>
                  </w:r>
                </w:p>
              </w:tc>
            </w:tr>
            <w:tr w14:paraId="602D3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0733F80A">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3454C997">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1618E14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122</w:t>
                  </w:r>
                </w:p>
              </w:tc>
              <w:tc>
                <w:tcPr>
                  <w:tcW w:w="0" w:type="auto"/>
                  <w:shd w:val="clear" w:color="auto" w:fill="auto"/>
                  <w:vAlign w:val="center"/>
                </w:tcPr>
                <w:p w14:paraId="3EA2CB0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88.12291228,38.20886018</w:t>
                  </w:r>
                </w:p>
              </w:tc>
            </w:tr>
            <w:tr w14:paraId="4A3F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25EA1846">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73EE8D0D">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5E36F19F">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123</w:t>
                  </w:r>
                </w:p>
              </w:tc>
              <w:tc>
                <w:tcPr>
                  <w:tcW w:w="0" w:type="auto"/>
                  <w:shd w:val="clear" w:color="auto" w:fill="auto"/>
                  <w:vAlign w:val="center"/>
                </w:tcPr>
                <w:p w14:paraId="42EA8E1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88.12118049,38.21032267</w:t>
                  </w:r>
                </w:p>
              </w:tc>
            </w:tr>
            <w:tr w14:paraId="7DD84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6E06CE38">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3371012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009C180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124</w:t>
                  </w:r>
                </w:p>
              </w:tc>
              <w:tc>
                <w:tcPr>
                  <w:tcW w:w="0" w:type="auto"/>
                  <w:shd w:val="clear" w:color="auto" w:fill="auto"/>
                  <w:vAlign w:val="center"/>
                </w:tcPr>
                <w:p w14:paraId="367B9A5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88.11886587,38.21227711</w:t>
                  </w:r>
                </w:p>
              </w:tc>
            </w:tr>
            <w:tr w14:paraId="5B42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3B0029BD">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11C38C1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4B84CE2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125</w:t>
                  </w:r>
                </w:p>
              </w:tc>
              <w:tc>
                <w:tcPr>
                  <w:tcW w:w="0" w:type="auto"/>
                  <w:shd w:val="clear" w:color="auto" w:fill="auto"/>
                  <w:vAlign w:val="center"/>
                </w:tcPr>
                <w:p w14:paraId="67FA18E2">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88.11714524,38.21322349</w:t>
                  </w:r>
                </w:p>
              </w:tc>
            </w:tr>
            <w:tr w14:paraId="3FE1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2237169C">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0D0F19D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7212375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126</w:t>
                  </w:r>
                </w:p>
              </w:tc>
              <w:tc>
                <w:tcPr>
                  <w:tcW w:w="0" w:type="auto"/>
                  <w:shd w:val="clear" w:color="auto" w:fill="auto"/>
                  <w:vAlign w:val="center"/>
                </w:tcPr>
                <w:p w14:paraId="3ABEC2E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88.11354745,38.21520219</w:t>
                  </w:r>
                </w:p>
              </w:tc>
            </w:tr>
            <w:tr w14:paraId="393FF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794D3A83">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14B3310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03979C0B">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127</w:t>
                  </w:r>
                </w:p>
              </w:tc>
              <w:tc>
                <w:tcPr>
                  <w:tcW w:w="0" w:type="auto"/>
                  <w:shd w:val="clear" w:color="auto" w:fill="auto"/>
                  <w:vAlign w:val="center"/>
                </w:tcPr>
                <w:p w14:paraId="2335B287">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88.10945372,38.21547257</w:t>
                  </w:r>
                </w:p>
              </w:tc>
            </w:tr>
            <w:tr w14:paraId="4032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703B68CA">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2F7D1687">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186989F1">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128</w:t>
                  </w:r>
                </w:p>
              </w:tc>
              <w:tc>
                <w:tcPr>
                  <w:tcW w:w="0" w:type="auto"/>
                  <w:shd w:val="clear" w:color="auto" w:fill="auto"/>
                  <w:vAlign w:val="center"/>
                </w:tcPr>
                <w:p w14:paraId="1DE217A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88.10542137,38.21573885</w:t>
                  </w:r>
                </w:p>
              </w:tc>
            </w:tr>
            <w:tr w14:paraId="1CCE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4730FACF">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4F35A17F">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70B8A4EF">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129</w:t>
                  </w:r>
                </w:p>
              </w:tc>
              <w:tc>
                <w:tcPr>
                  <w:tcW w:w="0" w:type="auto"/>
                  <w:shd w:val="clear" w:color="auto" w:fill="auto"/>
                  <w:vAlign w:val="center"/>
                </w:tcPr>
                <w:p w14:paraId="2C397F61">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88.10253513,38.21592918</w:t>
                  </w:r>
                </w:p>
              </w:tc>
            </w:tr>
            <w:tr w14:paraId="169B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2943598C">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71621ABA">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36AC31A3">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130</w:t>
                  </w:r>
                </w:p>
              </w:tc>
              <w:tc>
                <w:tcPr>
                  <w:tcW w:w="0" w:type="auto"/>
                  <w:shd w:val="clear" w:color="auto" w:fill="auto"/>
                  <w:vAlign w:val="center"/>
                </w:tcPr>
                <w:p w14:paraId="28E7F9A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88.09953142,38.21693944</w:t>
                  </w:r>
                </w:p>
              </w:tc>
            </w:tr>
            <w:tr w14:paraId="6AB6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shd w:val="clear" w:color="auto" w:fill="auto"/>
                  <w:vAlign w:val="center"/>
                </w:tcPr>
                <w:p w14:paraId="21721ACA">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6B70A519">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02161CD6">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131</w:t>
                  </w:r>
                </w:p>
              </w:tc>
              <w:tc>
                <w:tcPr>
                  <w:tcW w:w="0" w:type="auto"/>
                  <w:shd w:val="clear" w:color="auto" w:fill="auto"/>
                  <w:vAlign w:val="center"/>
                </w:tcPr>
                <w:p w14:paraId="47F7DDE4">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88.09767932,38.21756246</w:t>
                  </w:r>
                </w:p>
              </w:tc>
            </w:tr>
            <w:tr w14:paraId="7F23C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0" w:type="auto"/>
                  <w:shd w:val="clear" w:color="auto" w:fill="auto"/>
                  <w:vAlign w:val="center"/>
                </w:tcPr>
                <w:p w14:paraId="153C9E3B">
                  <w:pPr>
                    <w:keepNext w:val="0"/>
                    <w:keepLines w:val="0"/>
                    <w:widowControl/>
                    <w:suppressLineNumbers w:val="0"/>
                    <w:jc w:val="center"/>
                    <w:textAlignment w:val="center"/>
                    <w:rPr>
                      <w:rFonts w:hint="default" w:ascii="Calibri" w:hAnsi="Calibri" w:eastAsia="宋体" w:cs="Calibri"/>
                      <w:i w:val="0"/>
                      <w:iCs w:val="0"/>
                      <w:color w:val="FF0000"/>
                      <w:sz w:val="21"/>
                      <w:szCs w:val="21"/>
                      <w:u w:val="none"/>
                    </w:rPr>
                  </w:pPr>
                </w:p>
              </w:tc>
              <w:tc>
                <w:tcPr>
                  <w:tcW w:w="0" w:type="auto"/>
                  <w:shd w:val="clear" w:color="auto" w:fill="auto"/>
                  <w:vAlign w:val="center"/>
                </w:tcPr>
                <w:p w14:paraId="2CF9476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p>
              </w:tc>
              <w:tc>
                <w:tcPr>
                  <w:tcW w:w="510" w:type="pct"/>
                  <w:shd w:val="clear" w:color="auto" w:fill="auto"/>
                  <w:vAlign w:val="center"/>
                </w:tcPr>
                <w:p w14:paraId="48F86268">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132</w:t>
                  </w:r>
                </w:p>
              </w:tc>
              <w:tc>
                <w:tcPr>
                  <w:tcW w:w="0" w:type="auto"/>
                  <w:shd w:val="clear" w:color="auto" w:fill="auto"/>
                  <w:vAlign w:val="center"/>
                </w:tcPr>
                <w:p w14:paraId="6B4A1EBE">
                  <w:pPr>
                    <w:keepNext w:val="0"/>
                    <w:keepLines w:val="0"/>
                    <w:widowControl/>
                    <w:suppressLineNumbers w:val="0"/>
                    <w:jc w:val="center"/>
                    <w:textAlignment w:val="center"/>
                    <w:rPr>
                      <w:rFonts w:hint="default" w:ascii="Calibri" w:hAnsi="Calibri" w:eastAsia="宋体" w:cs="Calibri"/>
                      <w:i w:val="0"/>
                      <w:iCs w:val="0"/>
                      <w:color w:val="000000"/>
                      <w:kern w:val="2"/>
                      <w:sz w:val="21"/>
                      <w:szCs w:val="21"/>
                      <w:u w:val="none"/>
                      <w:lang w:val="en-US" w:eastAsia="zh-CN" w:bidi="ar-SA"/>
                    </w:rPr>
                  </w:pPr>
                  <w:r>
                    <w:rPr>
                      <w:rFonts w:hint="default" w:ascii="Calibri" w:hAnsi="Calibri" w:eastAsia="宋体" w:cs="Calibri"/>
                      <w:i w:val="0"/>
                      <w:iCs w:val="0"/>
                      <w:color w:val="000000"/>
                      <w:kern w:val="0"/>
                      <w:sz w:val="21"/>
                      <w:szCs w:val="21"/>
                      <w:u w:val="none"/>
                      <w:lang w:val="en-US" w:eastAsia="zh-CN" w:bidi="ar"/>
                    </w:rPr>
                    <w:t>88.09486289,38.21850959</w:t>
                  </w:r>
                </w:p>
              </w:tc>
            </w:tr>
          </w:tbl>
          <w:p w14:paraId="25E2109A">
            <w:pPr>
              <w:pStyle w:val="12"/>
              <w:rPr>
                <w:rFonts w:hint="default"/>
                <w:b w:val="0"/>
                <w:bCs w:val="0"/>
                <w:color w:val="auto"/>
                <w:lang w:val="en-US"/>
              </w:rPr>
            </w:pPr>
          </w:p>
        </w:tc>
      </w:tr>
      <w:tr w14:paraId="41D7C5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227" w:type="pct"/>
            <w:noWrap w:val="0"/>
            <w:vAlign w:val="center"/>
          </w:tcPr>
          <w:p w14:paraId="7FAF8D37">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项目组成及规模</w:t>
            </w:r>
          </w:p>
        </w:tc>
        <w:tc>
          <w:tcPr>
            <w:tcW w:w="4772" w:type="pct"/>
            <w:noWrap w:val="0"/>
            <w:vAlign w:val="top"/>
          </w:tcPr>
          <w:p w14:paraId="14B134C1">
            <w:pPr>
              <w:pStyle w:val="36"/>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firstLine="482" w:firstLineChars="200"/>
              <w:textAlignment w:val="auto"/>
              <w:rPr>
                <w:rFonts w:hint="eastAsia"/>
                <w:color w:val="auto"/>
                <w:lang w:val="en-US" w:eastAsia="zh-CN"/>
              </w:rPr>
            </w:pPr>
            <w:r>
              <w:rPr>
                <w:rFonts w:hint="eastAsia" w:cs="宋体"/>
                <w:b/>
                <w:color w:val="auto"/>
                <w:kern w:val="0"/>
                <w:sz w:val="24"/>
                <w:szCs w:val="21"/>
                <w:lang w:val="en-US" w:eastAsia="zh-CN" w:bidi="ar-SA"/>
              </w:rPr>
              <w:t>1.</w:t>
            </w:r>
            <w:r>
              <w:rPr>
                <w:rFonts w:hint="eastAsia"/>
                <w:color w:val="auto"/>
                <w:lang w:val="en-US" w:eastAsia="zh-CN"/>
              </w:rPr>
              <w:t>项目由来</w:t>
            </w:r>
          </w:p>
          <w:p w14:paraId="61DE016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cs="宋体"/>
                <w:color w:val="auto"/>
                <w:kern w:val="0"/>
                <w:sz w:val="24"/>
                <w:szCs w:val="24"/>
                <w:lang w:val="en-US" w:eastAsia="zh-CN"/>
              </w:rPr>
            </w:pPr>
            <w:r>
              <w:rPr>
                <w:rFonts w:hint="default" w:ascii="宋体" w:hAnsi="宋体" w:cs="宋体"/>
                <w:color w:val="auto"/>
                <w:kern w:val="0"/>
                <w:sz w:val="24"/>
                <w:szCs w:val="24"/>
                <w:lang w:val="en-US" w:eastAsia="zh-CN"/>
              </w:rPr>
              <w:t>若羌县南部矿区矿产资源品种多，储量大，开发前景好，但位置偏僻、交通不便、暂无电网供电设施覆盖，严重制约山区内矿产资源开发利用。为统筹各矿产开发点的统一供电，节约供电线路廊道资源，节省供电设施建设投资，满足当地各落地开矿企业的供电需求和发展，若羌县政府拟在阿尔金山</w:t>
            </w:r>
            <w:r>
              <w:rPr>
                <w:rFonts w:hint="eastAsia" w:ascii="宋体" w:hAnsi="宋体" w:cs="宋体"/>
                <w:color w:val="auto"/>
                <w:kern w:val="0"/>
                <w:sz w:val="24"/>
                <w:szCs w:val="24"/>
                <w:lang w:val="en-US" w:eastAsia="zh-CN"/>
              </w:rPr>
              <w:t>北部</w:t>
            </w:r>
            <w:r>
              <w:rPr>
                <w:rFonts w:hint="default" w:ascii="宋体" w:hAnsi="宋体" w:cs="宋体"/>
                <w:color w:val="auto"/>
                <w:kern w:val="0"/>
                <w:sz w:val="24"/>
                <w:szCs w:val="24"/>
                <w:lang w:val="en-US" w:eastAsia="zh-CN"/>
              </w:rPr>
              <w:t>建设南部矿区110kV供电工程项目</w:t>
            </w:r>
            <w:r>
              <w:rPr>
                <w:rFonts w:hint="eastAsia" w:ascii="宋体" w:hAnsi="宋体" w:cs="宋体"/>
                <w:color w:val="auto"/>
                <w:kern w:val="0"/>
                <w:sz w:val="24"/>
                <w:szCs w:val="24"/>
                <w:lang w:val="en-US" w:eastAsia="zh-CN"/>
              </w:rPr>
              <w:t>。</w:t>
            </w:r>
          </w:p>
          <w:p w14:paraId="366FB6B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ascii="宋体" w:hAnsi="宋体" w:cs="宋体"/>
                <w:color w:val="auto"/>
                <w:kern w:val="0"/>
                <w:sz w:val="24"/>
                <w:szCs w:val="24"/>
                <w:lang w:val="en-US" w:eastAsia="zh-CN"/>
              </w:rPr>
            </w:pPr>
            <w:r>
              <w:rPr>
                <w:rFonts w:hint="eastAsia" w:ascii="宋体" w:hAnsi="宋体" w:cs="宋体"/>
                <w:color w:val="auto"/>
                <w:kern w:val="0"/>
                <w:sz w:val="24"/>
                <w:szCs w:val="24"/>
                <w:lang w:val="en-US" w:eastAsia="zh-CN"/>
              </w:rPr>
              <w:t>按照《中华人民共和国环境保护法》《建设项目环境保护管理条例》和《建设项目环境影响评价分类管理名录（2021）》等有关法律法规规定，项目属《名录》所列五十五、核与辐射中“161 输变电工程中的其他类”，本项目应编制环境影响报告表。受建设单位委托，我公司承担了本项目的环境影响评价工作。接受委托后，我单位在现场踏勘和资料收集的基础上。编制完成了若羌南部矿区羌河三区110千伏输变电工程环境影响报告表，审批后作为生态环境部门和该企业进行环境管理的依据。</w:t>
            </w:r>
          </w:p>
          <w:p w14:paraId="2CE0B549">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left"/>
              <w:textAlignment w:val="auto"/>
              <w:rPr>
                <w:rFonts w:hint="default" w:ascii="宋体" w:hAnsi="宋体" w:cs="宋体"/>
                <w:b/>
                <w:bCs/>
                <w:color w:val="auto"/>
                <w:kern w:val="0"/>
                <w:sz w:val="24"/>
                <w:szCs w:val="24"/>
                <w:lang w:val="en-US" w:eastAsia="zh-CN"/>
              </w:rPr>
            </w:pPr>
            <w:r>
              <w:rPr>
                <w:rFonts w:hint="eastAsia" w:ascii="宋体" w:hAnsi="宋体" w:cs="宋体"/>
                <w:b/>
                <w:bCs/>
                <w:color w:val="auto"/>
                <w:kern w:val="0"/>
                <w:sz w:val="24"/>
                <w:szCs w:val="24"/>
                <w:lang w:val="en-US" w:eastAsia="zh-CN"/>
              </w:rPr>
              <w:t>2、项目组成及规模</w:t>
            </w:r>
          </w:p>
          <w:p w14:paraId="0ABA597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Calibri" w:hAnsi="Calibri" w:cs="Calibri"/>
                <w:color w:val="auto"/>
                <w:kern w:val="0"/>
                <w:sz w:val="24"/>
                <w:szCs w:val="24"/>
                <w:lang w:val="en-US" w:eastAsia="zh-CN"/>
              </w:rPr>
            </w:pPr>
            <w:r>
              <w:rPr>
                <w:rFonts w:hint="default" w:ascii="Calibri" w:hAnsi="Calibri" w:cs="Calibri"/>
                <w:color w:val="auto"/>
                <w:kern w:val="0"/>
                <w:sz w:val="24"/>
                <w:szCs w:val="24"/>
                <w:lang w:val="en-US" w:eastAsia="zh-CN"/>
              </w:rPr>
              <w:t>（1）110kv南部矿区变电站</w:t>
            </w:r>
          </w:p>
          <w:p w14:paraId="5D8F338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Calibri" w:hAnsi="Calibri" w:cs="Calibri"/>
                <w:color w:val="auto"/>
                <w:kern w:val="0"/>
                <w:sz w:val="24"/>
                <w:szCs w:val="24"/>
                <w:lang w:val="en-US" w:eastAsia="zh-CN"/>
              </w:rPr>
            </w:pPr>
            <w:r>
              <w:rPr>
                <w:rFonts w:hint="default" w:ascii="Calibri" w:hAnsi="Calibri" w:cs="Calibri"/>
                <w:color w:val="auto"/>
                <w:kern w:val="0"/>
                <w:sz w:val="24"/>
                <w:szCs w:val="24"/>
                <w:lang w:val="en-US" w:eastAsia="zh-CN"/>
              </w:rPr>
              <w:t>将白干湖220kv变电站作为本次拟建南部矿区110kv变电站的主供电源。本项目110kv南部矿区变电站工程建设内容包括：在若羌县南部矿区新建1座110千伏变电站，主变压器户外式布置，规划2台50MVA主变，本期建成1台50MVA主变，本站为综合自动化系统无人值守变电站。</w:t>
            </w:r>
          </w:p>
          <w:p w14:paraId="53D1721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Calibri" w:hAnsi="Calibri" w:cs="Calibri"/>
                <w:color w:val="auto"/>
                <w:kern w:val="0"/>
                <w:sz w:val="24"/>
                <w:szCs w:val="24"/>
                <w:lang w:val="en-US" w:eastAsia="zh-CN"/>
              </w:rPr>
            </w:pPr>
            <w:r>
              <w:rPr>
                <w:rFonts w:hint="default" w:ascii="Calibri" w:hAnsi="Calibri" w:cs="Calibri"/>
                <w:color w:val="auto"/>
                <w:kern w:val="0"/>
                <w:sz w:val="24"/>
                <w:szCs w:val="24"/>
                <w:lang w:val="en-US" w:eastAsia="zh-CN"/>
              </w:rPr>
              <w:t>（2）输电线路规模</w:t>
            </w:r>
          </w:p>
          <w:p w14:paraId="1A164D4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Calibri" w:hAnsi="Calibri" w:cs="Calibri"/>
                <w:color w:val="auto"/>
                <w:kern w:val="0"/>
                <w:sz w:val="24"/>
                <w:szCs w:val="24"/>
                <w:lang w:val="en-US" w:eastAsia="zh-CN"/>
              </w:rPr>
            </w:pPr>
            <w:r>
              <w:rPr>
                <w:rFonts w:hint="default" w:ascii="Calibri" w:hAnsi="Calibri" w:cs="Calibri"/>
                <w:color w:val="auto"/>
                <w:kern w:val="0"/>
                <w:sz w:val="24"/>
                <w:szCs w:val="24"/>
                <w:lang w:val="en-US" w:eastAsia="zh-CN"/>
              </w:rPr>
              <w:t>A段：本项目为若羌南部矿区羌河三区110kV输变电工程，自220kV白干湖变电站起，至拟建110kV南部矿区变电站止，电压等级110kV，采用同塔双回路架设（本期单边挂线），线路路径长度约32.3千米。导线采用JL/G1A-240/40型钢芯铝绞线，电缆采用ZRC-YJLW03-Z-1×300型电力电缆全线架设双地线，采用2根24芯OPGW复合光缆。</w:t>
            </w:r>
          </w:p>
          <w:p w14:paraId="65B5D1F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Calibri" w:hAnsi="Calibri" w:cs="Calibri"/>
                <w:color w:val="auto"/>
                <w:kern w:val="0"/>
                <w:sz w:val="24"/>
                <w:szCs w:val="24"/>
                <w:lang w:val="en-US" w:eastAsia="zh-CN"/>
              </w:rPr>
            </w:pPr>
            <w:r>
              <w:rPr>
                <w:rFonts w:hint="default" w:ascii="Calibri" w:hAnsi="Calibri" w:cs="Calibri"/>
                <w:color w:val="auto"/>
                <w:kern w:val="0"/>
                <w:sz w:val="24"/>
                <w:szCs w:val="24"/>
                <w:lang w:val="en-US" w:eastAsia="zh-CN"/>
              </w:rPr>
              <w:t>B段：本项目自拟建110kV南部矿区变电站起，至羌河三区拟用电点止，电压等级110kV，采用单回路铁塔架设，线路路径长度约42.8千米。导线采用JL/G1A-240/40型钢芯铝绞线，电缆采用ZRC-YJLW03-Z-1×300型电力电缆，全线架设双地线，采用2根24芯OPGW复合光缆。</w:t>
            </w:r>
          </w:p>
          <w:p w14:paraId="5FF4A198">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hint="default" w:ascii="Calibri" w:hAnsi="Calibri" w:cs="Calibri"/>
                <w:color w:val="auto"/>
                <w:kern w:val="0"/>
                <w:sz w:val="24"/>
                <w:szCs w:val="24"/>
                <w:lang w:val="en-US" w:eastAsia="zh-CN"/>
              </w:rPr>
            </w:pPr>
            <w:r>
              <w:rPr>
                <w:rFonts w:hint="default" w:ascii="Calibri" w:hAnsi="Calibri" w:cs="Calibri"/>
                <w:color w:val="auto"/>
                <w:kern w:val="0"/>
                <w:sz w:val="24"/>
                <w:lang w:val="en-US" w:eastAsia="zh-CN"/>
              </w:rPr>
              <w:t>杆塔数量</w:t>
            </w:r>
            <w:r>
              <w:rPr>
                <w:rFonts w:hint="default" w:ascii="Calibri" w:hAnsi="Calibri" w:eastAsia="宋体" w:cs="Calibri"/>
                <w:color w:val="auto"/>
                <w:kern w:val="0"/>
                <w:sz w:val="24"/>
                <w:lang w:val="en-US" w:eastAsia="zh-CN"/>
              </w:rPr>
              <w:t>：共新建</w:t>
            </w:r>
            <w:r>
              <w:rPr>
                <w:rFonts w:hint="default" w:ascii="Calibri" w:hAnsi="Calibri" w:cs="Calibri"/>
                <w:color w:val="auto"/>
                <w:kern w:val="0"/>
                <w:sz w:val="24"/>
                <w:lang w:val="en-US" w:eastAsia="zh-CN"/>
              </w:rPr>
              <w:t>杆塔</w:t>
            </w:r>
            <w:r>
              <w:rPr>
                <w:rFonts w:hint="eastAsia" w:ascii="Calibri" w:hAnsi="Calibri" w:cs="Calibri"/>
                <w:color w:val="auto"/>
                <w:kern w:val="0"/>
                <w:sz w:val="24"/>
                <w:lang w:val="en-US" w:eastAsia="zh-CN"/>
              </w:rPr>
              <w:t>225</w:t>
            </w:r>
            <w:r>
              <w:rPr>
                <w:rFonts w:hint="default" w:ascii="Calibri" w:hAnsi="Calibri" w:eastAsia="宋体" w:cs="Calibri"/>
                <w:color w:val="auto"/>
                <w:kern w:val="0"/>
                <w:sz w:val="24"/>
                <w:lang w:val="en-US" w:eastAsia="zh-CN"/>
              </w:rPr>
              <w:t>基，其中直线</w:t>
            </w:r>
            <w:r>
              <w:rPr>
                <w:rFonts w:hint="default" w:ascii="Calibri" w:hAnsi="Calibri" w:cs="Calibri"/>
                <w:color w:val="auto"/>
                <w:kern w:val="0"/>
                <w:sz w:val="24"/>
                <w:lang w:val="en-US" w:eastAsia="zh-CN"/>
              </w:rPr>
              <w:t>杆塔</w:t>
            </w:r>
            <w:r>
              <w:rPr>
                <w:rFonts w:hint="eastAsia" w:ascii="Calibri" w:hAnsi="Calibri" w:cs="Calibri"/>
                <w:color w:val="auto"/>
                <w:kern w:val="0"/>
                <w:sz w:val="24"/>
                <w:lang w:val="en-US" w:eastAsia="zh-CN"/>
              </w:rPr>
              <w:t>163</w:t>
            </w:r>
            <w:r>
              <w:rPr>
                <w:rFonts w:hint="default" w:ascii="Calibri" w:hAnsi="Calibri" w:eastAsia="宋体" w:cs="Calibri"/>
                <w:color w:val="auto"/>
                <w:kern w:val="0"/>
                <w:sz w:val="24"/>
                <w:lang w:val="en-US" w:eastAsia="zh-CN"/>
              </w:rPr>
              <w:t>基，</w:t>
            </w:r>
            <w:r>
              <w:rPr>
                <w:rFonts w:hint="default" w:ascii="Calibri" w:hAnsi="Calibri" w:cs="Calibri"/>
                <w:color w:val="auto"/>
                <w:kern w:val="0"/>
                <w:sz w:val="24"/>
                <w:lang w:val="en-US" w:eastAsia="zh-CN"/>
              </w:rPr>
              <w:t>耐张</w:t>
            </w:r>
            <w:r>
              <w:rPr>
                <w:rFonts w:hint="eastAsia" w:ascii="Calibri" w:hAnsi="Calibri" w:cs="Calibri"/>
                <w:color w:val="auto"/>
                <w:kern w:val="0"/>
                <w:sz w:val="24"/>
                <w:lang w:val="en-US" w:eastAsia="zh-CN"/>
              </w:rPr>
              <w:t>杆塔62</w:t>
            </w:r>
            <w:r>
              <w:rPr>
                <w:rFonts w:hint="default" w:ascii="Calibri" w:hAnsi="Calibri" w:eastAsia="宋体" w:cs="Calibri"/>
                <w:color w:val="auto"/>
                <w:kern w:val="0"/>
                <w:sz w:val="24"/>
                <w:lang w:val="en-US" w:eastAsia="zh-CN"/>
              </w:rPr>
              <w:t>基</w:t>
            </w:r>
            <w:r>
              <w:rPr>
                <w:rFonts w:hint="default" w:ascii="Calibri" w:hAnsi="Calibri" w:cs="Calibri"/>
                <w:color w:val="auto"/>
                <w:kern w:val="0"/>
                <w:sz w:val="24"/>
                <w:szCs w:val="24"/>
                <w:lang w:val="en-US" w:eastAsia="zh-CN"/>
              </w:rPr>
              <w:t>。</w:t>
            </w:r>
          </w:p>
          <w:p w14:paraId="7932E3CF">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hint="default" w:ascii="Calibri" w:hAnsi="Calibri" w:cs="Calibri"/>
                <w:color w:val="auto"/>
                <w:kern w:val="0"/>
                <w:sz w:val="24"/>
                <w:szCs w:val="24"/>
                <w:lang w:val="en-US" w:eastAsia="zh-CN"/>
              </w:rPr>
            </w:pPr>
            <w:r>
              <w:rPr>
                <w:rFonts w:hint="default" w:ascii="Calibri" w:hAnsi="Calibri" w:cs="Calibri"/>
                <w:color w:val="auto"/>
                <w:kern w:val="0"/>
                <w:sz w:val="24"/>
                <w:szCs w:val="24"/>
                <w:lang w:val="en-US" w:eastAsia="zh-CN"/>
              </w:rPr>
              <w:t>本项目主变容量规划为2×50MVA，本期建成1×50MVA，本次评价按本期建设规模进行，项目工程建设内容及规模一览表见表2-2。</w:t>
            </w:r>
          </w:p>
          <w:p w14:paraId="7FB435AD">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宋体" w:hAnsi="宋体" w:cs="宋体"/>
                <w:b/>
                <w:bCs/>
                <w:color w:val="auto"/>
                <w:kern w:val="0"/>
                <w:sz w:val="24"/>
                <w:szCs w:val="24"/>
                <w:lang w:val="en-US" w:eastAsia="zh-CN"/>
              </w:rPr>
            </w:pPr>
            <w:r>
              <w:rPr>
                <w:rFonts w:hint="eastAsia" w:ascii="宋体" w:hAnsi="宋体" w:cs="宋体"/>
                <w:b/>
                <w:bCs/>
                <w:color w:val="auto"/>
                <w:kern w:val="0"/>
                <w:sz w:val="24"/>
                <w:szCs w:val="24"/>
                <w:lang w:val="en-US" w:eastAsia="zh-CN"/>
              </w:rPr>
              <w:t>表2-2         工程建设内容及规模一览表</w:t>
            </w:r>
          </w:p>
          <w:tbl>
            <w:tblPr>
              <w:tblStyle w:val="22"/>
              <w:tblW w:w="4942"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32"/>
              <w:gridCol w:w="1280"/>
              <w:gridCol w:w="1189"/>
              <w:gridCol w:w="4647"/>
            </w:tblGrid>
            <w:tr w14:paraId="30C0E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2" w:hRule="atLeast"/>
              </w:trPr>
              <w:tc>
                <w:tcPr>
                  <w:tcW w:w="1234" w:type="pct"/>
                  <w:gridSpan w:val="2"/>
                  <w:tcBorders>
                    <w:tl2br w:val="nil"/>
                    <w:tr2bl w:val="nil"/>
                  </w:tcBorders>
                  <w:vAlign w:val="center"/>
                </w:tcPr>
                <w:p w14:paraId="3EBBD5F0">
                  <w:pPr>
                    <w:pStyle w:val="37"/>
                    <w:keepNext w:val="0"/>
                    <w:keepLines w:val="0"/>
                    <w:pageBreakBefore w:val="0"/>
                    <w:widowControl w:val="0"/>
                    <w:kinsoku/>
                    <w:wordWrap/>
                    <w:overflowPunct/>
                    <w:topLinePunct w:val="0"/>
                    <w:autoSpaceDE/>
                    <w:autoSpaceDN/>
                    <w:bidi w:val="0"/>
                    <w:adjustRightInd w:val="0"/>
                    <w:snapToGrid/>
                    <w:spacing w:before="0" w:line="240" w:lineRule="auto"/>
                    <w:ind w:left="0" w:right="0" w:firstLine="0"/>
                    <w:jc w:val="center"/>
                    <w:textAlignment w:val="auto"/>
                    <w:rPr>
                      <w:rFonts w:hint="default" w:ascii="Calibri" w:hAnsi="Calibri" w:cs="Calibri"/>
                      <w:b/>
                      <w:color w:val="auto"/>
                      <w:sz w:val="21"/>
                      <w:szCs w:val="21"/>
                    </w:rPr>
                  </w:pPr>
                  <w:r>
                    <w:rPr>
                      <w:rFonts w:hint="default" w:ascii="Calibri" w:hAnsi="Calibri" w:cs="Calibri"/>
                      <w:b/>
                      <w:color w:val="auto"/>
                      <w:sz w:val="21"/>
                      <w:szCs w:val="21"/>
                    </w:rPr>
                    <w:t>工程类别</w:t>
                  </w:r>
                </w:p>
              </w:tc>
              <w:tc>
                <w:tcPr>
                  <w:tcW w:w="3765" w:type="pct"/>
                  <w:gridSpan w:val="2"/>
                  <w:tcBorders>
                    <w:tl2br w:val="nil"/>
                    <w:tr2bl w:val="nil"/>
                  </w:tcBorders>
                  <w:vAlign w:val="center"/>
                </w:tcPr>
                <w:p w14:paraId="1B6CC7E2">
                  <w:pPr>
                    <w:pStyle w:val="37"/>
                    <w:keepNext w:val="0"/>
                    <w:keepLines w:val="0"/>
                    <w:pageBreakBefore w:val="0"/>
                    <w:widowControl w:val="0"/>
                    <w:kinsoku/>
                    <w:wordWrap/>
                    <w:overflowPunct/>
                    <w:topLinePunct w:val="0"/>
                    <w:autoSpaceDE/>
                    <w:autoSpaceDN/>
                    <w:bidi w:val="0"/>
                    <w:adjustRightInd w:val="0"/>
                    <w:snapToGrid/>
                    <w:spacing w:before="0" w:line="240" w:lineRule="auto"/>
                    <w:ind w:left="0" w:right="0" w:firstLine="0"/>
                    <w:jc w:val="center"/>
                    <w:textAlignment w:val="auto"/>
                    <w:rPr>
                      <w:rFonts w:hint="default" w:ascii="Calibri" w:hAnsi="Calibri" w:cs="Calibri"/>
                      <w:b/>
                      <w:color w:val="auto"/>
                      <w:sz w:val="21"/>
                      <w:szCs w:val="21"/>
                    </w:rPr>
                  </w:pPr>
                  <w:r>
                    <w:rPr>
                      <w:rFonts w:hint="default" w:ascii="Calibri" w:hAnsi="Calibri" w:cs="Calibri"/>
                      <w:b/>
                      <w:color w:val="auto"/>
                      <w:sz w:val="21"/>
                      <w:szCs w:val="21"/>
                    </w:rPr>
                    <w:t>主要建设内容</w:t>
                  </w:r>
                </w:p>
              </w:tc>
            </w:tr>
            <w:tr w14:paraId="67A86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01" w:hRule="atLeast"/>
              </w:trPr>
              <w:tc>
                <w:tcPr>
                  <w:tcW w:w="408" w:type="pct"/>
                  <w:vMerge w:val="restart"/>
                  <w:tcBorders>
                    <w:tl2br w:val="nil"/>
                    <w:tr2bl w:val="nil"/>
                  </w:tcBorders>
                  <w:vAlign w:val="center"/>
                </w:tcPr>
                <w:p w14:paraId="04F78B39">
                  <w:pPr>
                    <w:pStyle w:val="37"/>
                    <w:keepNext w:val="0"/>
                    <w:keepLines w:val="0"/>
                    <w:pageBreakBefore w:val="0"/>
                    <w:widowControl w:val="0"/>
                    <w:kinsoku/>
                    <w:wordWrap/>
                    <w:overflowPunct/>
                    <w:topLinePunct w:val="0"/>
                    <w:autoSpaceDE/>
                    <w:autoSpaceDN/>
                    <w:bidi w:val="0"/>
                    <w:adjustRightInd w:val="0"/>
                    <w:snapToGrid/>
                    <w:spacing w:before="0" w:line="240" w:lineRule="auto"/>
                    <w:ind w:left="0" w:right="0" w:firstLine="0"/>
                    <w:jc w:val="center"/>
                    <w:textAlignment w:val="auto"/>
                    <w:rPr>
                      <w:rFonts w:hint="default" w:ascii="Calibri" w:hAnsi="Calibri" w:cs="Calibri"/>
                      <w:color w:val="auto"/>
                      <w:sz w:val="21"/>
                      <w:szCs w:val="21"/>
                    </w:rPr>
                  </w:pPr>
                  <w:r>
                    <w:rPr>
                      <w:rFonts w:hint="default" w:ascii="Calibri" w:hAnsi="Calibri" w:cs="Calibri"/>
                      <w:color w:val="auto"/>
                      <w:sz w:val="21"/>
                      <w:szCs w:val="21"/>
                    </w:rPr>
                    <w:t>主体</w:t>
                  </w:r>
                </w:p>
                <w:p w14:paraId="6B467390">
                  <w:pPr>
                    <w:pStyle w:val="37"/>
                    <w:keepNext w:val="0"/>
                    <w:keepLines w:val="0"/>
                    <w:pageBreakBefore w:val="0"/>
                    <w:widowControl w:val="0"/>
                    <w:kinsoku/>
                    <w:wordWrap/>
                    <w:overflowPunct/>
                    <w:topLinePunct w:val="0"/>
                    <w:autoSpaceDE/>
                    <w:autoSpaceDN/>
                    <w:bidi w:val="0"/>
                    <w:adjustRightInd w:val="0"/>
                    <w:snapToGrid/>
                    <w:spacing w:before="0" w:line="240" w:lineRule="auto"/>
                    <w:ind w:left="0" w:right="0" w:firstLine="0"/>
                    <w:jc w:val="center"/>
                    <w:textAlignment w:val="auto"/>
                    <w:rPr>
                      <w:rFonts w:hint="default" w:ascii="Calibri" w:hAnsi="Calibri" w:cs="Calibri"/>
                      <w:color w:val="auto"/>
                      <w:sz w:val="21"/>
                      <w:szCs w:val="21"/>
                    </w:rPr>
                  </w:pPr>
                  <w:r>
                    <w:rPr>
                      <w:rFonts w:hint="default" w:ascii="Calibri" w:hAnsi="Calibri" w:cs="Calibri"/>
                      <w:color w:val="auto"/>
                      <w:sz w:val="21"/>
                      <w:szCs w:val="21"/>
                    </w:rPr>
                    <w:t>工程</w:t>
                  </w:r>
                </w:p>
              </w:tc>
              <w:tc>
                <w:tcPr>
                  <w:tcW w:w="825" w:type="pct"/>
                  <w:vMerge w:val="restart"/>
                  <w:tcBorders>
                    <w:tl2br w:val="nil"/>
                    <w:tr2bl w:val="nil"/>
                  </w:tcBorders>
                  <w:vAlign w:val="center"/>
                </w:tcPr>
                <w:p w14:paraId="1CE6D4BB">
                  <w:pPr>
                    <w:pStyle w:val="37"/>
                    <w:keepNext w:val="0"/>
                    <w:keepLines w:val="0"/>
                    <w:pageBreakBefore w:val="0"/>
                    <w:widowControl w:val="0"/>
                    <w:kinsoku/>
                    <w:wordWrap/>
                    <w:overflowPunct/>
                    <w:topLinePunct w:val="0"/>
                    <w:autoSpaceDE/>
                    <w:autoSpaceDN/>
                    <w:bidi w:val="0"/>
                    <w:adjustRightInd w:val="0"/>
                    <w:snapToGrid/>
                    <w:spacing w:before="0" w:line="240" w:lineRule="auto"/>
                    <w:ind w:left="0" w:right="0" w:firstLine="0"/>
                    <w:jc w:val="center"/>
                    <w:textAlignment w:val="auto"/>
                    <w:rPr>
                      <w:rFonts w:hint="default" w:ascii="Calibri" w:hAnsi="Calibri" w:cs="Calibri"/>
                      <w:color w:val="auto"/>
                      <w:sz w:val="21"/>
                      <w:szCs w:val="21"/>
                      <w:lang w:val="en-US"/>
                    </w:rPr>
                  </w:pPr>
                  <w:r>
                    <w:rPr>
                      <w:rFonts w:hint="default" w:ascii="Calibri" w:hAnsi="Calibri" w:cs="Calibri"/>
                      <w:color w:val="auto"/>
                      <w:sz w:val="21"/>
                      <w:szCs w:val="21"/>
                      <w:lang w:val="en-US" w:eastAsia="zh-CN"/>
                    </w:rPr>
                    <w:t>110kv输电线路工程</w:t>
                  </w:r>
                </w:p>
              </w:tc>
              <w:tc>
                <w:tcPr>
                  <w:tcW w:w="3765" w:type="pct"/>
                  <w:gridSpan w:val="2"/>
                  <w:tcBorders>
                    <w:tl2br w:val="nil"/>
                    <w:tr2bl w:val="nil"/>
                  </w:tcBorders>
                  <w:shd w:val="clear" w:color="auto" w:fill="auto"/>
                  <w:vAlign w:val="center"/>
                </w:tcPr>
                <w:p w14:paraId="334EA821">
                  <w:pPr>
                    <w:pStyle w:val="37"/>
                    <w:keepNext w:val="0"/>
                    <w:keepLines w:val="0"/>
                    <w:pageBreakBefore w:val="0"/>
                    <w:widowControl w:val="0"/>
                    <w:kinsoku/>
                    <w:wordWrap/>
                    <w:overflowPunct/>
                    <w:topLinePunct w:val="0"/>
                    <w:autoSpaceDE/>
                    <w:autoSpaceDN/>
                    <w:bidi w:val="0"/>
                    <w:adjustRightInd w:val="0"/>
                    <w:snapToGrid/>
                    <w:spacing w:before="0" w:line="240" w:lineRule="auto"/>
                    <w:ind w:left="0" w:right="0" w:firstLine="0"/>
                    <w:jc w:val="center"/>
                    <w:textAlignment w:val="auto"/>
                    <w:rPr>
                      <w:rFonts w:hint="default" w:ascii="Calibri" w:hAnsi="Calibri" w:cs="Calibri"/>
                      <w:color w:val="auto"/>
                      <w:sz w:val="21"/>
                      <w:szCs w:val="21"/>
                      <w:lang w:val="en-US" w:eastAsia="zh-CN"/>
                    </w:rPr>
                  </w:pPr>
                  <w:r>
                    <w:rPr>
                      <w:rFonts w:hint="default" w:ascii="Calibri" w:hAnsi="Calibri" w:cs="Calibri"/>
                      <w:b w:val="0"/>
                      <w:bCs/>
                      <w:color w:val="auto"/>
                      <w:kern w:val="2"/>
                      <w:sz w:val="21"/>
                      <w:szCs w:val="21"/>
                      <w:lang w:val="en-US" w:eastAsia="zh-CN"/>
                    </w:rPr>
                    <w:t>A段：自220kV白干湖变电站起，至拟建110kV南部矿区变电站止，电压等级110kV</w:t>
                  </w:r>
                  <w:r>
                    <w:rPr>
                      <w:rFonts w:hint="default" w:ascii="Calibri" w:hAnsi="Calibri" w:cs="Calibri"/>
                      <w:color w:val="auto"/>
                      <w:kern w:val="0"/>
                      <w:sz w:val="21"/>
                      <w:szCs w:val="21"/>
                      <w:lang w:eastAsia="zh-CN"/>
                    </w:rPr>
                    <w:t>，采用同塔双回路架设（本期单边挂线），线路路径长度约32.3千米</w:t>
                  </w:r>
                  <w:r>
                    <w:rPr>
                      <w:rFonts w:hint="default" w:ascii="Calibri" w:hAnsi="Calibri" w:cs="Calibri"/>
                      <w:b w:val="0"/>
                      <w:bCs/>
                      <w:color w:val="auto"/>
                      <w:kern w:val="2"/>
                      <w:sz w:val="21"/>
                      <w:szCs w:val="21"/>
                      <w:lang w:val="en-US" w:eastAsia="zh-CN"/>
                    </w:rPr>
                    <w:t>，B段：自拟建110kV南部矿区变电站起，至羌河三区拟用电点止，电压等级110kV，采用单回路铁塔架设，线路路径长度约42.8千米；导线采用JL/G1A-240/40型钢芯铝绞线共新建杆塔</w:t>
                  </w:r>
                  <w:r>
                    <w:rPr>
                      <w:rFonts w:hint="eastAsia" w:ascii="Calibri" w:hAnsi="Calibri" w:cs="Calibri"/>
                      <w:b w:val="0"/>
                      <w:bCs/>
                      <w:color w:val="auto"/>
                      <w:kern w:val="2"/>
                      <w:sz w:val="21"/>
                      <w:szCs w:val="21"/>
                      <w:lang w:val="en-US" w:eastAsia="zh-CN"/>
                    </w:rPr>
                    <w:t>225</w:t>
                  </w:r>
                  <w:r>
                    <w:rPr>
                      <w:rFonts w:hint="default" w:ascii="Calibri" w:hAnsi="Calibri" w:cs="Calibri"/>
                      <w:b w:val="0"/>
                      <w:bCs/>
                      <w:color w:val="auto"/>
                      <w:kern w:val="2"/>
                      <w:sz w:val="21"/>
                      <w:szCs w:val="21"/>
                      <w:lang w:val="en-US" w:eastAsia="zh-CN"/>
                    </w:rPr>
                    <w:t>基，其中直线杆塔</w:t>
                  </w:r>
                  <w:r>
                    <w:rPr>
                      <w:rFonts w:hint="eastAsia" w:ascii="Calibri" w:hAnsi="Calibri" w:cs="Calibri"/>
                      <w:b w:val="0"/>
                      <w:bCs/>
                      <w:color w:val="auto"/>
                      <w:kern w:val="2"/>
                      <w:sz w:val="21"/>
                      <w:szCs w:val="21"/>
                      <w:lang w:val="en-US" w:eastAsia="zh-CN"/>
                    </w:rPr>
                    <w:t>163</w:t>
                  </w:r>
                  <w:r>
                    <w:rPr>
                      <w:rFonts w:hint="default" w:ascii="Calibri" w:hAnsi="Calibri" w:cs="Calibri"/>
                      <w:b w:val="0"/>
                      <w:bCs/>
                      <w:color w:val="auto"/>
                      <w:kern w:val="2"/>
                      <w:sz w:val="21"/>
                      <w:szCs w:val="21"/>
                      <w:lang w:val="en-US" w:eastAsia="zh-CN"/>
                    </w:rPr>
                    <w:t>基耐张杆塔62基。占地面积</w:t>
                  </w:r>
                  <w:r>
                    <w:rPr>
                      <w:rFonts w:hint="eastAsia" w:ascii="Calibri" w:hAnsi="Calibri" w:cs="Calibri"/>
                      <w:b w:val="0"/>
                      <w:bCs/>
                      <w:color w:val="auto"/>
                      <w:kern w:val="2"/>
                      <w:sz w:val="21"/>
                      <w:szCs w:val="21"/>
                      <w:lang w:val="en-US" w:eastAsia="zh-CN"/>
                    </w:rPr>
                    <w:t>6564</w:t>
                  </w:r>
                  <w:r>
                    <w:rPr>
                      <w:rFonts w:hint="eastAsia" w:ascii="Calibri" w:hAnsi="Calibri" w:cs="Calibri"/>
                      <w:color w:val="auto"/>
                      <w:sz w:val="21"/>
                      <w:szCs w:val="21"/>
                      <w:lang w:val="en-US" w:eastAsia="zh-CN"/>
                    </w:rPr>
                    <w:t>m</w:t>
                  </w:r>
                  <w:r>
                    <w:rPr>
                      <w:rFonts w:hint="eastAsia" w:ascii="Calibri" w:hAnsi="Calibri" w:cs="Calibri"/>
                      <w:color w:val="auto"/>
                      <w:sz w:val="21"/>
                      <w:szCs w:val="21"/>
                      <w:vertAlign w:val="superscript"/>
                      <w:lang w:val="en-US" w:eastAsia="zh-CN"/>
                    </w:rPr>
                    <w:t>2</w:t>
                  </w:r>
                  <w:r>
                    <w:rPr>
                      <w:rFonts w:hint="default" w:ascii="Calibri" w:hAnsi="Calibri" w:cs="Calibri"/>
                      <w:b w:val="0"/>
                      <w:bCs/>
                      <w:color w:val="auto"/>
                      <w:kern w:val="2"/>
                      <w:sz w:val="21"/>
                      <w:szCs w:val="21"/>
                      <w:lang w:val="en-US" w:eastAsia="zh-CN"/>
                    </w:rPr>
                    <w:t>。</w:t>
                  </w:r>
                </w:p>
              </w:tc>
            </w:tr>
            <w:tr w14:paraId="5BBCE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8" w:hRule="atLeast"/>
              </w:trPr>
              <w:tc>
                <w:tcPr>
                  <w:tcW w:w="408" w:type="pct"/>
                  <w:vMerge w:val="continue"/>
                  <w:tcBorders>
                    <w:tl2br w:val="nil"/>
                    <w:tr2bl w:val="nil"/>
                  </w:tcBorders>
                  <w:vAlign w:val="center"/>
                </w:tcPr>
                <w:p w14:paraId="6C1DCA0D">
                  <w:pPr>
                    <w:pStyle w:val="37"/>
                    <w:keepNext w:val="0"/>
                    <w:keepLines w:val="0"/>
                    <w:pageBreakBefore w:val="0"/>
                    <w:widowControl w:val="0"/>
                    <w:kinsoku/>
                    <w:wordWrap/>
                    <w:overflowPunct/>
                    <w:topLinePunct w:val="0"/>
                    <w:autoSpaceDE/>
                    <w:autoSpaceDN/>
                    <w:bidi w:val="0"/>
                    <w:adjustRightInd w:val="0"/>
                    <w:snapToGrid/>
                    <w:spacing w:before="0" w:line="240" w:lineRule="auto"/>
                    <w:ind w:left="0" w:right="0" w:firstLine="0"/>
                    <w:jc w:val="center"/>
                    <w:textAlignment w:val="auto"/>
                    <w:rPr>
                      <w:rFonts w:hint="default" w:ascii="Calibri" w:hAnsi="Calibri" w:cs="Calibri"/>
                      <w:color w:val="auto"/>
                      <w:sz w:val="21"/>
                      <w:szCs w:val="21"/>
                    </w:rPr>
                  </w:pPr>
                </w:p>
              </w:tc>
              <w:tc>
                <w:tcPr>
                  <w:tcW w:w="825" w:type="pct"/>
                  <w:vMerge w:val="continue"/>
                  <w:tcBorders>
                    <w:tl2br w:val="nil"/>
                    <w:tr2bl w:val="nil"/>
                  </w:tcBorders>
                  <w:vAlign w:val="center"/>
                </w:tcPr>
                <w:p w14:paraId="38D0CA48">
                  <w:pPr>
                    <w:pStyle w:val="37"/>
                    <w:keepNext w:val="0"/>
                    <w:keepLines w:val="0"/>
                    <w:pageBreakBefore w:val="0"/>
                    <w:widowControl w:val="0"/>
                    <w:kinsoku/>
                    <w:wordWrap/>
                    <w:overflowPunct/>
                    <w:topLinePunct w:val="0"/>
                    <w:autoSpaceDE/>
                    <w:autoSpaceDN/>
                    <w:bidi w:val="0"/>
                    <w:adjustRightInd w:val="0"/>
                    <w:snapToGrid/>
                    <w:spacing w:before="0" w:line="240" w:lineRule="auto"/>
                    <w:ind w:left="0" w:right="0" w:firstLine="0"/>
                    <w:jc w:val="center"/>
                    <w:textAlignment w:val="auto"/>
                    <w:rPr>
                      <w:rFonts w:hint="default" w:ascii="Calibri" w:hAnsi="Calibri" w:cs="Calibri"/>
                      <w:color w:val="auto"/>
                      <w:sz w:val="21"/>
                      <w:szCs w:val="21"/>
                      <w:lang w:val="en-US" w:eastAsia="zh-CN"/>
                    </w:rPr>
                  </w:pPr>
                </w:p>
              </w:tc>
              <w:tc>
                <w:tcPr>
                  <w:tcW w:w="3765" w:type="pct"/>
                  <w:gridSpan w:val="2"/>
                  <w:tcBorders>
                    <w:tl2br w:val="nil"/>
                    <w:tr2bl w:val="nil"/>
                  </w:tcBorders>
                  <w:vAlign w:val="center"/>
                </w:tcPr>
                <w:p w14:paraId="74D58722">
                  <w:pPr>
                    <w:pStyle w:val="37"/>
                    <w:keepNext w:val="0"/>
                    <w:keepLines w:val="0"/>
                    <w:pageBreakBefore w:val="0"/>
                    <w:widowControl w:val="0"/>
                    <w:kinsoku/>
                    <w:wordWrap/>
                    <w:overflowPunct/>
                    <w:topLinePunct w:val="0"/>
                    <w:autoSpaceDE/>
                    <w:autoSpaceDN/>
                    <w:bidi w:val="0"/>
                    <w:adjustRightInd w:val="0"/>
                    <w:snapToGrid/>
                    <w:spacing w:before="0" w:line="240" w:lineRule="auto"/>
                    <w:ind w:left="0" w:right="0" w:firstLine="0"/>
                    <w:jc w:val="center"/>
                    <w:textAlignment w:val="auto"/>
                    <w:rPr>
                      <w:rFonts w:hint="default" w:ascii="Calibri" w:hAnsi="Calibri" w:cs="Calibri"/>
                      <w:color w:val="auto"/>
                      <w:sz w:val="21"/>
                      <w:szCs w:val="21"/>
                      <w:lang w:val="en-US" w:eastAsia="zh-CN"/>
                    </w:rPr>
                  </w:pPr>
                  <w:r>
                    <w:rPr>
                      <w:rFonts w:hint="default" w:ascii="Calibri" w:hAnsi="Calibri" w:cs="Calibri"/>
                      <w:color w:val="auto"/>
                      <w:sz w:val="21"/>
                      <w:szCs w:val="21"/>
                      <w:vertAlign w:val="baseline"/>
                      <w:lang w:val="en-US" w:eastAsia="zh-CN"/>
                    </w:rPr>
                    <w:t>跨越若羌河1</w:t>
                  </w:r>
                  <w:r>
                    <w:rPr>
                      <w:rFonts w:hint="eastAsia" w:ascii="Calibri" w:hAnsi="Calibri" w:cs="Calibri"/>
                      <w:color w:val="auto"/>
                      <w:sz w:val="21"/>
                      <w:szCs w:val="21"/>
                      <w:vertAlign w:val="baseline"/>
                      <w:lang w:val="en-US" w:eastAsia="zh-CN"/>
                    </w:rPr>
                    <w:t>8</w:t>
                  </w:r>
                  <w:r>
                    <w:rPr>
                      <w:rFonts w:hint="default" w:ascii="Calibri" w:hAnsi="Calibri" w:cs="Calibri"/>
                      <w:color w:val="auto"/>
                      <w:sz w:val="21"/>
                      <w:szCs w:val="21"/>
                      <w:vertAlign w:val="baseline"/>
                      <w:lang w:val="en-US" w:eastAsia="zh-CN"/>
                    </w:rPr>
                    <w:t>次。不占用河道、不占用河流水面，沿线无重要交叉跨越。</w:t>
                  </w:r>
                </w:p>
              </w:tc>
            </w:tr>
            <w:tr w14:paraId="2DB10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8" w:hRule="atLeast"/>
              </w:trPr>
              <w:tc>
                <w:tcPr>
                  <w:tcW w:w="408" w:type="pct"/>
                  <w:vMerge w:val="continue"/>
                  <w:tcBorders>
                    <w:bottom w:val="single" w:color="auto" w:sz="4" w:space="0"/>
                    <w:tl2br w:val="nil"/>
                    <w:tr2bl w:val="nil"/>
                  </w:tcBorders>
                  <w:vAlign w:val="center"/>
                </w:tcPr>
                <w:p w14:paraId="2D3E5082">
                  <w:pPr>
                    <w:pStyle w:val="37"/>
                    <w:keepNext w:val="0"/>
                    <w:keepLines w:val="0"/>
                    <w:pageBreakBefore w:val="0"/>
                    <w:widowControl w:val="0"/>
                    <w:kinsoku/>
                    <w:wordWrap/>
                    <w:overflowPunct/>
                    <w:topLinePunct w:val="0"/>
                    <w:autoSpaceDE/>
                    <w:autoSpaceDN/>
                    <w:bidi w:val="0"/>
                    <w:adjustRightInd w:val="0"/>
                    <w:snapToGrid/>
                    <w:spacing w:before="0" w:line="240" w:lineRule="auto"/>
                    <w:ind w:left="0" w:right="0" w:firstLine="0"/>
                    <w:jc w:val="center"/>
                    <w:textAlignment w:val="auto"/>
                    <w:rPr>
                      <w:rFonts w:hint="default" w:ascii="Calibri" w:hAnsi="Calibri" w:cs="Calibri"/>
                      <w:color w:val="auto"/>
                      <w:sz w:val="21"/>
                      <w:szCs w:val="21"/>
                    </w:rPr>
                  </w:pPr>
                </w:p>
              </w:tc>
              <w:tc>
                <w:tcPr>
                  <w:tcW w:w="825" w:type="pct"/>
                  <w:tcBorders>
                    <w:bottom w:val="single" w:color="auto" w:sz="4" w:space="0"/>
                    <w:tl2br w:val="nil"/>
                    <w:tr2bl w:val="nil"/>
                  </w:tcBorders>
                  <w:vAlign w:val="center"/>
                </w:tcPr>
                <w:p w14:paraId="038EE7F4">
                  <w:pPr>
                    <w:pStyle w:val="37"/>
                    <w:keepNext w:val="0"/>
                    <w:keepLines w:val="0"/>
                    <w:pageBreakBefore w:val="0"/>
                    <w:widowControl w:val="0"/>
                    <w:kinsoku/>
                    <w:wordWrap/>
                    <w:overflowPunct/>
                    <w:topLinePunct w:val="0"/>
                    <w:autoSpaceDE/>
                    <w:autoSpaceDN/>
                    <w:bidi w:val="0"/>
                    <w:adjustRightInd w:val="0"/>
                    <w:snapToGrid/>
                    <w:spacing w:before="0" w:line="240" w:lineRule="auto"/>
                    <w:ind w:left="0" w:right="0" w:firstLine="0"/>
                    <w:jc w:val="center"/>
                    <w:textAlignment w:val="auto"/>
                    <w:rPr>
                      <w:rFonts w:hint="default" w:ascii="Calibri" w:hAnsi="Calibri" w:cs="Calibri"/>
                      <w:color w:val="auto"/>
                      <w:sz w:val="21"/>
                      <w:szCs w:val="21"/>
                      <w:lang w:val="en-US" w:eastAsia="zh-CN"/>
                    </w:rPr>
                  </w:pPr>
                  <w:r>
                    <w:rPr>
                      <w:rFonts w:hint="default" w:ascii="Calibri" w:hAnsi="Calibri" w:cs="Calibri"/>
                      <w:color w:val="auto"/>
                      <w:sz w:val="21"/>
                      <w:szCs w:val="21"/>
                      <w:lang w:val="en-US" w:eastAsia="zh-CN"/>
                    </w:rPr>
                    <w:t>110kv南部矿区变电站</w:t>
                  </w:r>
                </w:p>
              </w:tc>
              <w:tc>
                <w:tcPr>
                  <w:tcW w:w="3765" w:type="pct"/>
                  <w:gridSpan w:val="2"/>
                  <w:tcBorders>
                    <w:tl2br w:val="nil"/>
                    <w:tr2bl w:val="nil"/>
                  </w:tcBorders>
                  <w:vAlign w:val="center"/>
                </w:tcPr>
                <w:p w14:paraId="332C9E68">
                  <w:pPr>
                    <w:pStyle w:val="37"/>
                    <w:keepNext w:val="0"/>
                    <w:keepLines w:val="0"/>
                    <w:pageBreakBefore w:val="0"/>
                    <w:widowControl w:val="0"/>
                    <w:kinsoku/>
                    <w:wordWrap/>
                    <w:overflowPunct/>
                    <w:topLinePunct w:val="0"/>
                    <w:autoSpaceDE/>
                    <w:autoSpaceDN/>
                    <w:bidi w:val="0"/>
                    <w:adjustRightInd w:val="0"/>
                    <w:snapToGrid/>
                    <w:spacing w:before="0" w:line="240" w:lineRule="auto"/>
                    <w:ind w:left="0" w:right="0" w:firstLine="0"/>
                    <w:jc w:val="center"/>
                    <w:textAlignment w:val="auto"/>
                    <w:rPr>
                      <w:rFonts w:hint="default" w:ascii="Calibri" w:hAnsi="Calibri" w:cs="Calibri"/>
                      <w:color w:val="auto"/>
                      <w:sz w:val="21"/>
                      <w:szCs w:val="21"/>
                      <w:lang w:val="en-US" w:eastAsia="zh-CN"/>
                    </w:rPr>
                  </w:pPr>
                  <w:r>
                    <w:rPr>
                      <w:rFonts w:hint="default" w:ascii="Calibri" w:hAnsi="Calibri" w:cs="Calibri"/>
                      <w:color w:val="auto"/>
                      <w:sz w:val="21"/>
                      <w:szCs w:val="21"/>
                      <w:lang w:val="en-US" w:eastAsia="zh-CN"/>
                    </w:rPr>
                    <w:t>主变容量规划为2×50MVA，本期建成1×50MVA。</w:t>
                  </w:r>
                  <w:r>
                    <w:rPr>
                      <w:rFonts w:hint="eastAsia" w:ascii="Calibri" w:hAnsi="Calibri" w:cs="Calibri"/>
                      <w:color w:val="auto"/>
                      <w:sz w:val="21"/>
                      <w:szCs w:val="21"/>
                      <w:lang w:val="en-US" w:eastAsia="zh-CN"/>
                    </w:rPr>
                    <w:t>站</w:t>
                  </w:r>
                  <w:r>
                    <w:rPr>
                      <w:rFonts w:hint="default" w:ascii="Calibri" w:hAnsi="Calibri" w:cs="Calibri"/>
                      <w:color w:val="auto"/>
                      <w:sz w:val="21"/>
                      <w:szCs w:val="21"/>
                      <w:lang w:val="en-US" w:eastAsia="zh-CN"/>
                    </w:rPr>
                    <w:t>内设35kV配电装置室</w:t>
                  </w:r>
                  <w:r>
                    <w:rPr>
                      <w:rFonts w:hint="eastAsia" w:ascii="Calibri" w:hAnsi="Calibri" w:cs="Calibri"/>
                      <w:color w:val="auto"/>
                      <w:sz w:val="21"/>
                      <w:szCs w:val="21"/>
                      <w:lang w:val="en-US" w:eastAsia="zh-CN"/>
                    </w:rPr>
                    <w:t>、辅助用房（有值班室、保电值班室、休息室、安全间）、消防泵房、危险废物贮存库</w:t>
                  </w:r>
                  <w:r>
                    <w:rPr>
                      <w:rFonts w:hint="default" w:ascii="Calibri" w:hAnsi="Calibri" w:cs="Calibri"/>
                      <w:color w:val="auto"/>
                      <w:sz w:val="21"/>
                      <w:szCs w:val="21"/>
                      <w:lang w:val="en-US" w:eastAsia="zh-CN"/>
                    </w:rPr>
                    <w:t>。户外式变电站</w:t>
                  </w:r>
                  <w:r>
                    <w:rPr>
                      <w:rFonts w:hint="eastAsia" w:ascii="Calibri" w:hAnsi="Calibri" w:cs="Calibri"/>
                      <w:color w:val="auto"/>
                      <w:sz w:val="21"/>
                      <w:szCs w:val="21"/>
                      <w:lang w:val="en-US" w:eastAsia="zh-CN"/>
                    </w:rPr>
                    <w:t>。</w:t>
                  </w:r>
                  <w:r>
                    <w:rPr>
                      <w:rFonts w:hint="default" w:ascii="Calibri" w:hAnsi="Calibri" w:cs="Calibri"/>
                      <w:color w:val="auto"/>
                      <w:sz w:val="21"/>
                      <w:szCs w:val="21"/>
                      <w:lang w:val="en-US" w:eastAsia="zh-CN"/>
                    </w:rPr>
                    <w:t>占地面积</w:t>
                  </w:r>
                  <w:r>
                    <w:rPr>
                      <w:rFonts w:hint="eastAsia" w:ascii="Calibri" w:hAnsi="Calibri" w:cs="Calibri"/>
                      <w:color w:val="auto"/>
                      <w:sz w:val="21"/>
                      <w:szCs w:val="21"/>
                      <w:lang w:val="en-US" w:eastAsia="zh-CN"/>
                    </w:rPr>
                    <w:t>5407m</w:t>
                  </w:r>
                  <w:r>
                    <w:rPr>
                      <w:rFonts w:hint="eastAsia" w:ascii="Calibri" w:hAnsi="Calibri" w:cs="Calibri"/>
                      <w:color w:val="auto"/>
                      <w:sz w:val="21"/>
                      <w:szCs w:val="21"/>
                      <w:vertAlign w:val="superscript"/>
                      <w:lang w:val="en-US" w:eastAsia="zh-CN"/>
                    </w:rPr>
                    <w:t>2</w:t>
                  </w:r>
                  <w:r>
                    <w:rPr>
                      <w:rFonts w:hint="default" w:ascii="Calibri" w:hAnsi="Calibri" w:cs="Calibri"/>
                      <w:color w:val="auto"/>
                      <w:sz w:val="21"/>
                      <w:szCs w:val="21"/>
                      <w:lang w:val="en-US" w:eastAsia="zh-CN"/>
                    </w:rPr>
                    <w:t>。</w:t>
                  </w:r>
                </w:p>
              </w:tc>
            </w:tr>
            <w:tr w14:paraId="67A534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408" w:type="pct"/>
                  <w:vMerge w:val="restart"/>
                  <w:tcBorders>
                    <w:top w:val="single" w:color="auto" w:sz="4" w:space="0"/>
                    <w:tl2br w:val="nil"/>
                    <w:tr2bl w:val="nil"/>
                  </w:tcBorders>
                  <w:vAlign w:val="center"/>
                </w:tcPr>
                <w:p w14:paraId="6D2EBBE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cs="Calibri"/>
                      <w:color w:val="auto"/>
                      <w:kern w:val="0"/>
                      <w:sz w:val="21"/>
                      <w:szCs w:val="21"/>
                      <w:highlight w:val="none"/>
                      <w:lang w:val="en-US" w:eastAsia="zh-CN" w:bidi="ar-SA"/>
                    </w:rPr>
                  </w:pPr>
                  <w:r>
                    <w:rPr>
                      <w:rFonts w:hint="default" w:ascii="Calibri" w:hAnsi="Calibri" w:cs="Calibri"/>
                      <w:color w:val="auto"/>
                      <w:kern w:val="0"/>
                      <w:sz w:val="21"/>
                      <w:szCs w:val="21"/>
                      <w:highlight w:val="none"/>
                      <w:lang w:val="en-US" w:eastAsia="zh-CN" w:bidi="ar-SA"/>
                    </w:rPr>
                    <w:t>公用工程</w:t>
                  </w:r>
                </w:p>
              </w:tc>
              <w:tc>
                <w:tcPr>
                  <w:tcW w:w="825" w:type="pct"/>
                  <w:tcBorders>
                    <w:top w:val="single" w:color="auto" w:sz="4" w:space="0"/>
                    <w:tl2br w:val="nil"/>
                    <w:tr2bl w:val="nil"/>
                  </w:tcBorders>
                  <w:vAlign w:val="center"/>
                </w:tcPr>
                <w:p w14:paraId="057A0FAB">
                  <w:pPr>
                    <w:pStyle w:val="37"/>
                    <w:keepNext w:val="0"/>
                    <w:keepLines w:val="0"/>
                    <w:pageBreakBefore w:val="0"/>
                    <w:widowControl w:val="0"/>
                    <w:kinsoku/>
                    <w:wordWrap/>
                    <w:overflowPunct/>
                    <w:topLinePunct w:val="0"/>
                    <w:autoSpaceDE/>
                    <w:autoSpaceDN/>
                    <w:bidi w:val="0"/>
                    <w:adjustRightInd w:val="0"/>
                    <w:snapToGrid/>
                    <w:spacing w:before="0" w:line="240" w:lineRule="auto"/>
                    <w:ind w:left="0" w:leftChars="0" w:right="0" w:rightChars="0" w:firstLine="0" w:firstLineChars="0"/>
                    <w:jc w:val="center"/>
                    <w:textAlignment w:val="auto"/>
                    <w:rPr>
                      <w:rFonts w:hint="default" w:ascii="Calibri" w:hAnsi="Calibri" w:eastAsia="宋体" w:cs="Calibri"/>
                      <w:color w:val="auto"/>
                      <w:sz w:val="21"/>
                      <w:szCs w:val="21"/>
                      <w:highlight w:val="none"/>
                      <w:lang w:val="en-US" w:eastAsia="zh-CN"/>
                    </w:rPr>
                  </w:pPr>
                  <w:r>
                    <w:rPr>
                      <w:rFonts w:hint="default" w:ascii="Calibri" w:hAnsi="Calibri" w:cs="Calibri"/>
                      <w:color w:val="auto"/>
                      <w:sz w:val="21"/>
                      <w:szCs w:val="21"/>
                      <w:lang w:val="en-US" w:eastAsia="zh-CN"/>
                    </w:rPr>
                    <w:t>进站道路</w:t>
                  </w:r>
                </w:p>
              </w:tc>
              <w:tc>
                <w:tcPr>
                  <w:tcW w:w="3765" w:type="pct"/>
                  <w:gridSpan w:val="2"/>
                  <w:tcBorders>
                    <w:tl2br w:val="nil"/>
                    <w:tr2bl w:val="nil"/>
                  </w:tcBorders>
                  <w:vAlign w:val="center"/>
                </w:tcPr>
                <w:p w14:paraId="2B213A2D">
                  <w:pPr>
                    <w:pStyle w:val="37"/>
                    <w:keepNext w:val="0"/>
                    <w:keepLines w:val="0"/>
                    <w:pageBreakBefore w:val="0"/>
                    <w:widowControl w:val="0"/>
                    <w:kinsoku/>
                    <w:wordWrap/>
                    <w:overflowPunct/>
                    <w:topLinePunct w:val="0"/>
                    <w:autoSpaceDE/>
                    <w:autoSpaceDN/>
                    <w:bidi w:val="0"/>
                    <w:adjustRightInd w:val="0"/>
                    <w:snapToGrid/>
                    <w:spacing w:before="0" w:line="240" w:lineRule="auto"/>
                    <w:ind w:left="0" w:leftChars="0" w:right="0" w:rightChars="0" w:firstLine="0" w:firstLineChars="0"/>
                    <w:jc w:val="center"/>
                    <w:textAlignment w:val="auto"/>
                    <w:rPr>
                      <w:rFonts w:hint="default" w:ascii="Calibri" w:hAnsi="Calibri" w:cs="Calibri"/>
                      <w:color w:val="auto"/>
                      <w:sz w:val="21"/>
                      <w:szCs w:val="21"/>
                      <w:highlight w:val="none"/>
                      <w:lang w:val="en-US" w:eastAsia="zh-CN"/>
                    </w:rPr>
                  </w:pPr>
                  <w:r>
                    <w:rPr>
                      <w:rFonts w:hint="default" w:ascii="Calibri" w:hAnsi="Calibri" w:cs="Calibri"/>
                      <w:color w:val="auto"/>
                      <w:sz w:val="21"/>
                      <w:szCs w:val="21"/>
                      <w:lang w:val="en-US" w:eastAsia="zh-CN"/>
                    </w:rPr>
                    <w:t>进站道路长</w:t>
                  </w:r>
                  <w:r>
                    <w:rPr>
                      <w:rFonts w:hint="eastAsia" w:ascii="Calibri" w:hAnsi="Calibri" w:cs="Calibri"/>
                      <w:color w:val="auto"/>
                      <w:sz w:val="21"/>
                      <w:szCs w:val="21"/>
                      <w:lang w:val="en-US" w:eastAsia="zh-CN"/>
                    </w:rPr>
                    <w:t>50</w:t>
                  </w:r>
                  <w:r>
                    <w:rPr>
                      <w:rFonts w:hint="default" w:ascii="Calibri" w:hAnsi="Calibri" w:cs="Calibri"/>
                      <w:color w:val="auto"/>
                      <w:sz w:val="21"/>
                      <w:szCs w:val="21"/>
                      <w:lang w:val="en-US" w:eastAsia="zh-CN"/>
                    </w:rPr>
                    <w:t>m，宽</w:t>
                  </w:r>
                  <w:r>
                    <w:rPr>
                      <w:rFonts w:hint="eastAsia" w:ascii="Calibri" w:hAnsi="Calibri" w:cs="Calibri"/>
                      <w:color w:val="auto"/>
                      <w:sz w:val="21"/>
                      <w:szCs w:val="21"/>
                      <w:lang w:val="en-US" w:eastAsia="zh-CN"/>
                    </w:rPr>
                    <w:t>5</w:t>
                  </w:r>
                  <w:r>
                    <w:rPr>
                      <w:rFonts w:hint="default" w:ascii="Calibri" w:hAnsi="Calibri" w:cs="Calibri"/>
                      <w:color w:val="auto"/>
                      <w:sz w:val="21"/>
                      <w:szCs w:val="21"/>
                      <w:lang w:val="en-US" w:eastAsia="zh-CN"/>
                    </w:rPr>
                    <w:t>m，占地面积</w:t>
                  </w:r>
                  <w:r>
                    <w:rPr>
                      <w:rFonts w:hint="eastAsia" w:ascii="Calibri" w:hAnsi="Calibri" w:cs="Calibri"/>
                      <w:color w:val="auto"/>
                      <w:sz w:val="21"/>
                      <w:szCs w:val="21"/>
                      <w:lang w:val="en-US" w:eastAsia="zh-CN"/>
                    </w:rPr>
                    <w:t>250m</w:t>
                  </w:r>
                  <w:r>
                    <w:rPr>
                      <w:rFonts w:hint="eastAsia" w:ascii="Calibri" w:hAnsi="Calibri" w:cs="Calibri"/>
                      <w:color w:val="auto"/>
                      <w:sz w:val="21"/>
                      <w:szCs w:val="21"/>
                      <w:vertAlign w:val="superscript"/>
                      <w:lang w:val="en-US" w:eastAsia="zh-CN"/>
                    </w:rPr>
                    <w:t>2</w:t>
                  </w:r>
                  <w:r>
                    <w:rPr>
                      <w:rFonts w:hint="default" w:ascii="Calibri" w:hAnsi="Calibri" w:cs="Calibri"/>
                      <w:color w:val="auto"/>
                      <w:sz w:val="21"/>
                      <w:szCs w:val="21"/>
                      <w:lang w:val="en-US" w:eastAsia="zh-CN"/>
                    </w:rPr>
                    <w:t>，石子硬化。</w:t>
                  </w:r>
                </w:p>
              </w:tc>
            </w:tr>
            <w:tr w14:paraId="0006B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408" w:type="pct"/>
                  <w:vMerge w:val="continue"/>
                  <w:tcBorders>
                    <w:tl2br w:val="nil"/>
                    <w:tr2bl w:val="nil"/>
                  </w:tcBorders>
                  <w:vAlign w:val="center"/>
                </w:tcPr>
                <w:p w14:paraId="4285C24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cs="Calibri"/>
                      <w:color w:val="auto"/>
                      <w:kern w:val="0"/>
                      <w:sz w:val="21"/>
                      <w:szCs w:val="21"/>
                      <w:highlight w:val="none"/>
                      <w:lang w:val="en-US" w:eastAsia="zh-CN" w:bidi="ar-SA"/>
                    </w:rPr>
                  </w:pPr>
                </w:p>
              </w:tc>
              <w:tc>
                <w:tcPr>
                  <w:tcW w:w="825" w:type="pct"/>
                  <w:tcBorders>
                    <w:top w:val="single" w:color="auto" w:sz="4" w:space="0"/>
                    <w:tl2br w:val="nil"/>
                    <w:tr2bl w:val="nil"/>
                  </w:tcBorders>
                  <w:vAlign w:val="center"/>
                </w:tcPr>
                <w:p w14:paraId="1C820FF6">
                  <w:pPr>
                    <w:pStyle w:val="37"/>
                    <w:keepNext w:val="0"/>
                    <w:keepLines w:val="0"/>
                    <w:pageBreakBefore w:val="0"/>
                    <w:widowControl w:val="0"/>
                    <w:kinsoku/>
                    <w:wordWrap/>
                    <w:overflowPunct/>
                    <w:topLinePunct w:val="0"/>
                    <w:autoSpaceDE/>
                    <w:autoSpaceDN/>
                    <w:bidi w:val="0"/>
                    <w:adjustRightInd w:val="0"/>
                    <w:snapToGrid/>
                    <w:spacing w:before="0" w:line="240" w:lineRule="auto"/>
                    <w:ind w:left="0" w:leftChars="0" w:right="0" w:rightChars="0" w:firstLine="0" w:firstLineChars="0"/>
                    <w:jc w:val="center"/>
                    <w:textAlignment w:val="auto"/>
                    <w:rPr>
                      <w:rFonts w:hint="default" w:ascii="Calibri" w:hAnsi="Calibri" w:cs="Calibri"/>
                      <w:color w:val="auto"/>
                      <w:sz w:val="21"/>
                      <w:szCs w:val="21"/>
                      <w:lang w:val="en-US" w:eastAsia="zh-CN"/>
                    </w:rPr>
                  </w:pPr>
                  <w:r>
                    <w:rPr>
                      <w:rFonts w:hint="eastAsia" w:ascii="Calibri" w:hAnsi="Calibri" w:cs="Calibri"/>
                      <w:color w:val="auto"/>
                      <w:sz w:val="21"/>
                      <w:szCs w:val="21"/>
                      <w:lang w:val="en-US" w:eastAsia="zh-CN"/>
                    </w:rPr>
                    <w:t>站内道路</w:t>
                  </w:r>
                </w:p>
              </w:tc>
              <w:tc>
                <w:tcPr>
                  <w:tcW w:w="3765" w:type="pct"/>
                  <w:gridSpan w:val="2"/>
                  <w:tcBorders>
                    <w:tl2br w:val="nil"/>
                    <w:tr2bl w:val="nil"/>
                  </w:tcBorders>
                  <w:vAlign w:val="center"/>
                </w:tcPr>
                <w:p w14:paraId="7B0744F4">
                  <w:pPr>
                    <w:pStyle w:val="37"/>
                    <w:keepNext w:val="0"/>
                    <w:keepLines w:val="0"/>
                    <w:pageBreakBefore w:val="0"/>
                    <w:widowControl w:val="0"/>
                    <w:kinsoku/>
                    <w:wordWrap/>
                    <w:overflowPunct/>
                    <w:topLinePunct w:val="0"/>
                    <w:autoSpaceDE/>
                    <w:autoSpaceDN/>
                    <w:bidi w:val="0"/>
                    <w:adjustRightInd w:val="0"/>
                    <w:snapToGrid/>
                    <w:spacing w:before="0" w:line="240" w:lineRule="auto"/>
                    <w:ind w:left="0" w:leftChars="0" w:right="0" w:rightChars="0" w:firstLine="0" w:firstLineChars="0"/>
                    <w:jc w:val="center"/>
                    <w:textAlignment w:val="auto"/>
                    <w:rPr>
                      <w:rFonts w:hint="default" w:ascii="Calibri" w:hAnsi="Calibri" w:cs="Calibri"/>
                      <w:color w:val="auto"/>
                      <w:sz w:val="21"/>
                      <w:szCs w:val="21"/>
                      <w:vertAlign w:val="baseline"/>
                      <w:lang w:val="en-US" w:eastAsia="zh-CN"/>
                    </w:rPr>
                  </w:pPr>
                  <w:r>
                    <w:rPr>
                      <w:rFonts w:hint="default" w:ascii="Calibri" w:hAnsi="Calibri" w:cs="Calibri"/>
                      <w:color w:val="auto"/>
                      <w:sz w:val="21"/>
                      <w:szCs w:val="21"/>
                      <w:lang w:val="en-US" w:eastAsia="zh-CN"/>
                    </w:rPr>
                    <w:t>站内</w:t>
                  </w:r>
                  <w:r>
                    <w:rPr>
                      <w:rFonts w:hint="eastAsia" w:ascii="Calibri" w:hAnsi="Calibri" w:cs="Calibri"/>
                      <w:color w:val="auto"/>
                      <w:sz w:val="21"/>
                      <w:szCs w:val="21"/>
                      <w:lang w:val="en-US" w:eastAsia="zh-CN"/>
                    </w:rPr>
                    <w:t>道路设混凝土环形路，</w:t>
                  </w:r>
                  <w:r>
                    <w:rPr>
                      <w:rFonts w:hint="default" w:ascii="Calibri" w:hAnsi="Calibri" w:cs="Calibri"/>
                      <w:color w:val="auto"/>
                      <w:sz w:val="21"/>
                      <w:szCs w:val="21"/>
                      <w:lang w:val="en-US" w:eastAsia="zh-CN"/>
                    </w:rPr>
                    <w:t>路宽为 4.0m， 占地面积850m</w:t>
                  </w:r>
                  <w:r>
                    <w:rPr>
                      <w:rFonts w:hint="default" w:ascii="Calibri" w:hAnsi="Calibri" w:cs="Calibri"/>
                      <w:color w:val="auto"/>
                      <w:sz w:val="21"/>
                      <w:szCs w:val="21"/>
                      <w:vertAlign w:val="superscript"/>
                      <w:lang w:val="en-US" w:eastAsia="zh-CN"/>
                    </w:rPr>
                    <w:t>2</w:t>
                  </w:r>
                  <w:r>
                    <w:rPr>
                      <w:rFonts w:hint="eastAsia" w:ascii="Calibri" w:hAnsi="Calibri" w:cs="Calibri"/>
                      <w:color w:val="auto"/>
                      <w:sz w:val="21"/>
                      <w:szCs w:val="21"/>
                      <w:vertAlign w:val="baseline"/>
                      <w:lang w:val="en-US" w:eastAsia="zh-CN"/>
                    </w:rPr>
                    <w:t>（含停车场）。</w:t>
                  </w:r>
                </w:p>
              </w:tc>
            </w:tr>
            <w:tr w14:paraId="20896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2" w:hRule="atLeast"/>
              </w:trPr>
              <w:tc>
                <w:tcPr>
                  <w:tcW w:w="408" w:type="pct"/>
                  <w:vMerge w:val="continue"/>
                  <w:tcBorders>
                    <w:tl2br w:val="nil"/>
                    <w:tr2bl w:val="nil"/>
                  </w:tcBorders>
                  <w:vAlign w:val="center"/>
                </w:tcPr>
                <w:p w14:paraId="251C95A4">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eastAsia="宋体" w:cs="Calibri"/>
                      <w:color w:val="auto"/>
                      <w:kern w:val="0"/>
                      <w:sz w:val="21"/>
                      <w:szCs w:val="21"/>
                      <w:highlight w:val="none"/>
                      <w:lang w:val="en-US" w:eastAsia="zh-CN" w:bidi="ar-SA"/>
                    </w:rPr>
                  </w:pPr>
                </w:p>
              </w:tc>
              <w:tc>
                <w:tcPr>
                  <w:tcW w:w="825" w:type="pct"/>
                  <w:tcBorders>
                    <w:tl2br w:val="nil"/>
                    <w:tr2bl w:val="nil"/>
                  </w:tcBorders>
                  <w:vAlign w:val="center"/>
                </w:tcPr>
                <w:p w14:paraId="08787CD5">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eastAsia="宋体" w:cs="Calibri"/>
                      <w:color w:val="auto"/>
                      <w:sz w:val="21"/>
                      <w:szCs w:val="21"/>
                      <w:lang w:val="en-US" w:eastAsia="zh-CN"/>
                    </w:rPr>
                  </w:pPr>
                  <w:r>
                    <w:rPr>
                      <w:rFonts w:hint="default" w:ascii="Calibri" w:hAnsi="Calibri" w:cs="Calibri"/>
                      <w:color w:val="auto"/>
                      <w:kern w:val="0"/>
                      <w:sz w:val="21"/>
                      <w:szCs w:val="21"/>
                      <w:highlight w:val="none"/>
                    </w:rPr>
                    <w:t>供电</w:t>
                  </w:r>
                </w:p>
              </w:tc>
              <w:tc>
                <w:tcPr>
                  <w:tcW w:w="3765" w:type="pct"/>
                  <w:gridSpan w:val="2"/>
                  <w:tcBorders>
                    <w:tl2br w:val="nil"/>
                    <w:tr2bl w:val="nil"/>
                  </w:tcBorders>
                  <w:vAlign w:val="center"/>
                </w:tcPr>
                <w:p w14:paraId="7C17DC82">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cs="Calibri"/>
                      <w:color w:val="auto"/>
                      <w:sz w:val="21"/>
                      <w:szCs w:val="21"/>
                      <w:lang w:val="en-US" w:eastAsia="zh-CN"/>
                    </w:rPr>
                  </w:pPr>
                  <w:r>
                    <w:rPr>
                      <w:rFonts w:hint="default" w:ascii="Calibri" w:hAnsi="Calibri" w:cs="Calibri"/>
                      <w:color w:val="auto"/>
                      <w:kern w:val="0"/>
                      <w:sz w:val="21"/>
                      <w:szCs w:val="21"/>
                      <w:highlight w:val="none"/>
                      <w:lang w:val="en-US" w:eastAsia="zh-CN"/>
                    </w:rPr>
                    <w:t>施工期采用</w:t>
                  </w:r>
                  <w:r>
                    <w:rPr>
                      <w:rFonts w:hint="eastAsia" w:ascii="Calibri" w:hAnsi="Calibri" w:cs="Calibri"/>
                      <w:color w:val="auto"/>
                      <w:kern w:val="0"/>
                      <w:sz w:val="21"/>
                      <w:szCs w:val="21"/>
                      <w:highlight w:val="none"/>
                      <w:lang w:val="en-US" w:eastAsia="zh-CN"/>
                    </w:rPr>
                    <w:t>2</w:t>
                  </w:r>
                  <w:r>
                    <w:rPr>
                      <w:rFonts w:hint="default" w:ascii="Calibri" w:hAnsi="Calibri" w:cs="Calibri"/>
                      <w:color w:val="auto"/>
                      <w:kern w:val="0"/>
                      <w:sz w:val="21"/>
                      <w:szCs w:val="21"/>
                      <w:highlight w:val="none"/>
                      <w:lang w:val="en-US" w:eastAsia="zh-CN"/>
                    </w:rPr>
                    <w:t>台800kW的柴油发电机；运营期来自国家电网</w:t>
                  </w:r>
                  <w:r>
                    <w:rPr>
                      <w:rFonts w:hint="default" w:ascii="Calibri" w:hAnsi="Calibri" w:cs="Calibri"/>
                      <w:color w:val="auto"/>
                      <w:kern w:val="0"/>
                      <w:sz w:val="21"/>
                      <w:szCs w:val="21"/>
                      <w:highlight w:val="none"/>
                    </w:rPr>
                    <w:t>。</w:t>
                  </w:r>
                </w:p>
              </w:tc>
            </w:tr>
            <w:tr w14:paraId="756FCF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4" w:hRule="atLeast"/>
              </w:trPr>
              <w:tc>
                <w:tcPr>
                  <w:tcW w:w="408" w:type="pct"/>
                  <w:vMerge w:val="continue"/>
                  <w:tcBorders>
                    <w:tl2br w:val="nil"/>
                    <w:tr2bl w:val="nil"/>
                  </w:tcBorders>
                  <w:vAlign w:val="center"/>
                </w:tcPr>
                <w:p w14:paraId="65A8502B">
                  <w:pPr>
                    <w:pStyle w:val="37"/>
                    <w:keepNext w:val="0"/>
                    <w:keepLines w:val="0"/>
                    <w:pageBreakBefore w:val="0"/>
                    <w:widowControl w:val="0"/>
                    <w:kinsoku/>
                    <w:wordWrap/>
                    <w:overflowPunct/>
                    <w:topLinePunct w:val="0"/>
                    <w:autoSpaceDE/>
                    <w:autoSpaceDN/>
                    <w:bidi w:val="0"/>
                    <w:adjustRightInd w:val="0"/>
                    <w:snapToGrid/>
                    <w:spacing w:before="0" w:line="240" w:lineRule="auto"/>
                    <w:ind w:left="0" w:right="0" w:firstLine="0"/>
                    <w:jc w:val="center"/>
                    <w:textAlignment w:val="auto"/>
                    <w:rPr>
                      <w:rFonts w:hint="default" w:ascii="Calibri" w:hAnsi="Calibri" w:cs="Calibri"/>
                      <w:color w:val="auto"/>
                      <w:sz w:val="21"/>
                      <w:szCs w:val="21"/>
                    </w:rPr>
                  </w:pPr>
                </w:p>
              </w:tc>
              <w:tc>
                <w:tcPr>
                  <w:tcW w:w="825" w:type="pct"/>
                  <w:tcBorders>
                    <w:tl2br w:val="nil"/>
                    <w:tr2bl w:val="nil"/>
                  </w:tcBorders>
                  <w:vAlign w:val="center"/>
                </w:tcPr>
                <w:p w14:paraId="3D3D4AF5">
                  <w:pPr>
                    <w:pStyle w:val="37"/>
                    <w:keepNext w:val="0"/>
                    <w:keepLines w:val="0"/>
                    <w:pageBreakBefore w:val="0"/>
                    <w:widowControl w:val="0"/>
                    <w:kinsoku/>
                    <w:wordWrap/>
                    <w:overflowPunct/>
                    <w:topLinePunct w:val="0"/>
                    <w:autoSpaceDE/>
                    <w:autoSpaceDN/>
                    <w:bidi w:val="0"/>
                    <w:adjustRightInd w:val="0"/>
                    <w:snapToGrid/>
                    <w:spacing w:before="0" w:line="240" w:lineRule="auto"/>
                    <w:ind w:left="0" w:leftChars="0" w:right="0" w:rightChars="0" w:firstLine="0" w:firstLineChars="0"/>
                    <w:jc w:val="center"/>
                    <w:textAlignment w:val="auto"/>
                    <w:rPr>
                      <w:rFonts w:hint="default" w:ascii="Calibri" w:hAnsi="Calibri" w:eastAsia="宋体" w:cs="Calibri"/>
                      <w:color w:val="auto"/>
                      <w:kern w:val="2"/>
                      <w:sz w:val="21"/>
                      <w:szCs w:val="21"/>
                      <w:highlight w:val="none"/>
                      <w:lang w:val="en-US" w:eastAsia="zh-CN" w:bidi="ar-SA"/>
                    </w:rPr>
                  </w:pPr>
                  <w:r>
                    <w:rPr>
                      <w:rFonts w:hint="default" w:ascii="Calibri" w:hAnsi="Calibri" w:cs="Calibri"/>
                      <w:color w:val="auto"/>
                      <w:sz w:val="21"/>
                      <w:szCs w:val="21"/>
                      <w:lang w:val="en-US" w:eastAsia="zh-CN"/>
                    </w:rPr>
                    <w:t>供水</w:t>
                  </w:r>
                </w:p>
              </w:tc>
              <w:tc>
                <w:tcPr>
                  <w:tcW w:w="3765" w:type="pct"/>
                  <w:gridSpan w:val="2"/>
                  <w:tcBorders>
                    <w:tl2br w:val="nil"/>
                    <w:tr2bl w:val="nil"/>
                  </w:tcBorders>
                  <w:vAlign w:val="center"/>
                </w:tcPr>
                <w:p w14:paraId="23D6E6AE">
                  <w:pPr>
                    <w:pStyle w:val="37"/>
                    <w:keepNext w:val="0"/>
                    <w:keepLines w:val="0"/>
                    <w:pageBreakBefore w:val="0"/>
                    <w:widowControl w:val="0"/>
                    <w:kinsoku/>
                    <w:wordWrap/>
                    <w:overflowPunct/>
                    <w:topLinePunct w:val="0"/>
                    <w:autoSpaceDE/>
                    <w:autoSpaceDN/>
                    <w:bidi w:val="0"/>
                    <w:adjustRightInd w:val="0"/>
                    <w:snapToGrid/>
                    <w:spacing w:before="0" w:line="240" w:lineRule="auto"/>
                    <w:ind w:left="0" w:leftChars="0" w:right="0" w:rightChars="0" w:firstLine="0" w:firstLineChars="0"/>
                    <w:jc w:val="center"/>
                    <w:textAlignment w:val="auto"/>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本工程施工用水</w:t>
                  </w:r>
                  <w:r>
                    <w:rPr>
                      <w:rFonts w:hint="default" w:ascii="Calibri" w:hAnsi="Calibri" w:cs="Calibri"/>
                      <w:color w:val="auto"/>
                      <w:sz w:val="21"/>
                      <w:szCs w:val="21"/>
                      <w:lang w:val="en-US" w:eastAsia="zh-CN"/>
                    </w:rPr>
                    <w:t>从</w:t>
                  </w:r>
                  <w:r>
                    <w:rPr>
                      <w:rFonts w:hint="eastAsia" w:ascii="Calibri" w:hAnsi="Calibri" w:cs="Calibri"/>
                      <w:color w:val="auto"/>
                      <w:sz w:val="21"/>
                      <w:szCs w:val="21"/>
                      <w:lang w:val="en-US" w:eastAsia="zh-CN"/>
                    </w:rPr>
                    <w:t>附近村镇</w:t>
                  </w:r>
                  <w:r>
                    <w:rPr>
                      <w:rFonts w:hint="default" w:ascii="Calibri" w:hAnsi="Calibri" w:cs="Calibri"/>
                      <w:color w:val="auto"/>
                      <w:sz w:val="21"/>
                      <w:szCs w:val="21"/>
                      <w:lang w:val="en-US" w:eastAsia="zh-CN"/>
                    </w:rPr>
                    <w:t>拉运</w:t>
                  </w:r>
                  <w:r>
                    <w:rPr>
                      <w:rFonts w:hint="eastAsia" w:ascii="Calibri" w:hAnsi="Calibri" w:cs="Calibri"/>
                      <w:color w:val="auto"/>
                      <w:sz w:val="21"/>
                      <w:szCs w:val="21"/>
                      <w:lang w:val="en-US" w:eastAsia="zh-CN"/>
                    </w:rPr>
                    <w:t>；</w:t>
                  </w:r>
                  <w:r>
                    <w:rPr>
                      <w:rFonts w:hint="default" w:ascii="Calibri" w:hAnsi="Calibri" w:cs="Calibri"/>
                      <w:color w:val="auto"/>
                      <w:sz w:val="21"/>
                      <w:szCs w:val="21"/>
                      <w:lang w:val="en-US" w:eastAsia="zh-CN"/>
                    </w:rPr>
                    <w:t>运营期</w:t>
                  </w:r>
                  <w:r>
                    <w:rPr>
                      <w:rFonts w:hint="eastAsia" w:ascii="Calibri" w:hAnsi="Calibri" w:cs="Calibri"/>
                      <w:color w:val="auto"/>
                      <w:sz w:val="21"/>
                      <w:szCs w:val="21"/>
                      <w:lang w:val="en-US" w:eastAsia="zh-CN"/>
                    </w:rPr>
                    <w:t>变电站为无人值守型，</w:t>
                  </w:r>
                  <w:r>
                    <w:rPr>
                      <w:rFonts w:hint="default" w:ascii="Calibri" w:hAnsi="Calibri" w:cs="Calibri"/>
                      <w:color w:val="auto"/>
                      <w:sz w:val="21"/>
                      <w:szCs w:val="21"/>
                      <w:lang w:val="en-US" w:eastAsia="zh-CN"/>
                    </w:rPr>
                    <w:t>不用水。</w:t>
                  </w:r>
                </w:p>
              </w:tc>
            </w:tr>
            <w:tr w14:paraId="63749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2" w:hRule="atLeast"/>
              </w:trPr>
              <w:tc>
                <w:tcPr>
                  <w:tcW w:w="408" w:type="pct"/>
                  <w:vMerge w:val="continue"/>
                  <w:tcBorders>
                    <w:bottom w:val="single" w:color="auto" w:sz="4" w:space="0"/>
                    <w:tl2br w:val="nil"/>
                    <w:tr2bl w:val="nil"/>
                  </w:tcBorders>
                  <w:vAlign w:val="center"/>
                </w:tcPr>
                <w:p w14:paraId="1F321C46">
                  <w:pPr>
                    <w:pStyle w:val="37"/>
                    <w:keepNext w:val="0"/>
                    <w:keepLines w:val="0"/>
                    <w:pageBreakBefore w:val="0"/>
                    <w:widowControl w:val="0"/>
                    <w:kinsoku/>
                    <w:wordWrap/>
                    <w:overflowPunct/>
                    <w:topLinePunct w:val="0"/>
                    <w:autoSpaceDE/>
                    <w:autoSpaceDN/>
                    <w:bidi w:val="0"/>
                    <w:adjustRightInd w:val="0"/>
                    <w:snapToGrid/>
                    <w:spacing w:before="0" w:line="240" w:lineRule="auto"/>
                    <w:ind w:left="0" w:right="0" w:firstLine="0"/>
                    <w:jc w:val="center"/>
                    <w:textAlignment w:val="auto"/>
                    <w:rPr>
                      <w:rFonts w:hint="default" w:ascii="Calibri" w:hAnsi="Calibri" w:cs="Calibri"/>
                      <w:color w:val="auto"/>
                      <w:sz w:val="21"/>
                      <w:szCs w:val="21"/>
                    </w:rPr>
                  </w:pPr>
                </w:p>
              </w:tc>
              <w:tc>
                <w:tcPr>
                  <w:tcW w:w="825" w:type="pct"/>
                  <w:tcBorders>
                    <w:bottom w:val="single" w:color="auto" w:sz="4" w:space="0"/>
                    <w:tl2br w:val="nil"/>
                    <w:tr2bl w:val="nil"/>
                  </w:tcBorders>
                  <w:vAlign w:val="center"/>
                </w:tcPr>
                <w:p w14:paraId="3387BB34">
                  <w:pPr>
                    <w:pStyle w:val="37"/>
                    <w:keepNext w:val="0"/>
                    <w:keepLines w:val="0"/>
                    <w:pageBreakBefore w:val="0"/>
                    <w:widowControl w:val="0"/>
                    <w:kinsoku/>
                    <w:wordWrap/>
                    <w:overflowPunct/>
                    <w:topLinePunct w:val="0"/>
                    <w:autoSpaceDE/>
                    <w:autoSpaceDN/>
                    <w:bidi w:val="0"/>
                    <w:adjustRightInd w:val="0"/>
                    <w:snapToGrid/>
                    <w:spacing w:before="0" w:line="240" w:lineRule="auto"/>
                    <w:ind w:left="0" w:leftChars="0" w:right="0" w:rightChars="0" w:firstLine="0" w:firstLineChars="0"/>
                    <w:jc w:val="center"/>
                    <w:textAlignment w:val="auto"/>
                    <w:rPr>
                      <w:rFonts w:hint="default" w:ascii="Calibri" w:hAnsi="Calibri" w:eastAsia="宋体" w:cs="Calibri"/>
                      <w:color w:val="auto"/>
                      <w:kern w:val="0"/>
                      <w:sz w:val="21"/>
                      <w:szCs w:val="21"/>
                      <w:highlight w:val="none"/>
                      <w:lang w:val="en-US" w:eastAsia="zh-CN" w:bidi="ar-SA"/>
                    </w:rPr>
                  </w:pPr>
                  <w:r>
                    <w:rPr>
                      <w:rFonts w:hint="default" w:ascii="Calibri" w:hAnsi="Calibri" w:cs="Calibri"/>
                      <w:color w:val="auto"/>
                      <w:sz w:val="21"/>
                      <w:szCs w:val="21"/>
                      <w:lang w:val="en-US" w:eastAsia="zh-CN"/>
                    </w:rPr>
                    <w:t>排水</w:t>
                  </w:r>
                </w:p>
              </w:tc>
              <w:tc>
                <w:tcPr>
                  <w:tcW w:w="3765" w:type="pct"/>
                  <w:gridSpan w:val="2"/>
                  <w:tcBorders>
                    <w:tl2br w:val="nil"/>
                    <w:tr2bl w:val="nil"/>
                  </w:tcBorders>
                  <w:vAlign w:val="center"/>
                </w:tcPr>
                <w:p w14:paraId="62274086">
                  <w:pPr>
                    <w:pStyle w:val="37"/>
                    <w:keepNext w:val="0"/>
                    <w:keepLines w:val="0"/>
                    <w:pageBreakBefore w:val="0"/>
                    <w:widowControl w:val="0"/>
                    <w:kinsoku/>
                    <w:wordWrap/>
                    <w:overflowPunct/>
                    <w:topLinePunct w:val="0"/>
                    <w:autoSpaceDE/>
                    <w:autoSpaceDN/>
                    <w:bidi w:val="0"/>
                    <w:adjustRightInd w:val="0"/>
                    <w:snapToGrid/>
                    <w:spacing w:before="0" w:line="240" w:lineRule="auto"/>
                    <w:ind w:left="0" w:leftChars="0" w:right="0" w:rightChars="0" w:firstLine="0" w:firstLineChars="0"/>
                    <w:jc w:val="center"/>
                    <w:textAlignment w:val="auto"/>
                    <w:rPr>
                      <w:rFonts w:hint="default" w:ascii="Calibri" w:hAnsi="Calibri" w:eastAsia="宋体" w:cs="Calibri"/>
                      <w:color w:val="auto"/>
                      <w:kern w:val="0"/>
                      <w:sz w:val="21"/>
                      <w:szCs w:val="21"/>
                      <w:highlight w:val="none"/>
                      <w:lang w:val="en-US" w:eastAsia="zh-CN" w:bidi="ar-SA"/>
                    </w:rPr>
                  </w:pPr>
                  <w:r>
                    <w:rPr>
                      <w:rFonts w:hint="default" w:ascii="Calibri" w:hAnsi="Calibri" w:cs="Calibri"/>
                      <w:color w:val="auto"/>
                      <w:sz w:val="21"/>
                      <w:szCs w:val="21"/>
                      <w:lang w:val="en-US" w:eastAsia="zh-CN"/>
                    </w:rPr>
                    <w:t>施工期</w:t>
                  </w:r>
                  <w:r>
                    <w:rPr>
                      <w:rFonts w:hint="eastAsia" w:ascii="Calibri" w:hAnsi="Calibri" w:cs="Calibri"/>
                      <w:color w:val="auto"/>
                      <w:sz w:val="21"/>
                      <w:szCs w:val="21"/>
                      <w:lang w:val="en-US" w:eastAsia="zh-CN"/>
                    </w:rPr>
                    <w:t>设置1套</w:t>
                  </w:r>
                  <w:r>
                    <w:rPr>
                      <w:rFonts w:hint="default" w:ascii="Calibri" w:hAnsi="Calibri" w:cs="Calibri"/>
                      <w:color w:val="auto"/>
                      <w:sz w:val="21"/>
                      <w:szCs w:val="21"/>
                      <w:lang w:val="en-US" w:eastAsia="zh-CN"/>
                    </w:rPr>
                    <w:t>一体化</w:t>
                  </w:r>
                  <w:r>
                    <w:rPr>
                      <w:rFonts w:hint="eastAsia" w:ascii="Calibri" w:hAnsi="Calibri" w:cs="Calibri"/>
                      <w:color w:val="auto"/>
                      <w:sz w:val="21"/>
                      <w:szCs w:val="21"/>
                      <w:lang w:val="en-US" w:eastAsia="zh-CN"/>
                    </w:rPr>
                    <w:t>污水处理</w:t>
                  </w:r>
                  <w:r>
                    <w:rPr>
                      <w:rFonts w:hint="default" w:ascii="Calibri" w:hAnsi="Calibri" w:cs="Calibri"/>
                      <w:color w:val="auto"/>
                      <w:sz w:val="21"/>
                      <w:szCs w:val="21"/>
                      <w:lang w:val="en-US" w:eastAsia="zh-CN"/>
                    </w:rPr>
                    <w:t>设施，处理后用于绿化、生态恢复</w:t>
                  </w:r>
                  <w:r>
                    <w:rPr>
                      <w:rFonts w:hint="eastAsia" w:ascii="Calibri" w:hAnsi="Calibri" w:cs="Calibri"/>
                      <w:color w:val="auto"/>
                      <w:sz w:val="21"/>
                      <w:szCs w:val="21"/>
                      <w:lang w:val="en-US" w:eastAsia="zh-CN"/>
                    </w:rPr>
                    <w:t>；</w:t>
                  </w:r>
                  <w:r>
                    <w:rPr>
                      <w:rFonts w:hint="default" w:ascii="Calibri" w:hAnsi="Calibri" w:cs="Calibri"/>
                      <w:color w:val="auto"/>
                      <w:sz w:val="21"/>
                      <w:szCs w:val="21"/>
                      <w:lang w:val="en-US" w:eastAsia="zh-CN"/>
                    </w:rPr>
                    <w:t>施工养护废水</w:t>
                  </w:r>
                  <w:r>
                    <w:rPr>
                      <w:rFonts w:hint="eastAsia" w:ascii="Calibri" w:hAnsi="Calibri" w:cs="Calibri"/>
                      <w:color w:val="auto"/>
                      <w:sz w:val="21"/>
                      <w:szCs w:val="21"/>
                      <w:lang w:val="en-US" w:eastAsia="zh-CN"/>
                    </w:rPr>
                    <w:t>经临时沉淀池处理后洒水抑尘或自然蒸干，不外排</w:t>
                  </w:r>
                  <w:r>
                    <w:rPr>
                      <w:rFonts w:hint="default" w:ascii="Calibri" w:hAnsi="Calibri" w:cs="Calibri"/>
                      <w:color w:val="auto"/>
                      <w:sz w:val="21"/>
                      <w:szCs w:val="21"/>
                      <w:lang w:val="en-US" w:eastAsia="zh-CN"/>
                    </w:rPr>
                    <w:t>。运营期无废水排放。</w:t>
                  </w:r>
                </w:p>
              </w:tc>
            </w:tr>
            <w:tr w14:paraId="5A675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08" w:type="pct"/>
                  <w:vMerge w:val="restart"/>
                  <w:tcBorders>
                    <w:top w:val="single" w:color="auto" w:sz="4" w:space="0"/>
                    <w:tl2br w:val="nil"/>
                    <w:tr2bl w:val="nil"/>
                  </w:tcBorders>
                  <w:vAlign w:val="center"/>
                </w:tcPr>
                <w:p w14:paraId="2580E039">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cs="Calibri"/>
                      <w:color w:val="auto"/>
                      <w:kern w:val="0"/>
                      <w:sz w:val="21"/>
                      <w:szCs w:val="21"/>
                      <w:highlight w:val="none"/>
                    </w:rPr>
                  </w:pPr>
                  <w:r>
                    <w:rPr>
                      <w:rFonts w:hint="default" w:ascii="Calibri" w:hAnsi="Calibri" w:cs="Calibri"/>
                      <w:color w:val="auto"/>
                      <w:kern w:val="0"/>
                      <w:sz w:val="21"/>
                      <w:szCs w:val="21"/>
                      <w:highlight w:val="none"/>
                    </w:rPr>
                    <w:t>临时</w:t>
                  </w:r>
                </w:p>
                <w:p w14:paraId="08766B92">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eastAsia="宋体" w:cs="Calibri"/>
                      <w:color w:val="auto"/>
                      <w:kern w:val="0"/>
                      <w:sz w:val="21"/>
                      <w:szCs w:val="21"/>
                      <w:highlight w:val="none"/>
                      <w:lang w:val="en-US" w:eastAsia="zh-CN" w:bidi="ar-SA"/>
                    </w:rPr>
                  </w:pPr>
                  <w:r>
                    <w:rPr>
                      <w:rFonts w:hint="default" w:ascii="Calibri" w:hAnsi="Calibri" w:cs="Calibri"/>
                      <w:color w:val="auto"/>
                      <w:kern w:val="0"/>
                      <w:sz w:val="21"/>
                      <w:szCs w:val="21"/>
                      <w:highlight w:val="none"/>
                    </w:rPr>
                    <w:t>工程</w:t>
                  </w:r>
                </w:p>
              </w:tc>
              <w:tc>
                <w:tcPr>
                  <w:tcW w:w="825" w:type="pct"/>
                  <w:vMerge w:val="restart"/>
                  <w:tcBorders>
                    <w:top w:val="single" w:color="auto" w:sz="4" w:space="0"/>
                    <w:tl2br w:val="nil"/>
                    <w:tr2bl w:val="nil"/>
                  </w:tcBorders>
                  <w:vAlign w:val="center"/>
                </w:tcPr>
                <w:p w14:paraId="77B144E9">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Calibri" w:hAnsi="Calibri" w:eastAsia="宋体" w:cs="Calibri"/>
                      <w:color w:val="auto"/>
                      <w:kern w:val="2"/>
                      <w:sz w:val="21"/>
                      <w:szCs w:val="21"/>
                      <w:highlight w:val="none"/>
                      <w:lang w:val="en-US" w:eastAsia="zh-CN" w:bidi="ar-SA"/>
                    </w:rPr>
                  </w:pPr>
                  <w:r>
                    <w:rPr>
                      <w:rFonts w:hint="eastAsia" w:ascii="Calibri" w:hAnsi="Calibri" w:cs="Calibri"/>
                      <w:color w:val="auto"/>
                      <w:sz w:val="21"/>
                      <w:szCs w:val="21"/>
                      <w:highlight w:val="none"/>
                      <w:lang w:val="en-US" w:eastAsia="zh-CN"/>
                    </w:rPr>
                    <w:t>临时</w:t>
                  </w:r>
                  <w:r>
                    <w:rPr>
                      <w:rFonts w:hint="default" w:ascii="Calibri" w:hAnsi="Calibri" w:cs="Calibri"/>
                      <w:color w:val="auto"/>
                      <w:sz w:val="21"/>
                      <w:szCs w:val="21"/>
                      <w:highlight w:val="none"/>
                    </w:rPr>
                    <w:t>施工</w:t>
                  </w:r>
                  <w:r>
                    <w:rPr>
                      <w:rFonts w:hint="default" w:ascii="Calibri" w:hAnsi="Calibri" w:cs="Calibri"/>
                      <w:color w:val="auto"/>
                      <w:sz w:val="21"/>
                      <w:szCs w:val="21"/>
                      <w:highlight w:val="none"/>
                      <w:lang w:val="en-US" w:eastAsia="zh-CN"/>
                    </w:rPr>
                    <w:t>生产、生活</w:t>
                  </w:r>
                </w:p>
              </w:tc>
              <w:tc>
                <w:tcPr>
                  <w:tcW w:w="767" w:type="pct"/>
                  <w:tcBorders>
                    <w:tl2br w:val="nil"/>
                    <w:tr2bl w:val="nil"/>
                  </w:tcBorders>
                  <w:vAlign w:val="center"/>
                </w:tcPr>
                <w:p w14:paraId="2EE2E8A0">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Calibri" w:hAnsi="Calibri" w:eastAsia="宋体" w:cs="Calibri"/>
                      <w:color w:val="auto"/>
                      <w:sz w:val="21"/>
                      <w:szCs w:val="21"/>
                      <w:lang w:val="en-US" w:eastAsia="zh-CN"/>
                    </w:rPr>
                  </w:pPr>
                  <w:r>
                    <w:rPr>
                      <w:rFonts w:hint="eastAsia" w:ascii="Calibri" w:hAnsi="Calibri" w:cs="Calibri"/>
                      <w:color w:val="auto"/>
                      <w:sz w:val="21"/>
                      <w:szCs w:val="21"/>
                      <w:lang w:val="en-US" w:eastAsia="zh-CN"/>
                    </w:rPr>
                    <w:t>设备及材料仓库</w:t>
                  </w:r>
                </w:p>
              </w:tc>
              <w:tc>
                <w:tcPr>
                  <w:tcW w:w="2998" w:type="pct"/>
                  <w:tcBorders>
                    <w:tl2br w:val="nil"/>
                    <w:tr2bl w:val="nil"/>
                  </w:tcBorders>
                  <w:vAlign w:val="center"/>
                </w:tcPr>
                <w:p w14:paraId="6550316A">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Calibri" w:hAnsi="Calibri" w:cs="Calibri"/>
                      <w:color w:val="auto"/>
                      <w:sz w:val="21"/>
                      <w:szCs w:val="21"/>
                    </w:rPr>
                  </w:pPr>
                  <w:r>
                    <w:rPr>
                      <w:rFonts w:hint="eastAsia" w:ascii="Calibri" w:hAnsi="Calibri" w:cs="Calibri"/>
                      <w:color w:val="auto"/>
                      <w:sz w:val="21"/>
                      <w:szCs w:val="21"/>
                      <w:highlight w:val="none"/>
                      <w:lang w:val="en-US" w:eastAsia="zh-CN"/>
                    </w:rPr>
                    <w:t>设置2个临时</w:t>
                  </w:r>
                  <w:r>
                    <w:rPr>
                      <w:rFonts w:hint="eastAsia" w:ascii="Calibri" w:hAnsi="Calibri" w:cs="Calibri"/>
                      <w:color w:val="auto"/>
                      <w:sz w:val="21"/>
                      <w:szCs w:val="21"/>
                      <w:lang w:val="en-US" w:eastAsia="zh-CN"/>
                    </w:rPr>
                    <w:t>设备及材料仓库</w:t>
                  </w:r>
                  <w:r>
                    <w:rPr>
                      <w:rFonts w:hint="eastAsia" w:ascii="Calibri" w:hAnsi="Calibri" w:cs="Calibri"/>
                      <w:color w:val="auto"/>
                      <w:sz w:val="21"/>
                      <w:szCs w:val="21"/>
                      <w:highlight w:val="none"/>
                      <w:lang w:val="en-US" w:eastAsia="zh-CN"/>
                    </w:rPr>
                    <w:t>，总</w:t>
                  </w:r>
                  <w:r>
                    <w:rPr>
                      <w:rFonts w:hint="default" w:ascii="Calibri" w:hAnsi="Calibri" w:cs="Calibri"/>
                      <w:color w:val="auto"/>
                      <w:sz w:val="21"/>
                      <w:szCs w:val="21"/>
                      <w:highlight w:val="none"/>
                      <w:lang w:val="en-US" w:eastAsia="zh-CN"/>
                    </w:rPr>
                    <w:t>占地面积</w:t>
                  </w:r>
                  <w:r>
                    <w:rPr>
                      <w:rFonts w:hint="eastAsia" w:ascii="Calibri" w:hAnsi="Calibri" w:cs="Calibri"/>
                      <w:color w:val="auto"/>
                      <w:sz w:val="21"/>
                      <w:szCs w:val="21"/>
                      <w:highlight w:val="none"/>
                      <w:lang w:val="en-US" w:eastAsia="zh-CN"/>
                    </w:rPr>
                    <w:t>20</w:t>
                  </w:r>
                  <w:r>
                    <w:rPr>
                      <w:rFonts w:hint="default" w:ascii="Calibri" w:hAnsi="Calibri" w:cs="Calibri"/>
                      <w:color w:val="auto"/>
                      <w:sz w:val="21"/>
                      <w:szCs w:val="21"/>
                      <w:highlight w:val="none"/>
                      <w:lang w:val="en-US" w:eastAsia="zh-CN"/>
                    </w:rPr>
                    <w:t>00</w:t>
                  </w:r>
                  <w:r>
                    <w:rPr>
                      <w:rFonts w:hint="eastAsia" w:ascii="Calibri" w:hAnsi="Calibri" w:cs="Calibri"/>
                      <w:color w:val="auto"/>
                      <w:sz w:val="21"/>
                      <w:szCs w:val="21"/>
                      <w:highlight w:val="none"/>
                      <w:lang w:val="en-US" w:eastAsia="zh-CN"/>
                    </w:rPr>
                    <w:t>m</w:t>
                  </w:r>
                  <w:r>
                    <w:rPr>
                      <w:rFonts w:hint="eastAsia" w:ascii="Calibri" w:hAnsi="Calibri" w:cs="Calibri"/>
                      <w:color w:val="auto"/>
                      <w:sz w:val="21"/>
                      <w:szCs w:val="21"/>
                      <w:highlight w:val="none"/>
                      <w:vertAlign w:val="superscript"/>
                      <w:lang w:val="en-US" w:eastAsia="zh-CN"/>
                    </w:rPr>
                    <w:t>2</w:t>
                  </w:r>
                  <w:r>
                    <w:rPr>
                      <w:rFonts w:hint="default" w:ascii="Calibri" w:hAnsi="Calibri" w:cs="Calibri"/>
                      <w:color w:val="auto"/>
                      <w:sz w:val="21"/>
                      <w:szCs w:val="21"/>
                      <w:highlight w:val="none"/>
                      <w:lang w:val="en-US" w:eastAsia="zh-CN"/>
                    </w:rPr>
                    <w:t>。</w:t>
                  </w:r>
                </w:p>
              </w:tc>
            </w:tr>
            <w:tr w14:paraId="5DD8A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08" w:type="pct"/>
                  <w:vMerge w:val="continue"/>
                  <w:tcBorders>
                    <w:tl2br w:val="nil"/>
                    <w:tr2bl w:val="nil"/>
                  </w:tcBorders>
                  <w:vAlign w:val="center"/>
                </w:tcPr>
                <w:p w14:paraId="57CE05A8">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cs="Calibri"/>
                      <w:color w:val="auto"/>
                      <w:kern w:val="0"/>
                      <w:sz w:val="21"/>
                      <w:szCs w:val="21"/>
                      <w:highlight w:val="none"/>
                    </w:rPr>
                  </w:pPr>
                </w:p>
              </w:tc>
              <w:tc>
                <w:tcPr>
                  <w:tcW w:w="825" w:type="pct"/>
                  <w:vMerge w:val="continue"/>
                  <w:tcBorders>
                    <w:tl2br w:val="nil"/>
                    <w:tr2bl w:val="nil"/>
                  </w:tcBorders>
                  <w:vAlign w:val="center"/>
                </w:tcPr>
                <w:p w14:paraId="588EF038">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eastAsia" w:ascii="Calibri" w:hAnsi="Calibri" w:cs="Calibri"/>
                      <w:color w:val="auto"/>
                      <w:sz w:val="21"/>
                      <w:szCs w:val="21"/>
                      <w:highlight w:val="none"/>
                      <w:lang w:val="en-US" w:eastAsia="zh-CN"/>
                    </w:rPr>
                  </w:pPr>
                </w:p>
              </w:tc>
              <w:tc>
                <w:tcPr>
                  <w:tcW w:w="767" w:type="pct"/>
                  <w:tcBorders>
                    <w:tl2br w:val="nil"/>
                    <w:tr2bl w:val="nil"/>
                  </w:tcBorders>
                  <w:vAlign w:val="center"/>
                </w:tcPr>
                <w:p w14:paraId="1FB1B1DB">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Calibri" w:hAnsi="Calibri" w:cs="Calibri"/>
                      <w:color w:val="auto"/>
                      <w:sz w:val="21"/>
                      <w:szCs w:val="21"/>
                      <w:lang w:val="en-US" w:eastAsia="zh-CN"/>
                    </w:rPr>
                  </w:pPr>
                  <w:r>
                    <w:rPr>
                      <w:rFonts w:hint="eastAsia" w:ascii="Calibri" w:hAnsi="Calibri" w:cs="Calibri"/>
                      <w:color w:val="auto"/>
                      <w:sz w:val="21"/>
                      <w:szCs w:val="21"/>
                      <w:lang w:val="en-US" w:eastAsia="zh-CN"/>
                    </w:rPr>
                    <w:t>塔基施工场地</w:t>
                  </w:r>
                </w:p>
              </w:tc>
              <w:tc>
                <w:tcPr>
                  <w:tcW w:w="2998" w:type="pct"/>
                  <w:tcBorders>
                    <w:tl2br w:val="nil"/>
                    <w:tr2bl w:val="nil"/>
                  </w:tcBorders>
                  <w:vAlign w:val="center"/>
                </w:tcPr>
                <w:p w14:paraId="09258BB6">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Calibri" w:hAnsi="Calibri" w:cs="Calibri"/>
                      <w:color w:val="auto"/>
                      <w:sz w:val="21"/>
                      <w:szCs w:val="21"/>
                      <w:highlight w:val="none"/>
                      <w:vertAlign w:val="baseline"/>
                      <w:lang w:val="en-US" w:eastAsia="zh-CN"/>
                    </w:rPr>
                  </w:pPr>
                  <w:r>
                    <w:rPr>
                      <w:rFonts w:hint="default" w:ascii="Times New Roman" w:hAnsi="Times New Roman" w:cs="Times New Roman"/>
                      <w:color w:val="auto"/>
                      <w:lang w:val="en-US" w:eastAsia="zh-CN"/>
                    </w:rPr>
                    <w:t>塔基施工材料堆放、杆塔组装</w:t>
                  </w:r>
                  <w:r>
                    <w:rPr>
                      <w:rFonts w:hint="eastAsia" w:ascii="Times New Roman" w:hAnsi="Times New Roman" w:cs="Times New Roman"/>
                      <w:color w:val="auto"/>
                      <w:lang w:val="en-US" w:eastAsia="zh-CN"/>
                    </w:rPr>
                    <w:t>、临时堆土</w:t>
                  </w:r>
                  <w:r>
                    <w:rPr>
                      <w:rFonts w:hint="default" w:ascii="Times New Roman" w:hAnsi="Times New Roman" w:cs="Times New Roman"/>
                      <w:color w:val="auto"/>
                      <w:lang w:val="en-US" w:eastAsia="zh-CN"/>
                    </w:rPr>
                    <w:t>占用临时占地</w:t>
                  </w:r>
                  <w:r>
                    <w:rPr>
                      <w:rFonts w:hint="eastAsia" w:ascii="Times New Roman" w:hAnsi="Times New Roman" w:cs="Times New Roman"/>
                      <w:color w:val="auto"/>
                      <w:lang w:val="en-US" w:eastAsia="zh-CN"/>
                    </w:rPr>
                    <w:t>，</w:t>
                  </w:r>
                  <w:r>
                    <w:rPr>
                      <w:rFonts w:hint="eastAsia" w:ascii="Calibri" w:hAnsi="Calibri" w:cs="Calibri"/>
                      <w:color w:val="auto"/>
                      <w:sz w:val="21"/>
                      <w:szCs w:val="21"/>
                      <w:highlight w:val="none"/>
                      <w:lang w:val="en-US" w:eastAsia="zh-CN"/>
                    </w:rPr>
                    <w:t>占地面积90000m</w:t>
                  </w:r>
                  <w:r>
                    <w:rPr>
                      <w:rFonts w:hint="eastAsia" w:ascii="Calibri" w:hAnsi="Calibri" w:cs="Calibri"/>
                      <w:color w:val="auto"/>
                      <w:sz w:val="21"/>
                      <w:szCs w:val="21"/>
                      <w:highlight w:val="none"/>
                      <w:vertAlign w:val="superscript"/>
                      <w:lang w:val="en-US" w:eastAsia="zh-CN"/>
                    </w:rPr>
                    <w:t>2</w:t>
                  </w:r>
                  <w:r>
                    <w:rPr>
                      <w:rFonts w:hint="eastAsia" w:ascii="Calibri" w:hAnsi="Calibri" w:cs="Calibri"/>
                      <w:color w:val="auto"/>
                      <w:sz w:val="21"/>
                      <w:szCs w:val="21"/>
                      <w:highlight w:val="none"/>
                      <w:vertAlign w:val="baseline"/>
                      <w:lang w:val="en-US" w:eastAsia="zh-CN"/>
                    </w:rPr>
                    <w:t>。</w:t>
                  </w:r>
                </w:p>
              </w:tc>
            </w:tr>
            <w:tr w14:paraId="12B48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08" w:type="pct"/>
                  <w:vMerge w:val="continue"/>
                  <w:tcBorders>
                    <w:tl2br w:val="nil"/>
                    <w:tr2bl w:val="nil"/>
                  </w:tcBorders>
                  <w:vAlign w:val="center"/>
                </w:tcPr>
                <w:p w14:paraId="1B75477D">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eastAsia="宋体" w:cs="Calibri"/>
                      <w:color w:val="auto"/>
                      <w:kern w:val="0"/>
                      <w:sz w:val="21"/>
                      <w:szCs w:val="21"/>
                      <w:highlight w:val="none"/>
                      <w:lang w:val="en-US" w:eastAsia="zh-CN" w:bidi="ar-SA"/>
                    </w:rPr>
                  </w:pPr>
                </w:p>
              </w:tc>
              <w:tc>
                <w:tcPr>
                  <w:tcW w:w="825" w:type="pct"/>
                  <w:vMerge w:val="continue"/>
                  <w:tcBorders>
                    <w:tl2br w:val="nil"/>
                    <w:tr2bl w:val="nil"/>
                  </w:tcBorders>
                  <w:vAlign w:val="center"/>
                </w:tcPr>
                <w:p w14:paraId="752A83F6">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Calibri" w:hAnsi="Calibri" w:cs="Calibri"/>
                      <w:color w:val="auto"/>
                      <w:sz w:val="21"/>
                      <w:szCs w:val="21"/>
                      <w:highlight w:val="none"/>
                    </w:rPr>
                  </w:pPr>
                </w:p>
              </w:tc>
              <w:tc>
                <w:tcPr>
                  <w:tcW w:w="767" w:type="pct"/>
                  <w:tcBorders>
                    <w:tl2br w:val="nil"/>
                    <w:tr2bl w:val="nil"/>
                  </w:tcBorders>
                  <w:vAlign w:val="center"/>
                </w:tcPr>
                <w:p w14:paraId="404BA99B">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Calibri" w:hAnsi="Calibri" w:cs="Calibri"/>
                      <w:i w:val="0"/>
                      <w:iCs w:val="0"/>
                      <w:color w:val="auto"/>
                      <w:kern w:val="0"/>
                      <w:sz w:val="21"/>
                      <w:szCs w:val="21"/>
                      <w:u w:val="none"/>
                      <w:lang w:val="en-US" w:eastAsia="zh-CN" w:bidi="ar"/>
                    </w:rPr>
                  </w:pPr>
                  <w:r>
                    <w:rPr>
                      <w:rFonts w:hint="default" w:ascii="Calibri" w:hAnsi="Calibri" w:cs="Calibri"/>
                      <w:i w:val="0"/>
                      <w:iCs w:val="0"/>
                      <w:color w:val="auto"/>
                      <w:kern w:val="0"/>
                      <w:sz w:val="21"/>
                      <w:szCs w:val="21"/>
                      <w:u w:val="none"/>
                      <w:lang w:val="en-US" w:eastAsia="zh-CN" w:bidi="ar"/>
                    </w:rPr>
                    <w:t>办公生活区</w:t>
                  </w:r>
                </w:p>
              </w:tc>
              <w:tc>
                <w:tcPr>
                  <w:tcW w:w="2998" w:type="pct"/>
                  <w:tcBorders>
                    <w:tl2br w:val="nil"/>
                    <w:tr2bl w:val="nil"/>
                  </w:tcBorders>
                  <w:vAlign w:val="center"/>
                </w:tcPr>
                <w:p w14:paraId="3215849A">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Calibri" w:hAnsi="Calibri" w:cs="Calibri"/>
                      <w:color w:val="auto"/>
                      <w:sz w:val="21"/>
                      <w:szCs w:val="21"/>
                      <w:lang w:val="en-US" w:eastAsia="zh-CN"/>
                    </w:rPr>
                  </w:pPr>
                  <w:r>
                    <w:rPr>
                      <w:rFonts w:hint="eastAsia" w:ascii="Calibri" w:hAnsi="Calibri" w:cs="Calibri"/>
                      <w:color w:val="auto"/>
                      <w:sz w:val="21"/>
                      <w:szCs w:val="21"/>
                      <w:highlight w:val="none"/>
                      <w:lang w:val="en-US" w:eastAsia="zh-CN"/>
                    </w:rPr>
                    <w:t>设置2个临时</w:t>
                  </w:r>
                  <w:r>
                    <w:rPr>
                      <w:rFonts w:hint="default" w:ascii="Calibri" w:hAnsi="Calibri" w:eastAsia="宋体" w:cs="Calibri"/>
                      <w:color w:val="auto"/>
                      <w:sz w:val="21"/>
                      <w:szCs w:val="21"/>
                      <w:highlight w:val="none"/>
                      <w:lang w:val="en-US" w:eastAsia="zh-CN"/>
                    </w:rPr>
                    <w:t>生活</w:t>
                  </w:r>
                  <w:r>
                    <w:rPr>
                      <w:rFonts w:hint="default" w:ascii="Calibri" w:hAnsi="Calibri" w:cs="Calibri"/>
                      <w:color w:val="auto"/>
                      <w:sz w:val="21"/>
                      <w:szCs w:val="21"/>
                      <w:highlight w:val="none"/>
                      <w:lang w:val="en-US" w:eastAsia="zh-CN"/>
                    </w:rPr>
                    <w:t>办公</w:t>
                  </w:r>
                  <w:r>
                    <w:rPr>
                      <w:rFonts w:hint="default" w:ascii="Calibri" w:hAnsi="Calibri" w:eastAsia="宋体" w:cs="Calibri"/>
                      <w:color w:val="auto"/>
                      <w:sz w:val="21"/>
                      <w:szCs w:val="21"/>
                      <w:highlight w:val="none"/>
                      <w:lang w:val="en-US" w:eastAsia="zh-CN"/>
                    </w:rPr>
                    <w:t>区</w:t>
                  </w:r>
                  <w:r>
                    <w:rPr>
                      <w:rFonts w:hint="eastAsia" w:ascii="Calibri" w:hAnsi="Calibri" w:cs="Calibri"/>
                      <w:color w:val="auto"/>
                      <w:sz w:val="21"/>
                      <w:szCs w:val="21"/>
                      <w:highlight w:val="none"/>
                      <w:lang w:val="en-US" w:eastAsia="zh-CN"/>
                    </w:rPr>
                    <w:t>，总</w:t>
                  </w:r>
                  <w:r>
                    <w:rPr>
                      <w:rFonts w:hint="default" w:ascii="Calibri" w:hAnsi="Calibri" w:cs="Calibri"/>
                      <w:color w:val="auto"/>
                      <w:sz w:val="21"/>
                      <w:szCs w:val="21"/>
                      <w:highlight w:val="none"/>
                      <w:lang w:val="en-US" w:eastAsia="zh-CN"/>
                    </w:rPr>
                    <w:t>占地面积</w:t>
                  </w:r>
                  <w:r>
                    <w:rPr>
                      <w:rFonts w:hint="eastAsia" w:ascii="Calibri" w:hAnsi="Calibri" w:cs="Calibri"/>
                      <w:color w:val="auto"/>
                      <w:sz w:val="21"/>
                      <w:szCs w:val="21"/>
                      <w:highlight w:val="none"/>
                      <w:lang w:val="en-US" w:eastAsia="zh-CN"/>
                    </w:rPr>
                    <w:t>10</w:t>
                  </w:r>
                  <w:r>
                    <w:rPr>
                      <w:rFonts w:hint="default" w:ascii="Calibri" w:hAnsi="Calibri" w:cs="Calibri"/>
                      <w:color w:val="auto"/>
                      <w:sz w:val="21"/>
                      <w:szCs w:val="21"/>
                      <w:highlight w:val="none"/>
                      <w:lang w:val="en-US" w:eastAsia="zh-CN"/>
                    </w:rPr>
                    <w:t>00</w:t>
                  </w:r>
                  <w:r>
                    <w:rPr>
                      <w:rFonts w:hint="eastAsia" w:ascii="Calibri" w:hAnsi="Calibri" w:cs="Calibri"/>
                      <w:color w:val="auto"/>
                      <w:sz w:val="21"/>
                      <w:szCs w:val="21"/>
                      <w:highlight w:val="none"/>
                      <w:lang w:val="en-US" w:eastAsia="zh-CN"/>
                    </w:rPr>
                    <w:t>m</w:t>
                  </w:r>
                  <w:r>
                    <w:rPr>
                      <w:rFonts w:hint="eastAsia" w:ascii="Calibri" w:hAnsi="Calibri" w:cs="Calibri"/>
                      <w:color w:val="auto"/>
                      <w:sz w:val="21"/>
                      <w:szCs w:val="21"/>
                      <w:highlight w:val="none"/>
                      <w:vertAlign w:val="superscript"/>
                      <w:lang w:val="en-US" w:eastAsia="zh-CN"/>
                    </w:rPr>
                    <w:t>2</w:t>
                  </w:r>
                  <w:r>
                    <w:rPr>
                      <w:rFonts w:hint="default" w:ascii="Calibri" w:hAnsi="Calibri" w:cs="Calibri"/>
                      <w:color w:val="auto"/>
                      <w:sz w:val="21"/>
                      <w:szCs w:val="21"/>
                      <w:highlight w:val="none"/>
                      <w:lang w:val="en-US" w:eastAsia="zh-CN"/>
                    </w:rPr>
                    <w:t>。</w:t>
                  </w:r>
                </w:p>
              </w:tc>
            </w:tr>
            <w:tr w14:paraId="5F883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08" w:type="pct"/>
                  <w:vMerge w:val="continue"/>
                  <w:tcBorders>
                    <w:tl2br w:val="nil"/>
                    <w:tr2bl w:val="nil"/>
                  </w:tcBorders>
                  <w:vAlign w:val="center"/>
                </w:tcPr>
                <w:p w14:paraId="1CD928F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cs="Calibri"/>
                      <w:color w:val="auto"/>
                      <w:kern w:val="0"/>
                      <w:sz w:val="21"/>
                      <w:szCs w:val="21"/>
                      <w:highlight w:val="none"/>
                    </w:rPr>
                  </w:pPr>
                </w:p>
              </w:tc>
              <w:tc>
                <w:tcPr>
                  <w:tcW w:w="825" w:type="pct"/>
                  <w:vMerge w:val="continue"/>
                  <w:tcBorders>
                    <w:tl2br w:val="nil"/>
                    <w:tr2bl w:val="nil"/>
                  </w:tcBorders>
                  <w:vAlign w:val="center"/>
                </w:tcPr>
                <w:p w14:paraId="5FE21A9D">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Calibri" w:hAnsi="Calibri" w:cs="Calibri"/>
                      <w:color w:val="auto"/>
                      <w:sz w:val="21"/>
                      <w:szCs w:val="21"/>
                      <w:highlight w:val="none"/>
                    </w:rPr>
                  </w:pPr>
                </w:p>
              </w:tc>
              <w:tc>
                <w:tcPr>
                  <w:tcW w:w="767" w:type="pct"/>
                  <w:tcBorders>
                    <w:tl2br w:val="nil"/>
                    <w:tr2bl w:val="nil"/>
                  </w:tcBorders>
                  <w:vAlign w:val="center"/>
                </w:tcPr>
                <w:p w14:paraId="78886BA8">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Calibri" w:hAnsi="Calibri" w:eastAsia="宋体" w:cs="Calibri"/>
                      <w:color w:val="auto"/>
                      <w:sz w:val="21"/>
                      <w:szCs w:val="21"/>
                      <w:highlight w:val="none"/>
                      <w:lang w:val="en-US" w:eastAsia="zh-CN"/>
                    </w:rPr>
                  </w:pPr>
                  <w:r>
                    <w:rPr>
                      <w:rFonts w:hint="eastAsia" w:ascii="Calibri" w:hAnsi="Calibri" w:cs="Calibri"/>
                      <w:i w:val="0"/>
                      <w:iCs w:val="0"/>
                      <w:color w:val="auto"/>
                      <w:kern w:val="0"/>
                      <w:sz w:val="21"/>
                      <w:szCs w:val="21"/>
                      <w:u w:val="none"/>
                      <w:lang w:val="en-US" w:eastAsia="zh-CN" w:bidi="ar"/>
                    </w:rPr>
                    <w:t>施工道路</w:t>
                  </w:r>
                </w:p>
              </w:tc>
              <w:tc>
                <w:tcPr>
                  <w:tcW w:w="2998" w:type="pct"/>
                  <w:tcBorders>
                    <w:tl2br w:val="nil"/>
                    <w:tr2bl w:val="nil"/>
                  </w:tcBorders>
                  <w:vAlign w:val="center"/>
                </w:tcPr>
                <w:p w14:paraId="3A21A521">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Calibri" w:hAnsi="Calibri" w:eastAsia="宋体" w:cs="Calibri"/>
                      <w:color w:val="auto"/>
                      <w:sz w:val="21"/>
                      <w:szCs w:val="21"/>
                      <w:highlight w:val="none"/>
                      <w:lang w:val="en-US" w:eastAsia="zh-CN"/>
                    </w:rPr>
                  </w:pPr>
                  <w:r>
                    <w:rPr>
                      <w:rFonts w:hint="eastAsia" w:ascii="Calibri" w:hAnsi="Calibri" w:cs="Calibri"/>
                      <w:color w:val="auto"/>
                      <w:sz w:val="21"/>
                      <w:szCs w:val="21"/>
                      <w:highlight w:val="none"/>
                      <w:lang w:val="en-US" w:eastAsia="zh-CN"/>
                    </w:rPr>
                    <w:t>利用已有道路32.1km行进，新建施工道路长43km，宽度3m</w:t>
                  </w:r>
                  <w:r>
                    <w:rPr>
                      <w:rFonts w:hint="default" w:ascii="Calibri" w:hAnsi="Calibri" w:eastAsia="宋体" w:cs="Calibri"/>
                      <w:color w:val="auto"/>
                      <w:sz w:val="21"/>
                      <w:szCs w:val="21"/>
                      <w:highlight w:val="none"/>
                      <w:lang w:val="en-US" w:eastAsia="zh-CN"/>
                    </w:rPr>
                    <w:t>，</w:t>
                  </w:r>
                  <w:r>
                    <w:rPr>
                      <w:rFonts w:hint="eastAsia" w:ascii="Calibri" w:hAnsi="Calibri" w:cs="Calibri"/>
                      <w:color w:val="auto"/>
                      <w:sz w:val="21"/>
                      <w:szCs w:val="21"/>
                      <w:highlight w:val="none"/>
                      <w:lang w:val="en-US" w:eastAsia="zh-CN"/>
                    </w:rPr>
                    <w:t>占地</w:t>
                  </w:r>
                  <w:r>
                    <w:rPr>
                      <w:rFonts w:hint="default" w:ascii="Calibri" w:hAnsi="Calibri" w:eastAsia="宋体" w:cs="Calibri"/>
                      <w:color w:val="auto"/>
                      <w:sz w:val="21"/>
                      <w:szCs w:val="21"/>
                      <w:highlight w:val="none"/>
                      <w:lang w:val="en-US" w:eastAsia="zh-CN"/>
                    </w:rPr>
                    <w:t>面积</w:t>
                  </w:r>
                  <w:r>
                    <w:rPr>
                      <w:rFonts w:hint="eastAsia" w:ascii="Calibri" w:hAnsi="Calibri" w:cs="Calibri"/>
                      <w:color w:val="auto"/>
                      <w:sz w:val="21"/>
                      <w:szCs w:val="21"/>
                      <w:highlight w:val="none"/>
                      <w:lang w:val="en-US" w:eastAsia="zh-CN"/>
                    </w:rPr>
                    <w:t>129000m</w:t>
                  </w:r>
                  <w:r>
                    <w:rPr>
                      <w:rFonts w:hint="eastAsia" w:ascii="Calibri" w:hAnsi="Calibri" w:cs="Calibri"/>
                      <w:color w:val="auto"/>
                      <w:sz w:val="21"/>
                      <w:szCs w:val="21"/>
                      <w:highlight w:val="none"/>
                      <w:vertAlign w:val="superscript"/>
                      <w:lang w:val="en-US" w:eastAsia="zh-CN"/>
                    </w:rPr>
                    <w:t>2</w:t>
                  </w:r>
                  <w:r>
                    <w:rPr>
                      <w:rFonts w:hint="default" w:ascii="Calibri" w:hAnsi="Calibri" w:cs="Calibri"/>
                      <w:color w:val="auto"/>
                      <w:sz w:val="21"/>
                      <w:szCs w:val="21"/>
                      <w:lang w:val="en-US" w:eastAsia="zh-CN"/>
                    </w:rPr>
                    <w:t>。</w:t>
                  </w:r>
                </w:p>
              </w:tc>
            </w:tr>
            <w:tr w14:paraId="5A4C4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3" w:hRule="atLeast"/>
              </w:trPr>
              <w:tc>
                <w:tcPr>
                  <w:tcW w:w="408" w:type="pct"/>
                  <w:vMerge w:val="continue"/>
                  <w:tcBorders>
                    <w:tl2br w:val="nil"/>
                    <w:tr2bl w:val="nil"/>
                  </w:tcBorders>
                  <w:vAlign w:val="center"/>
                </w:tcPr>
                <w:p w14:paraId="77472472">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cs="Calibri"/>
                      <w:color w:val="auto"/>
                      <w:kern w:val="0"/>
                      <w:sz w:val="21"/>
                      <w:szCs w:val="21"/>
                      <w:highlight w:val="none"/>
                    </w:rPr>
                  </w:pPr>
                </w:p>
              </w:tc>
              <w:tc>
                <w:tcPr>
                  <w:tcW w:w="825" w:type="pct"/>
                  <w:vMerge w:val="continue"/>
                  <w:tcBorders>
                    <w:tl2br w:val="nil"/>
                    <w:tr2bl w:val="nil"/>
                  </w:tcBorders>
                  <w:vAlign w:val="center"/>
                </w:tcPr>
                <w:p w14:paraId="784881DD">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Calibri" w:hAnsi="Calibri" w:cs="Calibri"/>
                      <w:color w:val="auto"/>
                      <w:sz w:val="21"/>
                      <w:szCs w:val="21"/>
                      <w:highlight w:val="none"/>
                    </w:rPr>
                  </w:pPr>
                </w:p>
              </w:tc>
              <w:tc>
                <w:tcPr>
                  <w:tcW w:w="767" w:type="pct"/>
                  <w:tcBorders>
                    <w:tl2br w:val="nil"/>
                    <w:tr2bl w:val="nil"/>
                  </w:tcBorders>
                  <w:vAlign w:val="center"/>
                </w:tcPr>
                <w:p w14:paraId="695EF708">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sz w:val="21"/>
                      <w:szCs w:val="21"/>
                      <w:highlight w:val="none"/>
                      <w:lang w:val="en-US" w:eastAsia="zh-CN"/>
                    </w:rPr>
                    <w:t>牵张场</w:t>
                  </w:r>
                </w:p>
              </w:tc>
              <w:tc>
                <w:tcPr>
                  <w:tcW w:w="2998" w:type="pct"/>
                  <w:tcBorders>
                    <w:tl2br w:val="nil"/>
                    <w:tr2bl w:val="nil"/>
                  </w:tcBorders>
                  <w:vAlign w:val="center"/>
                </w:tcPr>
                <w:p w14:paraId="012610CF">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sz w:val="21"/>
                      <w:szCs w:val="21"/>
                      <w:highlight w:val="none"/>
                      <w:lang w:val="en-US" w:eastAsia="zh-CN"/>
                    </w:rPr>
                    <w:t>牵张场共设置</w:t>
                  </w:r>
                  <w:r>
                    <w:rPr>
                      <w:rFonts w:hint="eastAsia" w:ascii="Calibri" w:hAnsi="Calibri" w:cs="Calibri"/>
                      <w:color w:val="auto"/>
                      <w:sz w:val="21"/>
                      <w:szCs w:val="21"/>
                      <w:highlight w:val="none"/>
                      <w:lang w:val="en-US" w:eastAsia="zh-CN"/>
                    </w:rPr>
                    <w:t>13</w:t>
                  </w:r>
                  <w:r>
                    <w:rPr>
                      <w:rFonts w:hint="default" w:ascii="Calibri" w:hAnsi="Calibri" w:eastAsia="宋体" w:cs="Calibri"/>
                      <w:color w:val="auto"/>
                      <w:sz w:val="21"/>
                      <w:szCs w:val="21"/>
                      <w:highlight w:val="none"/>
                      <w:lang w:val="en-US" w:eastAsia="zh-CN"/>
                    </w:rPr>
                    <w:t>处，牵张场尺寸为</w:t>
                  </w:r>
                  <w:r>
                    <w:rPr>
                      <w:rFonts w:hint="eastAsia" w:ascii="Calibri" w:hAnsi="Calibri" w:cs="Calibri"/>
                      <w:color w:val="auto"/>
                      <w:sz w:val="21"/>
                      <w:szCs w:val="21"/>
                      <w:highlight w:val="none"/>
                      <w:lang w:val="en-US" w:eastAsia="zh-CN"/>
                    </w:rPr>
                    <w:t>20</w:t>
                  </w:r>
                  <w:r>
                    <w:rPr>
                      <w:rFonts w:hint="default" w:ascii="Calibri" w:hAnsi="Calibri" w:eastAsia="宋体" w:cs="Calibri"/>
                      <w:color w:val="auto"/>
                      <w:sz w:val="21"/>
                      <w:szCs w:val="21"/>
                      <w:highlight w:val="none"/>
                      <w:lang w:val="en-US" w:eastAsia="zh-CN"/>
                    </w:rPr>
                    <w:t>m×</w:t>
                  </w:r>
                  <w:r>
                    <w:rPr>
                      <w:rFonts w:hint="eastAsia" w:ascii="Calibri" w:hAnsi="Calibri" w:cs="Calibri"/>
                      <w:color w:val="auto"/>
                      <w:sz w:val="21"/>
                      <w:szCs w:val="21"/>
                      <w:highlight w:val="none"/>
                      <w:lang w:val="en-US" w:eastAsia="zh-CN"/>
                    </w:rPr>
                    <w:t>20</w:t>
                  </w:r>
                  <w:r>
                    <w:rPr>
                      <w:rFonts w:hint="default" w:ascii="Calibri" w:hAnsi="Calibri" w:eastAsia="宋体" w:cs="Calibri"/>
                      <w:color w:val="auto"/>
                      <w:sz w:val="21"/>
                      <w:szCs w:val="21"/>
                      <w:highlight w:val="none"/>
                      <w:lang w:val="en-US" w:eastAsia="zh-CN"/>
                    </w:rPr>
                    <w:t>m，共计</w:t>
                  </w:r>
                  <w:r>
                    <w:rPr>
                      <w:rFonts w:hint="default" w:ascii="Calibri" w:hAnsi="Calibri" w:cs="Calibri"/>
                      <w:color w:val="auto"/>
                      <w:sz w:val="21"/>
                      <w:szCs w:val="21"/>
                      <w:highlight w:val="none"/>
                      <w:lang w:val="en-US" w:eastAsia="zh-CN"/>
                    </w:rPr>
                    <w:t>临时</w:t>
                  </w:r>
                  <w:r>
                    <w:rPr>
                      <w:rFonts w:hint="default" w:ascii="Calibri" w:hAnsi="Calibri" w:eastAsia="宋体" w:cs="Calibri"/>
                      <w:color w:val="auto"/>
                      <w:sz w:val="21"/>
                      <w:szCs w:val="21"/>
                      <w:highlight w:val="none"/>
                      <w:lang w:val="en-US" w:eastAsia="zh-CN"/>
                    </w:rPr>
                    <w:t>占地</w:t>
                  </w:r>
                  <w:r>
                    <w:rPr>
                      <w:rFonts w:hint="default" w:ascii="Calibri" w:hAnsi="Calibri" w:cs="Calibri"/>
                      <w:color w:val="auto"/>
                      <w:sz w:val="21"/>
                      <w:szCs w:val="21"/>
                      <w:highlight w:val="none"/>
                      <w:lang w:val="en-US" w:eastAsia="zh-CN"/>
                    </w:rPr>
                    <w:t>2</w:t>
                  </w:r>
                  <w:r>
                    <w:rPr>
                      <w:rFonts w:hint="eastAsia" w:ascii="Calibri" w:hAnsi="Calibri" w:cs="Calibri"/>
                      <w:color w:val="auto"/>
                      <w:sz w:val="21"/>
                      <w:szCs w:val="21"/>
                      <w:highlight w:val="none"/>
                      <w:lang w:val="en-US" w:eastAsia="zh-CN"/>
                    </w:rPr>
                    <w:t>5</w:t>
                  </w:r>
                  <w:r>
                    <w:rPr>
                      <w:rFonts w:hint="default" w:ascii="Calibri" w:hAnsi="Calibri" w:cs="Calibri"/>
                      <w:color w:val="auto"/>
                      <w:sz w:val="21"/>
                      <w:szCs w:val="21"/>
                      <w:highlight w:val="none"/>
                      <w:lang w:val="en-US" w:eastAsia="zh-CN"/>
                    </w:rPr>
                    <w:t>00</w:t>
                  </w:r>
                  <w:r>
                    <w:rPr>
                      <w:rFonts w:hint="eastAsia" w:ascii="Calibri" w:hAnsi="Calibri" w:cs="Calibri"/>
                      <w:color w:val="auto"/>
                      <w:sz w:val="21"/>
                      <w:szCs w:val="21"/>
                      <w:lang w:val="en-US" w:eastAsia="zh-CN"/>
                    </w:rPr>
                    <w:t>m</w:t>
                  </w:r>
                  <w:r>
                    <w:rPr>
                      <w:rFonts w:hint="eastAsia" w:ascii="Calibri" w:hAnsi="Calibri" w:cs="Calibri"/>
                      <w:color w:val="auto"/>
                      <w:sz w:val="21"/>
                      <w:szCs w:val="21"/>
                      <w:vertAlign w:val="superscript"/>
                      <w:lang w:val="en-US" w:eastAsia="zh-CN"/>
                    </w:rPr>
                    <w:t>2</w:t>
                  </w:r>
                  <w:r>
                    <w:rPr>
                      <w:rFonts w:hint="default" w:ascii="Calibri" w:hAnsi="Calibri" w:cs="Calibri"/>
                      <w:color w:val="auto"/>
                      <w:sz w:val="21"/>
                      <w:szCs w:val="21"/>
                      <w:lang w:val="en-US" w:eastAsia="zh-CN"/>
                    </w:rPr>
                    <w:t>。</w:t>
                  </w:r>
                </w:p>
              </w:tc>
            </w:tr>
            <w:tr w14:paraId="0C7CD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8" w:hRule="atLeast"/>
              </w:trPr>
              <w:tc>
                <w:tcPr>
                  <w:tcW w:w="408" w:type="pct"/>
                  <w:vMerge w:val="restart"/>
                  <w:tcBorders>
                    <w:tl2br w:val="nil"/>
                    <w:tr2bl w:val="nil"/>
                  </w:tcBorders>
                  <w:vAlign w:val="center"/>
                </w:tcPr>
                <w:p w14:paraId="5CFD260D">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cs="Calibri"/>
                      <w:color w:val="auto"/>
                      <w:kern w:val="0"/>
                      <w:sz w:val="21"/>
                      <w:szCs w:val="21"/>
                      <w:highlight w:val="none"/>
                    </w:rPr>
                  </w:pPr>
                  <w:r>
                    <w:rPr>
                      <w:rFonts w:hint="default" w:ascii="Calibri" w:hAnsi="Calibri" w:cs="Calibri"/>
                      <w:color w:val="auto"/>
                      <w:kern w:val="0"/>
                      <w:sz w:val="21"/>
                      <w:szCs w:val="21"/>
                      <w:highlight w:val="none"/>
                    </w:rPr>
                    <w:t>环保</w:t>
                  </w:r>
                </w:p>
                <w:p w14:paraId="431EF6F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eastAsia="宋体" w:cs="Calibri"/>
                      <w:color w:val="auto"/>
                      <w:kern w:val="0"/>
                      <w:sz w:val="21"/>
                      <w:szCs w:val="21"/>
                      <w:highlight w:val="none"/>
                      <w:lang w:val="en-US" w:eastAsia="zh-CN" w:bidi="ar-SA"/>
                    </w:rPr>
                  </w:pPr>
                  <w:r>
                    <w:rPr>
                      <w:rFonts w:hint="default" w:ascii="Calibri" w:hAnsi="Calibri" w:cs="Calibri"/>
                      <w:color w:val="auto"/>
                      <w:kern w:val="0"/>
                      <w:sz w:val="21"/>
                      <w:szCs w:val="21"/>
                      <w:highlight w:val="none"/>
                    </w:rPr>
                    <w:t>工程</w:t>
                  </w:r>
                </w:p>
              </w:tc>
              <w:tc>
                <w:tcPr>
                  <w:tcW w:w="825" w:type="pct"/>
                  <w:vMerge w:val="restart"/>
                  <w:tcBorders>
                    <w:tl2br w:val="nil"/>
                    <w:tr2bl w:val="nil"/>
                  </w:tcBorders>
                  <w:vAlign w:val="center"/>
                </w:tcPr>
                <w:p w14:paraId="6B2E5BC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eastAsia="宋体" w:cs="Calibri"/>
                      <w:color w:val="auto"/>
                      <w:kern w:val="0"/>
                      <w:sz w:val="21"/>
                      <w:szCs w:val="21"/>
                      <w:highlight w:val="none"/>
                      <w:lang w:val="en-US" w:eastAsia="zh-CN" w:bidi="ar-SA"/>
                    </w:rPr>
                  </w:pPr>
                  <w:r>
                    <w:rPr>
                      <w:rFonts w:hint="default" w:ascii="Calibri" w:hAnsi="Calibri" w:cs="Calibri"/>
                      <w:color w:val="auto"/>
                      <w:kern w:val="0"/>
                      <w:sz w:val="21"/>
                      <w:szCs w:val="21"/>
                      <w:highlight w:val="none"/>
                    </w:rPr>
                    <w:t>废气</w:t>
                  </w:r>
                </w:p>
              </w:tc>
              <w:tc>
                <w:tcPr>
                  <w:tcW w:w="3765" w:type="pct"/>
                  <w:gridSpan w:val="2"/>
                  <w:tcBorders>
                    <w:bottom w:val="single" w:color="auto" w:sz="4" w:space="0"/>
                    <w:tl2br w:val="nil"/>
                    <w:tr2bl w:val="nil"/>
                  </w:tcBorders>
                  <w:vAlign w:val="center"/>
                </w:tcPr>
                <w:p w14:paraId="7150258C">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Calibri" w:hAnsi="Calibri" w:eastAsia="宋体" w:cs="Calibri"/>
                      <w:color w:val="auto"/>
                      <w:kern w:val="0"/>
                      <w:sz w:val="21"/>
                      <w:szCs w:val="21"/>
                      <w:highlight w:val="none"/>
                      <w:lang w:val="en-US" w:eastAsia="zh-CN" w:bidi="ar-SA"/>
                    </w:rPr>
                  </w:pPr>
                  <w:r>
                    <w:rPr>
                      <w:rFonts w:hint="eastAsia" w:ascii="Calibri" w:hAnsi="Calibri" w:cs="Calibri"/>
                      <w:color w:val="auto"/>
                      <w:sz w:val="21"/>
                      <w:szCs w:val="21"/>
                      <w:highlight w:val="none"/>
                      <w:lang w:val="en-US" w:eastAsia="zh-CN"/>
                    </w:rPr>
                    <w:t>施工产生的扬尘</w:t>
                  </w:r>
                  <w:r>
                    <w:rPr>
                      <w:rFonts w:hint="default" w:ascii="Calibri" w:hAnsi="Calibri" w:cs="Calibri"/>
                      <w:color w:val="auto"/>
                      <w:sz w:val="21"/>
                      <w:szCs w:val="21"/>
                      <w:highlight w:val="none"/>
                    </w:rPr>
                    <w:t>应</w:t>
                  </w:r>
                  <w:r>
                    <w:rPr>
                      <w:rFonts w:hint="eastAsia" w:ascii="Calibri" w:hAnsi="Calibri" w:cs="Calibri"/>
                      <w:color w:val="auto"/>
                      <w:sz w:val="21"/>
                      <w:szCs w:val="21"/>
                      <w:highlight w:val="none"/>
                      <w:lang w:val="en-US" w:eastAsia="zh-CN"/>
                    </w:rPr>
                    <w:t>采取定期洒水措施</w:t>
                  </w:r>
                  <w:r>
                    <w:rPr>
                      <w:rFonts w:hint="default" w:ascii="Calibri" w:hAnsi="Calibri" w:cs="Calibri"/>
                      <w:color w:val="auto"/>
                      <w:sz w:val="21"/>
                      <w:szCs w:val="21"/>
                      <w:highlight w:val="none"/>
                    </w:rPr>
                    <w:t>。</w:t>
                  </w:r>
                </w:p>
              </w:tc>
            </w:tr>
            <w:tr w14:paraId="68D6E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 w:hRule="atLeast"/>
              </w:trPr>
              <w:tc>
                <w:tcPr>
                  <w:tcW w:w="408" w:type="pct"/>
                  <w:vMerge w:val="continue"/>
                  <w:tcBorders>
                    <w:tl2br w:val="nil"/>
                    <w:tr2bl w:val="nil"/>
                  </w:tcBorders>
                  <w:vAlign w:val="center"/>
                </w:tcPr>
                <w:p w14:paraId="649A4F28">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cs="Calibri"/>
                      <w:color w:val="auto"/>
                      <w:kern w:val="0"/>
                      <w:sz w:val="21"/>
                      <w:szCs w:val="21"/>
                      <w:highlight w:val="none"/>
                    </w:rPr>
                  </w:pPr>
                </w:p>
              </w:tc>
              <w:tc>
                <w:tcPr>
                  <w:tcW w:w="825" w:type="pct"/>
                  <w:vMerge w:val="continue"/>
                  <w:tcBorders>
                    <w:tl2br w:val="nil"/>
                    <w:tr2bl w:val="nil"/>
                  </w:tcBorders>
                  <w:vAlign w:val="center"/>
                </w:tcPr>
                <w:p w14:paraId="1C294FF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cs="Calibri"/>
                      <w:color w:val="auto"/>
                      <w:kern w:val="0"/>
                      <w:sz w:val="21"/>
                      <w:szCs w:val="21"/>
                      <w:highlight w:val="none"/>
                    </w:rPr>
                  </w:pPr>
                </w:p>
              </w:tc>
              <w:tc>
                <w:tcPr>
                  <w:tcW w:w="3765" w:type="pct"/>
                  <w:gridSpan w:val="2"/>
                  <w:tcBorders>
                    <w:top w:val="single" w:color="auto" w:sz="4" w:space="0"/>
                    <w:bottom w:val="single" w:color="auto" w:sz="4" w:space="0"/>
                    <w:tl2br w:val="nil"/>
                    <w:tr2bl w:val="nil"/>
                  </w:tcBorders>
                  <w:vAlign w:val="center"/>
                </w:tcPr>
                <w:p w14:paraId="1032913B">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Calibri" w:hAnsi="Calibri" w:eastAsia="宋体" w:cs="Calibri"/>
                      <w:color w:val="auto"/>
                      <w:sz w:val="21"/>
                      <w:szCs w:val="21"/>
                      <w:highlight w:val="none"/>
                      <w:lang w:eastAsia="zh-CN"/>
                    </w:rPr>
                  </w:pPr>
                  <w:r>
                    <w:rPr>
                      <w:rFonts w:hint="eastAsia" w:ascii="Calibri" w:hAnsi="Calibri" w:cs="Calibri"/>
                      <w:color w:val="auto"/>
                      <w:sz w:val="21"/>
                      <w:szCs w:val="21"/>
                      <w:highlight w:val="none"/>
                      <w:lang w:val="en-US" w:eastAsia="zh-CN"/>
                    </w:rPr>
                    <w:t>汽车运输</w:t>
                  </w:r>
                  <w:r>
                    <w:rPr>
                      <w:rFonts w:hint="default" w:ascii="Calibri" w:hAnsi="Calibri" w:cs="Calibri"/>
                      <w:color w:val="auto"/>
                      <w:sz w:val="21"/>
                      <w:szCs w:val="21"/>
                      <w:highlight w:val="none"/>
                    </w:rPr>
                    <w:t>道路</w:t>
                  </w:r>
                  <w:r>
                    <w:rPr>
                      <w:rFonts w:hint="default" w:ascii="Calibri" w:hAnsi="Calibri" w:cs="Calibri"/>
                      <w:color w:val="auto"/>
                      <w:sz w:val="21"/>
                      <w:szCs w:val="21"/>
                      <w:highlight w:val="none"/>
                      <w:lang w:val="en-US" w:eastAsia="zh-CN"/>
                    </w:rPr>
                    <w:t>扬尘</w:t>
                  </w:r>
                  <w:r>
                    <w:rPr>
                      <w:rFonts w:hint="default" w:ascii="Calibri" w:hAnsi="Calibri" w:cs="Calibri"/>
                      <w:color w:val="auto"/>
                      <w:sz w:val="21"/>
                      <w:szCs w:val="21"/>
                      <w:highlight w:val="none"/>
                    </w:rPr>
                    <w:t>，采取</w:t>
                  </w:r>
                  <w:r>
                    <w:rPr>
                      <w:rFonts w:hint="eastAsia" w:ascii="Calibri" w:hAnsi="Calibri" w:cs="Calibri"/>
                      <w:color w:val="auto"/>
                      <w:sz w:val="21"/>
                      <w:szCs w:val="21"/>
                      <w:highlight w:val="none"/>
                      <w:lang w:eastAsia="zh-CN"/>
                    </w:rPr>
                    <w:t>车辆加盖篷布、</w:t>
                  </w:r>
                  <w:r>
                    <w:rPr>
                      <w:rFonts w:hint="default" w:ascii="Calibri" w:hAnsi="Calibri" w:cs="Calibri"/>
                      <w:color w:val="auto"/>
                      <w:sz w:val="21"/>
                      <w:szCs w:val="21"/>
                      <w:highlight w:val="none"/>
                    </w:rPr>
                    <w:t>洒水措施</w:t>
                  </w:r>
                  <w:r>
                    <w:rPr>
                      <w:rFonts w:hint="default" w:ascii="Calibri" w:hAnsi="Calibri" w:cs="Calibri"/>
                      <w:color w:val="auto"/>
                      <w:sz w:val="21"/>
                      <w:szCs w:val="21"/>
                      <w:highlight w:val="none"/>
                      <w:lang w:eastAsia="zh-CN"/>
                    </w:rPr>
                    <w:t>。</w:t>
                  </w:r>
                </w:p>
              </w:tc>
            </w:tr>
            <w:tr w14:paraId="06BDA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6" w:hRule="atLeast"/>
              </w:trPr>
              <w:tc>
                <w:tcPr>
                  <w:tcW w:w="408" w:type="pct"/>
                  <w:vMerge w:val="continue"/>
                  <w:tcBorders>
                    <w:tl2br w:val="nil"/>
                    <w:tr2bl w:val="nil"/>
                  </w:tcBorders>
                  <w:vAlign w:val="center"/>
                </w:tcPr>
                <w:p w14:paraId="122FABB8">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cs="Calibri"/>
                      <w:color w:val="auto"/>
                      <w:kern w:val="0"/>
                      <w:sz w:val="21"/>
                      <w:szCs w:val="21"/>
                      <w:highlight w:val="none"/>
                    </w:rPr>
                  </w:pPr>
                </w:p>
              </w:tc>
              <w:tc>
                <w:tcPr>
                  <w:tcW w:w="825" w:type="pct"/>
                  <w:vMerge w:val="continue"/>
                  <w:tcBorders>
                    <w:tl2br w:val="nil"/>
                    <w:tr2bl w:val="nil"/>
                  </w:tcBorders>
                  <w:vAlign w:val="center"/>
                </w:tcPr>
                <w:p w14:paraId="630431F3">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cs="Calibri"/>
                      <w:color w:val="auto"/>
                      <w:kern w:val="0"/>
                      <w:sz w:val="21"/>
                      <w:szCs w:val="21"/>
                      <w:highlight w:val="none"/>
                    </w:rPr>
                  </w:pPr>
                </w:p>
              </w:tc>
              <w:tc>
                <w:tcPr>
                  <w:tcW w:w="3765" w:type="pct"/>
                  <w:gridSpan w:val="2"/>
                  <w:tcBorders>
                    <w:top w:val="single" w:color="auto" w:sz="4" w:space="0"/>
                    <w:tl2br w:val="nil"/>
                    <w:tr2bl w:val="nil"/>
                  </w:tcBorders>
                  <w:vAlign w:val="center"/>
                </w:tcPr>
                <w:p w14:paraId="5C4471C0">
                  <w:pPr>
                    <w:keepNext w:val="0"/>
                    <w:keepLines w:val="0"/>
                    <w:pageBreakBefore w:val="0"/>
                    <w:kinsoku/>
                    <w:wordWrap/>
                    <w:overflowPunct/>
                    <w:topLinePunct w:val="0"/>
                    <w:autoSpaceDE/>
                    <w:autoSpaceDN/>
                    <w:bidi w:val="0"/>
                    <w:snapToGrid/>
                    <w:spacing w:line="240" w:lineRule="auto"/>
                    <w:ind w:firstLine="0" w:firstLineChars="0"/>
                    <w:jc w:val="center"/>
                    <w:textAlignment w:val="auto"/>
                    <w:rPr>
                      <w:rFonts w:hint="default" w:ascii="Calibri" w:hAnsi="Calibri" w:eastAsia="宋体" w:cs="Calibri"/>
                      <w:color w:val="auto"/>
                      <w:sz w:val="21"/>
                      <w:szCs w:val="21"/>
                      <w:highlight w:val="none"/>
                      <w:lang w:eastAsia="zh-CN"/>
                    </w:rPr>
                  </w:pPr>
                  <w:r>
                    <w:rPr>
                      <w:rFonts w:hint="default" w:ascii="Calibri" w:hAnsi="Calibri" w:cs="Calibri"/>
                      <w:color w:val="auto"/>
                      <w:sz w:val="21"/>
                      <w:szCs w:val="21"/>
                      <w:highlight w:val="none"/>
                    </w:rPr>
                    <w:t>施工机械和汽车尾气，保证汽车尾气达到国家规定的排放标准</w:t>
                  </w:r>
                  <w:r>
                    <w:rPr>
                      <w:rFonts w:hint="default" w:ascii="Calibri" w:hAnsi="Calibri" w:cs="Calibri"/>
                      <w:color w:val="auto"/>
                      <w:sz w:val="21"/>
                      <w:szCs w:val="21"/>
                      <w:highlight w:val="none"/>
                      <w:lang w:eastAsia="zh-CN"/>
                    </w:rPr>
                    <w:t>。</w:t>
                  </w:r>
                </w:p>
              </w:tc>
            </w:tr>
            <w:tr w14:paraId="78E49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3" w:hRule="atLeast"/>
              </w:trPr>
              <w:tc>
                <w:tcPr>
                  <w:tcW w:w="408" w:type="pct"/>
                  <w:vMerge w:val="continue"/>
                  <w:tcBorders>
                    <w:tl2br w:val="nil"/>
                    <w:tr2bl w:val="nil"/>
                  </w:tcBorders>
                  <w:vAlign w:val="center"/>
                </w:tcPr>
                <w:p w14:paraId="64FC00A5">
                  <w:pPr>
                    <w:keepNext w:val="0"/>
                    <w:keepLines w:val="0"/>
                    <w:pageBreakBefore w:val="0"/>
                    <w:widowControl w:val="0"/>
                    <w:kinsoku/>
                    <w:wordWrap/>
                    <w:overflowPunct/>
                    <w:topLinePunct w:val="0"/>
                    <w:autoSpaceDE/>
                    <w:autoSpaceDN/>
                    <w:bidi w:val="0"/>
                    <w:adjustRightInd w:val="0"/>
                    <w:snapToGrid/>
                    <w:spacing w:before="0" w:line="240" w:lineRule="auto"/>
                    <w:ind w:left="0" w:right="0" w:firstLine="0"/>
                    <w:jc w:val="center"/>
                    <w:textAlignment w:val="auto"/>
                    <w:rPr>
                      <w:rFonts w:hint="default" w:ascii="Calibri" w:hAnsi="Calibri" w:cs="Calibri"/>
                      <w:color w:val="auto"/>
                      <w:sz w:val="21"/>
                      <w:szCs w:val="21"/>
                    </w:rPr>
                  </w:pPr>
                </w:p>
              </w:tc>
              <w:tc>
                <w:tcPr>
                  <w:tcW w:w="825" w:type="pct"/>
                  <w:tcBorders>
                    <w:tl2br w:val="nil"/>
                    <w:tr2bl w:val="nil"/>
                  </w:tcBorders>
                  <w:vAlign w:val="center"/>
                </w:tcPr>
                <w:p w14:paraId="1309953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eastAsia="宋体" w:cs="Calibri"/>
                      <w:color w:val="auto"/>
                      <w:kern w:val="0"/>
                      <w:sz w:val="21"/>
                      <w:szCs w:val="21"/>
                      <w:highlight w:val="none"/>
                      <w:lang w:val="en-US" w:eastAsia="zh-CN" w:bidi="ar-SA"/>
                    </w:rPr>
                  </w:pPr>
                  <w:r>
                    <w:rPr>
                      <w:rFonts w:hint="default" w:ascii="Calibri" w:hAnsi="Calibri" w:cs="Calibri"/>
                      <w:color w:val="auto"/>
                      <w:kern w:val="0"/>
                      <w:sz w:val="21"/>
                      <w:szCs w:val="21"/>
                      <w:highlight w:val="none"/>
                    </w:rPr>
                    <w:t>废水</w:t>
                  </w:r>
                </w:p>
              </w:tc>
              <w:tc>
                <w:tcPr>
                  <w:tcW w:w="3765" w:type="pct"/>
                  <w:gridSpan w:val="2"/>
                  <w:tcBorders>
                    <w:tl2br w:val="nil"/>
                    <w:tr2bl w:val="nil"/>
                  </w:tcBorders>
                  <w:vAlign w:val="center"/>
                </w:tcPr>
                <w:p w14:paraId="2867DDBB">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eastAsia="宋体" w:cs="Calibri"/>
                      <w:color w:val="auto"/>
                      <w:kern w:val="0"/>
                      <w:sz w:val="21"/>
                      <w:szCs w:val="21"/>
                      <w:highlight w:val="green"/>
                      <w:lang w:val="en-US" w:eastAsia="zh-CN" w:bidi="ar-SA"/>
                    </w:rPr>
                  </w:pPr>
                  <w:r>
                    <w:rPr>
                      <w:rFonts w:hint="default" w:ascii="Calibri" w:hAnsi="Calibri" w:cs="Calibri"/>
                      <w:color w:val="auto"/>
                      <w:sz w:val="21"/>
                      <w:szCs w:val="21"/>
                      <w:lang w:val="en-US" w:eastAsia="zh-CN"/>
                    </w:rPr>
                    <w:t>施工期</w:t>
                  </w:r>
                  <w:r>
                    <w:rPr>
                      <w:rFonts w:hint="eastAsia" w:ascii="Calibri" w:hAnsi="Calibri" w:cs="Calibri"/>
                      <w:color w:val="auto"/>
                      <w:sz w:val="21"/>
                      <w:szCs w:val="21"/>
                      <w:lang w:val="en-US" w:eastAsia="zh-CN"/>
                    </w:rPr>
                    <w:t>生活污水</w:t>
                  </w:r>
                  <w:r>
                    <w:rPr>
                      <w:rFonts w:hint="default" w:ascii="Calibri" w:hAnsi="Calibri" w:cs="Calibri"/>
                      <w:color w:val="auto"/>
                      <w:sz w:val="21"/>
                      <w:szCs w:val="21"/>
                      <w:lang w:val="en-US" w:eastAsia="zh-CN"/>
                    </w:rPr>
                    <w:t>采用一体化污水处理设施</w:t>
                  </w:r>
                  <w:r>
                    <w:rPr>
                      <w:rFonts w:hint="eastAsia" w:ascii="Calibri" w:hAnsi="Calibri" w:cs="Calibri"/>
                      <w:color w:val="auto"/>
                      <w:sz w:val="21"/>
                      <w:szCs w:val="21"/>
                      <w:lang w:val="en-US" w:eastAsia="zh-CN"/>
                    </w:rPr>
                    <w:t>处理后满足</w:t>
                  </w:r>
                  <w:r>
                    <w:rPr>
                      <w:rFonts w:hint="default" w:ascii="Calibri" w:hAnsi="Calibri" w:cs="Calibri"/>
                      <w:color w:val="auto"/>
                      <w:sz w:val="21"/>
                      <w:szCs w:val="21"/>
                      <w:lang w:val="en-US" w:eastAsia="zh-CN"/>
                    </w:rPr>
                    <w:t>《农村生活污水处理排放标准》</w:t>
                  </w:r>
                  <w:r>
                    <w:rPr>
                      <w:rFonts w:hint="eastAsia" w:ascii="Calibri" w:hAnsi="Calibri" w:cs="Calibri"/>
                      <w:color w:val="auto"/>
                      <w:sz w:val="21"/>
                      <w:szCs w:val="21"/>
                      <w:lang w:val="en-US" w:eastAsia="zh-CN"/>
                    </w:rPr>
                    <w:t>（</w:t>
                  </w:r>
                  <w:r>
                    <w:rPr>
                      <w:rFonts w:hint="default" w:ascii="Calibri" w:hAnsi="Calibri" w:cs="Calibri"/>
                      <w:color w:val="auto"/>
                      <w:sz w:val="21"/>
                      <w:szCs w:val="21"/>
                      <w:lang w:val="en-US" w:eastAsia="zh-CN"/>
                    </w:rPr>
                    <w:t>DB654275-2019</w:t>
                  </w:r>
                  <w:r>
                    <w:rPr>
                      <w:rFonts w:hint="eastAsia" w:ascii="Calibri" w:hAnsi="Calibri" w:cs="Calibri"/>
                      <w:color w:val="auto"/>
                      <w:sz w:val="21"/>
                      <w:szCs w:val="21"/>
                      <w:lang w:val="en-US" w:eastAsia="zh-CN"/>
                    </w:rPr>
                    <w:t>）</w:t>
                  </w:r>
                  <w:r>
                    <w:rPr>
                      <w:rFonts w:hint="default" w:ascii="Calibri" w:hAnsi="Calibri" w:cs="Calibri"/>
                      <w:color w:val="auto"/>
                      <w:sz w:val="21"/>
                      <w:szCs w:val="21"/>
                      <w:lang w:val="en-US" w:eastAsia="zh-CN"/>
                    </w:rPr>
                    <w:t>，用于绿化、生态恢复；施工养护废水，用于洒水抑尘或自然蒸干</w:t>
                  </w:r>
                  <w:r>
                    <w:rPr>
                      <w:rFonts w:hint="eastAsia" w:ascii="Calibri" w:hAnsi="Calibri" w:cs="Calibri"/>
                      <w:color w:val="auto"/>
                      <w:sz w:val="21"/>
                      <w:szCs w:val="21"/>
                      <w:lang w:val="en-US" w:eastAsia="zh-CN"/>
                    </w:rPr>
                    <w:t>。</w:t>
                  </w:r>
                  <w:r>
                    <w:rPr>
                      <w:rFonts w:hint="default" w:ascii="Calibri" w:hAnsi="Calibri" w:cs="Calibri"/>
                      <w:color w:val="auto"/>
                      <w:sz w:val="21"/>
                      <w:szCs w:val="21"/>
                      <w:lang w:val="en-US" w:eastAsia="zh-CN"/>
                    </w:rPr>
                    <w:t>运营期无废水产生。</w:t>
                  </w:r>
                </w:p>
              </w:tc>
            </w:tr>
            <w:tr w14:paraId="3E08B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3" w:hRule="atLeast"/>
              </w:trPr>
              <w:tc>
                <w:tcPr>
                  <w:tcW w:w="408" w:type="pct"/>
                  <w:vMerge w:val="continue"/>
                  <w:tcBorders>
                    <w:tl2br w:val="nil"/>
                    <w:tr2bl w:val="nil"/>
                  </w:tcBorders>
                  <w:vAlign w:val="center"/>
                </w:tcPr>
                <w:p w14:paraId="042E5C78">
                  <w:pPr>
                    <w:keepNext w:val="0"/>
                    <w:keepLines w:val="0"/>
                    <w:pageBreakBefore w:val="0"/>
                    <w:widowControl w:val="0"/>
                    <w:kinsoku/>
                    <w:wordWrap/>
                    <w:overflowPunct/>
                    <w:topLinePunct w:val="0"/>
                    <w:autoSpaceDE/>
                    <w:autoSpaceDN/>
                    <w:bidi w:val="0"/>
                    <w:adjustRightInd w:val="0"/>
                    <w:snapToGrid/>
                    <w:spacing w:before="0" w:line="240" w:lineRule="auto"/>
                    <w:ind w:left="0" w:right="0" w:firstLine="0"/>
                    <w:jc w:val="center"/>
                    <w:textAlignment w:val="auto"/>
                    <w:rPr>
                      <w:rFonts w:hint="default" w:ascii="Calibri" w:hAnsi="Calibri" w:cs="Calibri"/>
                      <w:color w:val="auto"/>
                      <w:sz w:val="21"/>
                      <w:szCs w:val="21"/>
                    </w:rPr>
                  </w:pPr>
                </w:p>
              </w:tc>
              <w:tc>
                <w:tcPr>
                  <w:tcW w:w="825" w:type="pct"/>
                  <w:tcBorders>
                    <w:tl2br w:val="nil"/>
                    <w:tr2bl w:val="nil"/>
                  </w:tcBorders>
                  <w:vAlign w:val="center"/>
                </w:tcPr>
                <w:p w14:paraId="620696F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eastAsia="宋体" w:cs="Calibri"/>
                      <w:b w:val="0"/>
                      <w:bCs w:val="0"/>
                      <w:color w:val="auto"/>
                      <w:kern w:val="0"/>
                      <w:sz w:val="21"/>
                      <w:szCs w:val="21"/>
                      <w:highlight w:val="none"/>
                      <w:lang w:val="en-US" w:eastAsia="zh-CN" w:bidi="ar-SA"/>
                    </w:rPr>
                  </w:pPr>
                  <w:r>
                    <w:rPr>
                      <w:rFonts w:hint="default" w:ascii="Calibri" w:hAnsi="Calibri" w:cs="Calibri"/>
                      <w:b w:val="0"/>
                      <w:bCs w:val="0"/>
                      <w:color w:val="auto"/>
                      <w:kern w:val="0"/>
                      <w:sz w:val="21"/>
                      <w:szCs w:val="21"/>
                      <w:highlight w:val="none"/>
                    </w:rPr>
                    <w:t>噪声</w:t>
                  </w:r>
                </w:p>
              </w:tc>
              <w:tc>
                <w:tcPr>
                  <w:tcW w:w="3765" w:type="pct"/>
                  <w:gridSpan w:val="2"/>
                  <w:tcBorders>
                    <w:tl2br w:val="nil"/>
                    <w:tr2bl w:val="nil"/>
                  </w:tcBorders>
                  <w:vAlign w:val="center"/>
                </w:tcPr>
                <w:p w14:paraId="5565E84D">
                  <w:pPr>
                    <w:pStyle w:val="33"/>
                    <w:rPr>
                      <w:rFonts w:hint="default" w:ascii="Calibri" w:hAnsi="Calibri" w:eastAsia="宋体" w:cs="Calibri"/>
                      <w:b w:val="0"/>
                      <w:bCs w:val="0"/>
                      <w:color w:val="auto"/>
                      <w:kern w:val="2"/>
                      <w:sz w:val="21"/>
                      <w:szCs w:val="21"/>
                      <w:lang w:val="en-US" w:eastAsia="zh-CN" w:bidi="ar-SA"/>
                    </w:rPr>
                  </w:pPr>
                  <w:r>
                    <w:rPr>
                      <w:rFonts w:hint="default" w:ascii="Calibri" w:hAnsi="Calibri" w:eastAsia="宋体" w:cs="Calibri"/>
                      <w:b w:val="0"/>
                      <w:bCs w:val="0"/>
                      <w:color w:val="auto"/>
                      <w:kern w:val="2"/>
                      <w:sz w:val="21"/>
                      <w:szCs w:val="21"/>
                      <w:lang w:val="en-US" w:eastAsia="zh-CN" w:bidi="ar-SA"/>
                    </w:rPr>
                    <w:t>施工期机械设备和交通噪声，缩短高噪声机械设备的使用时间，设备的维护，采用低噪声设备；运营期加强设备维护。</w:t>
                  </w:r>
                </w:p>
              </w:tc>
            </w:tr>
            <w:tr w14:paraId="01A7E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7" w:hRule="atLeast"/>
              </w:trPr>
              <w:tc>
                <w:tcPr>
                  <w:tcW w:w="408" w:type="pct"/>
                  <w:vMerge w:val="continue"/>
                  <w:tcBorders>
                    <w:tl2br w:val="nil"/>
                    <w:tr2bl w:val="nil"/>
                  </w:tcBorders>
                  <w:vAlign w:val="center"/>
                </w:tcPr>
                <w:p w14:paraId="203E5CA0">
                  <w:pPr>
                    <w:keepNext w:val="0"/>
                    <w:keepLines w:val="0"/>
                    <w:pageBreakBefore w:val="0"/>
                    <w:widowControl w:val="0"/>
                    <w:kinsoku/>
                    <w:wordWrap/>
                    <w:overflowPunct/>
                    <w:topLinePunct w:val="0"/>
                    <w:autoSpaceDE/>
                    <w:autoSpaceDN/>
                    <w:bidi w:val="0"/>
                    <w:adjustRightInd w:val="0"/>
                    <w:snapToGrid/>
                    <w:spacing w:before="0" w:line="240" w:lineRule="auto"/>
                    <w:ind w:left="0" w:right="0" w:firstLine="0"/>
                    <w:jc w:val="center"/>
                    <w:textAlignment w:val="auto"/>
                    <w:rPr>
                      <w:rFonts w:hint="default" w:ascii="Calibri" w:hAnsi="Calibri" w:cs="Calibri"/>
                      <w:color w:val="auto"/>
                      <w:sz w:val="21"/>
                      <w:szCs w:val="21"/>
                    </w:rPr>
                  </w:pPr>
                </w:p>
              </w:tc>
              <w:tc>
                <w:tcPr>
                  <w:tcW w:w="825" w:type="pct"/>
                  <w:tcBorders>
                    <w:tl2br w:val="nil"/>
                    <w:tr2bl w:val="nil"/>
                  </w:tcBorders>
                  <w:vAlign w:val="center"/>
                </w:tcPr>
                <w:p w14:paraId="0A914D5A">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eastAsia="宋体" w:cs="Calibri"/>
                      <w:color w:val="auto"/>
                      <w:kern w:val="0"/>
                      <w:sz w:val="21"/>
                      <w:szCs w:val="21"/>
                      <w:highlight w:val="none"/>
                      <w:lang w:val="en-US" w:eastAsia="zh-CN" w:bidi="ar-SA"/>
                    </w:rPr>
                  </w:pPr>
                  <w:r>
                    <w:rPr>
                      <w:rFonts w:hint="default" w:ascii="Calibri" w:hAnsi="Calibri" w:cs="Calibri"/>
                      <w:color w:val="auto"/>
                      <w:kern w:val="0"/>
                      <w:sz w:val="21"/>
                      <w:szCs w:val="21"/>
                      <w:highlight w:val="none"/>
                    </w:rPr>
                    <w:t>固废</w:t>
                  </w:r>
                </w:p>
              </w:tc>
              <w:tc>
                <w:tcPr>
                  <w:tcW w:w="3765" w:type="pct"/>
                  <w:gridSpan w:val="2"/>
                  <w:tcBorders>
                    <w:tl2br w:val="nil"/>
                    <w:tr2bl w:val="nil"/>
                  </w:tcBorders>
                  <w:vAlign w:val="center"/>
                </w:tcPr>
                <w:p w14:paraId="7BF74D73">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eastAsia="宋体" w:cs="Calibri"/>
                      <w:color w:val="auto"/>
                      <w:kern w:val="2"/>
                      <w:sz w:val="21"/>
                      <w:szCs w:val="21"/>
                      <w:lang w:val="en-US" w:eastAsia="zh-CN" w:bidi="ar-SA"/>
                    </w:rPr>
                  </w:pPr>
                  <w:r>
                    <w:rPr>
                      <w:rFonts w:hint="default" w:ascii="Calibri" w:hAnsi="Calibri" w:eastAsia="宋体" w:cs="Calibri"/>
                      <w:color w:val="auto"/>
                      <w:kern w:val="2"/>
                      <w:sz w:val="21"/>
                      <w:szCs w:val="21"/>
                      <w:lang w:val="en-US" w:eastAsia="zh-CN" w:bidi="ar-SA"/>
                    </w:rPr>
                    <w:t>施工期生活垃圾在生活区内暂存后统一拉运至若羌县生活垃圾填埋场</w:t>
                  </w:r>
                  <w:r>
                    <w:rPr>
                      <w:rFonts w:hint="eastAsia" w:ascii="Calibri" w:hAnsi="Calibri" w:cs="Calibri"/>
                      <w:color w:val="auto"/>
                      <w:kern w:val="2"/>
                      <w:sz w:val="21"/>
                      <w:szCs w:val="21"/>
                      <w:lang w:val="en-US" w:eastAsia="zh-CN" w:bidi="ar-SA"/>
                    </w:rPr>
                    <w:t>处理；施工期开挖弃土全部回填利用。产生的事故废油排入事故油池1座（36m</w:t>
                  </w:r>
                  <w:r>
                    <w:rPr>
                      <w:rFonts w:hint="eastAsia" w:ascii="Calibri" w:hAnsi="Calibri" w:cs="Calibri"/>
                      <w:color w:val="auto"/>
                      <w:kern w:val="2"/>
                      <w:sz w:val="21"/>
                      <w:szCs w:val="21"/>
                      <w:vertAlign w:val="superscript"/>
                      <w:lang w:val="en-US" w:eastAsia="zh-CN" w:bidi="ar-SA"/>
                    </w:rPr>
                    <w:t>3</w:t>
                  </w:r>
                  <w:r>
                    <w:rPr>
                      <w:rFonts w:hint="eastAsia" w:ascii="Calibri" w:hAnsi="Calibri" w:cs="Calibri"/>
                      <w:color w:val="auto"/>
                      <w:kern w:val="2"/>
                      <w:sz w:val="21"/>
                      <w:szCs w:val="21"/>
                      <w:lang w:val="en-US" w:eastAsia="zh-CN" w:bidi="ar-SA"/>
                    </w:rPr>
                    <w:t>），产生废铅酸蓄电池暂存于危险废物贮存库（10m</w:t>
                  </w:r>
                  <w:r>
                    <w:rPr>
                      <w:rFonts w:hint="eastAsia" w:ascii="Calibri" w:hAnsi="Calibri" w:cs="Calibri"/>
                      <w:color w:val="auto"/>
                      <w:kern w:val="2"/>
                      <w:sz w:val="21"/>
                      <w:szCs w:val="21"/>
                      <w:vertAlign w:val="superscript"/>
                      <w:lang w:val="en-US" w:eastAsia="zh-CN" w:bidi="ar-SA"/>
                    </w:rPr>
                    <w:t>3</w:t>
                  </w:r>
                  <w:r>
                    <w:rPr>
                      <w:rFonts w:hint="eastAsia" w:ascii="Calibri" w:hAnsi="Calibri" w:cs="Calibri"/>
                      <w:color w:val="auto"/>
                      <w:kern w:val="2"/>
                      <w:sz w:val="21"/>
                      <w:szCs w:val="21"/>
                      <w:lang w:val="en-US" w:eastAsia="zh-CN" w:bidi="ar-SA"/>
                    </w:rPr>
                    <w:t>）。</w:t>
                  </w:r>
                </w:p>
              </w:tc>
            </w:tr>
            <w:tr w14:paraId="3D221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408" w:type="pct"/>
                  <w:vMerge w:val="continue"/>
                  <w:tcBorders>
                    <w:tl2br w:val="nil"/>
                    <w:tr2bl w:val="nil"/>
                  </w:tcBorders>
                  <w:vAlign w:val="center"/>
                </w:tcPr>
                <w:p w14:paraId="67E84C5C">
                  <w:pPr>
                    <w:keepNext w:val="0"/>
                    <w:keepLines w:val="0"/>
                    <w:pageBreakBefore w:val="0"/>
                    <w:widowControl w:val="0"/>
                    <w:kinsoku/>
                    <w:wordWrap/>
                    <w:overflowPunct/>
                    <w:topLinePunct w:val="0"/>
                    <w:autoSpaceDE/>
                    <w:autoSpaceDN/>
                    <w:bidi w:val="0"/>
                    <w:adjustRightInd w:val="0"/>
                    <w:snapToGrid/>
                    <w:spacing w:before="0" w:line="240" w:lineRule="auto"/>
                    <w:ind w:left="0" w:right="0" w:firstLine="0"/>
                    <w:jc w:val="center"/>
                    <w:textAlignment w:val="auto"/>
                    <w:rPr>
                      <w:rFonts w:hint="default" w:ascii="Calibri" w:hAnsi="Calibri" w:cs="Calibri"/>
                      <w:color w:val="auto"/>
                      <w:sz w:val="21"/>
                      <w:szCs w:val="21"/>
                    </w:rPr>
                  </w:pPr>
                </w:p>
              </w:tc>
              <w:tc>
                <w:tcPr>
                  <w:tcW w:w="825" w:type="pct"/>
                  <w:tcBorders>
                    <w:tl2br w:val="nil"/>
                    <w:tr2bl w:val="nil"/>
                  </w:tcBorders>
                  <w:vAlign w:val="center"/>
                </w:tcPr>
                <w:p w14:paraId="31D0810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eastAsia="宋体" w:cs="Calibri"/>
                      <w:color w:val="auto"/>
                      <w:kern w:val="0"/>
                      <w:sz w:val="21"/>
                      <w:szCs w:val="21"/>
                      <w:highlight w:val="none"/>
                      <w:lang w:val="en-US" w:eastAsia="zh-CN" w:bidi="ar-SA"/>
                    </w:rPr>
                  </w:pPr>
                  <w:r>
                    <w:rPr>
                      <w:rFonts w:hint="default" w:ascii="Calibri" w:hAnsi="Calibri" w:cs="Calibri"/>
                      <w:color w:val="auto"/>
                      <w:kern w:val="0"/>
                      <w:sz w:val="21"/>
                      <w:szCs w:val="21"/>
                      <w:highlight w:val="none"/>
                    </w:rPr>
                    <w:t>生态</w:t>
                  </w:r>
                </w:p>
              </w:tc>
              <w:tc>
                <w:tcPr>
                  <w:tcW w:w="3765" w:type="pct"/>
                  <w:gridSpan w:val="2"/>
                  <w:tcBorders>
                    <w:tl2br w:val="nil"/>
                    <w:tr2bl w:val="nil"/>
                  </w:tcBorders>
                  <w:vAlign w:val="center"/>
                </w:tcPr>
                <w:p w14:paraId="35027F41">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cs="Calibri"/>
                      <w:color w:val="auto"/>
                      <w:sz w:val="21"/>
                      <w:szCs w:val="21"/>
                      <w:lang w:val="en-US" w:eastAsia="zh-CN"/>
                    </w:rPr>
                  </w:pPr>
                  <w:r>
                    <w:rPr>
                      <w:rFonts w:hint="default" w:ascii="Calibri" w:hAnsi="Calibri" w:cs="Calibri"/>
                      <w:color w:val="auto"/>
                      <w:sz w:val="21"/>
                      <w:szCs w:val="21"/>
                      <w:lang w:val="en-US" w:eastAsia="zh-CN"/>
                    </w:rPr>
                    <w:t>施工期临时占地表土剥离，表土单独堆存并洒水、苫盖；塔基四周采取土地平整、洒水压实结皮</w:t>
                  </w:r>
                  <w:r>
                    <w:rPr>
                      <w:rFonts w:hint="default" w:ascii="Calibri" w:hAnsi="Calibri" w:cs="Calibri"/>
                      <w:color w:val="auto"/>
                      <w:sz w:val="21"/>
                      <w:szCs w:val="21"/>
                      <w:highlight w:val="none"/>
                      <w:lang w:val="en-US" w:eastAsia="zh-CN"/>
                    </w:rPr>
                    <w:t>。</w:t>
                  </w:r>
                  <w:r>
                    <w:rPr>
                      <w:rFonts w:hint="default" w:ascii="Calibri" w:hAnsi="Calibri" w:eastAsia="宋体" w:cs="Calibri"/>
                      <w:b w:val="0"/>
                      <w:bCs/>
                      <w:color w:val="auto"/>
                      <w:kern w:val="2"/>
                      <w:sz w:val="21"/>
                      <w:szCs w:val="21"/>
                      <w:lang w:val="en-US" w:eastAsia="zh-CN" w:bidi="ar-SA"/>
                    </w:rPr>
                    <w:t>运营期间，自然恢复为主。</w:t>
                  </w:r>
                </w:p>
              </w:tc>
            </w:tr>
            <w:tr w14:paraId="44613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trPr>
              <w:tc>
                <w:tcPr>
                  <w:tcW w:w="408" w:type="pct"/>
                  <w:vMerge w:val="continue"/>
                  <w:tcBorders>
                    <w:tl2br w:val="nil"/>
                    <w:tr2bl w:val="nil"/>
                  </w:tcBorders>
                  <w:vAlign w:val="center"/>
                </w:tcPr>
                <w:p w14:paraId="6F65C7F9">
                  <w:pPr>
                    <w:keepNext w:val="0"/>
                    <w:keepLines w:val="0"/>
                    <w:pageBreakBefore w:val="0"/>
                    <w:widowControl w:val="0"/>
                    <w:kinsoku/>
                    <w:wordWrap/>
                    <w:overflowPunct/>
                    <w:topLinePunct w:val="0"/>
                    <w:autoSpaceDE/>
                    <w:autoSpaceDN/>
                    <w:bidi w:val="0"/>
                    <w:adjustRightInd w:val="0"/>
                    <w:snapToGrid/>
                    <w:spacing w:before="0" w:line="240" w:lineRule="auto"/>
                    <w:ind w:left="0" w:right="0" w:firstLine="0"/>
                    <w:jc w:val="center"/>
                    <w:textAlignment w:val="auto"/>
                    <w:rPr>
                      <w:rFonts w:hint="default" w:ascii="Calibri" w:hAnsi="Calibri" w:cs="Calibri"/>
                      <w:color w:val="auto"/>
                      <w:sz w:val="21"/>
                      <w:szCs w:val="21"/>
                    </w:rPr>
                  </w:pPr>
                </w:p>
              </w:tc>
              <w:tc>
                <w:tcPr>
                  <w:tcW w:w="825" w:type="pct"/>
                  <w:tcBorders>
                    <w:tl2br w:val="nil"/>
                    <w:tr2bl w:val="nil"/>
                  </w:tcBorders>
                  <w:vAlign w:val="center"/>
                </w:tcPr>
                <w:p w14:paraId="6BC794CF">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auto"/>
                    <w:rPr>
                      <w:rFonts w:hint="default" w:ascii="Calibri" w:hAnsi="Calibri" w:eastAsia="宋体" w:cs="Calibri"/>
                      <w:color w:val="auto"/>
                      <w:kern w:val="0"/>
                      <w:sz w:val="21"/>
                      <w:szCs w:val="21"/>
                      <w:highlight w:val="none"/>
                      <w:lang w:val="en-US" w:eastAsia="zh-CN"/>
                    </w:rPr>
                  </w:pPr>
                  <w:r>
                    <w:rPr>
                      <w:rFonts w:hint="default" w:ascii="Calibri" w:hAnsi="Calibri" w:cs="Calibri"/>
                      <w:color w:val="auto"/>
                      <w:kern w:val="0"/>
                      <w:sz w:val="21"/>
                      <w:szCs w:val="21"/>
                      <w:highlight w:val="none"/>
                      <w:lang w:val="en-US" w:eastAsia="zh-CN"/>
                    </w:rPr>
                    <w:t>环境风险</w:t>
                  </w:r>
                </w:p>
              </w:tc>
              <w:tc>
                <w:tcPr>
                  <w:tcW w:w="3765" w:type="pct"/>
                  <w:gridSpan w:val="2"/>
                  <w:tcBorders>
                    <w:tl2br w:val="nil"/>
                    <w:tr2bl w:val="nil"/>
                  </w:tcBorders>
                  <w:vAlign w:val="center"/>
                </w:tcPr>
                <w:p w14:paraId="29305DF8">
                  <w:pPr>
                    <w:pStyle w:val="33"/>
                    <w:rPr>
                      <w:rFonts w:hint="default" w:ascii="Calibri" w:hAnsi="Calibri" w:eastAsia="宋体" w:cs="Calibri"/>
                      <w:b w:val="0"/>
                      <w:bCs/>
                      <w:color w:val="auto"/>
                      <w:kern w:val="2"/>
                      <w:sz w:val="21"/>
                      <w:szCs w:val="21"/>
                      <w:lang w:val="en-US" w:eastAsia="zh-CN" w:bidi="ar-SA"/>
                    </w:rPr>
                  </w:pPr>
                  <w:r>
                    <w:rPr>
                      <w:rFonts w:hint="default" w:ascii="Calibri" w:hAnsi="Calibri" w:eastAsia="宋体" w:cs="Calibri"/>
                      <w:b w:val="0"/>
                      <w:bCs/>
                      <w:color w:val="auto"/>
                      <w:kern w:val="2"/>
                      <w:sz w:val="21"/>
                      <w:szCs w:val="21"/>
                      <w:lang w:val="en-US" w:eastAsia="zh-CN" w:bidi="ar-SA"/>
                    </w:rPr>
                    <w:t>变电站设置事故油池</w:t>
                  </w:r>
                  <w:r>
                    <w:rPr>
                      <w:rFonts w:hint="eastAsia" w:ascii="Calibri" w:hAnsi="Calibri" w:eastAsia="宋体" w:cs="Calibri"/>
                      <w:b w:val="0"/>
                      <w:bCs/>
                      <w:color w:val="auto"/>
                      <w:kern w:val="2"/>
                      <w:sz w:val="21"/>
                      <w:szCs w:val="21"/>
                      <w:lang w:val="en-US" w:eastAsia="zh-CN" w:bidi="ar-SA"/>
                    </w:rPr>
                    <w:t>36</w:t>
                  </w:r>
                  <w:r>
                    <w:rPr>
                      <w:rFonts w:hint="default" w:ascii="Calibri" w:hAnsi="Calibri" w:eastAsia="宋体" w:cs="Calibri"/>
                      <w:b w:val="0"/>
                      <w:bCs/>
                      <w:color w:val="auto"/>
                      <w:kern w:val="2"/>
                      <w:sz w:val="21"/>
                      <w:szCs w:val="21"/>
                      <w:lang w:val="en-US" w:eastAsia="zh-CN" w:bidi="ar-SA"/>
                    </w:rPr>
                    <w:t>m³</w:t>
                  </w:r>
                  <w:r>
                    <w:rPr>
                      <w:rFonts w:hint="eastAsia" w:ascii="Calibri" w:hAnsi="Calibri" w:eastAsia="宋体" w:cs="Calibri"/>
                      <w:b w:val="0"/>
                      <w:bCs/>
                      <w:color w:val="auto"/>
                      <w:kern w:val="2"/>
                      <w:sz w:val="21"/>
                      <w:szCs w:val="21"/>
                      <w:lang w:val="en-US" w:eastAsia="zh-CN" w:bidi="ar-SA"/>
                    </w:rPr>
                    <w:t>，</w:t>
                  </w:r>
                  <w:r>
                    <w:rPr>
                      <w:rFonts w:hint="default" w:ascii="Calibri" w:hAnsi="Calibri" w:eastAsia="宋体" w:cs="Calibri"/>
                      <w:b w:val="0"/>
                      <w:bCs/>
                      <w:color w:val="auto"/>
                      <w:kern w:val="2"/>
                      <w:sz w:val="21"/>
                      <w:szCs w:val="21"/>
                      <w:lang w:val="en-US" w:eastAsia="zh-CN" w:bidi="ar-SA"/>
                    </w:rPr>
                    <w:t>配套相应消防设施。</w:t>
                  </w:r>
                </w:p>
              </w:tc>
            </w:tr>
          </w:tbl>
          <w:p w14:paraId="4DED4045">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left"/>
              <w:textAlignment w:val="auto"/>
              <w:rPr>
                <w:rFonts w:hint="eastAsia" w:ascii="宋体" w:hAnsi="宋体" w:cs="宋体"/>
                <w:b/>
                <w:bCs/>
                <w:color w:val="auto"/>
                <w:kern w:val="0"/>
                <w:sz w:val="24"/>
                <w:szCs w:val="24"/>
                <w:lang w:val="en-US" w:eastAsia="zh-CN"/>
              </w:rPr>
            </w:pPr>
            <w:r>
              <w:rPr>
                <w:rFonts w:hint="eastAsia" w:ascii="宋体" w:hAnsi="宋体" w:cs="宋体"/>
                <w:b/>
                <w:bCs/>
                <w:color w:val="auto"/>
                <w:kern w:val="0"/>
                <w:sz w:val="24"/>
                <w:szCs w:val="24"/>
                <w:lang w:val="en-US" w:eastAsia="zh-CN"/>
              </w:rPr>
              <w:t>3、输电线路</w:t>
            </w:r>
          </w:p>
          <w:p w14:paraId="08CF9340">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left"/>
              <w:textAlignment w:val="auto"/>
              <w:rPr>
                <w:rFonts w:hint="default" w:ascii="宋体" w:hAnsi="宋体" w:cs="宋体"/>
                <w:color w:val="auto"/>
                <w:kern w:val="0"/>
                <w:sz w:val="24"/>
                <w:szCs w:val="24"/>
                <w:lang w:val="en-US" w:eastAsia="zh-CN"/>
              </w:rPr>
            </w:pPr>
            <w:r>
              <w:rPr>
                <w:rFonts w:hint="eastAsia" w:ascii="宋体" w:hAnsi="宋体" w:cs="宋体"/>
                <w:b/>
                <w:bCs/>
                <w:color w:val="auto"/>
                <w:kern w:val="0"/>
                <w:sz w:val="24"/>
                <w:szCs w:val="24"/>
                <w:lang w:val="en-US" w:eastAsia="zh-CN"/>
              </w:rPr>
              <w:t>3.1白干湖至拟建南部矿区110kv供电线路</w:t>
            </w:r>
          </w:p>
          <w:p w14:paraId="365927D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Calibri" w:hAnsi="Calibri" w:cs="Calibri"/>
                <w:color w:val="auto"/>
                <w:kern w:val="0"/>
                <w:sz w:val="24"/>
                <w:szCs w:val="24"/>
                <w:lang w:val="en-US" w:eastAsia="zh-CN"/>
              </w:rPr>
            </w:pPr>
            <w:r>
              <w:rPr>
                <w:rFonts w:hint="default" w:ascii="Calibri" w:hAnsi="Calibri" w:cs="Calibri"/>
                <w:color w:val="auto"/>
                <w:kern w:val="0"/>
                <w:sz w:val="24"/>
                <w:szCs w:val="24"/>
                <w:lang w:val="en-US" w:eastAsia="zh-CN"/>
              </w:rPr>
              <w:t>根据白干湖220kV变电站110kV出线间隔规划，本期110kV供电线路从白干湖220kV变电站110kV侧出线，采用110kV配电区自西至东的第三和第四两回备用出线间隔（见图2-1）。拟建南部矿区110kV变电站110kV侧规划6回进出线，向西出线，本期采用自北向南第一和第六（预留远期）两回架空出线间隔。</w:t>
            </w:r>
          </w:p>
          <w:p w14:paraId="7B33C1F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Calibri" w:hAnsi="Calibri" w:cs="Calibri"/>
                <w:color w:val="auto"/>
                <w:kern w:val="0"/>
                <w:sz w:val="24"/>
                <w:szCs w:val="24"/>
                <w:lang w:val="en-US" w:eastAsia="zh-CN"/>
              </w:rPr>
            </w:pPr>
            <w:r>
              <w:rPr>
                <w:rFonts w:hint="default" w:ascii="Calibri" w:hAnsi="Calibri" w:cs="Calibri"/>
                <w:position w:val="-74"/>
                <w:sz w:val="24"/>
                <w:szCs w:val="24"/>
              </w:rPr>
              <w:drawing>
                <wp:anchor distT="0" distB="0" distL="0" distR="0" simplePos="0" relativeHeight="251660288" behindDoc="1" locked="0" layoutInCell="1" allowOverlap="1">
                  <wp:simplePos x="0" y="0"/>
                  <wp:positionH relativeFrom="column">
                    <wp:posOffset>-28575</wp:posOffset>
                  </wp:positionH>
                  <wp:positionV relativeFrom="paragraph">
                    <wp:posOffset>2113915</wp:posOffset>
                  </wp:positionV>
                  <wp:extent cx="5097780" cy="2115820"/>
                  <wp:effectExtent l="0" t="0" r="7620" b="1778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5"/>
                          <a:stretch>
                            <a:fillRect/>
                          </a:stretch>
                        </pic:blipFill>
                        <pic:spPr>
                          <a:xfrm>
                            <a:off x="0" y="0"/>
                            <a:ext cx="5097780" cy="2115820"/>
                          </a:xfrm>
                          <a:prstGeom prst="rect">
                            <a:avLst/>
                          </a:prstGeom>
                        </pic:spPr>
                      </pic:pic>
                    </a:graphicData>
                  </a:graphic>
                </wp:anchor>
              </w:drawing>
            </w:r>
            <w:r>
              <w:rPr>
                <w:rFonts w:hint="default" w:ascii="Calibri" w:hAnsi="Calibri" w:cs="Calibri"/>
                <w:color w:val="auto"/>
                <w:kern w:val="0"/>
                <w:sz w:val="24"/>
                <w:szCs w:val="24"/>
                <w:lang w:val="en-US" w:eastAsia="zh-CN"/>
              </w:rPr>
              <w:t>本期110kV供电线路从白干湖220kV变电站南侧110kV出线间隔出线后经转角折向南行进，线路尽量沿着山坳行进，最后从西侧接入拟建南部矿区110kV变电站，同塔双回路单边挂线架设，单回线路全长约为32.3km。新建线路导线均采用JL/G1A-240/40型钢芯铝绞线。该导线110kV电压等级经济输送容量为52.5MVA（经济电流密度为1.15A/mm</w:t>
            </w:r>
            <w:r>
              <w:rPr>
                <w:rFonts w:hint="default" w:ascii="Calibri" w:hAnsi="Calibri" w:cs="Calibri"/>
                <w:color w:val="auto"/>
                <w:kern w:val="0"/>
                <w:sz w:val="24"/>
                <w:szCs w:val="24"/>
                <w:vertAlign w:val="superscript"/>
                <w:lang w:val="en-US" w:eastAsia="zh-CN"/>
              </w:rPr>
              <w:t>2</w:t>
            </w:r>
            <w:r>
              <w:rPr>
                <w:rFonts w:hint="default" w:ascii="Calibri" w:hAnsi="Calibri" w:cs="Calibri"/>
                <w:color w:val="auto"/>
                <w:kern w:val="0"/>
                <w:sz w:val="24"/>
                <w:szCs w:val="24"/>
                <w:lang w:val="en-US" w:eastAsia="zh-CN"/>
              </w:rPr>
              <w:t>），持续极限输送容量为116MVA（导线最高容许温度为70℃</w:t>
            </w:r>
            <w:r>
              <w:rPr>
                <w:rFonts w:hint="eastAsia" w:ascii="Calibri" w:hAnsi="Calibri" w:cs="Calibri"/>
                <w:color w:val="auto"/>
                <w:kern w:val="0"/>
                <w:sz w:val="24"/>
                <w:szCs w:val="24"/>
                <w:lang w:val="en-US" w:eastAsia="zh-CN"/>
              </w:rPr>
              <w:t>）</w:t>
            </w:r>
            <w:r>
              <w:rPr>
                <w:rFonts w:hint="default" w:ascii="Calibri" w:hAnsi="Calibri" w:cs="Calibri"/>
                <w:color w:val="auto"/>
                <w:kern w:val="0"/>
                <w:sz w:val="24"/>
                <w:szCs w:val="24"/>
                <w:lang w:val="en-US" w:eastAsia="zh-CN"/>
              </w:rPr>
              <w:t xml:space="preserve"> 。并沿新建的单回110kV供电线路架设</w:t>
            </w:r>
            <w:r>
              <w:rPr>
                <w:rFonts w:hint="eastAsia" w:ascii="Calibri" w:hAnsi="Calibri" w:cs="Calibri"/>
                <w:color w:val="auto"/>
                <w:kern w:val="0"/>
                <w:sz w:val="24"/>
                <w:szCs w:val="24"/>
                <w:lang w:val="en-US" w:eastAsia="zh-CN"/>
              </w:rPr>
              <w:t>2</w:t>
            </w:r>
            <w:r>
              <w:rPr>
                <w:rFonts w:hint="default" w:ascii="Calibri" w:hAnsi="Calibri" w:cs="Calibri"/>
                <w:color w:val="auto"/>
                <w:kern w:val="0"/>
                <w:sz w:val="24"/>
                <w:szCs w:val="24"/>
                <w:lang w:val="en-US" w:eastAsia="zh-CN"/>
              </w:rPr>
              <w:t>根24芯OPGW光纤复合架空地线。</w:t>
            </w:r>
          </w:p>
          <w:p w14:paraId="41BC91BC">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position w:val="-74"/>
              </w:rPr>
            </w:pPr>
            <w:r>
              <w:rPr>
                <w:sz w:val="21"/>
              </w:rPr>
              <mc:AlternateContent>
                <mc:Choice Requires="wps">
                  <w:drawing>
                    <wp:anchor distT="0" distB="0" distL="114300" distR="114300" simplePos="0" relativeHeight="251661312" behindDoc="0" locked="0" layoutInCell="1" allowOverlap="1">
                      <wp:simplePos x="0" y="0"/>
                      <wp:positionH relativeFrom="column">
                        <wp:posOffset>1657350</wp:posOffset>
                      </wp:positionH>
                      <wp:positionV relativeFrom="paragraph">
                        <wp:posOffset>194945</wp:posOffset>
                      </wp:positionV>
                      <wp:extent cx="361950" cy="1514475"/>
                      <wp:effectExtent l="0" t="0" r="0" b="0"/>
                      <wp:wrapNone/>
                      <wp:docPr id="6" name="矩形 6"/>
                      <wp:cNvGraphicFramePr/>
                      <a:graphic xmlns:a="http://schemas.openxmlformats.org/drawingml/2006/main">
                        <a:graphicData uri="http://schemas.microsoft.com/office/word/2010/wordprocessingShape">
                          <wps:wsp>
                            <wps:cNvSpPr/>
                            <wps:spPr>
                              <a:xfrm>
                                <a:off x="0" y="0"/>
                                <a:ext cx="361950" cy="15144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998B691">
                                  <w:pPr>
                                    <w:keepNext w:val="0"/>
                                    <w:keepLines w:val="0"/>
                                    <w:pageBreakBefore w:val="0"/>
                                    <w:widowControl w:val="0"/>
                                    <w:kinsoku/>
                                    <w:wordWrap/>
                                    <w:overflowPunct/>
                                    <w:topLinePunct w:val="0"/>
                                    <w:bidi w:val="0"/>
                                    <w:adjustRightInd/>
                                    <w:snapToGrid/>
                                    <w:spacing w:line="360" w:lineRule="auto"/>
                                    <w:jc w:val="center"/>
                                    <w:textAlignment w:val="auto"/>
                                    <w:rPr>
                                      <w:rFonts w:hint="default" w:eastAsia="宋体"/>
                                      <w:b/>
                                      <w:bCs/>
                                      <w:color w:val="FF0000"/>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clear"/>
                                    </w:rPr>
                                  </w:pPr>
                                  <w:r>
                                    <w:rPr>
                                      <w:rFonts w:hint="eastAsia"/>
                                      <w:b/>
                                      <w:bCs/>
                                      <w:color w:val="FF0000"/>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clear"/>
                                    </w:rPr>
                                    <w:t>自西向东第四间隔</w:t>
                                  </w: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0.5pt;margin-top:15.35pt;height:119.25pt;width:28.5pt;z-index:251661312;v-text-anchor:middle;mso-width-relative:page;mso-height-relative:page;" filled="f" stroked="f" coordsize="21600,21600" o:gfxdata="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2uFex9gAAAAKAQAADwAAAAAAAAABACAAAAAiAAAAZHJzL2Rvd25yZXYueG1sUEsBAhQAFAAA&#10;AAgAh07iQEnEmgthAgAArwQAAA4AAAAAAAAAAQAgAAAAJwEAAGRycy9lMm9Eb2MueG1sUEsFBgAA&#10;AAAGAAYAWQEAAPoFAAAAAA==&#10;">
                      <v:fill on="f" focussize="0,0"/>
                      <v:stroke on="f" weight="1pt" miterlimit="8" joinstyle="miter"/>
                      <v:imagedata o:title=""/>
                      <o:lock v:ext="edit" aspectratio="f"/>
                      <v:textbox style="layout-flow:vertical-ideographic;">
                        <w:txbxContent>
                          <w:p w14:paraId="3998B691">
                            <w:pPr>
                              <w:keepNext w:val="0"/>
                              <w:keepLines w:val="0"/>
                              <w:pageBreakBefore w:val="0"/>
                              <w:widowControl w:val="0"/>
                              <w:kinsoku/>
                              <w:wordWrap/>
                              <w:overflowPunct/>
                              <w:topLinePunct w:val="0"/>
                              <w:bidi w:val="0"/>
                              <w:adjustRightInd/>
                              <w:snapToGrid/>
                              <w:spacing w:line="360" w:lineRule="auto"/>
                              <w:jc w:val="center"/>
                              <w:textAlignment w:val="auto"/>
                              <w:rPr>
                                <w:rFonts w:hint="default" w:eastAsia="宋体"/>
                                <w:b/>
                                <w:bCs/>
                                <w:color w:val="FF0000"/>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clear"/>
                              </w:rPr>
                            </w:pPr>
                            <w:r>
                              <w:rPr>
                                <w:rFonts w:hint="eastAsia"/>
                                <w:b/>
                                <w:bCs/>
                                <w:color w:val="FF0000"/>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clear"/>
                              </w:rPr>
                              <w:t>自西向东第四间隔</w:t>
                            </w:r>
                          </w:p>
                        </w:txbxContent>
                      </v:textbox>
                    </v:rect>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1276350</wp:posOffset>
                      </wp:positionH>
                      <wp:positionV relativeFrom="paragraph">
                        <wp:posOffset>194945</wp:posOffset>
                      </wp:positionV>
                      <wp:extent cx="361950" cy="1514475"/>
                      <wp:effectExtent l="0" t="0" r="0" b="0"/>
                      <wp:wrapNone/>
                      <wp:docPr id="4" name="矩形 4"/>
                      <wp:cNvGraphicFramePr/>
                      <a:graphic xmlns:a="http://schemas.openxmlformats.org/drawingml/2006/main">
                        <a:graphicData uri="http://schemas.microsoft.com/office/word/2010/wordprocessingShape">
                          <wps:wsp>
                            <wps:cNvSpPr/>
                            <wps:spPr>
                              <a:xfrm>
                                <a:off x="2570480" y="5624830"/>
                                <a:ext cx="361950" cy="15144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2CCB3E5">
                                  <w:pPr>
                                    <w:keepNext w:val="0"/>
                                    <w:keepLines w:val="0"/>
                                    <w:pageBreakBefore w:val="0"/>
                                    <w:widowControl w:val="0"/>
                                    <w:kinsoku/>
                                    <w:wordWrap/>
                                    <w:overflowPunct/>
                                    <w:topLinePunct w:val="0"/>
                                    <w:bidi w:val="0"/>
                                    <w:adjustRightInd/>
                                    <w:snapToGrid/>
                                    <w:spacing w:line="360" w:lineRule="auto"/>
                                    <w:jc w:val="center"/>
                                    <w:textAlignment w:val="auto"/>
                                    <w:rPr>
                                      <w:rFonts w:hint="default" w:eastAsia="宋体"/>
                                      <w:b/>
                                      <w:bCs/>
                                      <w:color w:val="FF0000"/>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clear"/>
                                    </w:rPr>
                                  </w:pPr>
                                  <w:r>
                                    <w:rPr>
                                      <w:rFonts w:hint="eastAsia"/>
                                      <w:b/>
                                      <w:bCs/>
                                      <w:color w:val="FF0000"/>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clear"/>
                                    </w:rPr>
                                    <w:t>自西向东第三间隔</w:t>
                                  </w:r>
                                </w:p>
                              </w:txbxContent>
                            </wps:txbx>
                            <wps:bodyPr rot="0" spcFirstLastPara="0" vertOverflow="overflow" horzOverflow="overflow" vert="eaVert"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5pt;margin-top:15.35pt;height:119.25pt;width:28.5pt;z-index:251660288;v-text-anchor:middle;mso-width-relative:page;mso-height-relative:page;" filled="f" stroked="f" coordsize="21600,21600" o:gfxdata="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S4XZTZAAAACgEAAA8AAAAAAAAAAQAgAAAAIgAAAGRycy9kb3ducmV2&#10;LnhtbFBLAQIUABQAAAAIAIdO4kDjdqLXbQIAALsEAAAOAAAAAAAAAAEAIAAAACgBAABkcnMvZTJv&#10;RG9jLnhtbFBLBQYAAAAABgAGAFkBAAAHBgAAAAA=&#10;">
                      <v:fill on="f" focussize="0,0"/>
                      <v:stroke on="f" weight="1pt" miterlimit="8" joinstyle="miter"/>
                      <v:imagedata o:title=""/>
                      <o:lock v:ext="edit" aspectratio="f"/>
                      <v:textbox style="layout-flow:vertical-ideographic;">
                        <w:txbxContent>
                          <w:p w14:paraId="22CCB3E5">
                            <w:pPr>
                              <w:keepNext w:val="0"/>
                              <w:keepLines w:val="0"/>
                              <w:pageBreakBefore w:val="0"/>
                              <w:widowControl w:val="0"/>
                              <w:kinsoku/>
                              <w:wordWrap/>
                              <w:overflowPunct/>
                              <w:topLinePunct w:val="0"/>
                              <w:bidi w:val="0"/>
                              <w:adjustRightInd/>
                              <w:snapToGrid/>
                              <w:spacing w:line="360" w:lineRule="auto"/>
                              <w:jc w:val="center"/>
                              <w:textAlignment w:val="auto"/>
                              <w:rPr>
                                <w:rFonts w:hint="default" w:eastAsia="宋体"/>
                                <w:b/>
                                <w:bCs/>
                                <w:color w:val="FF0000"/>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clear"/>
                              </w:rPr>
                            </w:pPr>
                            <w:r>
                              <w:rPr>
                                <w:rFonts w:hint="eastAsia"/>
                                <w:b/>
                                <w:bCs/>
                                <w:color w:val="FF0000"/>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clear"/>
                              </w:rPr>
                              <w:t>自西向东第三间隔</w:t>
                            </w:r>
                          </w:p>
                        </w:txbxContent>
                      </v:textbox>
                    </v:rect>
                  </w:pict>
                </mc:Fallback>
              </mc:AlternateContent>
            </w:r>
          </w:p>
          <w:p w14:paraId="028DA4C4">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position w:val="-74"/>
              </w:rPr>
            </w:pPr>
          </w:p>
          <w:p w14:paraId="30C2AF39">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position w:val="-74"/>
              </w:rPr>
            </w:pPr>
          </w:p>
          <w:p w14:paraId="59002659">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position w:val="-74"/>
              </w:rPr>
            </w:pPr>
          </w:p>
          <w:p w14:paraId="67CB24CD">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position w:val="-74"/>
              </w:rPr>
            </w:pPr>
          </w:p>
          <w:p w14:paraId="32F8FE88">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position w:val="-74"/>
              </w:rPr>
            </w:pPr>
          </w:p>
          <w:p w14:paraId="125C895B">
            <w:pPr>
              <w:keepNext w:val="0"/>
              <w:keepLines w:val="0"/>
              <w:pageBreakBefore w:val="0"/>
              <w:widowControl w:val="0"/>
              <w:kinsoku/>
              <w:wordWrap/>
              <w:overflowPunct/>
              <w:topLinePunct w:val="0"/>
              <w:autoSpaceDE/>
              <w:autoSpaceDN/>
              <w:bidi w:val="0"/>
              <w:adjustRightInd w:val="0"/>
              <w:snapToGrid w:val="0"/>
              <w:spacing w:line="480" w:lineRule="exact"/>
              <w:jc w:val="left"/>
              <w:textAlignment w:val="auto"/>
              <w:rPr>
                <w:position w:val="-74"/>
              </w:rPr>
            </w:pPr>
          </w:p>
          <w:p w14:paraId="479805A3">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宋体" w:hAnsi="宋体" w:cs="宋体"/>
                <w:b/>
                <w:bCs/>
                <w:color w:val="auto"/>
                <w:kern w:val="0"/>
                <w:sz w:val="24"/>
                <w:szCs w:val="24"/>
                <w:lang w:val="en-US" w:eastAsia="zh-CN"/>
              </w:rPr>
            </w:pPr>
            <w:r>
              <w:rPr>
                <w:rFonts w:hint="eastAsia" w:ascii="宋体" w:hAnsi="宋体" w:cs="宋体"/>
                <w:b/>
                <w:bCs/>
                <w:color w:val="auto"/>
                <w:kern w:val="0"/>
                <w:sz w:val="24"/>
                <w:szCs w:val="24"/>
                <w:lang w:val="en-US" w:eastAsia="zh-CN"/>
              </w:rPr>
              <w:t>图2-1   白干湖 220kV 变 110kV 出线间隔利用示意图</w:t>
            </w:r>
          </w:p>
          <w:p w14:paraId="13882283">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left"/>
              <w:textAlignment w:val="auto"/>
              <w:rPr>
                <w:rFonts w:hint="default" w:ascii="宋体" w:hAnsi="宋体" w:cs="宋体"/>
                <w:color w:val="auto"/>
                <w:kern w:val="0"/>
                <w:sz w:val="24"/>
                <w:szCs w:val="24"/>
                <w:lang w:val="en-US" w:eastAsia="zh-CN"/>
              </w:rPr>
            </w:pPr>
            <w:r>
              <w:rPr>
                <w:rFonts w:hint="eastAsia" w:ascii="宋体" w:hAnsi="宋体" w:cs="宋体"/>
                <w:b/>
                <w:bCs/>
                <w:color w:val="auto"/>
                <w:kern w:val="0"/>
                <w:sz w:val="24"/>
                <w:szCs w:val="24"/>
                <w:lang w:val="en-US" w:eastAsia="zh-CN"/>
              </w:rPr>
              <w:t>3.2新建南部矿区110kV变至羌河三区110kV供电线路</w:t>
            </w:r>
          </w:p>
          <w:p w14:paraId="272E9C1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Calibri" w:hAnsi="Calibri" w:eastAsia="宋体" w:cs="Calibri"/>
                <w:color w:val="auto"/>
                <w:kern w:val="0"/>
                <w:sz w:val="24"/>
                <w:szCs w:val="24"/>
                <w:lang w:val="en-US" w:eastAsia="zh-CN"/>
              </w:rPr>
            </w:pPr>
            <w:r>
              <w:rPr>
                <w:rFonts w:hint="default" w:ascii="Calibri" w:hAnsi="Calibri" w:eastAsia="宋体" w:cs="Calibri"/>
                <w:color w:val="auto"/>
                <w:kern w:val="0"/>
                <w:sz w:val="24"/>
                <w:szCs w:val="24"/>
                <w:lang w:val="en-US" w:eastAsia="zh-CN"/>
              </w:rPr>
              <w:t>根据南部矿区110kV变电站110kV出线间隔规划，本项目110kV供电线路工程从南部矿区110kV变电站110kV侧出线，采用110kV配电区自南至北的第二回备用出线间隔。</w:t>
            </w:r>
          </w:p>
          <w:p w14:paraId="1363333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Calibri" w:hAnsi="Calibri" w:eastAsia="宋体" w:cs="Calibri"/>
                <w:color w:val="auto"/>
                <w:kern w:val="0"/>
                <w:sz w:val="24"/>
                <w:szCs w:val="24"/>
                <w:lang w:val="en-US" w:eastAsia="zh-CN"/>
              </w:rPr>
            </w:pPr>
            <w:r>
              <w:rPr>
                <w:rFonts w:hint="default" w:ascii="Calibri" w:hAnsi="Calibri" w:eastAsia="宋体" w:cs="Calibri"/>
                <w:color w:val="auto"/>
                <w:kern w:val="0"/>
                <w:sz w:val="24"/>
                <w:szCs w:val="24"/>
                <w:lang w:val="en-US" w:eastAsia="zh-CN"/>
              </w:rPr>
              <w:t>本期110kV供电线路从南部矿区110kV变电站西侧110kV出线间隔出线后经转角折向南行进，线路尽量沿着山坳行进，直到羌河三区矿区拟用电点，单回路架设，线路全长约为42.8km。新建线路导线均采用JL/G1A-240/40型钢芯铝绞线。该导线110kV电压等级经济输送容量为52.5MVA （经济电流密度为1.15A/mm</w:t>
            </w:r>
            <w:r>
              <w:rPr>
                <w:rFonts w:hint="default" w:ascii="Calibri" w:hAnsi="Calibri" w:eastAsia="宋体" w:cs="Calibri"/>
                <w:color w:val="auto"/>
                <w:kern w:val="0"/>
                <w:sz w:val="24"/>
                <w:szCs w:val="24"/>
                <w:vertAlign w:val="superscript"/>
                <w:lang w:val="en-US" w:eastAsia="zh-CN"/>
              </w:rPr>
              <w:t>2</w:t>
            </w:r>
            <w:r>
              <w:rPr>
                <w:rFonts w:hint="default" w:ascii="Calibri" w:hAnsi="Calibri" w:eastAsia="宋体" w:cs="Calibri"/>
                <w:color w:val="auto"/>
                <w:kern w:val="0"/>
                <w:sz w:val="24"/>
                <w:szCs w:val="24"/>
                <w:lang w:val="en-US" w:eastAsia="zh-CN"/>
              </w:rPr>
              <w:t>），持续极限输送容量为116MVA（导线最高容许温度为70℃</w:t>
            </w:r>
            <w:r>
              <w:rPr>
                <w:rFonts w:hint="eastAsia" w:ascii="Calibri" w:hAnsi="Calibri" w:cs="Calibri"/>
                <w:color w:val="auto"/>
                <w:kern w:val="0"/>
                <w:sz w:val="24"/>
                <w:szCs w:val="24"/>
                <w:lang w:val="en-US" w:eastAsia="zh-CN"/>
              </w:rPr>
              <w:t>）</w:t>
            </w:r>
            <w:r>
              <w:rPr>
                <w:rFonts w:hint="default" w:ascii="Calibri" w:hAnsi="Calibri" w:eastAsia="宋体" w:cs="Calibri"/>
                <w:color w:val="auto"/>
                <w:kern w:val="0"/>
                <w:sz w:val="24"/>
                <w:szCs w:val="24"/>
                <w:lang w:val="en-US" w:eastAsia="zh-CN"/>
              </w:rPr>
              <w:t>。并沿新建的单回110kV供电线路架设</w:t>
            </w:r>
            <w:r>
              <w:rPr>
                <w:rFonts w:hint="eastAsia" w:ascii="Calibri" w:hAnsi="Calibri" w:cs="Calibri"/>
                <w:color w:val="auto"/>
                <w:kern w:val="0"/>
                <w:sz w:val="24"/>
                <w:szCs w:val="24"/>
                <w:lang w:val="en-US" w:eastAsia="zh-CN"/>
              </w:rPr>
              <w:t>2</w:t>
            </w:r>
            <w:r>
              <w:rPr>
                <w:rFonts w:hint="default" w:ascii="Calibri" w:hAnsi="Calibri" w:eastAsia="宋体" w:cs="Calibri"/>
                <w:color w:val="auto"/>
                <w:kern w:val="0"/>
                <w:sz w:val="24"/>
                <w:szCs w:val="24"/>
                <w:lang w:val="en-US" w:eastAsia="zh-CN"/>
              </w:rPr>
              <w:t>根24芯OPGW光纤复合架空地线。</w:t>
            </w:r>
          </w:p>
          <w:p w14:paraId="58F232D0">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left"/>
              <w:textAlignment w:val="auto"/>
              <w:rPr>
                <w:rFonts w:hint="default" w:ascii="Calibri" w:hAnsi="Calibri" w:eastAsia="宋体" w:cs="Calibri"/>
                <w:b/>
                <w:bCs/>
                <w:color w:val="auto"/>
                <w:kern w:val="0"/>
                <w:sz w:val="24"/>
                <w:szCs w:val="24"/>
                <w:lang w:val="en-US" w:eastAsia="zh-CN"/>
              </w:rPr>
            </w:pPr>
            <w:r>
              <w:rPr>
                <w:rFonts w:hint="default" w:ascii="Calibri" w:hAnsi="Calibri" w:eastAsia="宋体" w:cs="Calibri"/>
                <w:b/>
                <w:bCs/>
                <w:color w:val="auto"/>
                <w:kern w:val="0"/>
                <w:sz w:val="24"/>
                <w:szCs w:val="24"/>
                <w:lang w:val="en-US" w:eastAsia="zh-CN"/>
              </w:rPr>
              <w:t>3.3杆塔</w:t>
            </w:r>
          </w:p>
          <w:p w14:paraId="1DD727F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Calibri" w:hAnsi="Calibri" w:cs="Calibri"/>
                <w:color w:val="auto"/>
                <w:kern w:val="0"/>
                <w:sz w:val="24"/>
                <w:szCs w:val="24"/>
                <w:lang w:val="en-US" w:eastAsia="zh-CN"/>
              </w:rPr>
            </w:pPr>
            <w:r>
              <w:rPr>
                <w:rFonts w:hint="default" w:ascii="Calibri" w:hAnsi="Calibri" w:cs="Calibri"/>
                <w:color w:val="auto"/>
                <w:kern w:val="0"/>
                <w:sz w:val="24"/>
                <w:szCs w:val="24"/>
                <w:lang w:val="en-US" w:eastAsia="zh-CN"/>
              </w:rPr>
              <w:t>杆塔选取根据本项目导、地线型号、气象条件及沿线地形地貌，依据国家电网公司文件《国家电网有限公司35～750kV 输变电工程通用设计、通用设备应用目录（2025 年版）》，本项目单、双回路直线塔、耐张塔采用自行设计铁塔，项目杆塔型号及使用技术条件一览表见下表。</w:t>
            </w:r>
          </w:p>
          <w:p w14:paraId="55D6CA18">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eastAsia" w:ascii="宋体" w:hAnsi="宋体" w:cs="宋体"/>
                <w:b/>
                <w:bCs/>
                <w:color w:val="auto"/>
                <w:kern w:val="0"/>
                <w:sz w:val="24"/>
                <w:szCs w:val="24"/>
                <w:lang w:val="en-US" w:eastAsia="zh-CN"/>
              </w:rPr>
            </w:pPr>
            <w:r>
              <w:rPr>
                <w:rFonts w:hint="eastAsia" w:ascii="宋体" w:hAnsi="宋体" w:cs="宋体"/>
                <w:b/>
                <w:bCs/>
                <w:color w:val="auto"/>
                <w:kern w:val="0"/>
                <w:sz w:val="24"/>
                <w:szCs w:val="24"/>
                <w:lang w:val="en-US" w:eastAsia="zh-CN"/>
              </w:rPr>
              <w:t>表2-3   杆塔型号及使用技术条件一览表</w:t>
            </w:r>
          </w:p>
          <w:tbl>
            <w:tblPr>
              <w:tblStyle w:val="38"/>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00"/>
              <w:gridCol w:w="1581"/>
              <w:gridCol w:w="1202"/>
              <w:gridCol w:w="1337"/>
              <w:gridCol w:w="1340"/>
              <w:gridCol w:w="1581"/>
            </w:tblGrid>
            <w:tr w14:paraId="5127D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10" w:type="pct"/>
                  <w:vMerge w:val="restart"/>
                  <w:tcBorders>
                    <w:bottom w:val="nil"/>
                  </w:tcBorders>
                  <w:vAlign w:val="center"/>
                </w:tcPr>
                <w:p w14:paraId="62FAC3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序号</w:t>
                  </w:r>
                </w:p>
              </w:tc>
              <w:tc>
                <w:tcPr>
                  <w:tcW w:w="1008" w:type="pct"/>
                  <w:vMerge w:val="restart"/>
                  <w:tcBorders>
                    <w:bottom w:val="nil"/>
                  </w:tcBorders>
                  <w:vAlign w:val="center"/>
                </w:tcPr>
                <w:p w14:paraId="614B72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杆塔型号</w:t>
                  </w:r>
                </w:p>
              </w:tc>
              <w:tc>
                <w:tcPr>
                  <w:tcW w:w="766" w:type="pct"/>
                  <w:vMerge w:val="restart"/>
                  <w:tcBorders>
                    <w:bottom w:val="nil"/>
                  </w:tcBorders>
                  <w:vAlign w:val="center"/>
                </w:tcPr>
                <w:p w14:paraId="0126A0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呼称高</w:t>
                  </w:r>
                </w:p>
              </w:tc>
              <w:tc>
                <w:tcPr>
                  <w:tcW w:w="1706" w:type="pct"/>
                  <w:gridSpan w:val="2"/>
                  <w:vAlign w:val="center"/>
                </w:tcPr>
                <w:p w14:paraId="219D82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设计档距（m）</w:t>
                  </w:r>
                </w:p>
              </w:tc>
              <w:tc>
                <w:tcPr>
                  <w:tcW w:w="1008" w:type="pct"/>
                  <w:vMerge w:val="restart"/>
                  <w:tcBorders>
                    <w:bottom w:val="nil"/>
                  </w:tcBorders>
                  <w:vAlign w:val="center"/>
                </w:tcPr>
                <w:p w14:paraId="3F6ED2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适用角度</w:t>
                  </w:r>
                </w:p>
                <w:p w14:paraId="014994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w:t>
                  </w:r>
                </w:p>
              </w:tc>
            </w:tr>
            <w:tr w14:paraId="4BC9E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10" w:type="pct"/>
                  <w:vMerge w:val="continue"/>
                  <w:tcBorders>
                    <w:top w:val="nil"/>
                  </w:tcBorders>
                  <w:vAlign w:val="center"/>
                </w:tcPr>
                <w:p w14:paraId="564AE0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p>
              </w:tc>
              <w:tc>
                <w:tcPr>
                  <w:tcW w:w="1008" w:type="pct"/>
                  <w:vMerge w:val="continue"/>
                  <w:tcBorders>
                    <w:top w:val="nil"/>
                  </w:tcBorders>
                  <w:vAlign w:val="center"/>
                </w:tcPr>
                <w:p w14:paraId="401CAA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p>
              </w:tc>
              <w:tc>
                <w:tcPr>
                  <w:tcW w:w="766" w:type="pct"/>
                  <w:vMerge w:val="continue"/>
                  <w:tcBorders>
                    <w:top w:val="nil"/>
                  </w:tcBorders>
                  <w:vAlign w:val="center"/>
                </w:tcPr>
                <w:p w14:paraId="39192E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p>
              </w:tc>
              <w:tc>
                <w:tcPr>
                  <w:tcW w:w="852" w:type="pct"/>
                  <w:vAlign w:val="center"/>
                </w:tcPr>
                <w:p w14:paraId="1C6B53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水平</w:t>
                  </w:r>
                </w:p>
              </w:tc>
              <w:tc>
                <w:tcPr>
                  <w:tcW w:w="853" w:type="pct"/>
                  <w:vAlign w:val="center"/>
                </w:tcPr>
                <w:p w14:paraId="3A0213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垂直</w:t>
                  </w:r>
                </w:p>
              </w:tc>
              <w:tc>
                <w:tcPr>
                  <w:tcW w:w="1008" w:type="pct"/>
                  <w:vMerge w:val="continue"/>
                  <w:tcBorders>
                    <w:top w:val="nil"/>
                  </w:tcBorders>
                  <w:vAlign w:val="center"/>
                </w:tcPr>
                <w:p w14:paraId="23DA1E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p>
              </w:tc>
            </w:tr>
            <w:tr w14:paraId="33529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10" w:type="pct"/>
                  <w:vAlign w:val="center"/>
                </w:tcPr>
                <w:p w14:paraId="0A3CE9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1</w:t>
                  </w:r>
                </w:p>
              </w:tc>
              <w:tc>
                <w:tcPr>
                  <w:tcW w:w="1008" w:type="pct"/>
                  <w:vAlign w:val="center"/>
                </w:tcPr>
                <w:p w14:paraId="049194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BZC1</w:t>
                  </w:r>
                </w:p>
              </w:tc>
              <w:tc>
                <w:tcPr>
                  <w:tcW w:w="766" w:type="pct"/>
                  <w:vAlign w:val="center"/>
                </w:tcPr>
                <w:p w14:paraId="2C1E24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15</w:t>
                  </w:r>
                  <w:r>
                    <w:rPr>
                      <w:rFonts w:hint="eastAsia" w:ascii="Calibri" w:hAnsi="Calibri" w:cs="Calibri"/>
                      <w:color w:val="auto"/>
                      <w:sz w:val="21"/>
                      <w:szCs w:val="21"/>
                      <w:vertAlign w:val="baseline"/>
                      <w:lang w:val="en-US" w:eastAsia="zh-CN"/>
                    </w:rPr>
                    <w:t>～</w:t>
                  </w:r>
                  <w:r>
                    <w:rPr>
                      <w:rFonts w:hint="default" w:ascii="Calibri" w:hAnsi="Calibri" w:eastAsia="宋体" w:cs="Calibri"/>
                      <w:color w:val="auto"/>
                      <w:sz w:val="21"/>
                      <w:szCs w:val="21"/>
                      <w:vertAlign w:val="baseline"/>
                      <w:lang w:val="en-US" w:eastAsia="zh-CN"/>
                    </w:rPr>
                    <w:t>30</w:t>
                  </w:r>
                </w:p>
              </w:tc>
              <w:tc>
                <w:tcPr>
                  <w:tcW w:w="852" w:type="pct"/>
                  <w:vAlign w:val="center"/>
                </w:tcPr>
                <w:p w14:paraId="7975E1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350</w:t>
                  </w:r>
                </w:p>
              </w:tc>
              <w:tc>
                <w:tcPr>
                  <w:tcW w:w="853" w:type="pct"/>
                  <w:vAlign w:val="center"/>
                </w:tcPr>
                <w:p w14:paraId="41B3DE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600</w:t>
                  </w:r>
                </w:p>
              </w:tc>
              <w:tc>
                <w:tcPr>
                  <w:tcW w:w="1008" w:type="pct"/>
                  <w:vAlign w:val="center"/>
                </w:tcPr>
                <w:p w14:paraId="642685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0</w:t>
                  </w:r>
                </w:p>
              </w:tc>
            </w:tr>
            <w:tr w14:paraId="5EBFD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10" w:type="pct"/>
                  <w:vAlign w:val="center"/>
                </w:tcPr>
                <w:p w14:paraId="21005D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2</w:t>
                  </w:r>
                </w:p>
              </w:tc>
              <w:tc>
                <w:tcPr>
                  <w:tcW w:w="1008" w:type="pct"/>
                  <w:vAlign w:val="center"/>
                </w:tcPr>
                <w:p w14:paraId="4998DB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BZC2</w:t>
                  </w:r>
                </w:p>
              </w:tc>
              <w:tc>
                <w:tcPr>
                  <w:tcW w:w="766" w:type="pct"/>
                  <w:vAlign w:val="center"/>
                </w:tcPr>
                <w:p w14:paraId="4AF08F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15</w:t>
                  </w:r>
                  <w:r>
                    <w:rPr>
                      <w:rFonts w:hint="eastAsia" w:ascii="Calibri" w:hAnsi="Calibri" w:cs="Calibri"/>
                      <w:color w:val="auto"/>
                      <w:sz w:val="21"/>
                      <w:szCs w:val="21"/>
                      <w:vertAlign w:val="baseline"/>
                      <w:lang w:val="en-US" w:eastAsia="zh-CN"/>
                    </w:rPr>
                    <w:t>～</w:t>
                  </w:r>
                  <w:r>
                    <w:rPr>
                      <w:rFonts w:hint="default" w:ascii="Calibri" w:hAnsi="Calibri" w:eastAsia="宋体" w:cs="Calibri"/>
                      <w:color w:val="auto"/>
                      <w:sz w:val="21"/>
                      <w:szCs w:val="21"/>
                      <w:vertAlign w:val="baseline"/>
                      <w:lang w:val="en-US" w:eastAsia="zh-CN"/>
                    </w:rPr>
                    <w:t>36</w:t>
                  </w:r>
                </w:p>
              </w:tc>
              <w:tc>
                <w:tcPr>
                  <w:tcW w:w="852" w:type="pct"/>
                  <w:vAlign w:val="center"/>
                </w:tcPr>
                <w:p w14:paraId="36FCC1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400</w:t>
                  </w:r>
                </w:p>
              </w:tc>
              <w:tc>
                <w:tcPr>
                  <w:tcW w:w="853" w:type="pct"/>
                  <w:vAlign w:val="center"/>
                </w:tcPr>
                <w:p w14:paraId="449928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750</w:t>
                  </w:r>
                </w:p>
              </w:tc>
              <w:tc>
                <w:tcPr>
                  <w:tcW w:w="1008" w:type="pct"/>
                  <w:vAlign w:val="center"/>
                </w:tcPr>
                <w:p w14:paraId="2AA04B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0</w:t>
                  </w:r>
                </w:p>
              </w:tc>
            </w:tr>
            <w:tr w14:paraId="45D5F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10" w:type="pct"/>
                  <w:vAlign w:val="center"/>
                </w:tcPr>
                <w:p w14:paraId="3D9AB5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3</w:t>
                  </w:r>
                </w:p>
              </w:tc>
              <w:tc>
                <w:tcPr>
                  <w:tcW w:w="1008" w:type="pct"/>
                  <w:vAlign w:val="center"/>
                </w:tcPr>
                <w:p w14:paraId="195E4F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BZC</w:t>
                  </w:r>
                  <w:r>
                    <w:rPr>
                      <w:rFonts w:hint="eastAsia" w:ascii="Calibri" w:hAnsi="Calibri" w:cs="Calibri"/>
                      <w:color w:val="auto"/>
                      <w:sz w:val="21"/>
                      <w:szCs w:val="21"/>
                      <w:vertAlign w:val="baseline"/>
                      <w:lang w:val="en-US" w:eastAsia="zh-CN"/>
                    </w:rPr>
                    <w:t>3</w:t>
                  </w:r>
                </w:p>
              </w:tc>
              <w:tc>
                <w:tcPr>
                  <w:tcW w:w="766" w:type="pct"/>
                  <w:vAlign w:val="center"/>
                </w:tcPr>
                <w:p w14:paraId="0F5897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15～45</w:t>
                  </w:r>
                </w:p>
              </w:tc>
              <w:tc>
                <w:tcPr>
                  <w:tcW w:w="852" w:type="pct"/>
                  <w:vAlign w:val="center"/>
                </w:tcPr>
                <w:p w14:paraId="5A1783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500</w:t>
                  </w:r>
                </w:p>
              </w:tc>
              <w:tc>
                <w:tcPr>
                  <w:tcW w:w="853" w:type="pct"/>
                  <w:vAlign w:val="center"/>
                </w:tcPr>
                <w:p w14:paraId="290270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1050</w:t>
                  </w:r>
                </w:p>
              </w:tc>
              <w:tc>
                <w:tcPr>
                  <w:tcW w:w="1008" w:type="pct"/>
                  <w:vAlign w:val="center"/>
                </w:tcPr>
                <w:p w14:paraId="2365D2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0</w:t>
                  </w:r>
                </w:p>
              </w:tc>
            </w:tr>
            <w:tr w14:paraId="0F4E5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00" w:type="dxa"/>
                  <w:vAlign w:val="center"/>
                </w:tcPr>
                <w:p w14:paraId="5B301D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4</w:t>
                  </w:r>
                </w:p>
              </w:tc>
              <w:tc>
                <w:tcPr>
                  <w:tcW w:w="1008" w:type="pct"/>
                  <w:vAlign w:val="center"/>
                </w:tcPr>
                <w:p w14:paraId="1D3EDC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GJC1</w:t>
                  </w:r>
                </w:p>
              </w:tc>
              <w:tc>
                <w:tcPr>
                  <w:tcW w:w="766" w:type="pct"/>
                  <w:vAlign w:val="center"/>
                </w:tcPr>
                <w:p w14:paraId="247F7E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18</w:t>
                  </w:r>
                  <w:r>
                    <w:rPr>
                      <w:rFonts w:hint="eastAsia" w:ascii="Calibri" w:hAnsi="Calibri" w:cs="Calibri"/>
                      <w:color w:val="auto"/>
                      <w:sz w:val="21"/>
                      <w:szCs w:val="21"/>
                      <w:vertAlign w:val="baseline"/>
                      <w:lang w:val="en-US" w:eastAsia="zh-CN"/>
                    </w:rPr>
                    <w:t>～</w:t>
                  </w:r>
                  <w:r>
                    <w:rPr>
                      <w:rFonts w:hint="default" w:ascii="Calibri" w:hAnsi="Calibri" w:eastAsia="宋体" w:cs="Calibri"/>
                      <w:color w:val="auto"/>
                      <w:sz w:val="21"/>
                      <w:szCs w:val="21"/>
                      <w:vertAlign w:val="baseline"/>
                      <w:lang w:val="en-US" w:eastAsia="zh-CN"/>
                    </w:rPr>
                    <w:t>30</w:t>
                  </w:r>
                </w:p>
              </w:tc>
              <w:tc>
                <w:tcPr>
                  <w:tcW w:w="852" w:type="pct"/>
                  <w:vAlign w:val="center"/>
                </w:tcPr>
                <w:p w14:paraId="79FFA7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500</w:t>
                  </w:r>
                </w:p>
              </w:tc>
              <w:tc>
                <w:tcPr>
                  <w:tcW w:w="853" w:type="pct"/>
                  <w:vAlign w:val="center"/>
                </w:tcPr>
                <w:p w14:paraId="3BFC9D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850</w:t>
                  </w:r>
                </w:p>
              </w:tc>
              <w:tc>
                <w:tcPr>
                  <w:tcW w:w="1008" w:type="pct"/>
                  <w:vAlign w:val="center"/>
                </w:tcPr>
                <w:p w14:paraId="112B83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0-30</w:t>
                  </w:r>
                </w:p>
              </w:tc>
            </w:tr>
            <w:tr w14:paraId="51DC1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00" w:type="dxa"/>
                  <w:vAlign w:val="center"/>
                </w:tcPr>
                <w:p w14:paraId="2FA7C2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5</w:t>
                  </w:r>
                </w:p>
              </w:tc>
              <w:tc>
                <w:tcPr>
                  <w:tcW w:w="1008" w:type="pct"/>
                  <w:vAlign w:val="center"/>
                </w:tcPr>
                <w:p w14:paraId="2FCB4B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GJC2</w:t>
                  </w:r>
                </w:p>
              </w:tc>
              <w:tc>
                <w:tcPr>
                  <w:tcW w:w="766" w:type="pct"/>
                  <w:vAlign w:val="center"/>
                </w:tcPr>
                <w:p w14:paraId="11BFAB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18</w:t>
                  </w:r>
                  <w:r>
                    <w:rPr>
                      <w:rFonts w:hint="eastAsia" w:ascii="Calibri" w:hAnsi="Calibri" w:cs="Calibri"/>
                      <w:color w:val="auto"/>
                      <w:sz w:val="21"/>
                      <w:szCs w:val="21"/>
                      <w:vertAlign w:val="baseline"/>
                      <w:lang w:val="en-US" w:eastAsia="zh-CN"/>
                    </w:rPr>
                    <w:t>～</w:t>
                  </w:r>
                  <w:r>
                    <w:rPr>
                      <w:rFonts w:hint="default" w:ascii="Calibri" w:hAnsi="Calibri" w:eastAsia="宋体" w:cs="Calibri"/>
                      <w:color w:val="auto"/>
                      <w:sz w:val="21"/>
                      <w:szCs w:val="21"/>
                      <w:vertAlign w:val="baseline"/>
                      <w:lang w:val="en-US" w:eastAsia="zh-CN"/>
                    </w:rPr>
                    <w:t>30</w:t>
                  </w:r>
                </w:p>
              </w:tc>
              <w:tc>
                <w:tcPr>
                  <w:tcW w:w="852" w:type="pct"/>
                  <w:vAlign w:val="center"/>
                </w:tcPr>
                <w:p w14:paraId="0E0CC6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500</w:t>
                  </w:r>
                </w:p>
              </w:tc>
              <w:tc>
                <w:tcPr>
                  <w:tcW w:w="853" w:type="pct"/>
                  <w:vAlign w:val="center"/>
                </w:tcPr>
                <w:p w14:paraId="00DA99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850</w:t>
                  </w:r>
                </w:p>
              </w:tc>
              <w:tc>
                <w:tcPr>
                  <w:tcW w:w="1008" w:type="pct"/>
                  <w:vAlign w:val="center"/>
                </w:tcPr>
                <w:p w14:paraId="1EF3C5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30-60</w:t>
                  </w:r>
                </w:p>
              </w:tc>
            </w:tr>
            <w:tr w14:paraId="11500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00" w:type="dxa"/>
                  <w:vAlign w:val="center"/>
                </w:tcPr>
                <w:p w14:paraId="54F9E8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6</w:t>
                  </w:r>
                </w:p>
              </w:tc>
              <w:tc>
                <w:tcPr>
                  <w:tcW w:w="1008" w:type="pct"/>
                  <w:vAlign w:val="center"/>
                </w:tcPr>
                <w:p w14:paraId="32B0CB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GJC3</w:t>
                  </w:r>
                </w:p>
              </w:tc>
              <w:tc>
                <w:tcPr>
                  <w:tcW w:w="766" w:type="pct"/>
                  <w:vAlign w:val="center"/>
                </w:tcPr>
                <w:p w14:paraId="723867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18</w:t>
                  </w:r>
                  <w:r>
                    <w:rPr>
                      <w:rFonts w:hint="eastAsia" w:ascii="Calibri" w:hAnsi="Calibri" w:cs="Calibri"/>
                      <w:color w:val="auto"/>
                      <w:sz w:val="21"/>
                      <w:szCs w:val="21"/>
                      <w:vertAlign w:val="baseline"/>
                      <w:lang w:val="en-US" w:eastAsia="zh-CN"/>
                    </w:rPr>
                    <w:t>～</w:t>
                  </w:r>
                  <w:r>
                    <w:rPr>
                      <w:rFonts w:hint="default" w:ascii="Calibri" w:hAnsi="Calibri" w:eastAsia="宋体" w:cs="Calibri"/>
                      <w:color w:val="auto"/>
                      <w:sz w:val="21"/>
                      <w:szCs w:val="21"/>
                      <w:vertAlign w:val="baseline"/>
                      <w:lang w:val="en-US" w:eastAsia="zh-CN"/>
                    </w:rPr>
                    <w:t>30</w:t>
                  </w:r>
                </w:p>
              </w:tc>
              <w:tc>
                <w:tcPr>
                  <w:tcW w:w="852" w:type="pct"/>
                  <w:vAlign w:val="center"/>
                </w:tcPr>
                <w:p w14:paraId="30D23B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500</w:t>
                  </w:r>
                </w:p>
              </w:tc>
              <w:tc>
                <w:tcPr>
                  <w:tcW w:w="853" w:type="pct"/>
                  <w:vAlign w:val="center"/>
                </w:tcPr>
                <w:p w14:paraId="123618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850</w:t>
                  </w:r>
                </w:p>
              </w:tc>
              <w:tc>
                <w:tcPr>
                  <w:tcW w:w="1008" w:type="pct"/>
                  <w:vAlign w:val="center"/>
                </w:tcPr>
                <w:p w14:paraId="35E811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0-90</w:t>
                  </w:r>
                </w:p>
              </w:tc>
            </w:tr>
            <w:tr w14:paraId="6159B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00" w:type="dxa"/>
                  <w:vAlign w:val="center"/>
                </w:tcPr>
                <w:p w14:paraId="72DE88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7</w:t>
                  </w:r>
                </w:p>
              </w:tc>
              <w:tc>
                <w:tcPr>
                  <w:tcW w:w="1008" w:type="pct"/>
                  <w:vAlign w:val="center"/>
                </w:tcPr>
                <w:p w14:paraId="283674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SZC1</w:t>
                  </w:r>
                </w:p>
              </w:tc>
              <w:tc>
                <w:tcPr>
                  <w:tcW w:w="766" w:type="pct"/>
                  <w:vAlign w:val="center"/>
                </w:tcPr>
                <w:p w14:paraId="16D216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18</w:t>
                  </w:r>
                  <w:r>
                    <w:rPr>
                      <w:rFonts w:hint="eastAsia" w:ascii="Calibri" w:hAnsi="Calibri" w:cs="Calibri"/>
                      <w:color w:val="auto"/>
                      <w:sz w:val="21"/>
                      <w:szCs w:val="21"/>
                      <w:vertAlign w:val="baseline"/>
                      <w:lang w:val="en-US" w:eastAsia="zh-CN"/>
                    </w:rPr>
                    <w:t>～</w:t>
                  </w:r>
                  <w:r>
                    <w:rPr>
                      <w:rFonts w:hint="default" w:ascii="Calibri" w:hAnsi="Calibri" w:eastAsia="宋体" w:cs="Calibri"/>
                      <w:color w:val="auto"/>
                      <w:sz w:val="21"/>
                      <w:szCs w:val="21"/>
                      <w:vertAlign w:val="baseline"/>
                      <w:lang w:val="en-US" w:eastAsia="zh-CN"/>
                    </w:rPr>
                    <w:t>33</w:t>
                  </w:r>
                </w:p>
              </w:tc>
              <w:tc>
                <w:tcPr>
                  <w:tcW w:w="852" w:type="pct"/>
                  <w:vAlign w:val="center"/>
                </w:tcPr>
                <w:p w14:paraId="6D9AEB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350</w:t>
                  </w:r>
                </w:p>
              </w:tc>
              <w:tc>
                <w:tcPr>
                  <w:tcW w:w="853" w:type="pct"/>
                  <w:vAlign w:val="center"/>
                </w:tcPr>
                <w:p w14:paraId="5A67F6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500</w:t>
                  </w:r>
                </w:p>
              </w:tc>
              <w:tc>
                <w:tcPr>
                  <w:tcW w:w="1008" w:type="pct"/>
                  <w:vAlign w:val="center"/>
                </w:tcPr>
                <w:p w14:paraId="090243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eastAsia="宋体" w:cs="Calibri"/>
                      <w:color w:val="auto"/>
                      <w:sz w:val="21"/>
                      <w:szCs w:val="21"/>
                      <w:vertAlign w:val="baseline"/>
                      <w:lang w:val="en-US" w:eastAsia="zh-CN"/>
                    </w:rPr>
                    <w:t>/</w:t>
                  </w:r>
                </w:p>
              </w:tc>
            </w:tr>
            <w:tr w14:paraId="4E7BE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00" w:type="dxa"/>
                  <w:vAlign w:val="center"/>
                </w:tcPr>
                <w:p w14:paraId="1E61A9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8</w:t>
                  </w:r>
                </w:p>
              </w:tc>
              <w:tc>
                <w:tcPr>
                  <w:tcW w:w="1008" w:type="pct"/>
                  <w:vAlign w:val="center"/>
                </w:tcPr>
                <w:p w14:paraId="3B5C24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SZC2</w:t>
                  </w:r>
                </w:p>
              </w:tc>
              <w:tc>
                <w:tcPr>
                  <w:tcW w:w="766" w:type="pct"/>
                  <w:vAlign w:val="center"/>
                </w:tcPr>
                <w:p w14:paraId="15F654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18</w:t>
                  </w:r>
                  <w:r>
                    <w:rPr>
                      <w:rFonts w:hint="eastAsia" w:ascii="Calibri" w:hAnsi="Calibri" w:cs="Calibri"/>
                      <w:color w:val="auto"/>
                      <w:sz w:val="21"/>
                      <w:szCs w:val="21"/>
                      <w:vertAlign w:val="baseline"/>
                      <w:lang w:val="en-US" w:eastAsia="zh-CN"/>
                    </w:rPr>
                    <w:t>～</w:t>
                  </w:r>
                  <w:r>
                    <w:rPr>
                      <w:rFonts w:hint="default" w:ascii="Calibri" w:hAnsi="Calibri" w:eastAsia="宋体" w:cs="Calibri"/>
                      <w:color w:val="auto"/>
                      <w:sz w:val="21"/>
                      <w:szCs w:val="21"/>
                      <w:vertAlign w:val="baseline"/>
                      <w:lang w:val="en-US" w:eastAsia="zh-CN"/>
                    </w:rPr>
                    <w:t>36</w:t>
                  </w:r>
                </w:p>
              </w:tc>
              <w:tc>
                <w:tcPr>
                  <w:tcW w:w="852" w:type="pct"/>
                  <w:vAlign w:val="center"/>
                </w:tcPr>
                <w:p w14:paraId="07607B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400</w:t>
                  </w:r>
                </w:p>
              </w:tc>
              <w:tc>
                <w:tcPr>
                  <w:tcW w:w="853" w:type="pct"/>
                  <w:vAlign w:val="center"/>
                </w:tcPr>
                <w:p w14:paraId="5E3831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600</w:t>
                  </w:r>
                </w:p>
              </w:tc>
              <w:tc>
                <w:tcPr>
                  <w:tcW w:w="1008" w:type="pct"/>
                  <w:vAlign w:val="center"/>
                </w:tcPr>
                <w:p w14:paraId="69E5B8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eastAsia="宋体" w:cs="Calibri"/>
                      <w:color w:val="auto"/>
                      <w:sz w:val="21"/>
                      <w:szCs w:val="21"/>
                      <w:vertAlign w:val="baseline"/>
                      <w:lang w:val="en-US" w:eastAsia="zh-CN"/>
                    </w:rPr>
                    <w:t>/</w:t>
                  </w:r>
                </w:p>
              </w:tc>
            </w:tr>
            <w:tr w14:paraId="1F477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00" w:type="dxa"/>
                  <w:vAlign w:val="center"/>
                </w:tcPr>
                <w:p w14:paraId="22698A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9</w:t>
                  </w:r>
                </w:p>
              </w:tc>
              <w:tc>
                <w:tcPr>
                  <w:tcW w:w="1008" w:type="pct"/>
                  <w:vAlign w:val="center"/>
                </w:tcPr>
                <w:p w14:paraId="5EBAD6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SZC3</w:t>
                  </w:r>
                </w:p>
              </w:tc>
              <w:tc>
                <w:tcPr>
                  <w:tcW w:w="766" w:type="pct"/>
                  <w:vAlign w:val="center"/>
                </w:tcPr>
                <w:p w14:paraId="4D6D46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18</w:t>
                  </w:r>
                  <w:r>
                    <w:rPr>
                      <w:rFonts w:hint="eastAsia" w:ascii="Calibri" w:hAnsi="Calibri" w:cs="Calibri"/>
                      <w:color w:val="auto"/>
                      <w:sz w:val="21"/>
                      <w:szCs w:val="21"/>
                      <w:vertAlign w:val="baseline"/>
                      <w:lang w:val="en-US" w:eastAsia="zh-CN"/>
                    </w:rPr>
                    <w:t>～</w:t>
                  </w:r>
                  <w:r>
                    <w:rPr>
                      <w:rFonts w:hint="default" w:ascii="Calibri" w:hAnsi="Calibri" w:eastAsia="宋体" w:cs="Calibri"/>
                      <w:color w:val="auto"/>
                      <w:sz w:val="21"/>
                      <w:szCs w:val="21"/>
                      <w:vertAlign w:val="baseline"/>
                      <w:lang w:val="en-US" w:eastAsia="zh-CN"/>
                    </w:rPr>
                    <w:t>39</w:t>
                  </w:r>
                </w:p>
              </w:tc>
              <w:tc>
                <w:tcPr>
                  <w:tcW w:w="852" w:type="pct"/>
                  <w:vAlign w:val="center"/>
                </w:tcPr>
                <w:p w14:paraId="1CD15A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500</w:t>
                  </w:r>
                </w:p>
              </w:tc>
              <w:tc>
                <w:tcPr>
                  <w:tcW w:w="853" w:type="pct"/>
                  <w:vAlign w:val="center"/>
                </w:tcPr>
                <w:p w14:paraId="3AC04E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800</w:t>
                  </w:r>
                </w:p>
              </w:tc>
              <w:tc>
                <w:tcPr>
                  <w:tcW w:w="1008" w:type="pct"/>
                  <w:vAlign w:val="center"/>
                </w:tcPr>
                <w:p w14:paraId="3D9B87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eastAsia="宋体" w:cs="Calibri"/>
                      <w:color w:val="auto"/>
                      <w:sz w:val="21"/>
                      <w:szCs w:val="21"/>
                      <w:vertAlign w:val="baseline"/>
                      <w:lang w:val="en-US" w:eastAsia="zh-CN"/>
                    </w:rPr>
                    <w:t>/</w:t>
                  </w:r>
                </w:p>
              </w:tc>
            </w:tr>
            <w:tr w14:paraId="002F9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10" w:type="pct"/>
                  <w:vAlign w:val="center"/>
                </w:tcPr>
                <w:p w14:paraId="35F06C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10</w:t>
                  </w:r>
                </w:p>
              </w:tc>
              <w:tc>
                <w:tcPr>
                  <w:tcW w:w="1008" w:type="pct"/>
                  <w:vAlign w:val="center"/>
                </w:tcPr>
                <w:p w14:paraId="7EC05C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SZC4</w:t>
                  </w:r>
                </w:p>
              </w:tc>
              <w:tc>
                <w:tcPr>
                  <w:tcW w:w="766" w:type="pct"/>
                  <w:vAlign w:val="center"/>
                </w:tcPr>
                <w:p w14:paraId="181255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18～42</w:t>
                  </w:r>
                </w:p>
              </w:tc>
              <w:tc>
                <w:tcPr>
                  <w:tcW w:w="852" w:type="pct"/>
                  <w:vAlign w:val="center"/>
                </w:tcPr>
                <w:p w14:paraId="15C423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600</w:t>
                  </w:r>
                </w:p>
              </w:tc>
              <w:tc>
                <w:tcPr>
                  <w:tcW w:w="853" w:type="pct"/>
                  <w:vAlign w:val="center"/>
                </w:tcPr>
                <w:p w14:paraId="4985A0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900</w:t>
                  </w:r>
                </w:p>
              </w:tc>
              <w:tc>
                <w:tcPr>
                  <w:tcW w:w="1008" w:type="pct"/>
                  <w:vAlign w:val="center"/>
                </w:tcPr>
                <w:p w14:paraId="548C64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w:t>
                  </w:r>
                </w:p>
              </w:tc>
            </w:tr>
            <w:tr w14:paraId="519D0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10" w:type="pct"/>
                  <w:vAlign w:val="center"/>
                </w:tcPr>
                <w:p w14:paraId="188334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11</w:t>
                  </w:r>
                </w:p>
              </w:tc>
              <w:tc>
                <w:tcPr>
                  <w:tcW w:w="1008" w:type="pct"/>
                  <w:vAlign w:val="center"/>
                </w:tcPr>
                <w:p w14:paraId="4D095A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SZCK</w:t>
                  </w:r>
                </w:p>
              </w:tc>
              <w:tc>
                <w:tcPr>
                  <w:tcW w:w="766" w:type="pct"/>
                  <w:vAlign w:val="center"/>
                </w:tcPr>
                <w:p w14:paraId="4E7667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18～42</w:t>
                  </w:r>
                </w:p>
              </w:tc>
              <w:tc>
                <w:tcPr>
                  <w:tcW w:w="852" w:type="pct"/>
                  <w:vAlign w:val="center"/>
                </w:tcPr>
                <w:p w14:paraId="1EBA15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600</w:t>
                  </w:r>
                </w:p>
              </w:tc>
              <w:tc>
                <w:tcPr>
                  <w:tcW w:w="853" w:type="pct"/>
                  <w:vAlign w:val="center"/>
                </w:tcPr>
                <w:p w14:paraId="476EC4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900</w:t>
                  </w:r>
                </w:p>
              </w:tc>
              <w:tc>
                <w:tcPr>
                  <w:tcW w:w="1008" w:type="pct"/>
                  <w:vAlign w:val="center"/>
                </w:tcPr>
                <w:p w14:paraId="26550A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w:t>
                  </w:r>
                </w:p>
              </w:tc>
            </w:tr>
            <w:tr w14:paraId="73937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10" w:type="pct"/>
                  <w:vAlign w:val="center"/>
                </w:tcPr>
                <w:p w14:paraId="3B98AB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12</w:t>
                  </w:r>
                </w:p>
              </w:tc>
              <w:tc>
                <w:tcPr>
                  <w:tcW w:w="1008" w:type="pct"/>
                  <w:vAlign w:val="center"/>
                </w:tcPr>
                <w:p w14:paraId="5D67C4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SJC1</w:t>
                  </w:r>
                </w:p>
              </w:tc>
              <w:tc>
                <w:tcPr>
                  <w:tcW w:w="766" w:type="pct"/>
                  <w:vAlign w:val="center"/>
                </w:tcPr>
                <w:p w14:paraId="45476D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15</w:t>
                  </w:r>
                  <w:r>
                    <w:rPr>
                      <w:rFonts w:hint="eastAsia" w:ascii="Calibri" w:hAnsi="Calibri" w:cs="Calibri"/>
                      <w:color w:val="auto"/>
                      <w:sz w:val="21"/>
                      <w:szCs w:val="21"/>
                      <w:vertAlign w:val="baseline"/>
                      <w:lang w:val="en-US" w:eastAsia="zh-CN"/>
                    </w:rPr>
                    <w:t>～</w:t>
                  </w:r>
                  <w:r>
                    <w:rPr>
                      <w:rFonts w:hint="default" w:ascii="Calibri" w:hAnsi="Calibri" w:eastAsia="宋体" w:cs="Calibri"/>
                      <w:color w:val="auto"/>
                      <w:sz w:val="21"/>
                      <w:szCs w:val="21"/>
                      <w:vertAlign w:val="baseline"/>
                      <w:lang w:val="en-US" w:eastAsia="zh-CN"/>
                    </w:rPr>
                    <w:t>30</w:t>
                  </w:r>
                </w:p>
              </w:tc>
              <w:tc>
                <w:tcPr>
                  <w:tcW w:w="852" w:type="pct"/>
                  <w:vAlign w:val="center"/>
                </w:tcPr>
                <w:p w14:paraId="417291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450</w:t>
                  </w:r>
                </w:p>
              </w:tc>
              <w:tc>
                <w:tcPr>
                  <w:tcW w:w="853" w:type="pct"/>
                  <w:vAlign w:val="center"/>
                </w:tcPr>
                <w:p w14:paraId="4D7529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700</w:t>
                  </w:r>
                </w:p>
              </w:tc>
              <w:tc>
                <w:tcPr>
                  <w:tcW w:w="1008" w:type="pct"/>
                  <w:vAlign w:val="center"/>
                </w:tcPr>
                <w:p w14:paraId="419544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0-20</w:t>
                  </w:r>
                </w:p>
              </w:tc>
            </w:tr>
            <w:tr w14:paraId="38F68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10" w:type="pct"/>
                  <w:vAlign w:val="center"/>
                </w:tcPr>
                <w:p w14:paraId="401AD3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1</w:t>
                  </w:r>
                  <w:r>
                    <w:rPr>
                      <w:rFonts w:hint="eastAsia" w:ascii="Calibri" w:hAnsi="Calibri" w:cs="Calibri"/>
                      <w:color w:val="auto"/>
                      <w:sz w:val="21"/>
                      <w:szCs w:val="21"/>
                      <w:vertAlign w:val="baseline"/>
                      <w:lang w:val="en-US" w:eastAsia="zh-CN"/>
                    </w:rPr>
                    <w:t>3</w:t>
                  </w:r>
                </w:p>
              </w:tc>
              <w:tc>
                <w:tcPr>
                  <w:tcW w:w="1008" w:type="pct"/>
                  <w:vAlign w:val="center"/>
                </w:tcPr>
                <w:p w14:paraId="37639D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SJC2</w:t>
                  </w:r>
                </w:p>
              </w:tc>
              <w:tc>
                <w:tcPr>
                  <w:tcW w:w="766" w:type="pct"/>
                  <w:vAlign w:val="center"/>
                </w:tcPr>
                <w:p w14:paraId="09C180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15</w:t>
                  </w:r>
                  <w:r>
                    <w:rPr>
                      <w:rFonts w:hint="eastAsia" w:ascii="Calibri" w:hAnsi="Calibri" w:cs="Calibri"/>
                      <w:color w:val="auto"/>
                      <w:sz w:val="21"/>
                      <w:szCs w:val="21"/>
                      <w:vertAlign w:val="baseline"/>
                      <w:lang w:val="en-US" w:eastAsia="zh-CN"/>
                    </w:rPr>
                    <w:t>～</w:t>
                  </w:r>
                  <w:r>
                    <w:rPr>
                      <w:rFonts w:hint="default" w:ascii="Calibri" w:hAnsi="Calibri" w:eastAsia="宋体" w:cs="Calibri"/>
                      <w:color w:val="auto"/>
                      <w:sz w:val="21"/>
                      <w:szCs w:val="21"/>
                      <w:vertAlign w:val="baseline"/>
                      <w:lang w:val="en-US" w:eastAsia="zh-CN"/>
                    </w:rPr>
                    <w:t>30</w:t>
                  </w:r>
                </w:p>
              </w:tc>
              <w:tc>
                <w:tcPr>
                  <w:tcW w:w="852" w:type="pct"/>
                  <w:vAlign w:val="center"/>
                </w:tcPr>
                <w:p w14:paraId="0ADF69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450</w:t>
                  </w:r>
                </w:p>
              </w:tc>
              <w:tc>
                <w:tcPr>
                  <w:tcW w:w="853" w:type="pct"/>
                  <w:vAlign w:val="center"/>
                </w:tcPr>
                <w:p w14:paraId="33CE2B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700</w:t>
                  </w:r>
                </w:p>
              </w:tc>
              <w:tc>
                <w:tcPr>
                  <w:tcW w:w="1008" w:type="pct"/>
                  <w:vAlign w:val="center"/>
                </w:tcPr>
                <w:p w14:paraId="1BFCC1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20-40</w:t>
                  </w:r>
                </w:p>
              </w:tc>
            </w:tr>
            <w:tr w14:paraId="4D0CC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10" w:type="pct"/>
                  <w:vAlign w:val="center"/>
                </w:tcPr>
                <w:p w14:paraId="26C928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14</w:t>
                  </w:r>
                </w:p>
              </w:tc>
              <w:tc>
                <w:tcPr>
                  <w:tcW w:w="1008" w:type="pct"/>
                  <w:vAlign w:val="center"/>
                </w:tcPr>
                <w:p w14:paraId="37E69E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SJC3</w:t>
                  </w:r>
                </w:p>
              </w:tc>
              <w:tc>
                <w:tcPr>
                  <w:tcW w:w="766" w:type="pct"/>
                  <w:vAlign w:val="center"/>
                </w:tcPr>
                <w:p w14:paraId="2ECB8B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15</w:t>
                  </w:r>
                  <w:r>
                    <w:rPr>
                      <w:rFonts w:hint="eastAsia" w:ascii="Calibri" w:hAnsi="Calibri" w:cs="Calibri"/>
                      <w:color w:val="auto"/>
                      <w:sz w:val="21"/>
                      <w:szCs w:val="21"/>
                      <w:vertAlign w:val="baseline"/>
                      <w:lang w:val="en-US" w:eastAsia="zh-CN"/>
                    </w:rPr>
                    <w:t>～</w:t>
                  </w:r>
                  <w:r>
                    <w:rPr>
                      <w:rFonts w:hint="default" w:ascii="Calibri" w:hAnsi="Calibri" w:eastAsia="宋体" w:cs="Calibri"/>
                      <w:color w:val="auto"/>
                      <w:sz w:val="21"/>
                      <w:szCs w:val="21"/>
                      <w:vertAlign w:val="baseline"/>
                      <w:lang w:val="en-US" w:eastAsia="zh-CN"/>
                    </w:rPr>
                    <w:t>30</w:t>
                  </w:r>
                </w:p>
              </w:tc>
              <w:tc>
                <w:tcPr>
                  <w:tcW w:w="852" w:type="pct"/>
                  <w:vAlign w:val="center"/>
                </w:tcPr>
                <w:p w14:paraId="3306BD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450</w:t>
                  </w:r>
                </w:p>
              </w:tc>
              <w:tc>
                <w:tcPr>
                  <w:tcW w:w="853" w:type="pct"/>
                  <w:vAlign w:val="center"/>
                </w:tcPr>
                <w:p w14:paraId="61FE9B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700</w:t>
                  </w:r>
                </w:p>
              </w:tc>
              <w:tc>
                <w:tcPr>
                  <w:tcW w:w="1008" w:type="pct"/>
                  <w:vAlign w:val="center"/>
                </w:tcPr>
                <w:p w14:paraId="6E0D45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40-60</w:t>
                  </w:r>
                </w:p>
              </w:tc>
            </w:tr>
            <w:tr w14:paraId="6A3CD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10" w:type="pct"/>
                  <w:vAlign w:val="center"/>
                </w:tcPr>
                <w:p w14:paraId="44438B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15</w:t>
                  </w:r>
                </w:p>
              </w:tc>
              <w:tc>
                <w:tcPr>
                  <w:tcW w:w="1008" w:type="pct"/>
                  <w:vAlign w:val="center"/>
                </w:tcPr>
                <w:p w14:paraId="453355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SJC4</w:t>
                  </w:r>
                </w:p>
              </w:tc>
              <w:tc>
                <w:tcPr>
                  <w:tcW w:w="766" w:type="pct"/>
                  <w:vAlign w:val="center"/>
                </w:tcPr>
                <w:p w14:paraId="5E8796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15～30</w:t>
                  </w:r>
                </w:p>
              </w:tc>
              <w:tc>
                <w:tcPr>
                  <w:tcW w:w="852" w:type="pct"/>
                  <w:vAlign w:val="center"/>
                </w:tcPr>
                <w:p w14:paraId="2999A9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450</w:t>
                  </w:r>
                </w:p>
              </w:tc>
              <w:tc>
                <w:tcPr>
                  <w:tcW w:w="853" w:type="pct"/>
                  <w:vAlign w:val="center"/>
                </w:tcPr>
                <w:p w14:paraId="288C5E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700</w:t>
                  </w:r>
                </w:p>
              </w:tc>
              <w:tc>
                <w:tcPr>
                  <w:tcW w:w="1008" w:type="pct"/>
                  <w:vAlign w:val="center"/>
                </w:tcPr>
                <w:p w14:paraId="779DC7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w:t>
                  </w:r>
                </w:p>
              </w:tc>
            </w:tr>
            <w:tr w14:paraId="6ED43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10" w:type="pct"/>
                  <w:vAlign w:val="center"/>
                </w:tcPr>
                <w:p w14:paraId="3B63A6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eastAsia" w:ascii="Calibri" w:hAnsi="Calibri" w:cs="Calibri"/>
                      <w:color w:val="auto"/>
                      <w:sz w:val="21"/>
                      <w:szCs w:val="21"/>
                      <w:vertAlign w:val="baseline"/>
                      <w:lang w:val="en-US" w:eastAsia="zh-CN"/>
                    </w:rPr>
                    <w:t>16</w:t>
                  </w:r>
                </w:p>
              </w:tc>
              <w:tc>
                <w:tcPr>
                  <w:tcW w:w="1008" w:type="pct"/>
                  <w:vAlign w:val="center"/>
                </w:tcPr>
                <w:p w14:paraId="692B6A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SDJC</w:t>
                  </w:r>
                </w:p>
              </w:tc>
              <w:tc>
                <w:tcPr>
                  <w:tcW w:w="766" w:type="pct"/>
                  <w:vAlign w:val="center"/>
                </w:tcPr>
                <w:p w14:paraId="07C2E8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15</w:t>
                  </w:r>
                  <w:r>
                    <w:rPr>
                      <w:rFonts w:hint="eastAsia" w:ascii="Calibri" w:hAnsi="Calibri" w:cs="Calibri"/>
                      <w:color w:val="auto"/>
                      <w:sz w:val="21"/>
                      <w:szCs w:val="21"/>
                      <w:vertAlign w:val="baseline"/>
                      <w:lang w:val="en-US" w:eastAsia="zh-CN"/>
                    </w:rPr>
                    <w:t>～</w:t>
                  </w:r>
                  <w:r>
                    <w:rPr>
                      <w:rFonts w:hint="default" w:ascii="Calibri" w:hAnsi="Calibri" w:eastAsia="宋体" w:cs="Calibri"/>
                      <w:color w:val="auto"/>
                      <w:sz w:val="21"/>
                      <w:szCs w:val="21"/>
                      <w:vertAlign w:val="baseline"/>
                      <w:lang w:val="en-US" w:eastAsia="zh-CN"/>
                    </w:rPr>
                    <w:t>30</w:t>
                  </w:r>
                </w:p>
              </w:tc>
              <w:tc>
                <w:tcPr>
                  <w:tcW w:w="852" w:type="pct"/>
                  <w:vAlign w:val="center"/>
                </w:tcPr>
                <w:p w14:paraId="4BFFEF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350</w:t>
                  </w:r>
                </w:p>
              </w:tc>
              <w:tc>
                <w:tcPr>
                  <w:tcW w:w="853" w:type="pct"/>
                  <w:vAlign w:val="center"/>
                </w:tcPr>
                <w:p w14:paraId="0046E6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500</w:t>
                  </w:r>
                </w:p>
              </w:tc>
              <w:tc>
                <w:tcPr>
                  <w:tcW w:w="1008" w:type="pct"/>
                  <w:vAlign w:val="center"/>
                </w:tcPr>
                <w:p w14:paraId="61A8FB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0-90</w:t>
                  </w:r>
                </w:p>
              </w:tc>
            </w:tr>
          </w:tbl>
          <w:p w14:paraId="1124E6F6">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left"/>
              <w:textAlignment w:val="auto"/>
              <w:rPr>
                <w:rFonts w:hint="default" w:ascii="宋体" w:hAnsi="宋体" w:eastAsia="宋体" w:cs="宋体"/>
                <w:b/>
                <w:bCs/>
                <w:color w:val="auto"/>
                <w:kern w:val="0"/>
                <w:sz w:val="24"/>
                <w:szCs w:val="24"/>
                <w:lang w:val="en-US" w:eastAsia="zh-CN"/>
              </w:rPr>
            </w:pPr>
            <w:r>
              <w:rPr>
                <w:rFonts w:hint="eastAsia" w:ascii="宋体" w:hAnsi="宋体" w:cs="宋体"/>
                <w:b/>
                <w:bCs/>
                <w:color w:val="auto"/>
                <w:kern w:val="0"/>
                <w:sz w:val="24"/>
                <w:szCs w:val="24"/>
                <w:lang w:val="en-US" w:eastAsia="zh-CN"/>
              </w:rPr>
              <w:t>3、</w:t>
            </w:r>
            <w:r>
              <w:rPr>
                <w:rFonts w:hint="eastAsia" w:ascii="宋体" w:hAnsi="宋体" w:eastAsia="宋体" w:cs="宋体"/>
                <w:b/>
                <w:bCs/>
                <w:color w:val="auto"/>
                <w:kern w:val="0"/>
                <w:sz w:val="24"/>
                <w:szCs w:val="24"/>
                <w:lang w:val="en-US" w:eastAsia="zh-CN"/>
              </w:rPr>
              <w:t>南部矿区110kv变电站</w:t>
            </w:r>
          </w:p>
          <w:p w14:paraId="5383EF80">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Calibri" w:hAnsi="Calibri" w:cs="Calibri"/>
                <w:color w:val="auto"/>
                <w:sz w:val="24"/>
                <w:lang w:val="en-US" w:eastAsia="zh-CN"/>
              </w:rPr>
            </w:pPr>
            <w:r>
              <w:rPr>
                <w:rFonts w:hint="default" w:ascii="Calibri" w:hAnsi="Calibri" w:cs="Calibri"/>
                <w:color w:val="auto"/>
                <w:sz w:val="24"/>
                <w:lang w:val="en-US" w:eastAsia="zh-CN"/>
              </w:rPr>
              <w:t>①主变型式、容量及台数</w:t>
            </w:r>
          </w:p>
          <w:p w14:paraId="12CCEC0A">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Calibri" w:hAnsi="Calibri" w:cs="Calibri"/>
                <w:color w:val="auto"/>
                <w:sz w:val="24"/>
                <w:lang w:val="en-US" w:eastAsia="zh-CN"/>
              </w:rPr>
            </w:pPr>
            <w:r>
              <w:rPr>
                <w:rFonts w:hint="default" w:ascii="Calibri" w:hAnsi="Calibri" w:cs="Calibri"/>
                <w:color w:val="auto"/>
                <w:sz w:val="24"/>
                <w:lang w:val="en-US" w:eastAsia="zh-CN"/>
              </w:rPr>
              <w:t>若羌县南部矿区110kV变电站主变容量规划为2×50MVA，主变选用节 能型三相双卷有载调压降压型变压器，电压比为110±8×1.25%/38.5kV，容量比为100/100，接线组别为YN，d11，本期建设1台50MVA的主变压器。</w:t>
            </w:r>
          </w:p>
          <w:p w14:paraId="647B1477">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Calibri" w:hAnsi="Calibri" w:cs="Calibri"/>
                <w:color w:val="auto"/>
                <w:sz w:val="24"/>
                <w:lang w:val="en-US" w:eastAsia="zh-CN"/>
              </w:rPr>
            </w:pPr>
            <w:r>
              <w:rPr>
                <w:rFonts w:hint="default" w:ascii="Calibri" w:hAnsi="Calibri" w:cs="Calibri"/>
                <w:color w:val="auto"/>
                <w:sz w:val="24"/>
                <w:lang w:val="en-US" w:eastAsia="zh-CN"/>
              </w:rPr>
              <w:t>②电气主接线、出线</w:t>
            </w:r>
          </w:p>
          <w:p w14:paraId="30F4320A">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Calibri" w:hAnsi="Calibri" w:cs="Calibri"/>
                <w:color w:val="auto"/>
                <w:sz w:val="24"/>
                <w:lang w:val="en-US" w:eastAsia="zh-CN"/>
              </w:rPr>
            </w:pPr>
            <w:r>
              <w:rPr>
                <w:rFonts w:hint="default" w:ascii="Calibri" w:hAnsi="Calibri" w:cs="Calibri"/>
                <w:color w:val="auto"/>
                <w:sz w:val="24"/>
                <w:lang w:val="en-US" w:eastAsia="zh-CN"/>
              </w:rPr>
              <w:t>南部矿区110kv变电站110kV电气主接线规划为双母线接线，一期建成双母线接线，其110kV侧规划进出线6回，一期建成2回，其中1回（架空出线）至白干湖220kV变电站，1回至拟建羌河三区变，备用4回；其35kV 电气主接线规划为单母线分段接线，一期建成单母线接线，35kV出线规划12回，一期建设6回出线，采用变电站电缆出线后架空。</w:t>
            </w:r>
          </w:p>
          <w:p w14:paraId="7EB0DFA0">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Calibri" w:hAnsi="Calibri" w:cs="Calibri"/>
                <w:color w:val="auto"/>
                <w:sz w:val="24"/>
                <w:lang w:val="en-US" w:eastAsia="zh-CN"/>
              </w:rPr>
            </w:pPr>
            <w:r>
              <w:rPr>
                <w:rFonts w:hint="default" w:ascii="Calibri" w:hAnsi="Calibri" w:cs="Calibri"/>
                <w:color w:val="auto"/>
                <w:sz w:val="24"/>
                <w:lang w:val="en-US" w:eastAsia="zh-CN"/>
              </w:rPr>
              <w:t>③无功补偿容量</w:t>
            </w:r>
          </w:p>
          <w:p w14:paraId="4CE3DAEF">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Calibri" w:hAnsi="Calibri" w:cs="Calibri"/>
                <w:color w:val="auto"/>
                <w:sz w:val="24"/>
                <w:lang w:val="en-US" w:eastAsia="zh-CN"/>
              </w:rPr>
            </w:pPr>
            <w:r>
              <w:rPr>
                <w:rFonts w:hint="default" w:ascii="Calibri" w:hAnsi="Calibri" w:cs="Calibri"/>
                <w:color w:val="auto"/>
                <w:sz w:val="24"/>
                <w:lang w:val="en-US" w:eastAsia="zh-CN"/>
              </w:rPr>
              <w:t>本变电站低压侧无功补偿容量按主变容量的30%配置，无功补偿规划容量为2×15Mvar。本期在35kVⅠ段母线上装设1组15MvarSVG动态无功补偿装置。</w:t>
            </w:r>
          </w:p>
          <w:p w14:paraId="3F0F0F78">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Calibri" w:hAnsi="Calibri" w:cs="Calibri"/>
                <w:color w:val="auto"/>
                <w:sz w:val="24"/>
                <w:lang w:val="en-US" w:eastAsia="zh-CN"/>
              </w:rPr>
            </w:pPr>
            <w:r>
              <w:rPr>
                <w:rFonts w:hint="default" w:ascii="Calibri" w:hAnsi="Calibri" w:cs="Calibri"/>
                <w:color w:val="auto"/>
                <w:sz w:val="24"/>
                <w:lang w:val="en-US" w:eastAsia="zh-CN"/>
              </w:rPr>
              <w:t>④中性点接地方式</w:t>
            </w:r>
          </w:p>
          <w:p w14:paraId="6535F276">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宋体" w:hAnsi="宋体" w:cs="宋体"/>
                <w:color w:val="auto"/>
                <w:kern w:val="0"/>
                <w:sz w:val="24"/>
                <w:szCs w:val="24"/>
                <w:lang w:val="en-US"/>
              </w:rPr>
            </w:pPr>
            <w:r>
              <w:rPr>
                <w:rFonts w:hint="default" w:ascii="Calibri" w:hAnsi="Calibri" w:cs="Calibri"/>
                <w:color w:val="auto"/>
                <w:sz w:val="24"/>
                <w:lang w:val="en-US" w:eastAsia="zh-CN"/>
              </w:rPr>
              <w:t>变电站110kV侧中性点按直接接地设计；35kV侧按中性点经消弧线圈接地规划设计，本期一台主变配置消弧线圈容量1100kVA，规划的2号主变预留2号消弧线圈的位置。</w:t>
            </w:r>
          </w:p>
        </w:tc>
      </w:tr>
      <w:tr w14:paraId="4237BB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227" w:type="pct"/>
            <w:noWrap w:val="0"/>
            <w:vAlign w:val="center"/>
          </w:tcPr>
          <w:p w14:paraId="36EFEBC5">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总平面及现场布置</w:t>
            </w:r>
          </w:p>
        </w:tc>
        <w:tc>
          <w:tcPr>
            <w:tcW w:w="4772" w:type="pct"/>
            <w:noWrap w:val="0"/>
            <w:vAlign w:val="top"/>
          </w:tcPr>
          <w:p w14:paraId="4A11EB6F">
            <w:pPr>
              <w:keepNext w:val="0"/>
              <w:keepLines w:val="0"/>
              <w:pageBreakBefore w:val="0"/>
              <w:widowControl w:val="0"/>
              <w:kinsoku/>
              <w:wordWrap/>
              <w:overflowPunct/>
              <w:topLinePunct w:val="0"/>
              <w:autoSpaceDE/>
              <w:autoSpaceDN/>
              <w:bidi w:val="0"/>
              <w:adjustRightInd/>
              <w:snapToGrid/>
              <w:spacing w:line="480" w:lineRule="exact"/>
              <w:ind w:left="0" w:leftChars="0" w:firstLine="482" w:firstLineChars="200"/>
              <w:jc w:val="both"/>
              <w:textAlignment w:val="auto"/>
              <w:rPr>
                <w:rFonts w:hint="eastAsia"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1.</w:t>
            </w:r>
            <w:r>
              <w:rPr>
                <w:rFonts w:hint="eastAsia" w:ascii="Times New Roman" w:hAnsi="Times New Roman" w:eastAsia="宋体" w:cs="Times New Roman"/>
                <w:b/>
                <w:bCs/>
                <w:color w:val="auto"/>
                <w:kern w:val="2"/>
                <w:sz w:val="24"/>
                <w:szCs w:val="24"/>
                <w:lang w:val="en-US" w:eastAsia="zh-CN" w:bidi="ar-SA"/>
              </w:rPr>
              <w:t>工程总平面布置</w:t>
            </w:r>
          </w:p>
          <w:p w14:paraId="5874EF2F">
            <w:pPr>
              <w:keepNext w:val="0"/>
              <w:keepLines w:val="0"/>
              <w:pageBreakBefore w:val="0"/>
              <w:widowControl w:val="0"/>
              <w:kinsoku/>
              <w:wordWrap/>
              <w:overflowPunct/>
              <w:topLinePunct w:val="0"/>
              <w:autoSpaceDE/>
              <w:autoSpaceDN/>
              <w:bidi w:val="0"/>
              <w:adjustRightInd/>
              <w:snapToGrid/>
              <w:spacing w:line="480" w:lineRule="exact"/>
              <w:ind w:left="0" w:leftChars="0" w:firstLine="482" w:firstLineChars="200"/>
              <w:jc w:val="both"/>
              <w:textAlignment w:val="auto"/>
              <w:rPr>
                <w:rFonts w:hint="eastAsia"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1.1</w:t>
            </w:r>
            <w:r>
              <w:rPr>
                <w:rFonts w:hint="eastAsia" w:ascii="Times New Roman" w:hAnsi="Times New Roman" w:eastAsia="宋体" w:cs="Times New Roman"/>
                <w:b/>
                <w:bCs/>
                <w:color w:val="auto"/>
                <w:kern w:val="2"/>
                <w:sz w:val="24"/>
                <w:szCs w:val="24"/>
                <w:lang w:val="en-US" w:eastAsia="zh-CN" w:bidi="ar-SA"/>
              </w:rPr>
              <w:t>南部矿区110kv变电站平面布置</w:t>
            </w:r>
          </w:p>
          <w:p w14:paraId="648A91AC">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南部矿区110kv变电站站址位于若羌县阿尔金山腹地，若羌河上游沟谷中，土地利用类型为裸岩石砾地，地形平坦开阔。变电站长约</w:t>
            </w:r>
            <w:r>
              <w:rPr>
                <w:rFonts w:hint="eastAsia" w:cs="Times New Roman"/>
                <w:color w:val="auto"/>
                <w:kern w:val="2"/>
                <w:sz w:val="24"/>
                <w:szCs w:val="24"/>
                <w:lang w:val="en-US" w:eastAsia="zh-CN" w:bidi="ar-SA"/>
              </w:rPr>
              <w:t>76.5</w:t>
            </w:r>
            <w:r>
              <w:rPr>
                <w:rFonts w:hint="eastAsia" w:ascii="Times New Roman" w:hAnsi="Times New Roman" w:eastAsia="宋体" w:cs="Times New Roman"/>
                <w:color w:val="auto"/>
                <w:kern w:val="2"/>
                <w:sz w:val="24"/>
                <w:szCs w:val="24"/>
                <w:lang w:val="en-US" w:eastAsia="zh-CN" w:bidi="ar-SA"/>
              </w:rPr>
              <w:t>m、宽约</w:t>
            </w:r>
            <w:r>
              <w:rPr>
                <w:rFonts w:hint="eastAsia" w:cs="Times New Roman"/>
                <w:color w:val="auto"/>
                <w:kern w:val="2"/>
                <w:sz w:val="24"/>
                <w:szCs w:val="24"/>
                <w:lang w:val="en-US" w:eastAsia="zh-CN" w:bidi="ar-SA"/>
              </w:rPr>
              <w:t>70.68</w:t>
            </w:r>
            <w:r>
              <w:rPr>
                <w:rFonts w:hint="eastAsia" w:ascii="Times New Roman" w:hAnsi="Times New Roman" w:eastAsia="宋体" w:cs="Times New Roman"/>
                <w:color w:val="auto"/>
                <w:kern w:val="2"/>
                <w:sz w:val="24"/>
                <w:szCs w:val="24"/>
                <w:lang w:val="en-US" w:eastAsia="zh-CN" w:bidi="ar-SA"/>
              </w:rPr>
              <w:t>m，变电站总用地面积为</w:t>
            </w:r>
            <w:r>
              <w:rPr>
                <w:rFonts w:hint="eastAsia" w:cs="Times New Roman"/>
                <w:color w:val="auto"/>
                <w:kern w:val="2"/>
                <w:sz w:val="24"/>
                <w:szCs w:val="24"/>
                <w:lang w:val="en-US" w:eastAsia="zh-CN" w:bidi="ar-SA"/>
              </w:rPr>
              <w:t>5407</w:t>
            </w:r>
            <w:r>
              <w:rPr>
                <w:rFonts w:hint="eastAsia" w:ascii="Times New Roman" w:hAnsi="Times New Roman" w:eastAsia="宋体" w:cs="Times New Roman"/>
                <w:color w:val="auto"/>
                <w:kern w:val="2"/>
                <w:sz w:val="24"/>
                <w:szCs w:val="24"/>
                <w:lang w:val="en-US" w:eastAsia="zh-CN" w:bidi="ar-SA"/>
              </w:rPr>
              <w:t>m</w:t>
            </w:r>
            <w:r>
              <w:rPr>
                <w:rFonts w:hint="eastAsia" w:ascii="Times New Roman" w:hAnsi="Times New Roman" w:eastAsia="宋体" w:cs="Times New Roman"/>
                <w:color w:val="auto"/>
                <w:kern w:val="2"/>
                <w:sz w:val="24"/>
                <w:szCs w:val="24"/>
                <w:vertAlign w:val="superscript"/>
                <w:lang w:val="en-US" w:eastAsia="zh-CN" w:bidi="ar-SA"/>
              </w:rPr>
              <w:t>2</w:t>
            </w:r>
            <w:r>
              <w:rPr>
                <w:rFonts w:hint="eastAsia" w:ascii="Times New Roman" w:hAnsi="Times New Roman" w:eastAsia="宋体" w:cs="Times New Roman"/>
                <w:color w:val="auto"/>
                <w:kern w:val="2"/>
                <w:sz w:val="24"/>
                <w:szCs w:val="24"/>
                <w:lang w:val="en-US" w:eastAsia="zh-CN" w:bidi="ar-SA"/>
              </w:rPr>
              <w:t>。</w:t>
            </w:r>
          </w:p>
          <w:p w14:paraId="1DD530A2">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变电站110kv主变区采用户外布置，35kV 配电装置区采用户内布置格局，变电站内建筑物有110kV GIS 室、配电装置室、辅助用房、消防泵房。站区总建筑面积534.62m</w:t>
            </w:r>
            <w:r>
              <w:rPr>
                <w:rFonts w:hint="eastAsia" w:ascii="Times New Roman" w:hAnsi="Times New Roman" w:eastAsia="宋体" w:cs="Times New Roman"/>
                <w:color w:val="auto"/>
                <w:kern w:val="2"/>
                <w:sz w:val="24"/>
                <w:szCs w:val="24"/>
                <w:vertAlign w:val="superscript"/>
                <w:lang w:val="en-US" w:eastAsia="zh-CN" w:bidi="ar-SA"/>
              </w:rPr>
              <w:t>2</w:t>
            </w:r>
            <w:r>
              <w:rPr>
                <w:rFonts w:hint="eastAsia" w:ascii="Times New Roman" w:hAnsi="Times New Roman" w:eastAsia="宋体" w:cs="Times New Roman"/>
                <w:color w:val="auto"/>
                <w:kern w:val="2"/>
                <w:sz w:val="24"/>
                <w:szCs w:val="24"/>
                <w:lang w:val="en-US" w:eastAsia="zh-CN" w:bidi="ar-SA"/>
              </w:rPr>
              <w:t>。</w:t>
            </w:r>
          </w:p>
          <w:p w14:paraId="131F2268">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110kV GIS室为单层建筑，钢框架结构。外门采用成品甲级三防门（钢门）。配电装置室位于整个站址的中心，是以电气单位为中心，综合了监控、保护、通信及辅助用房等多功能的联合建筑。</w:t>
            </w:r>
          </w:p>
          <w:p w14:paraId="3AEF165D">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辅助用房为单层建筑，混凝土框架结构</w:t>
            </w:r>
            <w:r>
              <w:rPr>
                <w:rFonts w:hint="eastAsia" w:cs="Times New Roman"/>
                <w:color w:val="auto"/>
                <w:kern w:val="2"/>
                <w:sz w:val="24"/>
                <w:szCs w:val="24"/>
                <w:lang w:val="en-US" w:eastAsia="zh-CN" w:bidi="ar-SA"/>
              </w:rPr>
              <w:t>，位于站内西侧，房</w:t>
            </w:r>
            <w:r>
              <w:rPr>
                <w:rFonts w:hint="eastAsia" w:ascii="Times New Roman" w:hAnsi="Times New Roman" w:eastAsia="宋体" w:cs="Times New Roman"/>
                <w:color w:val="auto"/>
                <w:kern w:val="2"/>
                <w:sz w:val="24"/>
                <w:szCs w:val="24"/>
                <w:lang w:val="en-US" w:eastAsia="zh-CN" w:bidi="ar-SA"/>
              </w:rPr>
              <w:t>内布置有休息室、</w:t>
            </w:r>
            <w:r>
              <w:rPr>
                <w:rFonts w:hint="eastAsia" w:cs="Times New Roman"/>
                <w:color w:val="auto"/>
                <w:kern w:val="2"/>
                <w:sz w:val="24"/>
                <w:szCs w:val="24"/>
                <w:lang w:val="en-US" w:eastAsia="zh-CN" w:bidi="ar-SA"/>
              </w:rPr>
              <w:t>安全间及库房</w:t>
            </w:r>
            <w:r>
              <w:rPr>
                <w:rFonts w:hint="eastAsia" w:ascii="Times New Roman" w:hAnsi="Times New Roman" w:eastAsia="宋体" w:cs="Times New Roman"/>
                <w:color w:val="auto"/>
                <w:kern w:val="2"/>
                <w:sz w:val="24"/>
                <w:szCs w:val="24"/>
                <w:lang w:val="en-US" w:eastAsia="zh-CN" w:bidi="ar-SA"/>
              </w:rPr>
              <w:t>。</w:t>
            </w:r>
          </w:p>
          <w:p w14:paraId="7B645E68">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消防水泵房为两层建筑，地下一层、地上一层，混凝土框架结构</w:t>
            </w:r>
            <w:r>
              <w:rPr>
                <w:rFonts w:hint="eastAsia" w:cs="Times New Roman"/>
                <w:color w:val="auto"/>
                <w:kern w:val="2"/>
                <w:sz w:val="24"/>
                <w:szCs w:val="24"/>
                <w:lang w:val="en-US" w:eastAsia="zh-CN" w:bidi="ar-SA"/>
              </w:rPr>
              <w:t>，位于站内西南侧，房</w:t>
            </w:r>
            <w:r>
              <w:rPr>
                <w:rFonts w:hint="eastAsia" w:ascii="Times New Roman" w:hAnsi="Times New Roman" w:eastAsia="宋体" w:cs="Times New Roman"/>
                <w:color w:val="auto"/>
                <w:kern w:val="2"/>
                <w:sz w:val="24"/>
                <w:szCs w:val="24"/>
                <w:lang w:val="en-US" w:eastAsia="zh-CN" w:bidi="ar-SA"/>
              </w:rPr>
              <w:t>内布置有消防水泵间。</w:t>
            </w:r>
          </w:p>
          <w:p w14:paraId="0614CE75">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eastAsia"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变压器底部设地下钢筋混凝土贮油坑，事故油池位于</w:t>
            </w:r>
            <w:r>
              <w:rPr>
                <w:rFonts w:hint="eastAsia" w:cs="Times New Roman"/>
                <w:color w:val="auto"/>
                <w:kern w:val="2"/>
                <w:sz w:val="24"/>
                <w:szCs w:val="24"/>
                <w:lang w:val="en-US" w:eastAsia="zh-CN" w:bidi="ar-SA"/>
              </w:rPr>
              <w:t>变电站</w:t>
            </w:r>
            <w:r>
              <w:rPr>
                <w:rFonts w:hint="eastAsia" w:ascii="Times New Roman" w:hAnsi="Times New Roman" w:eastAsia="宋体" w:cs="Times New Roman"/>
                <w:color w:val="auto"/>
                <w:kern w:val="2"/>
                <w:sz w:val="24"/>
                <w:szCs w:val="24"/>
                <w:lang w:val="en-US" w:eastAsia="zh-CN" w:bidi="ar-SA"/>
              </w:rPr>
              <w:t>的</w:t>
            </w:r>
            <w:r>
              <w:rPr>
                <w:rFonts w:hint="eastAsia" w:cs="Times New Roman"/>
                <w:color w:val="auto"/>
                <w:kern w:val="2"/>
                <w:sz w:val="24"/>
                <w:szCs w:val="24"/>
                <w:lang w:val="en-US" w:eastAsia="zh-CN" w:bidi="ar-SA"/>
              </w:rPr>
              <w:t>东</w:t>
            </w:r>
            <w:r>
              <w:rPr>
                <w:rFonts w:hint="eastAsia" w:ascii="Times New Roman" w:hAnsi="Times New Roman" w:eastAsia="宋体" w:cs="Times New Roman"/>
                <w:color w:val="auto"/>
                <w:kern w:val="2"/>
                <w:sz w:val="24"/>
                <w:szCs w:val="24"/>
                <w:lang w:val="en-US" w:eastAsia="zh-CN" w:bidi="ar-SA"/>
              </w:rPr>
              <w:t>南侧</w:t>
            </w:r>
            <w:r>
              <w:rPr>
                <w:rFonts w:hint="eastAsia" w:cs="Times New Roman"/>
                <w:color w:val="auto"/>
                <w:kern w:val="2"/>
                <w:sz w:val="24"/>
                <w:szCs w:val="24"/>
                <w:lang w:val="en-US" w:eastAsia="zh-CN" w:bidi="ar-SA"/>
              </w:rPr>
              <w:t>，危险废物贮存库位于站内西北侧，辅助用房上方。</w:t>
            </w:r>
          </w:p>
          <w:p w14:paraId="55A84F6D">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大门设在站区</w:t>
            </w:r>
            <w:r>
              <w:rPr>
                <w:rFonts w:hint="eastAsia" w:cs="Times New Roman"/>
                <w:color w:val="auto"/>
                <w:kern w:val="2"/>
                <w:sz w:val="24"/>
                <w:szCs w:val="24"/>
                <w:lang w:val="en-US" w:eastAsia="zh-CN" w:bidi="ar-SA"/>
              </w:rPr>
              <w:t>东南</w:t>
            </w:r>
            <w:r>
              <w:rPr>
                <w:rFonts w:hint="eastAsia" w:ascii="Times New Roman" w:hAnsi="Times New Roman" w:eastAsia="宋体" w:cs="Times New Roman"/>
                <w:color w:val="auto"/>
                <w:kern w:val="2"/>
                <w:sz w:val="24"/>
                <w:szCs w:val="24"/>
                <w:lang w:val="en-US" w:eastAsia="zh-CN" w:bidi="ar-SA"/>
              </w:rPr>
              <w:t>侧。变电站总平面布置见附图</w:t>
            </w:r>
            <w:r>
              <w:rPr>
                <w:rFonts w:hint="eastAsia" w:cs="Times New Roman"/>
                <w:color w:val="auto"/>
                <w:kern w:val="2"/>
                <w:sz w:val="24"/>
                <w:szCs w:val="24"/>
                <w:lang w:val="en-US" w:eastAsia="zh-CN" w:bidi="ar-SA"/>
              </w:rPr>
              <w:t>4</w:t>
            </w:r>
            <w:r>
              <w:rPr>
                <w:rFonts w:hint="eastAsia" w:ascii="Times New Roman" w:hAnsi="Times New Roman" w:eastAsia="宋体" w:cs="Times New Roman"/>
                <w:color w:val="auto"/>
                <w:kern w:val="2"/>
                <w:sz w:val="24"/>
                <w:szCs w:val="24"/>
                <w:lang w:val="en-US" w:eastAsia="zh-CN" w:bidi="ar-SA"/>
              </w:rPr>
              <w:t>。</w:t>
            </w:r>
          </w:p>
          <w:p w14:paraId="7E25CF8A">
            <w:pPr>
              <w:keepNext w:val="0"/>
              <w:keepLines w:val="0"/>
              <w:pageBreakBefore w:val="0"/>
              <w:widowControl w:val="0"/>
              <w:kinsoku/>
              <w:wordWrap/>
              <w:overflowPunct/>
              <w:topLinePunct w:val="0"/>
              <w:autoSpaceDE/>
              <w:autoSpaceDN/>
              <w:bidi w:val="0"/>
              <w:adjustRightInd/>
              <w:snapToGrid/>
              <w:spacing w:line="480" w:lineRule="exact"/>
              <w:ind w:left="0" w:leftChars="0" w:firstLine="482" w:firstLineChars="200"/>
              <w:jc w:val="both"/>
              <w:textAlignment w:val="auto"/>
              <w:rPr>
                <w:rFonts w:hint="default"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1.2线路路径</w:t>
            </w:r>
          </w:p>
          <w:p w14:paraId="37758101">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eastAsia" w:cs="Times New Roman"/>
                <w:color w:val="auto"/>
                <w:kern w:val="2"/>
                <w:sz w:val="24"/>
                <w:szCs w:val="24"/>
                <w:lang w:val="en-US" w:eastAsia="zh-CN" w:bidi="ar-SA"/>
              </w:rPr>
            </w:pPr>
            <w:r>
              <w:rPr>
                <w:rFonts w:hint="eastAsia" w:cs="Times New Roman"/>
                <w:color w:val="auto"/>
                <w:kern w:val="2"/>
                <w:sz w:val="24"/>
                <w:szCs w:val="24"/>
                <w:lang w:val="en-US" w:eastAsia="zh-CN" w:bidi="ar-SA"/>
              </w:rPr>
              <w:t>A线</w:t>
            </w:r>
            <w:r>
              <w:rPr>
                <w:rFonts w:hint="eastAsia" w:ascii="Times New Roman" w:hAnsi="Times New Roman" w:eastAsia="宋体" w:cs="Times New Roman"/>
                <w:color w:val="auto"/>
                <w:kern w:val="2"/>
                <w:sz w:val="24"/>
                <w:szCs w:val="24"/>
                <w:lang w:val="en-US" w:eastAsia="zh-CN" w:bidi="ar-SA"/>
              </w:rPr>
              <w:t>线路自220kV白干湖变电站自西向东第三（预留）、第四间隔向南架空出线至双回路终端塔，跨过</w:t>
            </w:r>
            <w:r>
              <w:rPr>
                <w:rFonts w:hint="eastAsia" w:cs="Times New Roman"/>
                <w:color w:val="auto"/>
                <w:kern w:val="2"/>
                <w:sz w:val="24"/>
                <w:szCs w:val="24"/>
                <w:lang w:val="en-US" w:eastAsia="zh-CN" w:bidi="ar-SA"/>
              </w:rPr>
              <w:t>若羌河</w:t>
            </w:r>
            <w:r>
              <w:rPr>
                <w:rFonts w:hint="eastAsia" w:ascii="Times New Roman" w:hAnsi="Times New Roman" w:eastAsia="宋体" w:cs="Times New Roman"/>
                <w:color w:val="auto"/>
                <w:kern w:val="2"/>
                <w:sz w:val="24"/>
                <w:szCs w:val="24"/>
                <w:lang w:val="en-US" w:eastAsia="zh-CN" w:bidi="ar-SA"/>
              </w:rPr>
              <w:t>后平行矿区资源路前进，沿</w:t>
            </w:r>
            <w:r>
              <w:rPr>
                <w:rFonts w:hint="eastAsia" w:cs="Times New Roman"/>
                <w:color w:val="auto"/>
                <w:kern w:val="2"/>
                <w:sz w:val="24"/>
                <w:szCs w:val="24"/>
                <w:lang w:val="en-US" w:eastAsia="zh-CN" w:bidi="ar-SA"/>
              </w:rPr>
              <w:t>若羌河</w:t>
            </w:r>
            <w:r>
              <w:rPr>
                <w:rFonts w:hint="eastAsia" w:ascii="Times New Roman" w:hAnsi="Times New Roman" w:eastAsia="宋体" w:cs="Times New Roman"/>
                <w:color w:val="auto"/>
                <w:kern w:val="2"/>
                <w:sz w:val="24"/>
                <w:szCs w:val="24"/>
                <w:lang w:val="en-US" w:eastAsia="zh-CN" w:bidi="ar-SA"/>
              </w:rPr>
              <w:t>支流向东架空接至本期拟建南部矿区变电站。线路所经区域为丘陵，地形变化不大</w:t>
            </w:r>
            <w:r>
              <w:rPr>
                <w:rFonts w:hint="eastAsia" w:cs="Times New Roman"/>
                <w:color w:val="auto"/>
                <w:kern w:val="2"/>
                <w:sz w:val="24"/>
                <w:szCs w:val="24"/>
                <w:lang w:val="en-US" w:eastAsia="zh-CN" w:bidi="ar-SA"/>
              </w:rPr>
              <w:t>。</w:t>
            </w:r>
          </w:p>
          <w:p w14:paraId="2544FF0C">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default" w:cs="Times New Roman"/>
                <w:color w:val="auto"/>
                <w:kern w:val="2"/>
                <w:sz w:val="24"/>
                <w:szCs w:val="24"/>
                <w:lang w:val="en-US" w:eastAsia="zh-CN" w:bidi="ar-SA"/>
              </w:rPr>
            </w:pPr>
            <w:r>
              <w:rPr>
                <w:rFonts w:hint="eastAsia" w:cs="Times New Roman"/>
                <w:color w:val="auto"/>
                <w:kern w:val="2"/>
                <w:sz w:val="24"/>
                <w:szCs w:val="24"/>
                <w:lang w:val="en-US" w:eastAsia="zh-CN" w:bidi="ar-SA"/>
              </w:rPr>
              <w:t>B线线路自拟建南部矿区变起，向西电缆出线至单回路终端塔，避让黄土泉铁矿采矿范围后向北进入山间沟谷区域，线路沿河道向北前进，由于河谷两侧山体险峻，在BJ12至BJ14段线路穿过科克恰普铜矿探矿范围，前进至BJ20后左转进入羌河三区区域，最终接至羌河三区拟建用电点。</w:t>
            </w:r>
          </w:p>
          <w:p w14:paraId="798C2AC0">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eastAsia"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w:t>
            </w:r>
            <w:r>
              <w:rPr>
                <w:rFonts w:hint="eastAsia" w:cs="Times New Roman"/>
                <w:color w:val="auto"/>
                <w:kern w:val="2"/>
                <w:sz w:val="24"/>
                <w:szCs w:val="24"/>
                <w:lang w:val="en-US" w:eastAsia="zh-CN" w:bidi="ar-SA"/>
              </w:rPr>
              <w:t>项目</w:t>
            </w:r>
            <w:r>
              <w:rPr>
                <w:rFonts w:hint="eastAsia" w:ascii="Times New Roman" w:hAnsi="Times New Roman" w:eastAsia="宋体" w:cs="Times New Roman"/>
                <w:color w:val="auto"/>
                <w:kern w:val="2"/>
                <w:sz w:val="24"/>
                <w:szCs w:val="24"/>
                <w:lang w:val="en-US" w:eastAsia="zh-CN" w:bidi="ar-SA"/>
              </w:rPr>
              <w:t>位于无人区，沿线无重要交叉跨越</w:t>
            </w:r>
            <w:r>
              <w:rPr>
                <w:rFonts w:hint="eastAsia" w:cs="Times New Roman"/>
                <w:color w:val="auto"/>
                <w:kern w:val="2"/>
                <w:sz w:val="24"/>
                <w:szCs w:val="24"/>
                <w:lang w:val="en-US" w:eastAsia="zh-CN" w:bidi="ar-SA"/>
              </w:rPr>
              <w:t>，全线塔基不占用基本农田，全线路未穿越生态保护红线区域、水源地、保护区、军事区。</w:t>
            </w:r>
          </w:p>
          <w:p w14:paraId="72A9B3D5">
            <w:pPr>
              <w:keepNext w:val="0"/>
              <w:keepLines w:val="0"/>
              <w:pageBreakBefore w:val="0"/>
              <w:widowControl w:val="0"/>
              <w:kinsoku/>
              <w:wordWrap/>
              <w:overflowPunct/>
              <w:topLinePunct w:val="0"/>
              <w:autoSpaceDE/>
              <w:autoSpaceDN/>
              <w:bidi w:val="0"/>
              <w:adjustRightInd/>
              <w:snapToGrid/>
              <w:spacing w:line="480" w:lineRule="exact"/>
              <w:ind w:left="0" w:leftChars="0" w:firstLine="482" w:firstLineChars="200"/>
              <w:jc w:val="both"/>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2.施工现场布置</w:t>
            </w:r>
          </w:p>
          <w:p w14:paraId="6295D6B1">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施工总布置应综合考虑工程规模、施工方案及工期、造价等因素，按照因地制宜、因时制宜、有利生产、方便生活、易于管理、安全可靠的原则，在满足环保与水保要求的条件下布置施工生产区、施工仓库、机械停放场等。</w:t>
            </w:r>
          </w:p>
          <w:p w14:paraId="661A7EB5">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施工修配和加工系统考虑在当地解决，施工区只设必要的小型机械停放场地，不在施工场地内维修机械设备、不设维修点，仅为设备停放。本项目回填量大于开挖量，填筑土方优先利用项目开挖后的土方料，开挖土石方全部回填，不足部分填方材料采用就近外购商品土方解决，不单独设置</w:t>
            </w:r>
            <w:r>
              <w:rPr>
                <w:rFonts w:hint="eastAsia" w:cs="Times New Roman"/>
                <w:color w:val="auto"/>
                <w:kern w:val="2"/>
                <w:sz w:val="24"/>
                <w:szCs w:val="24"/>
                <w:lang w:val="en-US" w:eastAsia="zh-CN" w:bidi="ar-SA"/>
              </w:rPr>
              <w:t>堆土</w:t>
            </w:r>
            <w:r>
              <w:rPr>
                <w:rFonts w:hint="eastAsia" w:ascii="Times New Roman" w:hAnsi="Times New Roman" w:eastAsia="宋体" w:cs="Times New Roman"/>
                <w:color w:val="auto"/>
                <w:kern w:val="2"/>
                <w:sz w:val="24"/>
                <w:szCs w:val="24"/>
                <w:lang w:val="en-US" w:eastAsia="zh-CN" w:bidi="ar-SA"/>
              </w:rPr>
              <w:t>场，弃方全部回填和区域场地平整利用，不单独设置</w:t>
            </w:r>
            <w:r>
              <w:rPr>
                <w:rFonts w:hint="eastAsia" w:cs="Times New Roman"/>
                <w:color w:val="auto"/>
                <w:kern w:val="2"/>
                <w:sz w:val="24"/>
                <w:szCs w:val="24"/>
                <w:lang w:val="en-US" w:eastAsia="zh-CN" w:bidi="ar-SA"/>
              </w:rPr>
              <w:t>弃土</w:t>
            </w:r>
            <w:r>
              <w:rPr>
                <w:rFonts w:hint="eastAsia" w:ascii="Times New Roman" w:hAnsi="Times New Roman" w:eastAsia="宋体" w:cs="Times New Roman"/>
                <w:color w:val="auto"/>
                <w:kern w:val="2"/>
                <w:sz w:val="24"/>
                <w:szCs w:val="24"/>
                <w:lang w:val="en-US" w:eastAsia="zh-CN" w:bidi="ar-SA"/>
              </w:rPr>
              <w:t>场。</w:t>
            </w:r>
          </w:p>
          <w:p w14:paraId="5AC1945C">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（1）施工场地</w:t>
            </w:r>
          </w:p>
          <w:p w14:paraId="7B2BFB5C">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为了使工程便于调度和施工用材料保管，工程项目部和材料站宜在离输电线路中心较近、交通方便运输费用省、地势较高、有足够的场地和生活较为方便等地布设。依据施工总布置原则、结合本工程区地形地貌条件及本项目工程的特点，设置2处临时施工场地，施工场地包括办公生活区、设备及材料仓库等，生产、生活设施布置在一起，形成一个集中的施工生活管理区。</w:t>
            </w:r>
            <w:r>
              <w:rPr>
                <w:rFonts w:hint="default" w:ascii="Times New Roman" w:hAnsi="Times New Roman" w:eastAsia="宋体" w:cs="Times New Roman"/>
                <w:color w:val="000000"/>
                <w:kern w:val="0"/>
                <w:sz w:val="24"/>
                <w:szCs w:val="24"/>
                <w:lang w:val="en-US" w:eastAsia="zh-CN" w:bidi="ar"/>
              </w:rPr>
              <w:t>一处</w:t>
            </w:r>
            <w:r>
              <w:rPr>
                <w:rFonts w:hint="eastAsia" w:ascii="Times New Roman" w:hAnsi="Times New Roman" w:eastAsia="宋体" w:cs="Times New Roman"/>
                <w:color w:val="000000"/>
                <w:kern w:val="0"/>
                <w:sz w:val="24"/>
                <w:szCs w:val="24"/>
                <w:lang w:val="en-US" w:eastAsia="zh-CN" w:bidi="ar"/>
              </w:rPr>
              <w:t>临时施工场地</w:t>
            </w:r>
            <w:r>
              <w:rPr>
                <w:rFonts w:hint="default" w:ascii="Times New Roman" w:hAnsi="Times New Roman" w:eastAsia="宋体" w:cs="Times New Roman"/>
                <w:color w:val="000000"/>
                <w:kern w:val="0"/>
                <w:sz w:val="24"/>
                <w:szCs w:val="24"/>
                <w:lang w:val="en-US" w:eastAsia="zh-CN" w:bidi="ar"/>
              </w:rPr>
              <w:t>布</w:t>
            </w:r>
            <w:r>
              <w:rPr>
                <w:rFonts w:hint="eastAsia" w:cs="Times New Roman"/>
                <w:color w:val="000000"/>
                <w:kern w:val="0"/>
                <w:sz w:val="24"/>
                <w:szCs w:val="24"/>
                <w:lang w:val="en-US" w:eastAsia="zh-CN" w:bidi="ar"/>
              </w:rPr>
              <w:t>置在</w:t>
            </w:r>
            <w:r>
              <w:rPr>
                <w:rFonts w:hint="eastAsia" w:ascii="Times New Roman" w:hAnsi="Times New Roman" w:eastAsia="宋体" w:cs="Times New Roman"/>
                <w:color w:val="000000"/>
                <w:kern w:val="0"/>
                <w:sz w:val="24"/>
                <w:szCs w:val="24"/>
                <w:lang w:val="en-US" w:eastAsia="zh-CN" w:bidi="ar"/>
              </w:rPr>
              <w:t>拟建南部矿区110kv变电站</w:t>
            </w:r>
            <w:r>
              <w:rPr>
                <w:rFonts w:hint="default" w:ascii="Times New Roman" w:hAnsi="Times New Roman" w:eastAsia="宋体" w:cs="Times New Roman"/>
                <w:color w:val="000000"/>
                <w:kern w:val="0"/>
                <w:sz w:val="24"/>
                <w:szCs w:val="24"/>
                <w:lang w:val="en-US" w:eastAsia="zh-CN" w:bidi="ar"/>
              </w:rPr>
              <w:t>附近较平坦的地方</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另一处</w:t>
            </w:r>
            <w:r>
              <w:rPr>
                <w:rFonts w:hint="eastAsia" w:ascii="Times New Roman" w:hAnsi="Times New Roman" w:eastAsia="宋体" w:cs="Times New Roman"/>
                <w:color w:val="000000"/>
                <w:kern w:val="0"/>
                <w:sz w:val="24"/>
                <w:szCs w:val="24"/>
                <w:lang w:val="en-US" w:eastAsia="zh-CN" w:bidi="ar"/>
              </w:rPr>
              <w:t>临时施工场地</w:t>
            </w:r>
            <w:r>
              <w:rPr>
                <w:rFonts w:hint="default" w:ascii="Times New Roman" w:hAnsi="Times New Roman" w:eastAsia="宋体" w:cs="Times New Roman"/>
                <w:color w:val="000000"/>
                <w:kern w:val="0"/>
                <w:sz w:val="24"/>
                <w:szCs w:val="24"/>
                <w:lang w:val="en-US" w:eastAsia="zh-CN" w:bidi="ar"/>
              </w:rPr>
              <w:t>布置在</w:t>
            </w:r>
            <w:r>
              <w:rPr>
                <w:rFonts w:hint="eastAsia" w:ascii="Times New Roman" w:hAnsi="Times New Roman" w:eastAsia="宋体" w:cs="Times New Roman"/>
                <w:color w:val="000000"/>
                <w:kern w:val="0"/>
                <w:sz w:val="24"/>
                <w:szCs w:val="24"/>
                <w:lang w:val="en-US" w:eastAsia="zh-CN" w:bidi="ar"/>
              </w:rPr>
              <w:t>羌河三区附近，</w:t>
            </w:r>
            <w:r>
              <w:rPr>
                <w:rFonts w:hint="eastAsia" w:ascii="Times New Roman" w:hAnsi="Times New Roman" w:eastAsia="宋体" w:cs="Times New Roman"/>
                <w:color w:val="auto"/>
                <w:kern w:val="2"/>
                <w:sz w:val="24"/>
                <w:szCs w:val="24"/>
                <w:lang w:val="en-US" w:eastAsia="zh-CN" w:bidi="ar-SA"/>
              </w:rPr>
              <w:t>施工场地占地约3000m</w:t>
            </w:r>
            <w:r>
              <w:rPr>
                <w:rFonts w:hint="eastAsia" w:ascii="Times New Roman" w:hAnsi="Times New Roman" w:eastAsia="宋体" w:cs="Times New Roman"/>
                <w:color w:val="auto"/>
                <w:kern w:val="2"/>
                <w:sz w:val="24"/>
                <w:szCs w:val="24"/>
                <w:vertAlign w:val="superscript"/>
                <w:lang w:val="en-US" w:eastAsia="zh-CN" w:bidi="ar-SA"/>
              </w:rPr>
              <w:t>2</w:t>
            </w:r>
            <w:r>
              <w:rPr>
                <w:rFonts w:hint="eastAsia" w:ascii="Times New Roman" w:hAnsi="Times New Roman" w:eastAsia="宋体" w:cs="Times New Roman"/>
                <w:color w:val="auto"/>
                <w:kern w:val="2"/>
                <w:sz w:val="24"/>
                <w:szCs w:val="24"/>
                <w:lang w:val="en-US" w:eastAsia="zh-CN" w:bidi="ar-SA"/>
              </w:rPr>
              <w:t>。</w:t>
            </w:r>
          </w:p>
          <w:p w14:paraId="2DAC0947">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（2）塔基施工场地：塔基施工材料堆放、杆塔组装、</w:t>
            </w:r>
            <w:r>
              <w:rPr>
                <w:rFonts w:hint="eastAsia" w:ascii="宋体" w:hAnsi="宋体" w:eastAsia="宋体" w:cs="宋体"/>
                <w:i w:val="0"/>
                <w:iCs w:val="0"/>
                <w:color w:val="auto"/>
                <w:kern w:val="0"/>
                <w:sz w:val="24"/>
                <w:szCs w:val="24"/>
                <w:u w:val="none"/>
                <w:lang w:val="en-US" w:eastAsia="zh-CN" w:bidi="ar"/>
              </w:rPr>
              <w:t>临时堆土</w:t>
            </w:r>
            <w:r>
              <w:rPr>
                <w:rFonts w:hint="eastAsia" w:ascii="Times New Roman" w:hAnsi="Times New Roman" w:eastAsia="宋体" w:cs="Times New Roman"/>
                <w:color w:val="auto"/>
                <w:kern w:val="2"/>
                <w:sz w:val="24"/>
                <w:szCs w:val="24"/>
                <w:lang w:val="en-US" w:eastAsia="zh-CN" w:bidi="ar-SA"/>
              </w:rPr>
              <w:t>占用临时占地，临时占地面积</w:t>
            </w:r>
            <w:r>
              <w:rPr>
                <w:rFonts w:hint="eastAsia" w:cs="Times New Roman"/>
                <w:color w:val="auto"/>
                <w:kern w:val="2"/>
                <w:sz w:val="24"/>
                <w:szCs w:val="24"/>
                <w:lang w:val="en-US" w:eastAsia="zh-CN" w:bidi="ar-SA"/>
              </w:rPr>
              <w:t>90</w:t>
            </w:r>
            <w:r>
              <w:rPr>
                <w:rFonts w:hint="eastAsia" w:ascii="Times New Roman" w:hAnsi="Times New Roman" w:eastAsia="宋体" w:cs="Times New Roman"/>
                <w:color w:val="auto"/>
                <w:kern w:val="2"/>
                <w:sz w:val="24"/>
                <w:szCs w:val="24"/>
                <w:lang w:val="en-US" w:eastAsia="zh-CN" w:bidi="ar-SA"/>
              </w:rPr>
              <w:t>000m</w:t>
            </w:r>
            <w:r>
              <w:rPr>
                <w:rFonts w:hint="eastAsia" w:ascii="Times New Roman" w:hAnsi="Times New Roman" w:eastAsia="宋体" w:cs="Times New Roman"/>
                <w:color w:val="auto"/>
                <w:kern w:val="2"/>
                <w:sz w:val="24"/>
                <w:szCs w:val="24"/>
                <w:vertAlign w:val="superscript"/>
                <w:lang w:val="en-US" w:eastAsia="zh-CN" w:bidi="ar-SA"/>
              </w:rPr>
              <w:t>2</w:t>
            </w:r>
            <w:r>
              <w:rPr>
                <w:rFonts w:hint="eastAsia" w:ascii="Times New Roman" w:hAnsi="Times New Roman" w:eastAsia="宋体" w:cs="Times New Roman"/>
                <w:color w:val="auto"/>
                <w:kern w:val="2"/>
                <w:sz w:val="24"/>
                <w:szCs w:val="24"/>
                <w:lang w:val="en-US" w:eastAsia="zh-CN" w:bidi="ar-SA"/>
              </w:rPr>
              <w:t>。</w:t>
            </w:r>
          </w:p>
          <w:p w14:paraId="2B88BF05">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3）按实际工程需求合理设置施工道路，线路前段平行已建线路行进，本项目采用从已建线路临时道路至本项目线路方式修筑施工道路，后段线路需全线修筑施工道路。工程新建施工道路43km、宽度3m，占地面积129000m</w:t>
            </w:r>
            <w:r>
              <w:rPr>
                <w:rFonts w:hint="eastAsia" w:ascii="Times New Roman" w:hAnsi="Times New Roman" w:eastAsia="宋体" w:cs="Times New Roman"/>
                <w:color w:val="auto"/>
                <w:kern w:val="2"/>
                <w:sz w:val="24"/>
                <w:szCs w:val="24"/>
                <w:vertAlign w:val="superscript"/>
                <w:lang w:val="en-US" w:eastAsia="zh-CN" w:bidi="ar-SA"/>
              </w:rPr>
              <w:t>2</w:t>
            </w:r>
            <w:r>
              <w:rPr>
                <w:rFonts w:hint="eastAsia" w:ascii="Times New Roman" w:hAnsi="Times New Roman" w:eastAsia="宋体" w:cs="Times New Roman"/>
                <w:color w:val="auto"/>
                <w:kern w:val="2"/>
                <w:sz w:val="24"/>
                <w:szCs w:val="24"/>
                <w:lang w:val="en-US" w:eastAsia="zh-CN" w:bidi="ar-SA"/>
              </w:rPr>
              <w:t>，施工完毕后进行平整、恢复原貌。</w:t>
            </w:r>
          </w:p>
          <w:p w14:paraId="309CDA81">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（4）牵张场：牵张场共设置13处，牵张场尺寸为20m×20m，共计占地2500m</w:t>
            </w:r>
            <w:r>
              <w:rPr>
                <w:rFonts w:hint="eastAsia" w:ascii="Times New Roman" w:hAnsi="Times New Roman" w:eastAsia="宋体" w:cs="Times New Roman"/>
                <w:color w:val="auto"/>
                <w:kern w:val="2"/>
                <w:sz w:val="24"/>
                <w:szCs w:val="24"/>
                <w:vertAlign w:val="superscript"/>
                <w:lang w:val="en-US" w:eastAsia="zh-CN" w:bidi="ar-SA"/>
              </w:rPr>
              <w:t>2</w:t>
            </w:r>
            <w:r>
              <w:rPr>
                <w:rFonts w:hint="eastAsia" w:cs="Times New Roman"/>
                <w:b w:val="0"/>
                <w:bCs w:val="0"/>
                <w:color w:val="auto"/>
                <w:kern w:val="2"/>
                <w:sz w:val="24"/>
                <w:szCs w:val="24"/>
                <w:lang w:val="en-US" w:eastAsia="zh-CN" w:bidi="ar-SA"/>
              </w:rPr>
              <w:t>。</w:t>
            </w:r>
          </w:p>
          <w:p w14:paraId="489CA96E">
            <w:pPr>
              <w:keepNext w:val="0"/>
              <w:keepLines w:val="0"/>
              <w:pageBreakBefore w:val="0"/>
              <w:widowControl w:val="0"/>
              <w:numPr>
                <w:ilvl w:val="-1"/>
                <w:numId w:val="0"/>
              </w:numPr>
              <w:kinsoku/>
              <w:wordWrap/>
              <w:overflowPunct/>
              <w:topLinePunct w:val="0"/>
              <w:autoSpaceDE/>
              <w:autoSpaceDN/>
              <w:bidi w:val="0"/>
              <w:adjustRightInd/>
              <w:snapToGrid/>
              <w:spacing w:line="520" w:lineRule="exact"/>
              <w:ind w:left="0" w:leftChars="0" w:firstLine="482" w:firstLineChars="200"/>
              <w:jc w:val="both"/>
              <w:textAlignment w:val="auto"/>
              <w:rPr>
                <w:rFonts w:hint="eastAsia"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3、</w:t>
            </w:r>
            <w:r>
              <w:rPr>
                <w:rFonts w:hint="eastAsia" w:ascii="Times New Roman" w:hAnsi="Times New Roman" w:eastAsia="宋体" w:cs="Times New Roman"/>
                <w:b/>
                <w:bCs/>
                <w:color w:val="auto"/>
                <w:kern w:val="2"/>
                <w:sz w:val="24"/>
                <w:szCs w:val="24"/>
                <w:lang w:val="en-US" w:eastAsia="zh-CN" w:bidi="ar-SA"/>
              </w:rPr>
              <w:t>工程占地</w:t>
            </w:r>
          </w:p>
          <w:p w14:paraId="5BBC2676">
            <w:pPr>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jc w:val="both"/>
              <w:textAlignment w:val="auto"/>
              <w:rPr>
                <w:rFonts w:hint="default"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本项目永久占地主要为线路塔基</w:t>
            </w:r>
            <w:r>
              <w:rPr>
                <w:rFonts w:hint="eastAsia" w:cs="Times New Roman"/>
                <w:color w:val="auto"/>
                <w:kern w:val="2"/>
                <w:sz w:val="24"/>
                <w:szCs w:val="24"/>
                <w:lang w:val="en-US" w:eastAsia="zh-CN" w:bidi="ar-SA"/>
              </w:rPr>
              <w:t>、变电站等</w:t>
            </w:r>
            <w:r>
              <w:rPr>
                <w:rFonts w:hint="eastAsia" w:ascii="Times New Roman" w:hAnsi="Times New Roman" w:eastAsia="宋体" w:cs="Times New Roman"/>
                <w:color w:val="auto"/>
                <w:kern w:val="2"/>
                <w:sz w:val="24"/>
                <w:szCs w:val="24"/>
                <w:lang w:val="en-US" w:eastAsia="zh-CN" w:bidi="ar-SA"/>
              </w:rPr>
              <w:t>；临时占地主要为</w:t>
            </w:r>
            <w:r>
              <w:rPr>
                <w:rFonts w:hint="eastAsia" w:cs="Times New Roman"/>
                <w:color w:val="auto"/>
                <w:kern w:val="2"/>
                <w:sz w:val="24"/>
                <w:szCs w:val="24"/>
                <w:lang w:val="en-US" w:eastAsia="zh-CN" w:bidi="ar-SA"/>
              </w:rPr>
              <w:t>施工场地（生活、设备及材料仓库）、塔基施工场地、牵张场及施工道路等</w:t>
            </w:r>
            <w:r>
              <w:rPr>
                <w:rFonts w:hint="eastAsia" w:ascii="Times New Roman" w:hAnsi="Times New Roman" w:eastAsia="宋体" w:cs="Times New Roman"/>
                <w:color w:val="auto"/>
                <w:kern w:val="2"/>
                <w:sz w:val="24"/>
                <w:szCs w:val="24"/>
                <w:lang w:val="en-US" w:eastAsia="zh-CN" w:bidi="ar-SA"/>
              </w:rPr>
              <w:t>。本项目总用地面积约</w:t>
            </w:r>
            <w:r>
              <w:rPr>
                <w:rFonts w:hint="eastAsia" w:cs="Times New Roman"/>
                <w:color w:val="auto"/>
                <w:kern w:val="2"/>
                <w:sz w:val="24"/>
                <w:szCs w:val="24"/>
                <w:lang w:val="en-US" w:eastAsia="zh-CN" w:bidi="ar-SA"/>
              </w:rPr>
              <w:t>236721</w:t>
            </w:r>
            <w:r>
              <w:rPr>
                <w:rFonts w:hint="default" w:ascii="Times New Roman" w:hAnsi="Times New Roman" w:eastAsia="宋体" w:cs="Times New Roman"/>
                <w:b w:val="0"/>
                <w:bCs w:val="0"/>
                <w:color w:val="auto"/>
                <w:kern w:val="2"/>
                <w:sz w:val="24"/>
                <w:szCs w:val="24"/>
                <w:lang w:val="en-US" w:eastAsia="zh-CN" w:bidi="ar-SA"/>
              </w:rPr>
              <w:t>m</w:t>
            </w:r>
            <w:r>
              <w:rPr>
                <w:rFonts w:hint="default" w:ascii="Times New Roman" w:hAnsi="Times New Roman" w:eastAsia="宋体" w:cs="Times New Roman"/>
                <w:b w:val="0"/>
                <w:bCs w:val="0"/>
                <w:color w:val="auto"/>
                <w:kern w:val="2"/>
                <w:sz w:val="24"/>
                <w:szCs w:val="24"/>
                <w:vertAlign w:val="superscript"/>
                <w:lang w:val="en-US" w:eastAsia="zh-CN" w:bidi="ar-SA"/>
              </w:rPr>
              <w:t>2</w:t>
            </w:r>
            <w:r>
              <w:rPr>
                <w:rFonts w:hint="default" w:ascii="Times New Roman" w:hAnsi="Times New Roman" w:eastAsia="宋体" w:cs="Times New Roman"/>
                <w:b w:val="0"/>
                <w:bCs w:val="0"/>
                <w:color w:val="auto"/>
                <w:kern w:val="2"/>
                <w:sz w:val="24"/>
                <w:szCs w:val="24"/>
                <w:lang w:val="en-US" w:eastAsia="zh-CN" w:bidi="ar-SA"/>
              </w:rPr>
              <w:t>。</w:t>
            </w:r>
            <w:r>
              <w:rPr>
                <w:rFonts w:hint="eastAsia" w:ascii="Times New Roman" w:hAnsi="Times New Roman" w:eastAsia="宋体" w:cs="Times New Roman"/>
                <w:b w:val="0"/>
                <w:bCs w:val="0"/>
                <w:color w:val="auto"/>
                <w:kern w:val="2"/>
                <w:sz w:val="24"/>
                <w:szCs w:val="24"/>
                <w:lang w:val="en-US" w:eastAsia="zh-CN" w:bidi="ar-SA"/>
              </w:rPr>
              <w:t>其中永久占地约</w:t>
            </w:r>
            <w:r>
              <w:rPr>
                <w:rFonts w:hint="eastAsia" w:cs="Times New Roman"/>
                <w:b w:val="0"/>
                <w:bCs w:val="0"/>
                <w:color w:val="auto"/>
                <w:kern w:val="2"/>
                <w:sz w:val="24"/>
                <w:szCs w:val="24"/>
                <w:lang w:val="en-US" w:eastAsia="zh-CN" w:bidi="ar-SA"/>
              </w:rPr>
              <w:t>12221</w:t>
            </w:r>
            <w:r>
              <w:rPr>
                <w:rFonts w:hint="default" w:ascii="Times New Roman" w:hAnsi="Times New Roman" w:eastAsia="宋体" w:cs="Times New Roman"/>
                <w:b w:val="0"/>
                <w:bCs w:val="0"/>
                <w:color w:val="auto"/>
                <w:kern w:val="2"/>
                <w:sz w:val="24"/>
                <w:szCs w:val="24"/>
                <w:lang w:val="en-US" w:eastAsia="zh-CN" w:bidi="ar-SA"/>
              </w:rPr>
              <w:t>m</w:t>
            </w:r>
            <w:r>
              <w:rPr>
                <w:rFonts w:hint="default" w:ascii="Times New Roman" w:hAnsi="Times New Roman" w:eastAsia="宋体" w:cs="Times New Roman"/>
                <w:b w:val="0"/>
                <w:bCs w:val="0"/>
                <w:color w:val="auto"/>
                <w:kern w:val="2"/>
                <w:sz w:val="24"/>
                <w:szCs w:val="24"/>
                <w:vertAlign w:val="superscript"/>
                <w:lang w:val="en-US" w:eastAsia="zh-CN" w:bidi="ar-SA"/>
              </w:rPr>
              <w:t>2</w:t>
            </w:r>
            <w:r>
              <w:rPr>
                <w:rFonts w:hint="eastAsia" w:ascii="Times New Roman" w:hAnsi="Times New Roman" w:eastAsia="宋体" w:cs="Times New Roman"/>
                <w:b w:val="0"/>
                <w:bCs w:val="0"/>
                <w:color w:val="auto"/>
                <w:kern w:val="2"/>
                <w:sz w:val="24"/>
                <w:szCs w:val="24"/>
                <w:vertAlign w:val="baseline"/>
                <w:lang w:val="en-US" w:eastAsia="zh-CN" w:bidi="ar-SA"/>
              </w:rPr>
              <w:t>，临时占地</w:t>
            </w:r>
            <w:r>
              <w:rPr>
                <w:rFonts w:hint="eastAsia" w:cs="Times New Roman"/>
                <w:b w:val="0"/>
                <w:bCs w:val="0"/>
                <w:color w:val="auto"/>
                <w:kern w:val="2"/>
                <w:sz w:val="24"/>
                <w:szCs w:val="24"/>
                <w:vertAlign w:val="baseline"/>
                <w:lang w:val="en-US" w:eastAsia="zh-CN" w:bidi="ar-SA"/>
              </w:rPr>
              <w:t>224500</w:t>
            </w:r>
            <w:r>
              <w:rPr>
                <w:rFonts w:hint="default" w:ascii="Times New Roman" w:hAnsi="Times New Roman" w:eastAsia="宋体" w:cs="Times New Roman"/>
                <w:b w:val="0"/>
                <w:bCs w:val="0"/>
                <w:color w:val="auto"/>
                <w:kern w:val="2"/>
                <w:sz w:val="24"/>
                <w:szCs w:val="24"/>
                <w:lang w:val="en-US" w:eastAsia="zh-CN" w:bidi="ar-SA"/>
              </w:rPr>
              <w:t>m</w:t>
            </w:r>
            <w:r>
              <w:rPr>
                <w:rFonts w:hint="default" w:ascii="Times New Roman" w:hAnsi="Times New Roman" w:eastAsia="宋体" w:cs="Times New Roman"/>
                <w:b w:val="0"/>
                <w:bCs w:val="0"/>
                <w:color w:val="auto"/>
                <w:kern w:val="2"/>
                <w:sz w:val="24"/>
                <w:szCs w:val="24"/>
                <w:vertAlign w:val="superscript"/>
                <w:lang w:val="en-US" w:eastAsia="zh-CN" w:bidi="ar-SA"/>
              </w:rPr>
              <w:t>2</w:t>
            </w:r>
            <w:r>
              <w:rPr>
                <w:rFonts w:hint="default" w:ascii="Times New Roman" w:hAnsi="Times New Roman" w:eastAsia="宋体" w:cs="Times New Roman"/>
                <w:b w:val="0"/>
                <w:bCs w:val="0"/>
                <w:color w:val="auto"/>
                <w:kern w:val="2"/>
                <w:sz w:val="24"/>
                <w:szCs w:val="24"/>
                <w:lang w:val="en-US" w:eastAsia="zh-CN" w:bidi="ar-SA"/>
              </w:rPr>
              <w:t>。</w:t>
            </w:r>
          </w:p>
          <w:p w14:paraId="19E32DA8">
            <w:pPr>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表2-</w:t>
            </w:r>
            <w:r>
              <w:rPr>
                <w:rFonts w:hint="eastAsia" w:cs="Times New Roman"/>
                <w:b/>
                <w:bCs/>
                <w:color w:val="auto"/>
                <w:kern w:val="2"/>
                <w:sz w:val="24"/>
                <w:szCs w:val="24"/>
                <w:lang w:val="en-US" w:eastAsia="zh-CN" w:bidi="ar-SA"/>
              </w:rPr>
              <w:t>4</w:t>
            </w:r>
            <w:r>
              <w:rPr>
                <w:rFonts w:hint="eastAsia" w:ascii="Times New Roman" w:hAnsi="Times New Roman" w:eastAsia="宋体" w:cs="Times New Roman"/>
                <w:b/>
                <w:bCs/>
                <w:color w:val="auto"/>
                <w:kern w:val="2"/>
                <w:sz w:val="24"/>
                <w:szCs w:val="24"/>
                <w:lang w:val="en-US" w:eastAsia="zh-CN" w:bidi="ar-SA"/>
              </w:rPr>
              <w:t xml:space="preserve">   本项目占地面积及占地类型一览表</w:t>
            </w:r>
          </w:p>
          <w:tbl>
            <w:tblPr>
              <w:tblStyle w:val="22"/>
              <w:tblW w:w="4994" w:type="pct"/>
              <w:tblInd w:w="-1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961"/>
              <w:gridCol w:w="1298"/>
              <w:gridCol w:w="1591"/>
              <w:gridCol w:w="1406"/>
              <w:gridCol w:w="1574"/>
            </w:tblGrid>
            <w:tr w14:paraId="6B414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2" w:hRule="atLeast"/>
              </w:trPr>
              <w:tc>
                <w:tcPr>
                  <w:tcW w:w="1252" w:type="pct"/>
                  <w:vMerge w:val="restart"/>
                  <w:tcBorders>
                    <w:tl2br w:val="nil"/>
                    <w:tr2bl w:val="nil"/>
                  </w:tcBorders>
                  <w:noWrap w:val="0"/>
                  <w:vAlign w:val="center"/>
                </w:tcPr>
                <w:p w14:paraId="65B44077">
                  <w:pPr>
                    <w:jc w:val="center"/>
                    <w:rPr>
                      <w:rFonts w:hint="default" w:ascii="Calibri" w:hAnsi="Calibri" w:eastAsia="宋体" w:cs="Calibri"/>
                      <w:color w:val="auto"/>
                      <w:sz w:val="21"/>
                      <w:szCs w:val="21"/>
                    </w:rPr>
                  </w:pPr>
                  <w:r>
                    <w:rPr>
                      <w:rFonts w:hint="default" w:ascii="Calibri" w:hAnsi="Calibri" w:eastAsia="宋体" w:cs="Calibri"/>
                      <w:color w:val="auto"/>
                      <w:sz w:val="21"/>
                      <w:szCs w:val="21"/>
                    </w:rPr>
                    <w:t>项目</w:t>
                  </w:r>
                </w:p>
              </w:tc>
              <w:tc>
                <w:tcPr>
                  <w:tcW w:w="1845" w:type="pct"/>
                  <w:gridSpan w:val="2"/>
                  <w:tcBorders>
                    <w:tl2br w:val="nil"/>
                    <w:tr2bl w:val="nil"/>
                  </w:tcBorders>
                  <w:noWrap w:val="0"/>
                  <w:vAlign w:val="center"/>
                </w:tcPr>
                <w:p w14:paraId="1C66763B">
                  <w:pPr>
                    <w:jc w:val="center"/>
                    <w:rPr>
                      <w:rFonts w:hint="default" w:ascii="Calibri" w:hAnsi="Calibri" w:eastAsia="宋体" w:cs="Calibri"/>
                      <w:color w:val="auto"/>
                      <w:sz w:val="21"/>
                      <w:szCs w:val="21"/>
                    </w:rPr>
                  </w:pPr>
                  <w:r>
                    <w:rPr>
                      <w:rFonts w:hint="default" w:ascii="Calibri" w:hAnsi="Calibri" w:eastAsia="宋体" w:cs="Calibri"/>
                      <w:color w:val="auto"/>
                      <w:sz w:val="21"/>
                      <w:szCs w:val="21"/>
                    </w:rPr>
                    <w:t>永久占地</w:t>
                  </w:r>
                </w:p>
              </w:tc>
              <w:tc>
                <w:tcPr>
                  <w:tcW w:w="1902" w:type="pct"/>
                  <w:gridSpan w:val="2"/>
                  <w:tcBorders>
                    <w:tl2br w:val="nil"/>
                    <w:tr2bl w:val="nil"/>
                  </w:tcBorders>
                  <w:noWrap w:val="0"/>
                  <w:vAlign w:val="center"/>
                </w:tcPr>
                <w:p w14:paraId="09E0635D">
                  <w:pPr>
                    <w:jc w:val="center"/>
                    <w:rPr>
                      <w:rFonts w:hint="default" w:ascii="Calibri" w:hAnsi="Calibri" w:eastAsia="宋体" w:cs="Calibri"/>
                      <w:color w:val="auto"/>
                      <w:sz w:val="21"/>
                      <w:szCs w:val="21"/>
                    </w:rPr>
                  </w:pPr>
                  <w:r>
                    <w:rPr>
                      <w:rFonts w:hint="default" w:ascii="Calibri" w:hAnsi="Calibri" w:eastAsia="宋体" w:cs="Calibri"/>
                      <w:color w:val="auto"/>
                      <w:sz w:val="21"/>
                      <w:szCs w:val="21"/>
                    </w:rPr>
                    <w:t>施工临时占地</w:t>
                  </w:r>
                </w:p>
              </w:tc>
            </w:tr>
            <w:tr w14:paraId="2E3A4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1252" w:type="pct"/>
                  <w:vMerge w:val="continue"/>
                  <w:tcBorders>
                    <w:tl2br w:val="nil"/>
                    <w:tr2bl w:val="nil"/>
                  </w:tcBorders>
                  <w:noWrap w:val="0"/>
                  <w:vAlign w:val="center"/>
                </w:tcPr>
                <w:p w14:paraId="02ADC361">
                  <w:pPr>
                    <w:jc w:val="center"/>
                    <w:rPr>
                      <w:rFonts w:hint="default" w:ascii="Calibri" w:hAnsi="Calibri" w:eastAsia="宋体" w:cs="Calibri"/>
                      <w:color w:val="auto"/>
                      <w:sz w:val="21"/>
                      <w:szCs w:val="21"/>
                    </w:rPr>
                  </w:pPr>
                </w:p>
              </w:tc>
              <w:tc>
                <w:tcPr>
                  <w:tcW w:w="829" w:type="pct"/>
                  <w:tcBorders>
                    <w:tl2br w:val="nil"/>
                    <w:tr2bl w:val="nil"/>
                  </w:tcBorders>
                  <w:noWrap w:val="0"/>
                  <w:vAlign w:val="center"/>
                </w:tcPr>
                <w:p w14:paraId="100FB827">
                  <w:pPr>
                    <w:jc w:val="center"/>
                    <w:rPr>
                      <w:rFonts w:hint="default" w:ascii="Calibri" w:hAnsi="Calibri" w:eastAsia="宋体" w:cs="Calibri"/>
                      <w:color w:val="auto"/>
                      <w:sz w:val="21"/>
                      <w:szCs w:val="21"/>
                    </w:rPr>
                  </w:pPr>
                  <w:r>
                    <w:rPr>
                      <w:rFonts w:hint="default" w:ascii="Calibri" w:hAnsi="Calibri" w:eastAsia="宋体" w:cs="Calibri"/>
                      <w:color w:val="auto"/>
                      <w:sz w:val="21"/>
                      <w:szCs w:val="21"/>
                    </w:rPr>
                    <w:t>面积（m</w:t>
                  </w:r>
                  <w:r>
                    <w:rPr>
                      <w:rFonts w:hint="default" w:ascii="Calibri" w:hAnsi="Calibri" w:eastAsia="宋体" w:cs="Calibri"/>
                      <w:color w:val="auto"/>
                      <w:sz w:val="21"/>
                      <w:szCs w:val="21"/>
                      <w:vertAlign w:val="superscript"/>
                    </w:rPr>
                    <w:t>2</w:t>
                  </w:r>
                  <w:r>
                    <w:rPr>
                      <w:rFonts w:hint="default" w:ascii="Calibri" w:hAnsi="Calibri" w:eastAsia="宋体" w:cs="Calibri"/>
                      <w:color w:val="auto"/>
                      <w:sz w:val="21"/>
                      <w:szCs w:val="21"/>
                    </w:rPr>
                    <w:t>）</w:t>
                  </w:r>
                </w:p>
              </w:tc>
              <w:tc>
                <w:tcPr>
                  <w:tcW w:w="1016" w:type="pct"/>
                  <w:tcBorders>
                    <w:tl2br w:val="nil"/>
                    <w:tr2bl w:val="nil"/>
                  </w:tcBorders>
                  <w:noWrap w:val="0"/>
                  <w:vAlign w:val="center"/>
                </w:tcPr>
                <w:p w14:paraId="3190C6AE">
                  <w:pPr>
                    <w:jc w:val="center"/>
                    <w:rPr>
                      <w:rFonts w:hint="default" w:ascii="Calibri" w:hAnsi="Calibri" w:eastAsia="宋体" w:cs="Calibri"/>
                      <w:color w:val="auto"/>
                      <w:sz w:val="21"/>
                      <w:szCs w:val="21"/>
                    </w:rPr>
                  </w:pPr>
                  <w:r>
                    <w:rPr>
                      <w:rFonts w:hint="default" w:ascii="Calibri" w:hAnsi="Calibri" w:eastAsia="宋体" w:cs="Calibri"/>
                      <w:color w:val="auto"/>
                      <w:sz w:val="21"/>
                      <w:szCs w:val="21"/>
                    </w:rPr>
                    <w:t>土地类型</w:t>
                  </w:r>
                </w:p>
              </w:tc>
              <w:tc>
                <w:tcPr>
                  <w:tcW w:w="898" w:type="pct"/>
                  <w:tcBorders>
                    <w:tl2br w:val="nil"/>
                    <w:tr2bl w:val="nil"/>
                  </w:tcBorders>
                  <w:noWrap w:val="0"/>
                  <w:vAlign w:val="center"/>
                </w:tcPr>
                <w:p w14:paraId="238A12E4">
                  <w:pPr>
                    <w:jc w:val="center"/>
                    <w:rPr>
                      <w:rFonts w:hint="default" w:ascii="Calibri" w:hAnsi="Calibri" w:eastAsia="宋体" w:cs="Calibri"/>
                      <w:color w:val="auto"/>
                      <w:sz w:val="21"/>
                      <w:szCs w:val="21"/>
                    </w:rPr>
                  </w:pPr>
                  <w:r>
                    <w:rPr>
                      <w:rFonts w:hint="default" w:ascii="Calibri" w:hAnsi="Calibri" w:eastAsia="宋体" w:cs="Calibri"/>
                      <w:color w:val="auto"/>
                      <w:sz w:val="21"/>
                      <w:szCs w:val="21"/>
                    </w:rPr>
                    <w:t>面积（m</w:t>
                  </w:r>
                  <w:r>
                    <w:rPr>
                      <w:rFonts w:hint="default" w:ascii="Calibri" w:hAnsi="Calibri" w:eastAsia="宋体" w:cs="Calibri"/>
                      <w:color w:val="auto"/>
                      <w:sz w:val="21"/>
                      <w:szCs w:val="21"/>
                      <w:vertAlign w:val="superscript"/>
                    </w:rPr>
                    <w:t>2</w:t>
                  </w:r>
                  <w:r>
                    <w:rPr>
                      <w:rFonts w:hint="default" w:ascii="Calibri" w:hAnsi="Calibri" w:eastAsia="宋体" w:cs="Calibri"/>
                      <w:color w:val="auto"/>
                      <w:sz w:val="21"/>
                      <w:szCs w:val="21"/>
                    </w:rPr>
                    <w:t>）</w:t>
                  </w:r>
                </w:p>
              </w:tc>
              <w:tc>
                <w:tcPr>
                  <w:tcW w:w="1003" w:type="pct"/>
                  <w:tcBorders>
                    <w:tl2br w:val="nil"/>
                    <w:tr2bl w:val="nil"/>
                  </w:tcBorders>
                  <w:noWrap w:val="0"/>
                  <w:vAlign w:val="center"/>
                </w:tcPr>
                <w:p w14:paraId="7ED40B79">
                  <w:pPr>
                    <w:jc w:val="center"/>
                    <w:rPr>
                      <w:rFonts w:hint="default" w:ascii="Calibri" w:hAnsi="Calibri" w:eastAsia="宋体" w:cs="Calibri"/>
                      <w:color w:val="auto"/>
                      <w:sz w:val="21"/>
                      <w:szCs w:val="21"/>
                    </w:rPr>
                  </w:pPr>
                  <w:r>
                    <w:rPr>
                      <w:rFonts w:hint="default" w:ascii="Calibri" w:hAnsi="Calibri" w:eastAsia="宋体" w:cs="Calibri"/>
                      <w:color w:val="auto"/>
                      <w:sz w:val="21"/>
                      <w:szCs w:val="21"/>
                    </w:rPr>
                    <w:t>土地类型</w:t>
                  </w:r>
                </w:p>
              </w:tc>
            </w:tr>
            <w:tr w14:paraId="0B044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7" w:hRule="atLeast"/>
              </w:trPr>
              <w:tc>
                <w:tcPr>
                  <w:tcW w:w="1252" w:type="pct"/>
                  <w:tcBorders>
                    <w:tl2br w:val="nil"/>
                    <w:tr2bl w:val="nil"/>
                  </w:tcBorders>
                  <w:noWrap w:val="0"/>
                  <w:vAlign w:val="center"/>
                </w:tcPr>
                <w:p w14:paraId="3371E7B0">
                  <w:pPr>
                    <w:jc w:val="center"/>
                    <w:rPr>
                      <w:rFonts w:hint="default" w:ascii="Calibri" w:hAnsi="Calibri" w:cs="Calibri"/>
                      <w:i w:val="0"/>
                      <w:iCs w:val="0"/>
                      <w:color w:val="auto"/>
                      <w:kern w:val="0"/>
                      <w:sz w:val="21"/>
                      <w:szCs w:val="21"/>
                      <w:u w:val="none"/>
                      <w:lang w:val="en-US" w:eastAsia="zh-CN" w:bidi="ar"/>
                    </w:rPr>
                  </w:pPr>
                  <w:r>
                    <w:rPr>
                      <w:rFonts w:hint="default" w:ascii="Calibri" w:hAnsi="Calibri" w:cs="Calibri"/>
                      <w:i w:val="0"/>
                      <w:iCs w:val="0"/>
                      <w:color w:val="auto"/>
                      <w:kern w:val="0"/>
                      <w:sz w:val="21"/>
                      <w:szCs w:val="21"/>
                      <w:u w:val="none"/>
                      <w:lang w:val="en-US" w:eastAsia="zh-CN" w:bidi="ar"/>
                    </w:rPr>
                    <w:t>变电站</w:t>
                  </w:r>
                </w:p>
              </w:tc>
              <w:tc>
                <w:tcPr>
                  <w:tcW w:w="829" w:type="pct"/>
                  <w:tcBorders>
                    <w:tl2br w:val="nil"/>
                    <w:tr2bl w:val="nil"/>
                  </w:tcBorders>
                  <w:noWrap w:val="0"/>
                  <w:vAlign w:val="center"/>
                </w:tcPr>
                <w:p w14:paraId="1E43BAB8">
                  <w:pPr>
                    <w:keepNext w:val="0"/>
                    <w:keepLines w:val="0"/>
                    <w:widowControl/>
                    <w:suppressLineNumbers w:val="0"/>
                    <w:jc w:val="center"/>
                    <w:textAlignment w:val="center"/>
                    <w:rPr>
                      <w:rFonts w:hint="default" w:ascii="Calibri" w:hAnsi="Calibri" w:eastAsia="宋体" w:cs="Calibri"/>
                      <w:i w:val="0"/>
                      <w:iCs w:val="0"/>
                      <w:color w:val="auto"/>
                      <w:kern w:val="2"/>
                      <w:sz w:val="21"/>
                      <w:szCs w:val="21"/>
                      <w:u w:val="none"/>
                      <w:lang w:val="en-US" w:eastAsia="zh-CN" w:bidi="ar-SA"/>
                    </w:rPr>
                  </w:pPr>
                  <w:r>
                    <w:rPr>
                      <w:rFonts w:hint="eastAsia" w:ascii="Calibri" w:hAnsi="Calibri" w:cs="Calibri"/>
                      <w:i w:val="0"/>
                      <w:iCs w:val="0"/>
                      <w:color w:val="auto"/>
                      <w:kern w:val="2"/>
                      <w:sz w:val="21"/>
                      <w:szCs w:val="21"/>
                      <w:u w:val="none"/>
                      <w:lang w:val="en-US" w:eastAsia="zh-CN" w:bidi="ar-SA"/>
                    </w:rPr>
                    <w:t>5407</w:t>
                  </w:r>
                </w:p>
              </w:tc>
              <w:tc>
                <w:tcPr>
                  <w:tcW w:w="1016" w:type="pct"/>
                  <w:tcBorders>
                    <w:tl2br w:val="nil"/>
                    <w:tr2bl w:val="nil"/>
                  </w:tcBorders>
                  <w:noWrap w:val="0"/>
                  <w:vAlign w:val="center"/>
                </w:tcPr>
                <w:p w14:paraId="7A5FD581">
                  <w:pPr>
                    <w:jc w:val="center"/>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sz w:val="21"/>
                      <w:szCs w:val="21"/>
                      <w:highlight w:val="none"/>
                      <w:lang w:val="en-US" w:eastAsia="zh-CN"/>
                    </w:rPr>
                    <w:t>裸岩石砾地</w:t>
                  </w:r>
                </w:p>
              </w:tc>
              <w:tc>
                <w:tcPr>
                  <w:tcW w:w="898" w:type="pct"/>
                  <w:tcBorders>
                    <w:tl2br w:val="nil"/>
                    <w:tr2bl w:val="nil"/>
                  </w:tcBorders>
                  <w:noWrap w:val="0"/>
                  <w:vAlign w:val="center"/>
                </w:tcPr>
                <w:p w14:paraId="2AA283BB">
                  <w:pPr>
                    <w:jc w:val="center"/>
                    <w:rPr>
                      <w:rFonts w:hint="default" w:ascii="Calibri" w:hAnsi="Calibri" w:eastAsia="宋体" w:cs="Calibri"/>
                      <w:color w:val="auto"/>
                      <w:sz w:val="21"/>
                      <w:szCs w:val="21"/>
                      <w:lang w:val="en-US" w:eastAsia="zh-CN"/>
                    </w:rPr>
                  </w:pPr>
                  <w:r>
                    <w:rPr>
                      <w:rFonts w:hint="default" w:ascii="Calibri" w:hAnsi="Calibri" w:cs="Calibri"/>
                      <w:color w:val="auto"/>
                      <w:sz w:val="21"/>
                      <w:szCs w:val="21"/>
                      <w:lang w:val="en-US" w:eastAsia="zh-CN"/>
                    </w:rPr>
                    <w:t>0</w:t>
                  </w:r>
                </w:p>
              </w:tc>
              <w:tc>
                <w:tcPr>
                  <w:tcW w:w="1003" w:type="pct"/>
                  <w:tcBorders>
                    <w:tl2br w:val="nil"/>
                    <w:tr2bl w:val="nil"/>
                  </w:tcBorders>
                  <w:noWrap w:val="0"/>
                  <w:vAlign w:val="center"/>
                </w:tcPr>
                <w:p w14:paraId="14EA22E9">
                  <w:pPr>
                    <w:jc w:val="center"/>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sz w:val="21"/>
                      <w:szCs w:val="21"/>
                      <w:highlight w:val="none"/>
                      <w:lang w:val="en-US" w:eastAsia="zh-CN"/>
                    </w:rPr>
                    <w:t>/</w:t>
                  </w:r>
                </w:p>
              </w:tc>
            </w:tr>
            <w:tr w14:paraId="29F4C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7" w:hRule="atLeast"/>
              </w:trPr>
              <w:tc>
                <w:tcPr>
                  <w:tcW w:w="1252" w:type="pct"/>
                  <w:tcBorders>
                    <w:tl2br w:val="nil"/>
                    <w:tr2bl w:val="nil"/>
                  </w:tcBorders>
                  <w:noWrap w:val="0"/>
                  <w:vAlign w:val="center"/>
                </w:tcPr>
                <w:p w14:paraId="773E436C">
                  <w:pPr>
                    <w:jc w:val="center"/>
                    <w:rPr>
                      <w:rFonts w:hint="default" w:ascii="Calibri" w:hAnsi="Calibri" w:cs="Calibri"/>
                      <w:i w:val="0"/>
                      <w:iCs w:val="0"/>
                      <w:color w:val="auto"/>
                      <w:kern w:val="0"/>
                      <w:sz w:val="21"/>
                      <w:szCs w:val="21"/>
                      <w:u w:val="none"/>
                      <w:lang w:val="en-US" w:eastAsia="zh-CN" w:bidi="ar"/>
                    </w:rPr>
                  </w:pPr>
                  <w:r>
                    <w:rPr>
                      <w:rFonts w:hint="default" w:ascii="Calibri" w:hAnsi="Calibri" w:cs="Calibri"/>
                      <w:i w:val="0"/>
                      <w:iCs w:val="0"/>
                      <w:color w:val="auto"/>
                      <w:kern w:val="0"/>
                      <w:sz w:val="21"/>
                      <w:szCs w:val="21"/>
                      <w:u w:val="none"/>
                      <w:lang w:val="en-US" w:eastAsia="zh-CN" w:bidi="ar"/>
                    </w:rPr>
                    <w:t>进站道路</w:t>
                  </w:r>
                </w:p>
              </w:tc>
              <w:tc>
                <w:tcPr>
                  <w:tcW w:w="829" w:type="pct"/>
                  <w:tcBorders>
                    <w:tl2br w:val="nil"/>
                    <w:tr2bl w:val="nil"/>
                  </w:tcBorders>
                  <w:noWrap w:val="0"/>
                  <w:vAlign w:val="center"/>
                </w:tcPr>
                <w:p w14:paraId="65096E97">
                  <w:pPr>
                    <w:keepNext w:val="0"/>
                    <w:keepLines w:val="0"/>
                    <w:widowControl/>
                    <w:suppressLineNumbers w:val="0"/>
                    <w:jc w:val="center"/>
                    <w:textAlignment w:val="center"/>
                    <w:rPr>
                      <w:rFonts w:hint="default" w:ascii="Calibri" w:hAnsi="Calibri" w:eastAsia="宋体" w:cs="Calibri"/>
                      <w:i w:val="0"/>
                      <w:iCs w:val="0"/>
                      <w:color w:val="auto"/>
                      <w:kern w:val="2"/>
                      <w:sz w:val="21"/>
                      <w:szCs w:val="21"/>
                      <w:u w:val="none"/>
                      <w:lang w:val="en-US" w:eastAsia="zh-CN" w:bidi="ar-SA"/>
                    </w:rPr>
                  </w:pPr>
                  <w:r>
                    <w:rPr>
                      <w:rFonts w:hint="default" w:ascii="Calibri" w:hAnsi="Calibri" w:cs="Calibri"/>
                      <w:i w:val="0"/>
                      <w:iCs w:val="0"/>
                      <w:color w:val="auto"/>
                      <w:kern w:val="2"/>
                      <w:sz w:val="21"/>
                      <w:szCs w:val="21"/>
                      <w:u w:val="none"/>
                      <w:lang w:val="en-US" w:eastAsia="zh-CN" w:bidi="ar-SA"/>
                    </w:rPr>
                    <w:t>250</w:t>
                  </w:r>
                </w:p>
              </w:tc>
              <w:tc>
                <w:tcPr>
                  <w:tcW w:w="1016" w:type="pct"/>
                  <w:tcBorders>
                    <w:tl2br w:val="nil"/>
                    <w:tr2bl w:val="nil"/>
                  </w:tcBorders>
                  <w:noWrap w:val="0"/>
                  <w:vAlign w:val="center"/>
                </w:tcPr>
                <w:p w14:paraId="5EEFFF55">
                  <w:pPr>
                    <w:jc w:val="center"/>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sz w:val="21"/>
                      <w:szCs w:val="21"/>
                      <w:highlight w:val="none"/>
                      <w:lang w:val="en-US" w:eastAsia="zh-CN"/>
                    </w:rPr>
                    <w:t>裸岩石砾地</w:t>
                  </w:r>
                </w:p>
              </w:tc>
              <w:tc>
                <w:tcPr>
                  <w:tcW w:w="898" w:type="pct"/>
                  <w:tcBorders>
                    <w:tl2br w:val="nil"/>
                    <w:tr2bl w:val="nil"/>
                  </w:tcBorders>
                  <w:noWrap w:val="0"/>
                  <w:vAlign w:val="center"/>
                </w:tcPr>
                <w:p w14:paraId="126E6918">
                  <w:pPr>
                    <w:jc w:val="center"/>
                    <w:rPr>
                      <w:rFonts w:hint="default" w:ascii="Calibri" w:hAnsi="Calibri" w:eastAsia="宋体" w:cs="Calibri"/>
                      <w:color w:val="auto"/>
                      <w:sz w:val="21"/>
                      <w:szCs w:val="21"/>
                      <w:lang w:val="en-US" w:eastAsia="zh-CN"/>
                    </w:rPr>
                  </w:pPr>
                  <w:r>
                    <w:rPr>
                      <w:rFonts w:hint="default" w:ascii="Calibri" w:hAnsi="Calibri" w:cs="Calibri"/>
                      <w:color w:val="auto"/>
                      <w:sz w:val="21"/>
                      <w:szCs w:val="21"/>
                      <w:lang w:val="en-US" w:eastAsia="zh-CN"/>
                    </w:rPr>
                    <w:t>0</w:t>
                  </w:r>
                </w:p>
              </w:tc>
              <w:tc>
                <w:tcPr>
                  <w:tcW w:w="1003" w:type="pct"/>
                  <w:tcBorders>
                    <w:tl2br w:val="nil"/>
                    <w:tr2bl w:val="nil"/>
                  </w:tcBorders>
                  <w:noWrap w:val="0"/>
                  <w:vAlign w:val="center"/>
                </w:tcPr>
                <w:p w14:paraId="3A196452">
                  <w:pPr>
                    <w:jc w:val="center"/>
                    <w:rPr>
                      <w:rFonts w:hint="default" w:ascii="Calibri" w:hAnsi="Calibri" w:eastAsia="宋体" w:cs="Calibri"/>
                      <w:color w:val="auto"/>
                      <w:sz w:val="21"/>
                      <w:szCs w:val="21"/>
                      <w:highlight w:val="none"/>
                      <w:lang w:val="en-US" w:eastAsia="zh-CN"/>
                    </w:rPr>
                  </w:pPr>
                  <w:r>
                    <w:rPr>
                      <w:rFonts w:hint="default" w:ascii="Calibri" w:hAnsi="Calibri" w:cs="Calibri"/>
                      <w:color w:val="auto"/>
                      <w:sz w:val="21"/>
                      <w:szCs w:val="21"/>
                      <w:highlight w:val="none"/>
                      <w:lang w:val="en-US" w:eastAsia="zh-CN"/>
                    </w:rPr>
                    <w:t>/</w:t>
                  </w:r>
                </w:p>
              </w:tc>
            </w:tr>
            <w:tr w14:paraId="55E6D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7" w:hRule="atLeast"/>
              </w:trPr>
              <w:tc>
                <w:tcPr>
                  <w:tcW w:w="1252" w:type="pct"/>
                  <w:tcBorders>
                    <w:tl2br w:val="nil"/>
                    <w:tr2bl w:val="nil"/>
                  </w:tcBorders>
                  <w:noWrap w:val="0"/>
                  <w:vAlign w:val="center"/>
                </w:tcPr>
                <w:p w14:paraId="18411188">
                  <w:pPr>
                    <w:jc w:val="center"/>
                    <w:rPr>
                      <w:rFonts w:hint="default" w:ascii="Calibri" w:hAnsi="Calibri" w:eastAsia="宋体" w:cs="Calibri"/>
                      <w:color w:val="auto"/>
                      <w:sz w:val="21"/>
                      <w:szCs w:val="21"/>
                      <w:lang w:val="en-US" w:eastAsia="zh-CN"/>
                    </w:rPr>
                  </w:pPr>
                  <w:r>
                    <w:rPr>
                      <w:rFonts w:hint="default" w:ascii="Calibri" w:hAnsi="Calibri" w:cs="Calibri"/>
                      <w:i w:val="0"/>
                      <w:iCs w:val="0"/>
                      <w:color w:val="auto"/>
                      <w:kern w:val="0"/>
                      <w:sz w:val="21"/>
                      <w:szCs w:val="21"/>
                      <w:u w:val="none"/>
                      <w:lang w:val="en-US" w:eastAsia="zh-CN" w:bidi="ar"/>
                    </w:rPr>
                    <w:t>塔基</w:t>
                  </w:r>
                </w:p>
              </w:tc>
              <w:tc>
                <w:tcPr>
                  <w:tcW w:w="829" w:type="pct"/>
                  <w:tcBorders>
                    <w:tl2br w:val="nil"/>
                    <w:tr2bl w:val="nil"/>
                  </w:tcBorders>
                  <w:noWrap w:val="0"/>
                  <w:vAlign w:val="center"/>
                </w:tcPr>
                <w:p w14:paraId="163F1D06">
                  <w:pPr>
                    <w:keepNext w:val="0"/>
                    <w:keepLines w:val="0"/>
                    <w:widowControl/>
                    <w:suppressLineNumbers w:val="0"/>
                    <w:jc w:val="center"/>
                    <w:textAlignment w:val="center"/>
                    <w:rPr>
                      <w:rFonts w:hint="default" w:ascii="Calibri" w:hAnsi="Calibri" w:eastAsia="宋体" w:cs="Calibri"/>
                      <w:i w:val="0"/>
                      <w:iCs w:val="0"/>
                      <w:color w:val="auto"/>
                      <w:kern w:val="2"/>
                      <w:sz w:val="21"/>
                      <w:szCs w:val="21"/>
                      <w:u w:val="none"/>
                      <w:lang w:val="en-US" w:eastAsia="zh-CN" w:bidi="ar-SA"/>
                    </w:rPr>
                  </w:pPr>
                  <w:r>
                    <w:rPr>
                      <w:rFonts w:hint="eastAsia" w:ascii="Calibri" w:hAnsi="Calibri" w:cs="Calibri"/>
                      <w:i w:val="0"/>
                      <w:iCs w:val="0"/>
                      <w:color w:val="auto"/>
                      <w:kern w:val="2"/>
                      <w:sz w:val="21"/>
                      <w:szCs w:val="21"/>
                      <w:u w:val="none"/>
                      <w:lang w:val="en-US" w:eastAsia="zh-CN" w:bidi="ar-SA"/>
                    </w:rPr>
                    <w:t>6564</w:t>
                  </w:r>
                </w:p>
              </w:tc>
              <w:tc>
                <w:tcPr>
                  <w:tcW w:w="1016" w:type="pct"/>
                  <w:tcBorders>
                    <w:tl2br w:val="nil"/>
                    <w:tr2bl w:val="nil"/>
                  </w:tcBorders>
                  <w:noWrap w:val="0"/>
                  <w:vAlign w:val="center"/>
                </w:tcPr>
                <w:p w14:paraId="7BB57AAE">
                  <w:pPr>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highlight w:val="none"/>
                      <w:lang w:val="en-US" w:eastAsia="zh-CN"/>
                    </w:rPr>
                    <w:t>裸岩石砾地</w:t>
                  </w:r>
                  <w:r>
                    <w:rPr>
                      <w:rFonts w:hint="eastAsia" w:ascii="Calibri" w:hAnsi="Calibri" w:cs="Calibri"/>
                      <w:color w:val="auto"/>
                      <w:sz w:val="21"/>
                      <w:szCs w:val="21"/>
                      <w:highlight w:val="none"/>
                      <w:lang w:val="en-US" w:eastAsia="zh-CN"/>
                    </w:rPr>
                    <w:t>、其他草地</w:t>
                  </w:r>
                </w:p>
              </w:tc>
              <w:tc>
                <w:tcPr>
                  <w:tcW w:w="898" w:type="pct"/>
                  <w:tcBorders>
                    <w:tl2br w:val="nil"/>
                    <w:tr2bl w:val="nil"/>
                  </w:tcBorders>
                  <w:noWrap w:val="0"/>
                  <w:vAlign w:val="center"/>
                </w:tcPr>
                <w:p w14:paraId="1A3CBF8D">
                  <w:pPr>
                    <w:jc w:val="center"/>
                    <w:rPr>
                      <w:rFonts w:hint="default" w:ascii="Calibri" w:hAnsi="Calibri" w:eastAsia="宋体" w:cs="Calibri"/>
                      <w:color w:val="auto"/>
                      <w:sz w:val="21"/>
                      <w:szCs w:val="21"/>
                      <w:lang w:val="en-US" w:eastAsia="zh-CN"/>
                    </w:rPr>
                  </w:pPr>
                  <w:r>
                    <w:rPr>
                      <w:rFonts w:hint="default" w:ascii="Calibri" w:hAnsi="Calibri" w:cs="Calibri"/>
                      <w:color w:val="auto"/>
                      <w:sz w:val="21"/>
                      <w:szCs w:val="21"/>
                      <w:lang w:val="en-US" w:eastAsia="zh-CN"/>
                    </w:rPr>
                    <w:t>0</w:t>
                  </w:r>
                </w:p>
              </w:tc>
              <w:tc>
                <w:tcPr>
                  <w:tcW w:w="1003" w:type="pct"/>
                  <w:tcBorders>
                    <w:tl2br w:val="nil"/>
                    <w:tr2bl w:val="nil"/>
                  </w:tcBorders>
                  <w:noWrap w:val="0"/>
                  <w:vAlign w:val="center"/>
                </w:tcPr>
                <w:p w14:paraId="7843118D">
                  <w:pPr>
                    <w:jc w:val="center"/>
                    <w:rPr>
                      <w:rFonts w:hint="default" w:ascii="Calibri" w:hAnsi="Calibri" w:eastAsia="宋体" w:cs="Calibri"/>
                      <w:color w:val="auto"/>
                      <w:sz w:val="21"/>
                      <w:szCs w:val="21"/>
                      <w:lang w:val="en-US" w:eastAsia="zh-CN"/>
                    </w:rPr>
                  </w:pPr>
                  <w:r>
                    <w:rPr>
                      <w:rFonts w:hint="default" w:ascii="Calibri" w:hAnsi="Calibri" w:cs="Calibri"/>
                      <w:color w:val="auto"/>
                      <w:sz w:val="21"/>
                      <w:szCs w:val="21"/>
                      <w:lang w:val="en-US" w:eastAsia="zh-CN"/>
                    </w:rPr>
                    <w:t>/</w:t>
                  </w:r>
                </w:p>
              </w:tc>
            </w:tr>
            <w:tr w14:paraId="2CA9E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7" w:hRule="atLeast"/>
              </w:trPr>
              <w:tc>
                <w:tcPr>
                  <w:tcW w:w="1252" w:type="pct"/>
                  <w:tcBorders>
                    <w:tl2br w:val="nil"/>
                    <w:tr2bl w:val="nil"/>
                  </w:tcBorders>
                  <w:noWrap w:val="0"/>
                  <w:vAlign w:val="center"/>
                </w:tcPr>
                <w:p w14:paraId="00F757DD">
                  <w:pPr>
                    <w:jc w:val="center"/>
                    <w:rPr>
                      <w:rFonts w:hint="default" w:ascii="Calibri" w:hAnsi="Calibri" w:cs="Calibri"/>
                      <w:i w:val="0"/>
                      <w:iCs w:val="0"/>
                      <w:color w:val="auto"/>
                      <w:kern w:val="0"/>
                      <w:sz w:val="21"/>
                      <w:szCs w:val="21"/>
                      <w:u w:val="none"/>
                      <w:lang w:val="en-US" w:eastAsia="zh-CN" w:bidi="ar"/>
                    </w:rPr>
                  </w:pPr>
                  <w:r>
                    <w:rPr>
                      <w:rFonts w:hint="default" w:ascii="Calibri" w:hAnsi="Calibri" w:cs="Calibri"/>
                      <w:i w:val="0"/>
                      <w:iCs w:val="0"/>
                      <w:color w:val="auto"/>
                      <w:kern w:val="0"/>
                      <w:sz w:val="21"/>
                      <w:szCs w:val="21"/>
                      <w:u w:val="none"/>
                      <w:lang w:val="en-US" w:eastAsia="zh-CN" w:bidi="ar"/>
                    </w:rPr>
                    <w:t>设备及材料仓库</w:t>
                  </w:r>
                </w:p>
              </w:tc>
              <w:tc>
                <w:tcPr>
                  <w:tcW w:w="829" w:type="pct"/>
                  <w:tcBorders>
                    <w:tl2br w:val="nil"/>
                    <w:tr2bl w:val="nil"/>
                  </w:tcBorders>
                  <w:noWrap w:val="0"/>
                  <w:vAlign w:val="center"/>
                </w:tcPr>
                <w:p w14:paraId="1C66B459">
                  <w:pPr>
                    <w:keepNext w:val="0"/>
                    <w:keepLines w:val="0"/>
                    <w:widowControl/>
                    <w:suppressLineNumbers w:val="0"/>
                    <w:jc w:val="center"/>
                    <w:textAlignment w:val="center"/>
                    <w:rPr>
                      <w:rFonts w:hint="default" w:ascii="Calibri" w:hAnsi="Calibri" w:cs="Calibri"/>
                      <w:i w:val="0"/>
                      <w:iCs w:val="0"/>
                      <w:color w:val="auto"/>
                      <w:kern w:val="2"/>
                      <w:sz w:val="21"/>
                      <w:szCs w:val="21"/>
                      <w:u w:val="none"/>
                      <w:lang w:val="en-US" w:eastAsia="zh-CN" w:bidi="ar-SA"/>
                    </w:rPr>
                  </w:pPr>
                  <w:r>
                    <w:rPr>
                      <w:rFonts w:hint="default" w:ascii="Calibri" w:hAnsi="Calibri" w:cs="Calibri"/>
                      <w:i w:val="0"/>
                      <w:iCs w:val="0"/>
                      <w:color w:val="auto"/>
                      <w:kern w:val="2"/>
                      <w:sz w:val="21"/>
                      <w:szCs w:val="21"/>
                      <w:u w:val="none"/>
                      <w:lang w:val="en-US" w:eastAsia="zh-CN" w:bidi="ar-SA"/>
                    </w:rPr>
                    <w:t>0</w:t>
                  </w:r>
                </w:p>
              </w:tc>
              <w:tc>
                <w:tcPr>
                  <w:tcW w:w="1016" w:type="pct"/>
                  <w:tcBorders>
                    <w:tl2br w:val="nil"/>
                    <w:tr2bl w:val="nil"/>
                  </w:tcBorders>
                  <w:noWrap w:val="0"/>
                  <w:vAlign w:val="center"/>
                </w:tcPr>
                <w:p w14:paraId="31888B58">
                  <w:pPr>
                    <w:jc w:val="center"/>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sz w:val="21"/>
                      <w:szCs w:val="21"/>
                      <w:highlight w:val="none"/>
                      <w:lang w:val="en-US" w:eastAsia="zh-CN"/>
                    </w:rPr>
                    <w:t>/</w:t>
                  </w:r>
                </w:p>
              </w:tc>
              <w:tc>
                <w:tcPr>
                  <w:tcW w:w="898" w:type="pct"/>
                  <w:tcBorders>
                    <w:tl2br w:val="nil"/>
                    <w:tr2bl w:val="nil"/>
                  </w:tcBorders>
                  <w:noWrap w:val="0"/>
                  <w:vAlign w:val="center"/>
                </w:tcPr>
                <w:p w14:paraId="2AECFFBF">
                  <w:pPr>
                    <w:jc w:val="center"/>
                    <w:rPr>
                      <w:rFonts w:hint="default" w:ascii="Calibri" w:hAnsi="Calibri" w:cs="Calibri"/>
                      <w:color w:val="auto"/>
                      <w:sz w:val="21"/>
                      <w:szCs w:val="21"/>
                      <w:lang w:val="en-US" w:eastAsia="zh-CN"/>
                    </w:rPr>
                  </w:pPr>
                  <w:r>
                    <w:rPr>
                      <w:rFonts w:hint="default" w:ascii="Calibri" w:hAnsi="Calibri" w:cs="Calibri"/>
                      <w:color w:val="auto"/>
                      <w:sz w:val="21"/>
                      <w:szCs w:val="21"/>
                      <w:lang w:val="en-US" w:eastAsia="zh-CN"/>
                    </w:rPr>
                    <w:t>2000</w:t>
                  </w:r>
                </w:p>
              </w:tc>
              <w:tc>
                <w:tcPr>
                  <w:tcW w:w="1003" w:type="pct"/>
                  <w:tcBorders>
                    <w:tl2br w:val="nil"/>
                    <w:tr2bl w:val="nil"/>
                  </w:tcBorders>
                  <w:noWrap w:val="0"/>
                  <w:vAlign w:val="center"/>
                </w:tcPr>
                <w:p w14:paraId="6585C3A3">
                  <w:pPr>
                    <w:jc w:val="center"/>
                    <w:rPr>
                      <w:rFonts w:hint="default" w:ascii="Calibri" w:hAnsi="Calibri" w:cs="Calibri"/>
                      <w:color w:val="auto"/>
                      <w:sz w:val="21"/>
                      <w:szCs w:val="21"/>
                      <w:lang w:val="en-US" w:eastAsia="zh-CN"/>
                    </w:rPr>
                  </w:pPr>
                </w:p>
              </w:tc>
            </w:tr>
            <w:tr w14:paraId="17FD6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7" w:hRule="atLeast"/>
              </w:trPr>
              <w:tc>
                <w:tcPr>
                  <w:tcW w:w="1252" w:type="pct"/>
                  <w:tcBorders>
                    <w:tl2br w:val="nil"/>
                    <w:tr2bl w:val="nil"/>
                  </w:tcBorders>
                  <w:noWrap w:val="0"/>
                  <w:vAlign w:val="center"/>
                </w:tcPr>
                <w:p w14:paraId="2DB872E0">
                  <w:pPr>
                    <w:jc w:val="center"/>
                    <w:rPr>
                      <w:rFonts w:hint="default" w:ascii="Calibri" w:hAnsi="Calibri" w:eastAsia="宋体" w:cs="Calibri"/>
                      <w:color w:val="auto"/>
                      <w:sz w:val="21"/>
                      <w:szCs w:val="21"/>
                      <w:lang w:val="en-US"/>
                    </w:rPr>
                  </w:pPr>
                  <w:r>
                    <w:rPr>
                      <w:rFonts w:hint="default" w:ascii="Calibri" w:hAnsi="Calibri" w:cs="Calibri"/>
                      <w:i w:val="0"/>
                      <w:iCs w:val="0"/>
                      <w:color w:val="auto"/>
                      <w:kern w:val="0"/>
                      <w:sz w:val="21"/>
                      <w:szCs w:val="21"/>
                      <w:u w:val="none"/>
                      <w:lang w:val="en-US" w:eastAsia="zh-CN" w:bidi="ar"/>
                    </w:rPr>
                    <w:t>塔基施工场地</w:t>
                  </w:r>
                </w:p>
              </w:tc>
              <w:tc>
                <w:tcPr>
                  <w:tcW w:w="829" w:type="pct"/>
                  <w:tcBorders>
                    <w:tl2br w:val="nil"/>
                    <w:tr2bl w:val="nil"/>
                  </w:tcBorders>
                  <w:noWrap w:val="0"/>
                  <w:vAlign w:val="center"/>
                </w:tcPr>
                <w:p w14:paraId="5BB02463">
                  <w:pPr>
                    <w:keepNext w:val="0"/>
                    <w:keepLines w:val="0"/>
                    <w:widowControl/>
                    <w:suppressLineNumbers w:val="0"/>
                    <w:jc w:val="center"/>
                    <w:textAlignment w:val="center"/>
                    <w:rPr>
                      <w:rFonts w:hint="default" w:ascii="Calibri" w:hAnsi="Calibri" w:eastAsia="宋体" w:cs="Calibri"/>
                      <w:i w:val="0"/>
                      <w:iCs w:val="0"/>
                      <w:color w:val="auto"/>
                      <w:kern w:val="2"/>
                      <w:sz w:val="21"/>
                      <w:szCs w:val="21"/>
                      <w:u w:val="none"/>
                      <w:lang w:val="en-US" w:eastAsia="zh-CN" w:bidi="ar-SA"/>
                    </w:rPr>
                  </w:pPr>
                  <w:r>
                    <w:rPr>
                      <w:rFonts w:hint="default" w:ascii="Calibri" w:hAnsi="Calibri" w:cs="Calibri"/>
                      <w:i w:val="0"/>
                      <w:iCs w:val="0"/>
                      <w:color w:val="auto"/>
                      <w:kern w:val="2"/>
                      <w:sz w:val="21"/>
                      <w:szCs w:val="21"/>
                      <w:u w:val="none"/>
                      <w:lang w:val="en-US" w:eastAsia="zh-CN" w:bidi="ar-SA"/>
                    </w:rPr>
                    <w:t>0</w:t>
                  </w:r>
                </w:p>
              </w:tc>
              <w:tc>
                <w:tcPr>
                  <w:tcW w:w="1016" w:type="pct"/>
                  <w:tcBorders>
                    <w:tl2br w:val="nil"/>
                    <w:tr2bl w:val="nil"/>
                  </w:tcBorders>
                  <w:noWrap w:val="0"/>
                  <w:vAlign w:val="center"/>
                </w:tcPr>
                <w:p w14:paraId="19AA2A55">
                  <w:pPr>
                    <w:jc w:val="center"/>
                    <w:rPr>
                      <w:rFonts w:hint="default" w:ascii="Calibri" w:hAnsi="Calibri" w:eastAsia="宋体" w:cs="Calibri"/>
                      <w:color w:val="auto"/>
                      <w:sz w:val="21"/>
                      <w:szCs w:val="21"/>
                      <w:highlight w:val="none"/>
                      <w:lang w:val="en-US" w:eastAsia="zh-CN"/>
                    </w:rPr>
                  </w:pPr>
                  <w:r>
                    <w:rPr>
                      <w:rFonts w:hint="default" w:ascii="Calibri" w:hAnsi="Calibri" w:cs="Calibri"/>
                      <w:color w:val="auto"/>
                      <w:sz w:val="21"/>
                      <w:szCs w:val="21"/>
                      <w:highlight w:val="none"/>
                      <w:lang w:val="en-US" w:eastAsia="zh-CN"/>
                    </w:rPr>
                    <w:t>/</w:t>
                  </w:r>
                </w:p>
              </w:tc>
              <w:tc>
                <w:tcPr>
                  <w:tcW w:w="898" w:type="pct"/>
                  <w:tcBorders>
                    <w:tl2br w:val="nil"/>
                    <w:tr2bl w:val="nil"/>
                  </w:tcBorders>
                  <w:noWrap w:val="0"/>
                  <w:vAlign w:val="center"/>
                </w:tcPr>
                <w:p w14:paraId="1031B440">
                  <w:pPr>
                    <w:jc w:val="center"/>
                    <w:rPr>
                      <w:rFonts w:hint="default" w:ascii="Calibri" w:hAnsi="Calibri" w:eastAsia="宋体" w:cs="Calibri"/>
                      <w:color w:val="auto"/>
                      <w:sz w:val="21"/>
                      <w:szCs w:val="21"/>
                      <w:lang w:val="en-US" w:eastAsia="zh-CN"/>
                    </w:rPr>
                  </w:pPr>
                  <w:r>
                    <w:rPr>
                      <w:rFonts w:hint="eastAsia" w:ascii="Calibri" w:hAnsi="Calibri" w:cs="Calibri"/>
                      <w:color w:val="auto"/>
                      <w:sz w:val="21"/>
                      <w:szCs w:val="21"/>
                      <w:lang w:val="en-US" w:eastAsia="zh-CN"/>
                    </w:rPr>
                    <w:t>90</w:t>
                  </w:r>
                  <w:r>
                    <w:rPr>
                      <w:rFonts w:hint="default" w:ascii="Calibri" w:hAnsi="Calibri" w:cs="Calibri"/>
                      <w:color w:val="auto"/>
                      <w:sz w:val="21"/>
                      <w:szCs w:val="21"/>
                      <w:lang w:val="en-US" w:eastAsia="zh-CN"/>
                    </w:rPr>
                    <w:t>000</w:t>
                  </w:r>
                </w:p>
              </w:tc>
              <w:tc>
                <w:tcPr>
                  <w:tcW w:w="1575" w:type="dxa"/>
                  <w:tcBorders>
                    <w:tl2br w:val="nil"/>
                    <w:tr2bl w:val="nil"/>
                  </w:tcBorders>
                  <w:noWrap w:val="0"/>
                  <w:vAlign w:val="center"/>
                </w:tcPr>
                <w:p w14:paraId="06F83B21">
                  <w:pPr>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highlight w:val="none"/>
                      <w:lang w:val="en-US" w:eastAsia="zh-CN"/>
                    </w:rPr>
                    <w:t>裸岩石砾地</w:t>
                  </w:r>
                </w:p>
              </w:tc>
            </w:tr>
            <w:tr w14:paraId="03E93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7" w:hRule="atLeast"/>
              </w:trPr>
              <w:tc>
                <w:tcPr>
                  <w:tcW w:w="1252" w:type="pct"/>
                  <w:tcBorders>
                    <w:tl2br w:val="nil"/>
                    <w:tr2bl w:val="nil"/>
                  </w:tcBorders>
                  <w:noWrap w:val="0"/>
                  <w:vAlign w:val="center"/>
                </w:tcPr>
                <w:p w14:paraId="4B1ABFC9">
                  <w:pPr>
                    <w:jc w:val="center"/>
                    <w:rPr>
                      <w:rFonts w:hint="default" w:ascii="Calibri" w:hAnsi="Calibri" w:cs="Calibri"/>
                      <w:i w:val="0"/>
                      <w:iCs w:val="0"/>
                      <w:color w:val="auto"/>
                      <w:kern w:val="0"/>
                      <w:sz w:val="21"/>
                      <w:szCs w:val="21"/>
                      <w:u w:val="none"/>
                      <w:lang w:val="en-US" w:eastAsia="zh-CN" w:bidi="ar"/>
                    </w:rPr>
                  </w:pPr>
                  <w:r>
                    <w:rPr>
                      <w:rFonts w:hint="default" w:ascii="Calibri" w:hAnsi="Calibri" w:cs="Calibri"/>
                      <w:i w:val="0"/>
                      <w:iCs w:val="0"/>
                      <w:color w:val="auto"/>
                      <w:kern w:val="0"/>
                      <w:sz w:val="21"/>
                      <w:szCs w:val="21"/>
                      <w:u w:val="none"/>
                      <w:lang w:val="en-US" w:eastAsia="zh-CN" w:bidi="ar"/>
                    </w:rPr>
                    <w:t>施工道路</w:t>
                  </w:r>
                </w:p>
              </w:tc>
              <w:tc>
                <w:tcPr>
                  <w:tcW w:w="829" w:type="pct"/>
                  <w:tcBorders>
                    <w:tl2br w:val="nil"/>
                    <w:tr2bl w:val="nil"/>
                  </w:tcBorders>
                  <w:noWrap w:val="0"/>
                  <w:vAlign w:val="center"/>
                </w:tcPr>
                <w:p w14:paraId="76BF274E">
                  <w:pPr>
                    <w:keepNext w:val="0"/>
                    <w:keepLines w:val="0"/>
                    <w:widowControl/>
                    <w:suppressLineNumbers w:val="0"/>
                    <w:jc w:val="center"/>
                    <w:textAlignment w:val="center"/>
                    <w:rPr>
                      <w:rFonts w:hint="default" w:ascii="Calibri" w:hAnsi="Calibri" w:cs="Calibri"/>
                      <w:i w:val="0"/>
                      <w:iCs w:val="0"/>
                      <w:color w:val="auto"/>
                      <w:kern w:val="2"/>
                      <w:sz w:val="21"/>
                      <w:szCs w:val="21"/>
                      <w:u w:val="none"/>
                      <w:lang w:val="en-US" w:eastAsia="zh-CN" w:bidi="ar-SA"/>
                    </w:rPr>
                  </w:pPr>
                  <w:r>
                    <w:rPr>
                      <w:rFonts w:hint="default" w:ascii="Calibri" w:hAnsi="Calibri" w:cs="Calibri"/>
                      <w:i w:val="0"/>
                      <w:iCs w:val="0"/>
                      <w:color w:val="auto"/>
                      <w:kern w:val="2"/>
                      <w:sz w:val="21"/>
                      <w:szCs w:val="21"/>
                      <w:u w:val="none"/>
                      <w:lang w:val="en-US" w:eastAsia="zh-CN" w:bidi="ar-SA"/>
                    </w:rPr>
                    <w:t>0</w:t>
                  </w:r>
                </w:p>
              </w:tc>
              <w:tc>
                <w:tcPr>
                  <w:tcW w:w="1016" w:type="pct"/>
                  <w:tcBorders>
                    <w:tl2br w:val="nil"/>
                    <w:tr2bl w:val="nil"/>
                  </w:tcBorders>
                  <w:noWrap w:val="0"/>
                  <w:vAlign w:val="center"/>
                </w:tcPr>
                <w:p w14:paraId="61D13DE5">
                  <w:pPr>
                    <w:jc w:val="center"/>
                    <w:rPr>
                      <w:rFonts w:hint="default" w:ascii="Calibri" w:hAnsi="Calibri" w:cs="Calibri"/>
                      <w:color w:val="auto"/>
                      <w:sz w:val="21"/>
                      <w:szCs w:val="21"/>
                      <w:highlight w:val="none"/>
                      <w:lang w:val="en-US" w:eastAsia="zh-CN"/>
                    </w:rPr>
                  </w:pPr>
                  <w:r>
                    <w:rPr>
                      <w:rFonts w:hint="default" w:ascii="Calibri" w:hAnsi="Calibri" w:cs="Calibri"/>
                      <w:color w:val="auto"/>
                      <w:sz w:val="21"/>
                      <w:szCs w:val="21"/>
                      <w:highlight w:val="none"/>
                      <w:lang w:val="en-US" w:eastAsia="zh-CN"/>
                    </w:rPr>
                    <w:t>/</w:t>
                  </w:r>
                </w:p>
              </w:tc>
              <w:tc>
                <w:tcPr>
                  <w:tcW w:w="898" w:type="pct"/>
                  <w:tcBorders>
                    <w:tl2br w:val="nil"/>
                    <w:tr2bl w:val="nil"/>
                  </w:tcBorders>
                  <w:noWrap w:val="0"/>
                  <w:vAlign w:val="center"/>
                </w:tcPr>
                <w:p w14:paraId="4FCB9CAA">
                  <w:pPr>
                    <w:jc w:val="center"/>
                    <w:rPr>
                      <w:rFonts w:hint="default" w:ascii="Calibri" w:hAnsi="Calibri" w:cs="Calibri"/>
                      <w:color w:val="auto"/>
                      <w:sz w:val="21"/>
                      <w:szCs w:val="21"/>
                      <w:lang w:val="en-US" w:eastAsia="zh-CN"/>
                    </w:rPr>
                  </w:pPr>
                  <w:r>
                    <w:rPr>
                      <w:rFonts w:hint="default" w:ascii="Calibri" w:hAnsi="Calibri" w:cs="Calibri"/>
                      <w:color w:val="auto"/>
                      <w:sz w:val="21"/>
                      <w:szCs w:val="21"/>
                      <w:lang w:val="en-US" w:eastAsia="zh-CN"/>
                    </w:rPr>
                    <w:t>129000</w:t>
                  </w:r>
                </w:p>
              </w:tc>
              <w:tc>
                <w:tcPr>
                  <w:tcW w:w="1575" w:type="dxa"/>
                  <w:tcBorders>
                    <w:tl2br w:val="nil"/>
                    <w:tr2bl w:val="nil"/>
                  </w:tcBorders>
                  <w:noWrap w:val="0"/>
                  <w:vAlign w:val="center"/>
                </w:tcPr>
                <w:p w14:paraId="4F85F02E">
                  <w:pPr>
                    <w:jc w:val="center"/>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sz w:val="21"/>
                      <w:szCs w:val="21"/>
                      <w:highlight w:val="none"/>
                      <w:lang w:val="en-US" w:eastAsia="zh-CN"/>
                    </w:rPr>
                    <w:t>裸岩石砾地</w:t>
                  </w:r>
                </w:p>
              </w:tc>
            </w:tr>
            <w:tr w14:paraId="3C509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7" w:hRule="atLeast"/>
              </w:trPr>
              <w:tc>
                <w:tcPr>
                  <w:tcW w:w="1252" w:type="pct"/>
                  <w:tcBorders>
                    <w:tl2br w:val="nil"/>
                    <w:tr2bl w:val="nil"/>
                  </w:tcBorders>
                  <w:noWrap w:val="0"/>
                  <w:vAlign w:val="center"/>
                </w:tcPr>
                <w:p w14:paraId="541123F6">
                  <w:pPr>
                    <w:jc w:val="center"/>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highlight w:val="none"/>
                      <w:lang w:val="en-US" w:eastAsia="zh-CN"/>
                    </w:rPr>
                    <w:t>牵张场</w:t>
                  </w:r>
                </w:p>
              </w:tc>
              <w:tc>
                <w:tcPr>
                  <w:tcW w:w="829" w:type="pct"/>
                  <w:tcBorders>
                    <w:tl2br w:val="nil"/>
                    <w:tr2bl w:val="nil"/>
                  </w:tcBorders>
                  <w:noWrap w:val="0"/>
                  <w:vAlign w:val="center"/>
                </w:tcPr>
                <w:p w14:paraId="7CC9019C">
                  <w:pPr>
                    <w:keepNext w:val="0"/>
                    <w:keepLines w:val="0"/>
                    <w:widowControl/>
                    <w:suppressLineNumbers w:val="0"/>
                    <w:jc w:val="center"/>
                    <w:textAlignment w:val="center"/>
                    <w:rPr>
                      <w:rFonts w:hint="default" w:ascii="Calibri" w:hAnsi="Calibri" w:eastAsia="宋体" w:cs="Calibri"/>
                      <w:i w:val="0"/>
                      <w:iCs w:val="0"/>
                      <w:color w:val="auto"/>
                      <w:kern w:val="2"/>
                      <w:sz w:val="21"/>
                      <w:szCs w:val="21"/>
                      <w:u w:val="none"/>
                      <w:lang w:val="en-US" w:eastAsia="zh-CN" w:bidi="ar-SA"/>
                    </w:rPr>
                  </w:pPr>
                  <w:r>
                    <w:rPr>
                      <w:rFonts w:hint="default" w:ascii="Calibri" w:hAnsi="Calibri" w:cs="Calibri"/>
                      <w:i w:val="0"/>
                      <w:iCs w:val="0"/>
                      <w:color w:val="auto"/>
                      <w:kern w:val="2"/>
                      <w:sz w:val="21"/>
                      <w:szCs w:val="21"/>
                      <w:u w:val="none"/>
                      <w:lang w:val="en-US" w:eastAsia="zh-CN" w:bidi="ar-SA"/>
                    </w:rPr>
                    <w:t>0</w:t>
                  </w:r>
                </w:p>
              </w:tc>
              <w:tc>
                <w:tcPr>
                  <w:tcW w:w="1016" w:type="pct"/>
                  <w:tcBorders>
                    <w:tl2br w:val="nil"/>
                    <w:tr2bl w:val="nil"/>
                  </w:tcBorders>
                  <w:noWrap w:val="0"/>
                  <w:vAlign w:val="center"/>
                </w:tcPr>
                <w:p w14:paraId="01E2A07C">
                  <w:pPr>
                    <w:jc w:val="center"/>
                    <w:rPr>
                      <w:rFonts w:hint="default" w:ascii="Calibri" w:hAnsi="Calibri" w:eastAsia="宋体" w:cs="Calibri"/>
                      <w:color w:val="auto"/>
                      <w:sz w:val="21"/>
                      <w:szCs w:val="21"/>
                      <w:highlight w:val="none"/>
                      <w:lang w:val="en-US" w:eastAsia="zh-CN"/>
                    </w:rPr>
                  </w:pPr>
                  <w:r>
                    <w:rPr>
                      <w:rFonts w:hint="default" w:ascii="Calibri" w:hAnsi="Calibri" w:cs="Calibri"/>
                      <w:color w:val="auto"/>
                      <w:sz w:val="21"/>
                      <w:szCs w:val="21"/>
                      <w:highlight w:val="none"/>
                      <w:lang w:val="en-US" w:eastAsia="zh-CN"/>
                    </w:rPr>
                    <w:t>/</w:t>
                  </w:r>
                </w:p>
              </w:tc>
              <w:tc>
                <w:tcPr>
                  <w:tcW w:w="898" w:type="pct"/>
                  <w:tcBorders>
                    <w:tl2br w:val="nil"/>
                    <w:tr2bl w:val="nil"/>
                  </w:tcBorders>
                  <w:noWrap w:val="0"/>
                  <w:vAlign w:val="center"/>
                </w:tcPr>
                <w:p w14:paraId="522C013D">
                  <w:pPr>
                    <w:jc w:val="center"/>
                    <w:rPr>
                      <w:rFonts w:hint="default" w:ascii="Calibri" w:hAnsi="Calibri" w:eastAsia="宋体" w:cs="Calibri"/>
                      <w:color w:val="auto"/>
                      <w:sz w:val="21"/>
                      <w:szCs w:val="21"/>
                      <w:lang w:val="en-US" w:eastAsia="zh-CN"/>
                    </w:rPr>
                  </w:pPr>
                  <w:r>
                    <w:rPr>
                      <w:rFonts w:hint="default" w:ascii="Calibri" w:hAnsi="Calibri" w:cs="Calibri"/>
                      <w:color w:val="auto"/>
                      <w:sz w:val="21"/>
                      <w:szCs w:val="21"/>
                      <w:lang w:val="en-US" w:eastAsia="zh-CN"/>
                    </w:rPr>
                    <w:t>2500</w:t>
                  </w:r>
                </w:p>
              </w:tc>
              <w:tc>
                <w:tcPr>
                  <w:tcW w:w="1575" w:type="dxa"/>
                  <w:tcBorders>
                    <w:tl2br w:val="nil"/>
                    <w:tr2bl w:val="nil"/>
                  </w:tcBorders>
                  <w:noWrap w:val="0"/>
                  <w:vAlign w:val="center"/>
                </w:tcPr>
                <w:p w14:paraId="2DB4AF75">
                  <w:pPr>
                    <w:jc w:val="center"/>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sz w:val="21"/>
                      <w:szCs w:val="21"/>
                      <w:highlight w:val="none"/>
                      <w:lang w:val="en-US" w:eastAsia="zh-CN"/>
                    </w:rPr>
                    <w:t>裸岩石砾地</w:t>
                  </w:r>
                </w:p>
              </w:tc>
            </w:tr>
            <w:tr w14:paraId="352EF0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7" w:hRule="atLeast"/>
              </w:trPr>
              <w:tc>
                <w:tcPr>
                  <w:tcW w:w="1252" w:type="pct"/>
                  <w:tcBorders>
                    <w:tl2br w:val="nil"/>
                    <w:tr2bl w:val="nil"/>
                  </w:tcBorders>
                  <w:noWrap w:val="0"/>
                  <w:vAlign w:val="center"/>
                </w:tcPr>
                <w:p w14:paraId="0F583D17">
                  <w:pPr>
                    <w:jc w:val="center"/>
                    <w:rPr>
                      <w:rFonts w:hint="default" w:ascii="Calibri" w:hAnsi="Calibri" w:cs="Calibri"/>
                      <w:color w:val="auto"/>
                      <w:sz w:val="21"/>
                      <w:szCs w:val="21"/>
                      <w:highlight w:val="none"/>
                      <w:lang w:val="en-US" w:eastAsia="zh-CN"/>
                    </w:rPr>
                  </w:pPr>
                  <w:r>
                    <w:rPr>
                      <w:rFonts w:hint="default" w:ascii="Calibri" w:hAnsi="Calibri" w:cs="Calibri"/>
                      <w:color w:val="auto"/>
                      <w:sz w:val="21"/>
                      <w:szCs w:val="21"/>
                      <w:highlight w:val="none"/>
                      <w:lang w:val="en-US" w:eastAsia="zh-CN"/>
                    </w:rPr>
                    <w:t>办公</w:t>
                  </w:r>
                  <w:r>
                    <w:rPr>
                      <w:rFonts w:hint="default" w:ascii="Calibri" w:hAnsi="Calibri" w:eastAsia="宋体" w:cs="Calibri"/>
                      <w:color w:val="auto"/>
                      <w:sz w:val="21"/>
                      <w:szCs w:val="21"/>
                      <w:highlight w:val="none"/>
                      <w:lang w:val="en-US" w:eastAsia="zh-CN"/>
                    </w:rPr>
                    <w:t>生活区</w:t>
                  </w:r>
                </w:p>
              </w:tc>
              <w:tc>
                <w:tcPr>
                  <w:tcW w:w="1309" w:type="dxa"/>
                  <w:tcBorders>
                    <w:tl2br w:val="nil"/>
                    <w:tr2bl w:val="nil"/>
                  </w:tcBorders>
                  <w:noWrap w:val="0"/>
                  <w:vAlign w:val="center"/>
                </w:tcPr>
                <w:p w14:paraId="6321158F">
                  <w:pPr>
                    <w:keepNext w:val="0"/>
                    <w:keepLines w:val="0"/>
                    <w:widowControl/>
                    <w:suppressLineNumbers w:val="0"/>
                    <w:jc w:val="center"/>
                    <w:textAlignment w:val="center"/>
                    <w:rPr>
                      <w:rFonts w:hint="default" w:ascii="Calibri" w:hAnsi="Calibri" w:cs="Calibri"/>
                      <w:i w:val="0"/>
                      <w:iCs w:val="0"/>
                      <w:color w:val="auto"/>
                      <w:kern w:val="2"/>
                      <w:sz w:val="21"/>
                      <w:szCs w:val="21"/>
                      <w:u w:val="none"/>
                      <w:lang w:val="en-US" w:eastAsia="zh-CN" w:bidi="ar-SA"/>
                    </w:rPr>
                  </w:pPr>
                  <w:r>
                    <w:rPr>
                      <w:rFonts w:hint="default" w:ascii="Calibri" w:hAnsi="Calibri" w:cs="Calibri"/>
                      <w:i w:val="0"/>
                      <w:iCs w:val="0"/>
                      <w:color w:val="auto"/>
                      <w:kern w:val="2"/>
                      <w:sz w:val="21"/>
                      <w:szCs w:val="21"/>
                      <w:u w:val="none"/>
                      <w:lang w:val="en-US" w:eastAsia="zh-CN" w:bidi="ar-SA"/>
                    </w:rPr>
                    <w:t>0</w:t>
                  </w:r>
                </w:p>
              </w:tc>
              <w:tc>
                <w:tcPr>
                  <w:tcW w:w="1604" w:type="dxa"/>
                  <w:tcBorders>
                    <w:tl2br w:val="nil"/>
                    <w:tr2bl w:val="nil"/>
                  </w:tcBorders>
                  <w:noWrap w:val="0"/>
                  <w:vAlign w:val="center"/>
                </w:tcPr>
                <w:p w14:paraId="5E2C1BAA">
                  <w:pPr>
                    <w:jc w:val="center"/>
                    <w:rPr>
                      <w:rFonts w:hint="default" w:ascii="Calibri" w:hAnsi="Calibri" w:eastAsia="宋体" w:cs="Calibri"/>
                      <w:color w:val="auto"/>
                      <w:sz w:val="21"/>
                      <w:szCs w:val="21"/>
                      <w:highlight w:val="none"/>
                      <w:lang w:val="en-US" w:eastAsia="zh-CN"/>
                    </w:rPr>
                  </w:pPr>
                  <w:r>
                    <w:rPr>
                      <w:rFonts w:hint="default" w:ascii="Calibri" w:hAnsi="Calibri" w:cs="Calibri"/>
                      <w:color w:val="auto"/>
                      <w:sz w:val="21"/>
                      <w:szCs w:val="21"/>
                      <w:highlight w:val="none"/>
                      <w:lang w:val="en-US" w:eastAsia="zh-CN"/>
                    </w:rPr>
                    <w:t>/</w:t>
                  </w:r>
                </w:p>
              </w:tc>
              <w:tc>
                <w:tcPr>
                  <w:tcW w:w="898" w:type="pct"/>
                  <w:tcBorders>
                    <w:tl2br w:val="nil"/>
                    <w:tr2bl w:val="nil"/>
                  </w:tcBorders>
                  <w:noWrap w:val="0"/>
                  <w:vAlign w:val="center"/>
                </w:tcPr>
                <w:p w14:paraId="2819A6F3">
                  <w:pPr>
                    <w:jc w:val="center"/>
                    <w:rPr>
                      <w:rFonts w:hint="default" w:ascii="Calibri" w:hAnsi="Calibri" w:eastAsia="宋体" w:cs="Calibri"/>
                      <w:color w:val="auto"/>
                      <w:sz w:val="21"/>
                      <w:szCs w:val="21"/>
                      <w:lang w:val="en-US" w:eastAsia="zh-CN"/>
                    </w:rPr>
                  </w:pPr>
                  <w:r>
                    <w:rPr>
                      <w:rFonts w:hint="default" w:ascii="Calibri" w:hAnsi="Calibri" w:cs="Calibri"/>
                      <w:color w:val="auto"/>
                      <w:sz w:val="21"/>
                      <w:szCs w:val="21"/>
                      <w:lang w:val="en-US" w:eastAsia="zh-CN"/>
                    </w:rPr>
                    <w:t>1000</w:t>
                  </w:r>
                </w:p>
              </w:tc>
              <w:tc>
                <w:tcPr>
                  <w:tcW w:w="1575" w:type="dxa"/>
                  <w:tcBorders>
                    <w:tl2br w:val="nil"/>
                    <w:tr2bl w:val="nil"/>
                  </w:tcBorders>
                  <w:noWrap w:val="0"/>
                  <w:vAlign w:val="center"/>
                </w:tcPr>
                <w:p w14:paraId="0250E165">
                  <w:pPr>
                    <w:jc w:val="center"/>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sz w:val="21"/>
                      <w:szCs w:val="21"/>
                      <w:highlight w:val="none"/>
                      <w:lang w:val="en-US" w:eastAsia="zh-CN"/>
                    </w:rPr>
                    <w:t>裸岩石砾地</w:t>
                  </w:r>
                </w:p>
              </w:tc>
            </w:tr>
            <w:tr w14:paraId="11A31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1252" w:type="pct"/>
                  <w:tcBorders>
                    <w:tl2br w:val="nil"/>
                    <w:tr2bl w:val="nil"/>
                  </w:tcBorders>
                  <w:noWrap w:val="0"/>
                  <w:vAlign w:val="center"/>
                </w:tcPr>
                <w:p w14:paraId="28BA91AB">
                  <w:pPr>
                    <w:widowControl/>
                    <w:jc w:val="center"/>
                    <w:textAlignment w:val="center"/>
                    <w:rPr>
                      <w:rFonts w:hint="default" w:ascii="Calibri" w:hAnsi="Calibri" w:eastAsia="宋体" w:cs="Calibri"/>
                      <w:color w:val="auto"/>
                      <w:sz w:val="21"/>
                      <w:szCs w:val="21"/>
                      <w:u w:val="none"/>
                      <w:lang w:val="en-US" w:eastAsia="zh-CN"/>
                    </w:rPr>
                  </w:pPr>
                  <w:r>
                    <w:rPr>
                      <w:rFonts w:hint="default" w:ascii="Calibri" w:hAnsi="Calibri" w:eastAsia="宋体" w:cs="Calibri"/>
                      <w:color w:val="auto"/>
                      <w:sz w:val="21"/>
                      <w:szCs w:val="21"/>
                      <w:u w:val="none"/>
                      <w:lang w:val="en-US" w:eastAsia="zh-CN"/>
                    </w:rPr>
                    <w:t>合计</w:t>
                  </w:r>
                </w:p>
              </w:tc>
              <w:tc>
                <w:tcPr>
                  <w:tcW w:w="829" w:type="pct"/>
                  <w:tcBorders>
                    <w:tl2br w:val="nil"/>
                    <w:tr2bl w:val="nil"/>
                  </w:tcBorders>
                  <w:shd w:val="clear" w:color="auto" w:fill="auto"/>
                  <w:noWrap w:val="0"/>
                  <w:vAlign w:val="center"/>
                </w:tcPr>
                <w:p w14:paraId="5725C36F">
                  <w:pPr>
                    <w:keepNext w:val="0"/>
                    <w:keepLines w:val="0"/>
                    <w:widowControl/>
                    <w:suppressLineNumbers w:val="0"/>
                    <w:jc w:val="center"/>
                    <w:textAlignment w:val="center"/>
                    <w:rPr>
                      <w:rFonts w:hint="default" w:ascii="Calibri" w:hAnsi="Calibri" w:eastAsia="宋体" w:cs="Calibri"/>
                      <w:i w:val="0"/>
                      <w:iCs w:val="0"/>
                      <w:color w:val="auto"/>
                      <w:kern w:val="2"/>
                      <w:sz w:val="22"/>
                      <w:szCs w:val="22"/>
                      <w:u w:val="none"/>
                      <w:lang w:val="en-US" w:eastAsia="zh-CN" w:bidi="ar-SA"/>
                    </w:rPr>
                  </w:pPr>
                  <w:r>
                    <w:rPr>
                      <w:rFonts w:hint="eastAsia" w:ascii="Calibri" w:hAnsi="Calibri" w:cs="Calibri"/>
                      <w:i w:val="0"/>
                      <w:iCs w:val="0"/>
                      <w:color w:val="auto"/>
                      <w:kern w:val="2"/>
                      <w:sz w:val="22"/>
                      <w:szCs w:val="22"/>
                      <w:u w:val="none"/>
                      <w:lang w:val="en-US" w:eastAsia="zh-CN" w:bidi="ar-SA"/>
                    </w:rPr>
                    <w:t>12221</w:t>
                  </w:r>
                </w:p>
              </w:tc>
              <w:tc>
                <w:tcPr>
                  <w:tcW w:w="1016" w:type="pct"/>
                  <w:tcBorders>
                    <w:tl2br w:val="nil"/>
                    <w:tr2bl w:val="nil"/>
                  </w:tcBorders>
                  <w:noWrap w:val="0"/>
                  <w:vAlign w:val="center"/>
                </w:tcPr>
                <w:p w14:paraId="1D9363E1">
                  <w:pPr>
                    <w:jc w:val="center"/>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sz w:val="21"/>
                      <w:szCs w:val="21"/>
                      <w:highlight w:val="none"/>
                      <w:lang w:val="en-US" w:eastAsia="zh-CN"/>
                    </w:rPr>
                    <w:t>/</w:t>
                  </w:r>
                </w:p>
              </w:tc>
              <w:tc>
                <w:tcPr>
                  <w:tcW w:w="898" w:type="pct"/>
                  <w:tcBorders>
                    <w:tl2br w:val="nil"/>
                    <w:tr2bl w:val="nil"/>
                  </w:tcBorders>
                  <w:shd w:val="clear" w:color="auto" w:fill="auto"/>
                  <w:noWrap w:val="0"/>
                  <w:vAlign w:val="center"/>
                </w:tcPr>
                <w:p w14:paraId="2C2E6F18">
                  <w:pPr>
                    <w:keepNext w:val="0"/>
                    <w:keepLines w:val="0"/>
                    <w:widowControl/>
                    <w:suppressLineNumbers w:val="0"/>
                    <w:jc w:val="center"/>
                    <w:textAlignment w:val="center"/>
                    <w:rPr>
                      <w:rFonts w:hint="default" w:ascii="Calibri" w:hAnsi="Calibri" w:eastAsia="宋体" w:cs="Calibri"/>
                      <w:i w:val="0"/>
                      <w:iCs w:val="0"/>
                      <w:color w:val="auto"/>
                      <w:kern w:val="2"/>
                      <w:sz w:val="21"/>
                      <w:szCs w:val="21"/>
                      <w:u w:val="none"/>
                      <w:lang w:val="en-US" w:eastAsia="zh-CN" w:bidi="ar-SA"/>
                    </w:rPr>
                  </w:pPr>
                  <w:r>
                    <w:rPr>
                      <w:rFonts w:hint="eastAsia" w:ascii="Calibri" w:hAnsi="Calibri" w:cs="Calibri"/>
                      <w:i w:val="0"/>
                      <w:iCs w:val="0"/>
                      <w:color w:val="auto"/>
                      <w:kern w:val="2"/>
                      <w:sz w:val="21"/>
                      <w:szCs w:val="21"/>
                      <w:u w:val="none"/>
                      <w:lang w:val="en-US" w:eastAsia="zh-CN" w:bidi="ar-SA"/>
                    </w:rPr>
                    <w:t>224500</w:t>
                  </w:r>
                </w:p>
              </w:tc>
              <w:tc>
                <w:tcPr>
                  <w:tcW w:w="1575" w:type="dxa"/>
                  <w:tcBorders>
                    <w:tl2br w:val="nil"/>
                    <w:tr2bl w:val="nil"/>
                  </w:tcBorders>
                  <w:noWrap w:val="0"/>
                  <w:vAlign w:val="center"/>
                </w:tcPr>
                <w:p w14:paraId="0BDC0066">
                  <w:pPr>
                    <w:jc w:val="center"/>
                    <w:rPr>
                      <w:rFonts w:hint="default" w:ascii="Calibri" w:hAnsi="Calibri" w:eastAsia="宋体" w:cs="Calibri"/>
                      <w:color w:val="auto"/>
                      <w:sz w:val="21"/>
                      <w:szCs w:val="21"/>
                      <w:lang w:eastAsia="zh-CN"/>
                    </w:rPr>
                  </w:pPr>
                  <w:r>
                    <w:rPr>
                      <w:rFonts w:hint="default" w:ascii="Calibri" w:hAnsi="Calibri" w:eastAsia="宋体" w:cs="Calibri"/>
                      <w:color w:val="auto"/>
                      <w:sz w:val="21"/>
                      <w:szCs w:val="21"/>
                      <w:highlight w:val="none"/>
                      <w:lang w:val="en-US" w:eastAsia="zh-CN"/>
                    </w:rPr>
                    <w:t>裸岩石砾地</w:t>
                  </w:r>
                </w:p>
              </w:tc>
            </w:tr>
            <w:tr w14:paraId="18114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atLeast"/>
              </w:trPr>
              <w:tc>
                <w:tcPr>
                  <w:tcW w:w="5000" w:type="pct"/>
                  <w:gridSpan w:val="5"/>
                  <w:tcBorders>
                    <w:tl2br w:val="nil"/>
                    <w:tr2bl w:val="nil"/>
                  </w:tcBorders>
                  <w:shd w:val="clear" w:color="auto" w:fill="auto"/>
                  <w:noWrap w:val="0"/>
                  <w:vAlign w:val="center"/>
                </w:tcPr>
                <w:p w14:paraId="096C2106">
                  <w:pPr>
                    <w:keepNext w:val="0"/>
                    <w:keepLines w:val="0"/>
                    <w:widowControl/>
                    <w:suppressLineNumbers w:val="0"/>
                    <w:jc w:val="center"/>
                    <w:textAlignment w:val="center"/>
                    <w:rPr>
                      <w:rFonts w:hint="default" w:ascii="Calibri" w:hAnsi="Calibri" w:eastAsia="宋体" w:cs="Calibri"/>
                      <w:i w:val="0"/>
                      <w:iCs w:val="0"/>
                      <w:color w:val="auto"/>
                      <w:kern w:val="2"/>
                      <w:sz w:val="22"/>
                      <w:szCs w:val="22"/>
                      <w:u w:val="none"/>
                      <w:lang w:val="en-US" w:eastAsia="zh-CN" w:bidi="ar-SA"/>
                    </w:rPr>
                  </w:pPr>
                  <w:r>
                    <w:rPr>
                      <w:rFonts w:hint="eastAsia" w:ascii="Calibri" w:hAnsi="Calibri" w:cs="Calibri"/>
                      <w:i w:val="0"/>
                      <w:iCs w:val="0"/>
                      <w:color w:val="auto"/>
                      <w:kern w:val="0"/>
                      <w:sz w:val="22"/>
                      <w:szCs w:val="22"/>
                      <w:u w:val="none"/>
                      <w:lang w:val="en-US" w:eastAsia="zh-CN" w:bidi="ar"/>
                    </w:rPr>
                    <w:t>236721</w:t>
                  </w:r>
                  <w:r>
                    <w:rPr>
                      <w:rFonts w:hint="default" w:ascii="Calibri" w:hAnsi="Calibri" w:eastAsia="宋体" w:cs="Calibri"/>
                      <w:i w:val="0"/>
                      <w:iCs w:val="0"/>
                      <w:color w:val="auto"/>
                      <w:kern w:val="0"/>
                      <w:sz w:val="22"/>
                      <w:szCs w:val="22"/>
                      <w:u w:val="none"/>
                      <w:lang w:val="en-US" w:eastAsia="zh-CN" w:bidi="ar"/>
                    </w:rPr>
                    <w:t>m</w:t>
                  </w:r>
                  <w:r>
                    <w:rPr>
                      <w:rFonts w:hint="default" w:ascii="Calibri" w:hAnsi="Calibri" w:eastAsia="宋体" w:cs="Calibri"/>
                      <w:i w:val="0"/>
                      <w:iCs w:val="0"/>
                      <w:color w:val="auto"/>
                      <w:kern w:val="0"/>
                      <w:sz w:val="22"/>
                      <w:szCs w:val="22"/>
                      <w:u w:val="none"/>
                      <w:vertAlign w:val="superscript"/>
                      <w:lang w:val="en-US" w:eastAsia="zh-CN" w:bidi="ar"/>
                    </w:rPr>
                    <w:t>2</w:t>
                  </w:r>
                </w:p>
              </w:tc>
            </w:tr>
          </w:tbl>
          <w:p w14:paraId="6BC1EB09">
            <w:pPr>
              <w:keepNext w:val="0"/>
              <w:keepLines w:val="0"/>
              <w:pageBreakBefore w:val="0"/>
              <w:widowControl w:val="0"/>
              <w:numPr>
                <w:ilvl w:val="0"/>
                <w:numId w:val="0"/>
              </w:numPr>
              <w:kinsoku/>
              <w:wordWrap w:val="0"/>
              <w:overflowPunct/>
              <w:topLinePunct w:val="0"/>
              <w:autoSpaceDE/>
              <w:autoSpaceDN/>
              <w:bidi w:val="0"/>
              <w:adjustRightInd/>
              <w:snapToGrid/>
              <w:spacing w:line="480" w:lineRule="exact"/>
              <w:ind w:left="0" w:leftChars="0" w:firstLine="482" w:firstLineChars="200"/>
              <w:jc w:val="both"/>
              <w:textAlignment w:val="auto"/>
              <w:rPr>
                <w:rFonts w:hint="eastAsia"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4、</w:t>
            </w:r>
            <w:r>
              <w:rPr>
                <w:rFonts w:hint="eastAsia" w:ascii="Times New Roman" w:hAnsi="Times New Roman" w:eastAsia="宋体" w:cs="Times New Roman"/>
                <w:b/>
                <w:bCs/>
                <w:color w:val="auto"/>
                <w:kern w:val="2"/>
                <w:sz w:val="24"/>
                <w:szCs w:val="24"/>
                <w:lang w:val="en-US" w:eastAsia="zh-CN" w:bidi="ar-SA"/>
              </w:rPr>
              <w:t>工程土石方量</w:t>
            </w:r>
          </w:p>
          <w:p w14:paraId="2C284859">
            <w:pPr>
              <w:keepNext w:val="0"/>
              <w:keepLines w:val="0"/>
              <w:pageBreakBefore w:val="0"/>
              <w:widowControl w:val="0"/>
              <w:kinsoku w:val="0"/>
              <w:wordWrap/>
              <w:overflowPunct/>
              <w:topLinePunct w:val="0"/>
              <w:autoSpaceDE/>
              <w:autoSpaceDN/>
              <w:bidi w:val="0"/>
              <w:adjustRightInd/>
              <w:snapToGrid/>
              <w:spacing w:line="480" w:lineRule="exact"/>
              <w:ind w:left="0" w:leftChars="0" w:firstLine="480" w:firstLineChars="200"/>
              <w:jc w:val="both"/>
              <w:textAlignment w:val="auto"/>
              <w:rPr>
                <w:rFonts w:hint="default" w:ascii="Calibri" w:hAnsi="Calibri" w:eastAsia="宋体" w:cs="Calibri"/>
                <w:color w:val="auto"/>
                <w:kern w:val="2"/>
                <w:sz w:val="24"/>
                <w:szCs w:val="24"/>
                <w:lang w:val="en-US" w:eastAsia="zh-CN" w:bidi="ar-SA"/>
              </w:rPr>
            </w:pPr>
            <w:r>
              <w:rPr>
                <w:rFonts w:hint="default" w:ascii="Calibri" w:hAnsi="Calibri" w:eastAsia="宋体" w:cs="Calibri"/>
                <w:color w:val="auto"/>
                <w:kern w:val="2"/>
                <w:sz w:val="24"/>
                <w:szCs w:val="24"/>
                <w:lang w:val="en-US" w:eastAsia="zh-CN" w:bidi="ar-SA"/>
              </w:rPr>
              <w:t>项目土石方开挖量主要来自站场道路开挖、场地基础开挖及塔基基础等开挖，根据设计资料，设计以填方为主，工程开挖总量为</w:t>
            </w:r>
            <w:r>
              <w:rPr>
                <w:rFonts w:hint="default" w:ascii="Calibri" w:hAnsi="Calibri" w:cs="Calibri"/>
                <w:color w:val="auto"/>
                <w:kern w:val="2"/>
                <w:sz w:val="24"/>
                <w:szCs w:val="24"/>
                <w:lang w:val="en-US" w:eastAsia="zh-CN" w:bidi="ar-SA"/>
              </w:rPr>
              <w:t>25128.36</w:t>
            </w:r>
            <w:r>
              <w:rPr>
                <w:rFonts w:hint="default" w:ascii="Calibri" w:hAnsi="Calibri" w:eastAsia="宋体" w:cs="Calibri"/>
                <w:color w:val="auto"/>
                <w:kern w:val="2"/>
                <w:sz w:val="24"/>
                <w:szCs w:val="24"/>
                <w:lang w:val="en-US" w:eastAsia="zh-CN" w:bidi="ar-SA"/>
              </w:rPr>
              <w:t>m³, 土石方回填总量约</w:t>
            </w:r>
            <w:r>
              <w:rPr>
                <w:rFonts w:hint="eastAsia" w:ascii="Calibri" w:hAnsi="Calibri" w:cs="Calibri"/>
                <w:color w:val="auto"/>
                <w:kern w:val="2"/>
                <w:sz w:val="24"/>
                <w:szCs w:val="24"/>
                <w:lang w:val="en-US" w:eastAsia="zh-CN" w:bidi="ar-SA"/>
              </w:rPr>
              <w:t>29763.63</w:t>
            </w:r>
            <w:r>
              <w:rPr>
                <w:rFonts w:hint="default" w:ascii="Calibri" w:hAnsi="Calibri" w:eastAsia="宋体" w:cs="Calibri"/>
                <w:color w:val="auto"/>
                <w:kern w:val="2"/>
                <w:sz w:val="24"/>
                <w:szCs w:val="24"/>
                <w:lang w:val="en-US" w:eastAsia="zh-CN" w:bidi="ar-SA"/>
              </w:rPr>
              <w:t>m³ , 开挖方全部回填，无弃方产生，外借土方</w:t>
            </w:r>
            <w:r>
              <w:rPr>
                <w:rFonts w:hint="eastAsia" w:ascii="Calibri" w:hAnsi="Calibri" w:cs="Calibri"/>
                <w:color w:val="auto"/>
                <w:kern w:val="2"/>
                <w:sz w:val="24"/>
                <w:szCs w:val="24"/>
                <w:lang w:val="en-US" w:eastAsia="zh-CN" w:bidi="ar-SA"/>
              </w:rPr>
              <w:t>4635.27</w:t>
            </w:r>
            <w:r>
              <w:rPr>
                <w:rFonts w:hint="default" w:ascii="Calibri" w:hAnsi="Calibri" w:eastAsia="宋体" w:cs="Calibri"/>
                <w:color w:val="auto"/>
                <w:kern w:val="2"/>
                <w:sz w:val="24"/>
                <w:szCs w:val="24"/>
                <w:lang w:val="en-US" w:eastAsia="zh-CN" w:bidi="ar-SA"/>
              </w:rPr>
              <w:t>m</w:t>
            </w:r>
            <w:r>
              <w:rPr>
                <w:rFonts w:hint="default" w:ascii="Calibri" w:hAnsi="Calibri" w:eastAsia="宋体" w:cs="Calibri"/>
                <w:color w:val="auto"/>
                <w:kern w:val="2"/>
                <w:sz w:val="24"/>
                <w:szCs w:val="24"/>
                <w:vertAlign w:val="superscript"/>
                <w:lang w:val="en-US" w:eastAsia="zh-CN" w:bidi="ar-SA"/>
              </w:rPr>
              <w:t>3</w:t>
            </w:r>
            <w:r>
              <w:rPr>
                <w:rFonts w:hint="default" w:ascii="Calibri" w:hAnsi="Calibri" w:eastAsia="宋体" w:cs="Calibri"/>
                <w:color w:val="auto"/>
                <w:kern w:val="2"/>
                <w:sz w:val="24"/>
                <w:szCs w:val="24"/>
                <w:lang w:val="en-US" w:eastAsia="zh-CN" w:bidi="ar-SA"/>
              </w:rPr>
              <w:t>，填方不足部分拟就近从若羌县购入，无弃土弃方外排</w:t>
            </w:r>
            <w:r>
              <w:rPr>
                <w:rFonts w:hint="default" w:ascii="Calibri" w:hAnsi="Calibri" w:cs="Calibri"/>
                <w:color w:val="auto"/>
                <w:kern w:val="2"/>
                <w:sz w:val="24"/>
                <w:szCs w:val="24"/>
                <w:lang w:val="en-US" w:eastAsia="zh-CN" w:bidi="ar-SA"/>
              </w:rPr>
              <w:t>。</w:t>
            </w:r>
          </w:p>
          <w:p w14:paraId="058D339F">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Calibri" w:hAnsi="Calibri" w:eastAsia="宋体" w:cs="Calibri"/>
                <w:b/>
                <w:bCs/>
                <w:color w:val="auto"/>
                <w:kern w:val="2"/>
                <w:sz w:val="24"/>
                <w:szCs w:val="24"/>
                <w:lang w:val="en-US" w:eastAsia="zh-CN" w:bidi="ar-SA"/>
              </w:rPr>
            </w:pPr>
            <w:r>
              <w:rPr>
                <w:rFonts w:hint="default" w:ascii="Calibri" w:hAnsi="Calibri" w:eastAsia="宋体" w:cs="Calibri"/>
                <w:b/>
                <w:bCs/>
                <w:color w:val="auto"/>
                <w:kern w:val="2"/>
                <w:sz w:val="24"/>
                <w:szCs w:val="24"/>
                <w:lang w:val="en-US" w:eastAsia="zh-CN" w:bidi="ar-SA"/>
              </w:rPr>
              <w:t>表2-</w:t>
            </w:r>
            <w:r>
              <w:rPr>
                <w:rFonts w:hint="eastAsia" w:ascii="Calibri" w:hAnsi="Calibri" w:cs="Calibri"/>
                <w:b/>
                <w:bCs/>
                <w:color w:val="auto"/>
                <w:kern w:val="2"/>
                <w:sz w:val="24"/>
                <w:szCs w:val="24"/>
                <w:lang w:val="en-US" w:eastAsia="zh-CN" w:bidi="ar-SA"/>
              </w:rPr>
              <w:t>5</w:t>
            </w:r>
            <w:r>
              <w:rPr>
                <w:rFonts w:hint="default" w:ascii="Calibri" w:hAnsi="Calibri" w:eastAsia="宋体" w:cs="Calibri"/>
                <w:b/>
                <w:bCs/>
                <w:color w:val="auto"/>
                <w:kern w:val="2"/>
                <w:sz w:val="24"/>
                <w:szCs w:val="24"/>
                <w:lang w:val="en-US" w:eastAsia="zh-CN" w:bidi="ar-SA"/>
              </w:rPr>
              <w:t xml:space="preserve">    本土石方一览表    单位：m³</w:t>
            </w:r>
          </w:p>
          <w:tbl>
            <w:tblPr>
              <w:tblStyle w:val="22"/>
              <w:tblW w:w="496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891"/>
              <w:gridCol w:w="1828"/>
              <w:gridCol w:w="1812"/>
              <w:gridCol w:w="2258"/>
            </w:tblGrid>
            <w:tr w14:paraId="66A30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214" w:type="pct"/>
                  <w:tcBorders>
                    <w:tl2br w:val="nil"/>
                    <w:tr2bl w:val="nil"/>
                  </w:tcBorders>
                  <w:noWrap/>
                  <w:vAlign w:val="center"/>
                </w:tcPr>
                <w:p w14:paraId="5B8A49B4">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序号</w:t>
                  </w:r>
                </w:p>
              </w:tc>
              <w:tc>
                <w:tcPr>
                  <w:tcW w:w="1173" w:type="pct"/>
                  <w:tcBorders>
                    <w:tl2br w:val="nil"/>
                    <w:tr2bl w:val="nil"/>
                  </w:tcBorders>
                  <w:noWrap/>
                  <w:vAlign w:val="center"/>
                </w:tcPr>
                <w:p w14:paraId="767A1E4C">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土方开挖</w:t>
                  </w:r>
                </w:p>
              </w:tc>
              <w:tc>
                <w:tcPr>
                  <w:tcW w:w="1163" w:type="pct"/>
                  <w:tcBorders>
                    <w:tl2br w:val="nil"/>
                    <w:tr2bl w:val="nil"/>
                  </w:tcBorders>
                  <w:noWrap/>
                  <w:vAlign w:val="center"/>
                </w:tcPr>
                <w:p w14:paraId="502CB7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土方</w:t>
                  </w:r>
                  <w:r>
                    <w:rPr>
                      <w:rFonts w:hint="eastAsia" w:ascii="Times New Roman" w:hAnsi="Times New Roman" w:eastAsia="宋体" w:cs="Times New Roman"/>
                      <w:color w:val="auto"/>
                      <w:sz w:val="21"/>
                      <w:szCs w:val="21"/>
                      <w:lang w:val="en-US" w:eastAsia="zh-CN"/>
                    </w:rPr>
                    <w:t>填方</w:t>
                  </w:r>
                </w:p>
              </w:tc>
              <w:tc>
                <w:tcPr>
                  <w:tcW w:w="1449" w:type="pct"/>
                  <w:tcBorders>
                    <w:tl2br w:val="nil"/>
                    <w:tr2bl w:val="nil"/>
                  </w:tcBorders>
                  <w:noWrap/>
                  <w:vAlign w:val="center"/>
                </w:tcPr>
                <w:p w14:paraId="362223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土方外购</w:t>
                  </w:r>
                </w:p>
              </w:tc>
            </w:tr>
            <w:tr w14:paraId="098F28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1214" w:type="pct"/>
                  <w:tcBorders>
                    <w:tl2br w:val="nil"/>
                    <w:tr2bl w:val="nil"/>
                  </w:tcBorders>
                  <w:noWrap/>
                  <w:vAlign w:val="center"/>
                </w:tcPr>
                <w:p w14:paraId="5784865F">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输电线路</w:t>
                  </w:r>
                </w:p>
              </w:tc>
              <w:tc>
                <w:tcPr>
                  <w:tcW w:w="1173" w:type="pct"/>
                  <w:tcBorders>
                    <w:tl2br w:val="nil"/>
                    <w:tr2bl w:val="nil"/>
                  </w:tcBorders>
                  <w:shd w:val="clear" w:color="auto" w:fill="auto"/>
                  <w:noWrap/>
                  <w:vAlign w:val="center"/>
                </w:tcPr>
                <w:p w14:paraId="41D6FF3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i w:val="0"/>
                      <w:iCs w:val="0"/>
                      <w:color w:val="auto"/>
                      <w:sz w:val="21"/>
                      <w:szCs w:val="21"/>
                      <w:u w:val="none"/>
                      <w:lang w:val="en-US" w:eastAsia="zh-CN"/>
                    </w:rPr>
                    <w:t>22672.92</w:t>
                  </w:r>
                </w:p>
              </w:tc>
              <w:tc>
                <w:tcPr>
                  <w:tcW w:w="1163" w:type="pct"/>
                  <w:tcBorders>
                    <w:tl2br w:val="nil"/>
                    <w:tr2bl w:val="nil"/>
                  </w:tcBorders>
                  <w:noWrap/>
                  <w:vAlign w:val="center"/>
                </w:tcPr>
                <w:p w14:paraId="6AF1870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i w:val="0"/>
                      <w:iCs w:val="0"/>
                      <w:color w:val="auto"/>
                      <w:sz w:val="21"/>
                      <w:szCs w:val="21"/>
                      <w:u w:val="none"/>
                      <w:lang w:val="en-US" w:eastAsia="zh-CN"/>
                    </w:rPr>
                    <w:t>22672.92</w:t>
                  </w:r>
                </w:p>
              </w:tc>
              <w:tc>
                <w:tcPr>
                  <w:tcW w:w="1449" w:type="pct"/>
                  <w:tcBorders>
                    <w:tl2br w:val="nil"/>
                    <w:tr2bl w:val="nil"/>
                  </w:tcBorders>
                  <w:noWrap/>
                  <w:vAlign w:val="center"/>
                </w:tcPr>
                <w:p w14:paraId="524EDEBB">
                  <w:pPr>
                    <w:widowControl/>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w:t>
                  </w:r>
                </w:p>
              </w:tc>
            </w:tr>
            <w:tr w14:paraId="104E3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1214" w:type="pct"/>
                  <w:tcBorders>
                    <w:tl2br w:val="nil"/>
                    <w:tr2bl w:val="nil"/>
                  </w:tcBorders>
                  <w:noWrap/>
                  <w:vAlign w:val="center"/>
                </w:tcPr>
                <w:p w14:paraId="695D9680">
                  <w:pPr>
                    <w:widowControl/>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变电站</w:t>
                  </w:r>
                </w:p>
              </w:tc>
              <w:tc>
                <w:tcPr>
                  <w:tcW w:w="1173" w:type="pct"/>
                  <w:tcBorders>
                    <w:tl2br w:val="nil"/>
                    <w:tr2bl w:val="nil"/>
                  </w:tcBorders>
                  <w:shd w:val="clear" w:color="auto" w:fill="auto"/>
                  <w:noWrap/>
                  <w:vAlign w:val="center"/>
                </w:tcPr>
                <w:p w14:paraId="6030BA86">
                  <w:pPr>
                    <w:keepNext w:val="0"/>
                    <w:keepLines w:val="0"/>
                    <w:widowControl/>
                    <w:suppressLineNumbers w:val="0"/>
                    <w:jc w:val="center"/>
                    <w:textAlignment w:val="center"/>
                    <w:rPr>
                      <w:rFonts w:hint="default" w:cs="Times New Roman"/>
                      <w:color w:val="auto"/>
                      <w:kern w:val="0"/>
                      <w:sz w:val="21"/>
                      <w:szCs w:val="21"/>
                      <w:lang w:val="en-US" w:eastAsia="zh-CN"/>
                    </w:rPr>
                  </w:pPr>
                  <w:r>
                    <w:rPr>
                      <w:rFonts w:hint="eastAsia" w:cs="Times New Roman"/>
                      <w:i w:val="0"/>
                      <w:iCs w:val="0"/>
                      <w:color w:val="auto"/>
                      <w:sz w:val="21"/>
                      <w:szCs w:val="21"/>
                      <w:u w:val="none"/>
                      <w:lang w:val="en-US" w:eastAsia="zh-CN"/>
                    </w:rPr>
                    <w:t>2455.44</w:t>
                  </w:r>
                </w:p>
              </w:tc>
              <w:tc>
                <w:tcPr>
                  <w:tcW w:w="1163" w:type="pct"/>
                  <w:tcBorders>
                    <w:tl2br w:val="nil"/>
                    <w:tr2bl w:val="nil"/>
                  </w:tcBorders>
                  <w:noWrap/>
                  <w:vAlign w:val="center"/>
                </w:tcPr>
                <w:p w14:paraId="6C00270E">
                  <w:pPr>
                    <w:keepNext w:val="0"/>
                    <w:keepLines w:val="0"/>
                    <w:widowControl/>
                    <w:suppressLineNumbers w:val="0"/>
                    <w:jc w:val="center"/>
                    <w:textAlignment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7090.71</w:t>
                  </w:r>
                </w:p>
              </w:tc>
              <w:tc>
                <w:tcPr>
                  <w:tcW w:w="1449" w:type="pct"/>
                  <w:tcBorders>
                    <w:tl2br w:val="nil"/>
                    <w:tr2bl w:val="nil"/>
                  </w:tcBorders>
                  <w:noWrap/>
                  <w:vAlign w:val="center"/>
                </w:tcPr>
                <w:p w14:paraId="025BEE09">
                  <w:pPr>
                    <w:widowControl/>
                    <w:jc w:val="center"/>
                    <w:rPr>
                      <w:rFonts w:hint="default" w:cs="Times New Roman"/>
                      <w:color w:val="auto"/>
                      <w:kern w:val="0"/>
                      <w:sz w:val="21"/>
                      <w:szCs w:val="21"/>
                      <w:lang w:val="en-US" w:eastAsia="zh-CN"/>
                    </w:rPr>
                  </w:pPr>
                  <w:r>
                    <w:rPr>
                      <w:rFonts w:hint="eastAsia" w:cs="Times New Roman"/>
                      <w:i w:val="0"/>
                      <w:iCs w:val="0"/>
                      <w:color w:val="auto"/>
                      <w:sz w:val="21"/>
                      <w:szCs w:val="21"/>
                      <w:u w:val="none"/>
                      <w:lang w:val="en-US" w:eastAsia="zh-CN"/>
                    </w:rPr>
                    <w:t>4635.27</w:t>
                  </w:r>
                </w:p>
              </w:tc>
            </w:tr>
            <w:tr w14:paraId="07232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1214" w:type="pct"/>
                  <w:tcBorders>
                    <w:tl2br w:val="nil"/>
                    <w:tr2bl w:val="nil"/>
                  </w:tcBorders>
                  <w:noWrap/>
                  <w:vAlign w:val="center"/>
                </w:tcPr>
                <w:p w14:paraId="668F22E6">
                  <w:pPr>
                    <w:widowControl/>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合计</w:t>
                  </w:r>
                </w:p>
              </w:tc>
              <w:tc>
                <w:tcPr>
                  <w:tcW w:w="1173" w:type="pct"/>
                  <w:tcBorders>
                    <w:tl2br w:val="nil"/>
                    <w:tr2bl w:val="nil"/>
                  </w:tcBorders>
                  <w:shd w:val="clear" w:color="auto" w:fill="auto"/>
                  <w:noWrap/>
                  <w:vAlign w:val="center"/>
                </w:tcPr>
                <w:p w14:paraId="31436D7B">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u w:val="none"/>
                      <w:lang w:val="en-US" w:eastAsia="zh-CN" w:bidi="ar-SA"/>
                    </w:rPr>
                  </w:pPr>
                  <w:r>
                    <w:rPr>
                      <w:rFonts w:hint="eastAsia" w:cs="Times New Roman"/>
                      <w:i w:val="0"/>
                      <w:iCs w:val="0"/>
                      <w:color w:val="auto"/>
                      <w:kern w:val="0"/>
                      <w:sz w:val="21"/>
                      <w:szCs w:val="21"/>
                      <w:u w:val="none"/>
                      <w:lang w:val="en-US" w:eastAsia="zh-CN" w:bidi="ar-SA"/>
                    </w:rPr>
                    <w:t>25128.36</w:t>
                  </w:r>
                </w:p>
              </w:tc>
              <w:tc>
                <w:tcPr>
                  <w:tcW w:w="1163" w:type="pct"/>
                  <w:tcBorders>
                    <w:tl2br w:val="nil"/>
                    <w:tr2bl w:val="nil"/>
                  </w:tcBorders>
                  <w:shd w:val="clear" w:color="auto" w:fill="auto"/>
                  <w:noWrap/>
                  <w:vAlign w:val="center"/>
                </w:tcPr>
                <w:p w14:paraId="52BC8C4C">
                  <w:pPr>
                    <w:keepNext w:val="0"/>
                    <w:keepLines w:val="0"/>
                    <w:widowControl/>
                    <w:suppressLineNumbers w:val="0"/>
                    <w:jc w:val="center"/>
                    <w:textAlignment w:val="auto"/>
                    <w:rPr>
                      <w:rFonts w:hint="default" w:ascii="Times New Roman" w:hAnsi="Times New Roman" w:eastAsia="宋体" w:cs="Times New Roman"/>
                      <w:i w:val="0"/>
                      <w:iCs w:val="0"/>
                      <w:color w:val="auto"/>
                      <w:kern w:val="0"/>
                      <w:sz w:val="21"/>
                      <w:szCs w:val="21"/>
                      <w:u w:val="none"/>
                      <w:lang w:val="en-US" w:eastAsia="zh-CN" w:bidi="ar-SA"/>
                    </w:rPr>
                  </w:pPr>
                  <w:r>
                    <w:rPr>
                      <w:rFonts w:hint="eastAsia" w:cs="Times New Roman"/>
                      <w:i w:val="0"/>
                      <w:iCs w:val="0"/>
                      <w:color w:val="auto"/>
                      <w:kern w:val="0"/>
                      <w:sz w:val="21"/>
                      <w:szCs w:val="21"/>
                      <w:u w:val="none"/>
                      <w:lang w:val="en-US" w:eastAsia="zh-CN" w:bidi="ar-SA"/>
                    </w:rPr>
                    <w:t>29763.63</w:t>
                  </w:r>
                </w:p>
              </w:tc>
              <w:tc>
                <w:tcPr>
                  <w:tcW w:w="1449" w:type="pct"/>
                  <w:tcBorders>
                    <w:tl2br w:val="nil"/>
                    <w:tr2bl w:val="nil"/>
                  </w:tcBorders>
                  <w:noWrap/>
                  <w:vAlign w:val="center"/>
                </w:tcPr>
                <w:p w14:paraId="29E6946B">
                  <w:pPr>
                    <w:widowControl/>
                    <w:jc w:val="center"/>
                    <w:rPr>
                      <w:rFonts w:hint="default" w:cs="Times New Roman"/>
                      <w:color w:val="auto"/>
                      <w:kern w:val="0"/>
                      <w:sz w:val="21"/>
                      <w:szCs w:val="21"/>
                      <w:lang w:val="en-US" w:eastAsia="zh-CN"/>
                    </w:rPr>
                  </w:pPr>
                  <w:r>
                    <w:rPr>
                      <w:rFonts w:hint="eastAsia" w:cs="Times New Roman"/>
                      <w:color w:val="auto"/>
                      <w:kern w:val="0"/>
                      <w:sz w:val="21"/>
                      <w:szCs w:val="21"/>
                      <w:lang w:val="en-US" w:eastAsia="zh-CN"/>
                    </w:rPr>
                    <w:t>4635.27</w:t>
                  </w:r>
                </w:p>
              </w:tc>
            </w:tr>
          </w:tbl>
          <w:p w14:paraId="68737D67">
            <w:pPr>
              <w:adjustRightInd w:val="0"/>
              <w:snapToGrid w:val="0"/>
              <w:jc w:val="left"/>
              <w:rPr>
                <w:rFonts w:ascii="宋体" w:hAnsi="宋体" w:cs="宋体"/>
                <w:color w:val="auto"/>
                <w:kern w:val="0"/>
                <w:sz w:val="24"/>
                <w:szCs w:val="24"/>
              </w:rPr>
            </w:pPr>
          </w:p>
        </w:tc>
      </w:tr>
      <w:tr w14:paraId="49121D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227" w:type="pct"/>
            <w:noWrap w:val="0"/>
            <w:vAlign w:val="center"/>
          </w:tcPr>
          <w:p w14:paraId="07968DA1">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施工方案</w:t>
            </w:r>
          </w:p>
        </w:tc>
        <w:tc>
          <w:tcPr>
            <w:tcW w:w="4772" w:type="pct"/>
            <w:noWrap w:val="0"/>
            <w:vAlign w:val="top"/>
          </w:tcPr>
          <w:p w14:paraId="50F24586">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left"/>
              <w:textAlignment w:val="auto"/>
              <w:rPr>
                <w:rFonts w:hint="eastAsia" w:ascii="宋体" w:hAnsi="宋体" w:cs="宋体"/>
                <w:b/>
                <w:bCs/>
                <w:color w:val="auto"/>
                <w:kern w:val="0"/>
                <w:sz w:val="24"/>
                <w:szCs w:val="24"/>
                <w:lang w:val="en-US" w:eastAsia="zh-CN"/>
              </w:rPr>
            </w:pPr>
            <w:r>
              <w:rPr>
                <w:rFonts w:hint="eastAsia" w:ascii="宋体" w:hAnsi="宋体" w:cs="宋体"/>
                <w:b/>
                <w:bCs/>
                <w:color w:val="auto"/>
                <w:kern w:val="0"/>
                <w:sz w:val="24"/>
                <w:szCs w:val="24"/>
                <w:lang w:val="en-US" w:eastAsia="zh-CN"/>
              </w:rPr>
              <w:t>1.施工工艺和工序</w:t>
            </w:r>
          </w:p>
          <w:p w14:paraId="7019CEBD">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left"/>
              <w:textAlignment w:val="auto"/>
              <w:rPr>
                <w:rFonts w:hint="default" w:ascii="宋体" w:hAnsi="宋体" w:cs="宋体"/>
                <w:b/>
                <w:bCs/>
                <w:color w:val="auto"/>
                <w:kern w:val="0"/>
                <w:sz w:val="24"/>
                <w:szCs w:val="24"/>
                <w:lang w:val="en-US" w:eastAsia="zh-CN"/>
              </w:rPr>
            </w:pPr>
            <w:r>
              <w:rPr>
                <w:rFonts w:hint="eastAsia" w:ascii="宋体" w:hAnsi="宋体" w:cs="宋体"/>
                <w:b/>
                <w:bCs/>
                <w:color w:val="auto"/>
                <w:kern w:val="0"/>
                <w:sz w:val="24"/>
                <w:szCs w:val="24"/>
                <w:lang w:val="en-US" w:eastAsia="zh-CN"/>
              </w:rPr>
              <w:t>1.1输变电线路</w:t>
            </w:r>
          </w:p>
          <w:p w14:paraId="0F505723">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Calibri" w:hAnsi="Calibri" w:eastAsia="宋体" w:cs="Calibri"/>
                <w:color w:val="auto"/>
                <w:sz w:val="24"/>
                <w:szCs w:val="24"/>
              </w:rPr>
            </w:pPr>
            <w:r>
              <w:rPr>
                <w:rFonts w:hint="default" w:ascii="Calibri" w:hAnsi="Calibri" w:eastAsia="宋体" w:cs="Calibri"/>
                <w:color w:val="auto"/>
                <w:kern w:val="0"/>
                <w:sz w:val="24"/>
                <w:szCs w:val="24"/>
                <w:lang w:val="en-US" w:eastAsia="zh-CN" w:bidi="ar"/>
              </w:rPr>
              <w:t xml:space="preserve">（1）塔基基础施工 </w:t>
            </w:r>
          </w:p>
          <w:p w14:paraId="13DAD530">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Calibri" w:hAnsi="Calibri" w:eastAsia="宋体" w:cs="Calibri"/>
                <w:color w:val="auto"/>
                <w:sz w:val="24"/>
                <w:szCs w:val="24"/>
              </w:rPr>
            </w:pPr>
            <w:r>
              <w:rPr>
                <w:rFonts w:hint="default" w:ascii="Calibri" w:hAnsi="Calibri" w:eastAsia="宋体" w:cs="Calibri"/>
                <w:color w:val="auto"/>
                <w:kern w:val="0"/>
                <w:sz w:val="24"/>
                <w:szCs w:val="24"/>
                <w:lang w:val="en-US" w:eastAsia="zh-CN" w:bidi="ar"/>
              </w:rPr>
              <w:t>基坑开挖过程中要做好临时堆土的防护，同时对临时堆土进行及时苫盖。</w:t>
            </w:r>
          </w:p>
          <w:p w14:paraId="070231A8">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Calibri" w:hAnsi="Calibri" w:eastAsia="宋体" w:cs="Calibri"/>
                <w:color w:val="auto"/>
                <w:sz w:val="24"/>
                <w:szCs w:val="24"/>
              </w:rPr>
            </w:pPr>
            <w:r>
              <w:rPr>
                <w:rFonts w:hint="default" w:ascii="Calibri" w:hAnsi="Calibri" w:eastAsia="宋体" w:cs="Calibri"/>
                <w:color w:val="auto"/>
                <w:kern w:val="0"/>
                <w:sz w:val="24"/>
                <w:szCs w:val="24"/>
                <w:lang w:val="en-US" w:eastAsia="zh-CN" w:bidi="ar"/>
              </w:rPr>
              <w:t>1）基坑开挖</w:t>
            </w:r>
          </w:p>
          <w:p w14:paraId="5C0B5DD5">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Calibri" w:hAnsi="Calibri" w:eastAsia="宋体" w:cs="Calibri"/>
                <w:color w:val="auto"/>
                <w:sz w:val="24"/>
                <w:szCs w:val="24"/>
              </w:rPr>
            </w:pPr>
            <w:r>
              <w:rPr>
                <w:rFonts w:hint="default" w:ascii="Calibri" w:hAnsi="Calibri" w:eastAsia="宋体" w:cs="Calibri"/>
                <w:color w:val="auto"/>
                <w:kern w:val="0"/>
                <w:sz w:val="24"/>
                <w:szCs w:val="24"/>
                <w:lang w:val="en-US" w:eastAsia="zh-CN" w:bidi="ar"/>
              </w:rPr>
              <w:t>在挖掘前首先清理基面及基面附近的浮石等杂物，开挖自上而下进行，基坑四壁保持稳定放坡或用挡土板支护。在交通条件许可的塔位采用挖掘机突击挖坑的方式，以缩短挖坑的时间，避免坑壁坍塌。基坑开挖尽量保持坑壁</w:t>
            </w:r>
            <w:r>
              <w:rPr>
                <w:rFonts w:hint="default" w:ascii="Calibri" w:hAnsi="Calibri" w:cs="Calibri"/>
                <w:color w:val="auto"/>
                <w:kern w:val="0"/>
                <w:sz w:val="24"/>
                <w:szCs w:val="24"/>
                <w:lang w:val="en-US" w:eastAsia="zh-CN" w:bidi="ar"/>
              </w:rPr>
              <w:t>成形</w:t>
            </w:r>
            <w:r>
              <w:rPr>
                <w:rFonts w:hint="default" w:ascii="Calibri" w:hAnsi="Calibri" w:eastAsia="宋体" w:cs="Calibri"/>
                <w:color w:val="auto"/>
                <w:kern w:val="0"/>
                <w:sz w:val="24"/>
                <w:szCs w:val="24"/>
                <w:lang w:val="en-US" w:eastAsia="zh-CN" w:bidi="ar"/>
              </w:rPr>
              <w:t>完好，临时堆土就近堆放在基坑附近，基坑开挖好后浇筑混凝土。</w:t>
            </w:r>
          </w:p>
          <w:p w14:paraId="7E765BD0">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Calibri" w:hAnsi="Calibri" w:eastAsia="宋体" w:cs="Calibri"/>
                <w:color w:val="auto"/>
                <w:sz w:val="24"/>
                <w:szCs w:val="24"/>
              </w:rPr>
            </w:pPr>
            <w:r>
              <w:rPr>
                <w:rFonts w:hint="default" w:ascii="Calibri" w:hAnsi="Calibri" w:eastAsia="宋体" w:cs="Calibri"/>
                <w:color w:val="auto"/>
                <w:kern w:val="0"/>
                <w:sz w:val="24"/>
                <w:szCs w:val="24"/>
                <w:lang w:val="en-US" w:eastAsia="zh-CN" w:bidi="ar"/>
              </w:rPr>
              <w:t>2）塔基开挖</w:t>
            </w:r>
            <w:r>
              <w:rPr>
                <w:rFonts w:hint="default" w:ascii="Calibri" w:hAnsi="Calibri" w:cs="Calibri"/>
                <w:color w:val="auto"/>
                <w:kern w:val="0"/>
                <w:sz w:val="24"/>
                <w:szCs w:val="24"/>
                <w:lang w:val="en-US" w:eastAsia="zh-CN" w:bidi="ar"/>
              </w:rPr>
              <w:t>弃土</w:t>
            </w:r>
            <w:r>
              <w:rPr>
                <w:rFonts w:hint="default" w:ascii="Calibri" w:hAnsi="Calibri" w:eastAsia="宋体" w:cs="Calibri"/>
                <w:color w:val="auto"/>
                <w:kern w:val="0"/>
                <w:sz w:val="24"/>
                <w:szCs w:val="24"/>
                <w:lang w:val="en-US" w:eastAsia="zh-CN" w:bidi="ar"/>
              </w:rPr>
              <w:t>堆放</w:t>
            </w:r>
          </w:p>
          <w:p w14:paraId="570EFAEB">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Calibri" w:hAnsi="Calibri" w:eastAsia="宋体" w:cs="Calibri"/>
                <w:color w:val="auto"/>
                <w:sz w:val="24"/>
                <w:szCs w:val="24"/>
              </w:rPr>
            </w:pPr>
            <w:r>
              <w:rPr>
                <w:rFonts w:hint="default" w:ascii="Calibri" w:hAnsi="Calibri" w:eastAsia="宋体" w:cs="Calibri"/>
                <w:color w:val="auto"/>
                <w:kern w:val="0"/>
                <w:sz w:val="24"/>
                <w:szCs w:val="24"/>
                <w:lang w:val="en-US" w:eastAsia="zh-CN" w:bidi="ar"/>
              </w:rPr>
              <w:t>开挖的土方临时堆放在塔基施工</w:t>
            </w:r>
            <w:r>
              <w:rPr>
                <w:rFonts w:hint="default" w:ascii="Calibri" w:hAnsi="Calibri" w:cs="Calibri"/>
                <w:color w:val="auto"/>
                <w:kern w:val="0"/>
                <w:sz w:val="24"/>
                <w:szCs w:val="24"/>
                <w:lang w:val="en-US" w:eastAsia="zh-CN" w:bidi="ar"/>
              </w:rPr>
              <w:t>场地</w:t>
            </w:r>
            <w:r>
              <w:rPr>
                <w:rFonts w:hint="default" w:ascii="Calibri" w:hAnsi="Calibri" w:eastAsia="宋体" w:cs="Calibri"/>
                <w:color w:val="auto"/>
                <w:kern w:val="0"/>
                <w:sz w:val="24"/>
                <w:szCs w:val="24"/>
                <w:lang w:val="en-US" w:eastAsia="zh-CN" w:bidi="ar"/>
              </w:rPr>
              <w:t>内，塔基挖方平均堆高不超过2.0m。施工完结回填后，多余土方采取就地平整，最终塔基回填后一般仅高出原地面30cm左右。</w:t>
            </w:r>
          </w:p>
          <w:p w14:paraId="71F2B7BD">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Calibri" w:hAnsi="Calibri" w:eastAsia="宋体" w:cs="Calibri"/>
                <w:color w:val="auto"/>
                <w:kern w:val="0"/>
                <w:sz w:val="24"/>
                <w:szCs w:val="24"/>
                <w:lang w:val="en-US" w:eastAsia="zh-CN" w:bidi="ar"/>
              </w:rPr>
            </w:pPr>
            <w:r>
              <w:rPr>
                <w:rFonts w:hint="default" w:ascii="Calibri" w:hAnsi="Calibri" w:eastAsia="宋体" w:cs="Calibri"/>
                <w:color w:val="auto"/>
                <w:kern w:val="0"/>
                <w:sz w:val="24"/>
                <w:szCs w:val="24"/>
                <w:lang w:val="en-US" w:eastAsia="zh-CN" w:bidi="ar"/>
              </w:rPr>
              <w:t>3）混凝土浇筑</w:t>
            </w:r>
          </w:p>
          <w:p w14:paraId="3CD59475">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Calibri" w:hAnsi="Calibri" w:eastAsia="宋体" w:cs="Calibri"/>
                <w:color w:val="auto"/>
                <w:kern w:val="0"/>
                <w:sz w:val="24"/>
                <w:szCs w:val="24"/>
                <w:lang w:val="en-US" w:eastAsia="zh-CN" w:bidi="ar"/>
              </w:rPr>
            </w:pPr>
            <w:r>
              <w:rPr>
                <w:rFonts w:hint="default" w:ascii="Calibri" w:hAnsi="Calibri" w:eastAsia="宋体" w:cs="Calibri"/>
                <w:color w:val="auto"/>
                <w:kern w:val="0"/>
                <w:sz w:val="24"/>
                <w:szCs w:val="24"/>
                <w:lang w:val="en-US" w:eastAsia="zh-CN" w:bidi="ar"/>
              </w:rPr>
              <w:t>塔基基础施工混凝土为商品料，基坑开挖后进行钢筋绑扎，混凝土采用混凝土运输车运输，现场布料浇筑，振动棒进行振捣，最后进行混凝土养护及基坑回填。</w:t>
            </w:r>
          </w:p>
          <w:p w14:paraId="706524FE">
            <w:pPr>
              <w:pStyle w:val="11"/>
              <w:rPr>
                <w:rFonts w:hint="eastAsia"/>
                <w:color w:val="auto"/>
                <w:lang w:val="en-US" w:eastAsia="zh-CN"/>
              </w:rPr>
            </w:pPr>
          </w:p>
          <w:p w14:paraId="2E51FEB9">
            <w:pPr>
              <w:pStyle w:val="11"/>
              <w:rPr>
                <w:rFonts w:hint="eastAsia"/>
                <w:color w:val="auto"/>
                <w:lang w:val="en-US" w:eastAsia="zh-CN"/>
              </w:rPr>
            </w:pPr>
          </w:p>
          <w:p w14:paraId="021C9938">
            <w:pPr>
              <w:pStyle w:val="11"/>
              <w:rPr>
                <w:rFonts w:hint="eastAsia"/>
                <w:color w:val="auto"/>
                <w:lang w:val="en-US" w:eastAsia="zh-CN"/>
              </w:rPr>
            </w:pP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97790</wp:posOffset>
                      </wp:positionH>
                      <wp:positionV relativeFrom="paragraph">
                        <wp:posOffset>135255</wp:posOffset>
                      </wp:positionV>
                      <wp:extent cx="4803140" cy="294640"/>
                      <wp:effectExtent l="5080" t="5080" r="11430" b="5080"/>
                      <wp:wrapNone/>
                      <wp:docPr id="29" name="文本框 29"/>
                      <wp:cNvGraphicFramePr/>
                      <a:graphic xmlns:a="http://schemas.openxmlformats.org/drawingml/2006/main">
                        <a:graphicData uri="http://schemas.microsoft.com/office/word/2010/wordprocessingShape">
                          <wps:wsp>
                            <wps:cNvSpPr txBox="1"/>
                            <wps:spPr>
                              <a:xfrm>
                                <a:off x="1899285" y="4711700"/>
                                <a:ext cx="4803140" cy="2946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E0EE46C">
                                  <w:pPr>
                                    <w:jc w:val="center"/>
                                    <w:rPr>
                                      <w:rFonts w:hint="default" w:eastAsia="宋体"/>
                                      <w:b/>
                                      <w:bCs/>
                                      <w:lang w:val="en-US" w:eastAsia="zh-CN"/>
                                    </w:rPr>
                                  </w:pPr>
                                  <w:r>
                                    <w:rPr>
                                      <w:rFonts w:hint="eastAsia"/>
                                      <w:b/>
                                      <w:bCs/>
                                      <w:lang w:val="en-US" w:eastAsia="zh-CN"/>
                                    </w:rPr>
                                    <w:t>噪声、固废、扬尘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pt;margin-top:10.65pt;height:23.2pt;width:378.2pt;z-index:251666432;mso-width-relative:page;mso-height-relative:page;" fillcolor="#FFFFFF [3201]" filled="t" stroked="t" coordsize="21600,21600" o:gfxdata="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difsB1AAAAAgBAAAPAAAAAAAAAAEAIAAAACIAAABkcnMvZG93bnJldi54bWxQSwECFAAUAAAA&#10;CACHTuJA6CRXymQCAADFBAAADgAAAAAAAAABACAAAAAjAQAAZHJzL2Uyb0RvYy54bWxQSwUGAAAA&#10;AAYABgBZAQAA+QUAAAAA&#10;">
                      <v:fill on="t" focussize="0,0"/>
                      <v:stroke weight="0.5pt" color="#000000 [3204]" joinstyle="round"/>
                      <v:imagedata o:title=""/>
                      <o:lock v:ext="edit" aspectratio="f"/>
                      <v:textbox>
                        <w:txbxContent>
                          <w:p w14:paraId="2E0EE46C">
                            <w:pPr>
                              <w:jc w:val="center"/>
                              <w:rPr>
                                <w:rFonts w:hint="default" w:eastAsia="宋体"/>
                                <w:b/>
                                <w:bCs/>
                                <w:lang w:val="en-US" w:eastAsia="zh-CN"/>
                              </w:rPr>
                            </w:pPr>
                            <w:r>
                              <w:rPr>
                                <w:rFonts w:hint="eastAsia"/>
                                <w:b/>
                                <w:bCs/>
                                <w:lang w:val="en-US" w:eastAsia="zh-CN"/>
                              </w:rPr>
                              <w:t>噪声、固废、扬尘</w:t>
                            </w:r>
                          </w:p>
                        </w:txbxContent>
                      </v:textbox>
                    </v:shape>
                  </w:pict>
                </mc:Fallback>
              </mc:AlternateContent>
            </w:r>
          </w:p>
          <w:p w14:paraId="2D53894D">
            <w:pPr>
              <w:pStyle w:val="11"/>
              <w:rPr>
                <w:rFonts w:hint="eastAsia" w:ascii="宋体" w:hAnsi="宋体" w:eastAsia="宋体" w:cs="宋体"/>
                <w:color w:val="auto"/>
                <w:kern w:val="0"/>
                <w:sz w:val="24"/>
                <w:szCs w:val="24"/>
                <w:lang w:val="en-US" w:eastAsia="zh-CN" w:bidi="ar"/>
              </w:rPr>
            </w:pPr>
          </w:p>
          <w:p w14:paraId="3A24EE21">
            <w:pPr>
              <w:rPr>
                <w:rFonts w:hint="eastAsia" w:ascii="宋体" w:hAnsi="宋体" w:eastAsia="宋体" w:cs="宋体"/>
                <w:color w:val="auto"/>
                <w:kern w:val="0"/>
                <w:sz w:val="24"/>
                <w:szCs w:val="24"/>
                <w:lang w:val="en-US" w:eastAsia="zh-CN" w:bidi="ar"/>
              </w:rPr>
            </w:pP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3018155</wp:posOffset>
                      </wp:positionH>
                      <wp:positionV relativeFrom="paragraph">
                        <wp:posOffset>8255</wp:posOffset>
                      </wp:positionV>
                      <wp:extent cx="8255" cy="511175"/>
                      <wp:effectExtent l="43815" t="0" r="62230" b="3175"/>
                      <wp:wrapNone/>
                      <wp:docPr id="13" name="直接箭头连接符 13"/>
                      <wp:cNvGraphicFramePr/>
                      <a:graphic xmlns:a="http://schemas.openxmlformats.org/drawingml/2006/main">
                        <a:graphicData uri="http://schemas.microsoft.com/office/word/2010/wordprocessingShape">
                          <wps:wsp>
                            <wps:cNvCnPr/>
                            <wps:spPr>
                              <a:xfrm flipV="1">
                                <a:off x="0" y="0"/>
                                <a:ext cx="8255" cy="511175"/>
                              </a:xfrm>
                              <a:prstGeom prst="straightConnector1">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37.65pt;margin-top:0.65pt;height:40.25pt;width:0.65pt;z-index:251663360;mso-width-relative:page;mso-height-relative:page;" filled="f" stroked="t" coordsize="21600,21600" o:gfxdata="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p4xFNgAAAAIAQAADwAAAAAAAAABACAA&#10;AAAiAAAAZHJzL2Rvd25yZXYueG1sUEsBAhQAFAAAAAgAh07iQBaZAG0NAgAA7AMAAA4AAAAAAAAA&#10;AQAgAAAAJwEAAGRycy9lMm9Eb2MueG1sUEsFBgAAAAAGAAYAWQEAAKYFAAAAAA==&#10;">
                      <v:fill on="f" focussize="0,0"/>
                      <v:stroke weight="1pt" color="#000000 [3213]" miterlimit="8" joinstyle="miter" dashstyle="dash" endarrow="open"/>
                      <v:imagedata o:title=""/>
                      <o:lock v:ext="edit" aspectratio="f"/>
                    </v:shape>
                  </w:pict>
                </mc:Fallback>
              </mc:AlternateContent>
            </w:r>
          </w:p>
          <w:p w14:paraId="4C4B0D35">
            <w:pPr>
              <w:pStyle w:val="11"/>
              <w:rPr>
                <w:rFonts w:hint="eastAsia"/>
                <w:color w:val="auto"/>
              </w:rPr>
            </w:pP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4752975</wp:posOffset>
                      </wp:positionH>
                      <wp:positionV relativeFrom="paragraph">
                        <wp:posOffset>-311150</wp:posOffset>
                      </wp:positionV>
                      <wp:extent cx="7620" cy="1058545"/>
                      <wp:effectExtent l="50165" t="0" r="56515" b="8255"/>
                      <wp:wrapNone/>
                      <wp:docPr id="28" name="直接箭头连接符 28"/>
                      <wp:cNvGraphicFramePr/>
                      <a:graphic xmlns:a="http://schemas.openxmlformats.org/drawingml/2006/main">
                        <a:graphicData uri="http://schemas.microsoft.com/office/word/2010/wordprocessingShape">
                          <wps:wsp>
                            <wps:cNvCnPr/>
                            <wps:spPr>
                              <a:xfrm flipH="1" flipV="1">
                                <a:off x="0" y="0"/>
                                <a:ext cx="7620" cy="1058545"/>
                              </a:xfrm>
                              <a:prstGeom prst="straightConnector1">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374.25pt;margin-top:-24.5pt;height:83.35pt;width:0.6pt;z-index:251665408;mso-width-relative:page;mso-height-relative:page;" filled="f" stroked="t" coordsize="21600,21600" o:gfxdata="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MssB1wAAAAsBAAAPAAAAAAAA&#10;AAEAIAAAACIAAABkcnMvZG93bnJldi54bWxQSwECFAAUAAAACACHTuJAJ1Fw/RMCAAD3AwAADgAA&#10;AAAAAAABACAAAAAmAQAAZHJzL2Uyb0RvYy54bWxQSwUGAAAAAAYABgBZAQAAqwUAAAAA&#10;">
                      <v:fill on="f" focussize="0,0"/>
                      <v:stroke weight="1pt" color="#000000 [3213]" miterlimit="8" joinstyle="miter" dashstyle="dash" endarrow="open"/>
                      <v:imagedata o:title=""/>
                      <o:lock v:ext="edit" aspectratio="f"/>
                    </v:shape>
                  </w:pict>
                </mc:Fallback>
              </mc:AlternateContent>
            </w: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787400</wp:posOffset>
                      </wp:positionH>
                      <wp:positionV relativeFrom="paragraph">
                        <wp:posOffset>-319405</wp:posOffset>
                      </wp:positionV>
                      <wp:extent cx="8255" cy="946785"/>
                      <wp:effectExtent l="43180" t="0" r="62865" b="5715"/>
                      <wp:wrapNone/>
                      <wp:docPr id="12" name="直接箭头连接符 12"/>
                      <wp:cNvGraphicFramePr/>
                      <a:graphic xmlns:a="http://schemas.openxmlformats.org/drawingml/2006/main">
                        <a:graphicData uri="http://schemas.microsoft.com/office/word/2010/wordprocessingShape">
                          <wps:wsp>
                            <wps:cNvCnPr/>
                            <wps:spPr>
                              <a:xfrm flipV="1">
                                <a:off x="2176780" y="4832985"/>
                                <a:ext cx="8255" cy="946785"/>
                              </a:xfrm>
                              <a:prstGeom prst="straightConnector1">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62pt;margin-top:-25.15pt;height:74.55pt;width:0.65pt;z-index:251662336;mso-width-relative:page;mso-height-relative:page;" filled="f" stroked="t" coordsize="21600,21600" o:gfxdata="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7HHi2QAAAAoB&#10;AAAPAAAAAAAAAAEAIAAAACIAAABkcnMvZG93bnJldi54bWxQSwECFAAUAAAACACHTuJAxRdNWRoC&#10;AAD4AwAADgAAAAAAAAABACAAAAAoAQAAZHJzL2Uyb0RvYy54bWxQSwUGAAAAAAYABgBZAQAAtAUA&#10;AAAA&#10;">
                      <v:fill on="f" focussize="0,0"/>
                      <v:stroke weight="1pt" color="#000000 [3213]" miterlimit="8" joinstyle="miter" dashstyle="dash" endarrow="open"/>
                      <v:imagedata o:title=""/>
                      <o:lock v:ext="edit" aspectratio="f"/>
                    </v:shape>
                  </w:pict>
                </mc:Fallback>
              </mc:AlternateContent>
            </w:r>
          </w:p>
          <w:p w14:paraId="77339D41">
            <w:pPr>
              <w:rPr>
                <w:rFonts w:hint="default" w:ascii="Times New Roman" w:hAnsi="Times New Roman" w:cs="Times New Roman"/>
                <w:color w:val="auto"/>
                <w:lang w:val="en-US" w:eastAsia="zh-CN"/>
              </w:rPr>
            </w:pP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4147185</wp:posOffset>
                      </wp:positionH>
                      <wp:positionV relativeFrom="paragraph">
                        <wp:posOffset>-565150</wp:posOffset>
                      </wp:positionV>
                      <wp:extent cx="10795" cy="1174115"/>
                      <wp:effectExtent l="50165" t="0" r="53340" b="6985"/>
                      <wp:wrapNone/>
                      <wp:docPr id="27" name="直接箭头连接符 27"/>
                      <wp:cNvGraphicFramePr/>
                      <a:graphic xmlns:a="http://schemas.openxmlformats.org/drawingml/2006/main">
                        <a:graphicData uri="http://schemas.microsoft.com/office/word/2010/wordprocessingShape">
                          <wps:wsp>
                            <wps:cNvCnPr/>
                            <wps:spPr>
                              <a:xfrm flipH="1" flipV="1">
                                <a:off x="0" y="0"/>
                                <a:ext cx="10795" cy="1174115"/>
                              </a:xfrm>
                              <a:prstGeom prst="straightConnector1">
                                <a:avLst/>
                              </a:prstGeom>
                              <a:ln>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326.55pt;margin-top:-44.5pt;height:92.45pt;width:0.85pt;z-index:251664384;mso-width-relative:page;mso-height-relative:page;" filled="f" stroked="t" coordsize="21600,21600" o:gfxdata="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SnGEw2AAAAAoBAAAPAAAA&#10;AAAAAAEAIAAAACIAAABkcnMvZG93bnJldi54bWxQSwECFAAUAAAACACHTuJA42RkwBUCAAD4AwAA&#10;DgAAAAAAAAABACAAAAAnAQAAZHJzL2Uyb0RvYy54bWxQSwUGAAAAAAYABgBZAQAArgUAAAAA&#10;">
                      <v:fill on="f" focussize="0,0"/>
                      <v:stroke weight="1pt" color="#000000 [3213]" miterlimit="8" joinstyle="miter" dashstyle="dash" endarrow="open"/>
                      <v:imagedata o:title=""/>
                      <o:lock v:ext="edit" aspectratio="f"/>
                    </v:shape>
                  </w:pict>
                </mc:Fallback>
              </mc:AlternateContent>
            </w:r>
            <w:r>
              <w:rPr>
                <w:rFonts w:hint="default" w:ascii="Times New Roman" w:hAnsi="Times New Roman" w:cs="Times New Roman"/>
                <w:color w:val="auto"/>
              </w:rPr>
              <w:drawing>
                <wp:inline distT="0" distB="0" distL="114300" distR="114300">
                  <wp:extent cx="5062855" cy="2113280"/>
                  <wp:effectExtent l="0" t="0" r="4445" b="127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6"/>
                          <a:stretch>
                            <a:fillRect/>
                          </a:stretch>
                        </pic:blipFill>
                        <pic:spPr>
                          <a:xfrm>
                            <a:off x="0" y="0"/>
                            <a:ext cx="5062855" cy="2113280"/>
                          </a:xfrm>
                          <a:prstGeom prst="rect">
                            <a:avLst/>
                          </a:prstGeom>
                          <a:noFill/>
                          <a:ln>
                            <a:noFill/>
                          </a:ln>
                        </pic:spPr>
                      </pic:pic>
                    </a:graphicData>
                  </a:graphic>
                </wp:inline>
              </w:drawing>
            </w:r>
          </w:p>
          <w:p w14:paraId="144D41D7">
            <w:pPr>
              <w:pStyle w:val="53"/>
              <w:ind w:firstLine="0" w:firstLineChars="0"/>
              <w:rPr>
                <w:rFonts w:hint="default" w:ascii="宋体" w:hAnsi="宋体" w:eastAsia="宋体" w:cs="宋体"/>
                <w:b/>
                <w:bCs/>
                <w:color w:val="auto"/>
                <w:kern w:val="0"/>
                <w:sz w:val="24"/>
                <w:szCs w:val="24"/>
                <w:lang w:val="en-US" w:eastAsia="zh-CN" w:bidi="ar"/>
              </w:rPr>
            </w:pPr>
            <w:r>
              <w:rPr>
                <w:rFonts w:hint="default" w:ascii="宋体" w:hAnsi="宋体" w:eastAsia="宋体" w:cs="宋体"/>
                <w:b/>
                <w:bCs/>
                <w:color w:val="auto"/>
                <w:kern w:val="0"/>
                <w:sz w:val="24"/>
                <w:szCs w:val="24"/>
                <w:lang w:val="en-US" w:eastAsia="zh-CN" w:bidi="ar"/>
              </w:rPr>
              <w:t>图</w:t>
            </w:r>
            <w:r>
              <w:rPr>
                <w:rFonts w:hint="eastAsia" w:ascii="宋体" w:hAnsi="宋体" w:eastAsia="宋体" w:cs="宋体"/>
                <w:b/>
                <w:bCs/>
                <w:color w:val="auto"/>
                <w:kern w:val="0"/>
                <w:sz w:val="24"/>
                <w:szCs w:val="24"/>
                <w:lang w:val="en-US" w:eastAsia="zh-CN" w:bidi="ar"/>
              </w:rPr>
              <w:t xml:space="preserve">2-1    </w:t>
            </w:r>
            <w:r>
              <w:rPr>
                <w:rFonts w:hint="default" w:ascii="宋体" w:hAnsi="宋体" w:eastAsia="宋体" w:cs="宋体"/>
                <w:b/>
                <w:bCs/>
                <w:color w:val="auto"/>
                <w:kern w:val="0"/>
                <w:sz w:val="24"/>
                <w:szCs w:val="24"/>
                <w:lang w:val="en-US" w:eastAsia="zh-CN" w:bidi="ar"/>
              </w:rPr>
              <w:t xml:space="preserve">  基坑施工工艺流程图</w:t>
            </w:r>
          </w:p>
          <w:p w14:paraId="2392D1AB">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Calibri" w:hAnsi="Calibri" w:eastAsia="宋体" w:cs="Calibri"/>
                <w:color w:val="auto"/>
                <w:sz w:val="24"/>
                <w:szCs w:val="24"/>
              </w:rPr>
            </w:pPr>
            <w:r>
              <w:rPr>
                <w:rFonts w:hint="default" w:ascii="Calibri" w:hAnsi="Calibri" w:eastAsia="宋体" w:cs="Calibri"/>
                <w:color w:val="auto"/>
                <w:kern w:val="0"/>
                <w:sz w:val="24"/>
                <w:szCs w:val="24"/>
                <w:lang w:val="en-US" w:eastAsia="zh-CN" w:bidi="ar"/>
              </w:rPr>
              <w:t>（2）铁塔组立施工</w:t>
            </w:r>
          </w:p>
          <w:p w14:paraId="550374BC">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left"/>
              <w:textAlignment w:val="auto"/>
              <w:rPr>
                <w:rFonts w:hint="default" w:ascii="Calibri" w:hAnsi="Calibri" w:cs="Calibri"/>
                <w:color w:val="auto"/>
                <w:sz w:val="24"/>
                <w:szCs w:val="24"/>
                <w:highlight w:val="none"/>
              </w:rPr>
            </w:pPr>
            <w:r>
              <w:rPr>
                <w:rFonts w:hint="default" w:ascii="Calibri" w:hAnsi="Calibri" w:eastAsia="宋体" w:cs="Calibri"/>
                <w:color w:val="auto"/>
                <w:kern w:val="0"/>
                <w:sz w:val="24"/>
                <w:szCs w:val="24"/>
                <w:lang w:val="en-US" w:eastAsia="zh-CN" w:bidi="ar"/>
              </w:rPr>
              <w:t>工程铁塔安装施工采用分解组塔的施工方法。在实际施工工程中，根据铁塔型式、高度、重量及施工场地、施工设备等施工现场施工情况，确定正装分解组塔或倒装分解组塔。利用支立抱杆，吊装铁塔构件，抱杆通过牵引绳的连接拉动，随铁塔高度的增高而上升，各个构件顶端和底部支脚采用螺栓连接。铁塔组立过程中，塔材运输应严格控制在规划的施工道路及人抬道路上，注意减少对原地貌的扰动；地面组装应在规定的作业场地内，避免扰动场地以外的地貌。铁塔组立施工工艺流程，见下图。</w:t>
            </w:r>
          </w:p>
          <w:p w14:paraId="131221A9">
            <w:pPr>
              <w:pStyle w:val="53"/>
              <w:ind w:firstLine="0" w:firstLineChars="0"/>
              <w:rPr>
                <w:rFonts w:hint="default" w:ascii="宋体" w:hAnsi="宋体" w:eastAsia="宋体" w:cs="宋体"/>
                <w:b/>
                <w:bCs/>
                <w:color w:val="auto"/>
                <w:kern w:val="0"/>
                <w:sz w:val="24"/>
                <w:szCs w:val="24"/>
                <w:highlight w:val="none"/>
                <w:lang w:val="en-US" w:eastAsia="zh-CN" w:bidi="ar-SA"/>
              </w:rPr>
            </w:pPr>
            <w:r>
              <w:rPr>
                <w:rFonts w:hint="default" w:ascii="Times New Roman" w:hAnsi="Times New Roman" w:cs="Times New Roman"/>
                <w:color w:val="auto"/>
              </w:rPr>
              <w:drawing>
                <wp:inline distT="0" distB="0" distL="114300" distR="114300">
                  <wp:extent cx="4984115" cy="1673860"/>
                  <wp:effectExtent l="0" t="0" r="6985" b="254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7"/>
                          <a:stretch>
                            <a:fillRect/>
                          </a:stretch>
                        </pic:blipFill>
                        <pic:spPr>
                          <a:xfrm>
                            <a:off x="0" y="0"/>
                            <a:ext cx="4984115" cy="1673860"/>
                          </a:xfrm>
                          <a:prstGeom prst="rect">
                            <a:avLst/>
                          </a:prstGeom>
                          <a:noFill/>
                          <a:ln>
                            <a:noFill/>
                          </a:ln>
                        </pic:spPr>
                      </pic:pic>
                    </a:graphicData>
                  </a:graphic>
                </wp:inline>
              </w:drawing>
            </w:r>
          </w:p>
          <w:p w14:paraId="5DD56C7B">
            <w:pPr>
              <w:pStyle w:val="53"/>
              <w:ind w:firstLine="0" w:firstLineChars="0"/>
              <w:rPr>
                <w:rFonts w:hint="default" w:ascii="宋体" w:hAnsi="宋体" w:eastAsia="宋体" w:cs="宋体"/>
                <w:b/>
                <w:bCs/>
                <w:color w:val="auto"/>
                <w:kern w:val="0"/>
                <w:sz w:val="24"/>
                <w:szCs w:val="24"/>
                <w:highlight w:val="none"/>
                <w:lang w:val="en-US" w:eastAsia="zh-CN" w:bidi="ar-SA"/>
              </w:rPr>
            </w:pPr>
            <w:r>
              <w:rPr>
                <w:rFonts w:hint="default" w:ascii="宋体" w:hAnsi="宋体" w:eastAsia="宋体" w:cs="宋体"/>
                <w:b/>
                <w:bCs/>
                <w:color w:val="auto"/>
                <w:kern w:val="0"/>
                <w:sz w:val="24"/>
                <w:szCs w:val="24"/>
                <w:highlight w:val="none"/>
                <w:lang w:val="en-US" w:eastAsia="zh-CN" w:bidi="ar-SA"/>
              </w:rPr>
              <w:t>图</w:t>
            </w:r>
            <w:r>
              <w:rPr>
                <w:rFonts w:hint="eastAsia" w:ascii="宋体" w:hAnsi="宋体" w:eastAsia="宋体" w:cs="宋体"/>
                <w:b/>
                <w:bCs/>
                <w:color w:val="auto"/>
                <w:kern w:val="0"/>
                <w:sz w:val="24"/>
                <w:szCs w:val="24"/>
                <w:highlight w:val="none"/>
                <w:lang w:val="en-US" w:eastAsia="zh-CN" w:bidi="ar-SA"/>
              </w:rPr>
              <w:t xml:space="preserve">2-3     </w:t>
            </w:r>
            <w:r>
              <w:rPr>
                <w:rFonts w:hint="default" w:ascii="宋体" w:hAnsi="宋体" w:eastAsia="宋体" w:cs="宋体"/>
                <w:b/>
                <w:bCs/>
                <w:color w:val="auto"/>
                <w:kern w:val="0"/>
                <w:sz w:val="24"/>
                <w:szCs w:val="24"/>
                <w:highlight w:val="none"/>
                <w:lang w:val="en-US" w:eastAsia="zh-CN" w:bidi="ar-SA"/>
              </w:rPr>
              <w:t>铁塔组立施工工艺流程图</w:t>
            </w:r>
          </w:p>
          <w:p w14:paraId="609A73DB">
            <w:pPr>
              <w:pStyle w:val="54"/>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both"/>
              <w:textAlignment w:val="auto"/>
              <w:rPr>
                <w:rFonts w:hint="default" w:ascii="Calibri" w:hAnsi="Calibri" w:eastAsia="宋体" w:cs="Calibri"/>
                <w:color w:val="auto"/>
                <w:sz w:val="24"/>
                <w:szCs w:val="24"/>
                <w:highlight w:val="none"/>
                <w:lang w:val="en-US" w:eastAsia="zh-CN"/>
              </w:rPr>
            </w:pPr>
            <w:r>
              <w:rPr>
                <w:rFonts w:hint="default" w:ascii="Calibri" w:hAnsi="Calibri" w:eastAsia="宋体" w:cs="Calibri"/>
                <w:color w:val="auto"/>
                <w:kern w:val="0"/>
                <w:sz w:val="24"/>
                <w:szCs w:val="24"/>
                <w:lang w:val="en-US" w:eastAsia="zh-CN" w:bidi="ar-SA"/>
              </w:rPr>
              <w:t>（3）</w:t>
            </w:r>
            <w:r>
              <w:rPr>
                <w:rFonts w:hint="default" w:ascii="Calibri" w:hAnsi="Calibri" w:eastAsia="宋体" w:cs="Calibri"/>
                <w:color w:val="auto"/>
                <w:sz w:val="24"/>
                <w:szCs w:val="24"/>
                <w:highlight w:val="none"/>
                <w:lang w:val="en-US" w:eastAsia="zh-CN"/>
              </w:rPr>
              <w:t>架线施工</w:t>
            </w:r>
          </w:p>
          <w:p w14:paraId="5035F0DA">
            <w:pPr>
              <w:pStyle w:val="54"/>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default" w:ascii="Calibri" w:hAnsi="Calibri" w:eastAsia="宋体" w:cs="Calibri"/>
                <w:color w:val="auto"/>
                <w:sz w:val="24"/>
                <w:szCs w:val="24"/>
                <w:highlight w:val="none"/>
                <w:lang w:val="en-US" w:eastAsia="zh-CN"/>
              </w:rPr>
            </w:pPr>
            <w:r>
              <w:rPr>
                <w:rFonts w:hint="default" w:ascii="Calibri" w:hAnsi="Calibri" w:eastAsia="宋体" w:cs="Calibri"/>
                <w:color w:val="auto"/>
                <w:sz w:val="24"/>
                <w:szCs w:val="24"/>
                <w:highlight w:val="none"/>
                <w:lang w:val="en-US" w:eastAsia="zh-CN"/>
              </w:rPr>
              <w:t>线路架线采用张力架线方法施工，不同地形采取不同的放线方法，目前多采用无人机架线，施工人员可充分利用施工道路等场地进行操作，不需新增占地，在线路穿越林地、山区和江河跨越段，可免除或减少砍伐放线通道和封江断航等代价高昂的作业。施工方法依次为：架空地线展放及收紧、展放导引绳、牵放牵引绳、牵放导线、锚固导线、紧线临锚、附件安装、压接升空、间隔棒安装、耐张塔平衡挂线和跳线安装等。无人机放线一般是在机身下悬挂一平衡重物，导引绳连接其上，在地面展放机械的配合下牵引飞过塔位。由塔上人员配合或机上操作人员借助导杆将导引绳放入牵引滑车槽内，再用导引绳牵牵引绳，通过相与相间渡绳等操作，最后用牵引绳牵放导线。</w:t>
            </w:r>
          </w:p>
          <w:p w14:paraId="46B670BB">
            <w:pPr>
              <w:pStyle w:val="54"/>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default" w:ascii="Calibri" w:hAnsi="Calibri" w:eastAsia="宋体" w:cs="Calibri"/>
                <w:color w:val="auto"/>
                <w:sz w:val="24"/>
                <w:szCs w:val="24"/>
                <w:highlight w:val="none"/>
                <w:lang w:val="en-US" w:eastAsia="zh-CN"/>
              </w:rPr>
            </w:pPr>
            <w:r>
              <w:rPr>
                <w:rFonts w:hint="default" w:ascii="Calibri" w:hAnsi="Calibri" w:eastAsia="宋体" w:cs="Calibri"/>
                <w:color w:val="auto"/>
                <w:sz w:val="24"/>
                <w:szCs w:val="24"/>
                <w:highlight w:val="none"/>
                <w:lang w:val="en-US" w:eastAsia="zh-CN"/>
              </w:rPr>
              <w:t>线路沿线设置牵张场，采用张力机紧线，一般以张力放线施工段作为紧线段，以直线塔作为紧线操作塔。紧线完毕后进行附件、线夹、防震金具、间隔棒安装。</w:t>
            </w:r>
          </w:p>
          <w:p w14:paraId="03BF5076">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both"/>
              <w:textAlignment w:val="auto"/>
              <w:rPr>
                <w:rFonts w:hint="default" w:ascii="Calibri" w:hAnsi="Calibri" w:eastAsia="宋体" w:cs="Calibri"/>
                <w:b/>
                <w:bCs/>
                <w:color w:val="auto"/>
                <w:kern w:val="0"/>
                <w:sz w:val="24"/>
                <w:szCs w:val="24"/>
                <w:lang w:val="en-US" w:eastAsia="zh-CN"/>
              </w:rPr>
            </w:pPr>
            <w:r>
              <w:rPr>
                <w:rFonts w:hint="default" w:ascii="Calibri" w:hAnsi="Calibri" w:eastAsia="宋体" w:cs="Calibri"/>
                <w:b/>
                <w:bCs/>
                <w:color w:val="auto"/>
                <w:kern w:val="0"/>
                <w:sz w:val="24"/>
                <w:szCs w:val="24"/>
                <w:lang w:val="en-US" w:eastAsia="zh-CN"/>
              </w:rPr>
              <w:t>1.2 变电站</w:t>
            </w:r>
          </w:p>
          <w:p w14:paraId="351494B7">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Calibri" w:hAnsi="Calibri" w:eastAsia="宋体" w:cs="Calibri"/>
                <w:color w:val="auto"/>
                <w:sz w:val="24"/>
                <w:szCs w:val="24"/>
              </w:rPr>
            </w:pPr>
            <w:r>
              <w:rPr>
                <w:rFonts w:hint="eastAsia" w:ascii="Calibri" w:hAnsi="Calibri" w:cs="Calibri"/>
                <w:color w:val="auto"/>
                <w:kern w:val="0"/>
                <w:sz w:val="24"/>
                <w:szCs w:val="24"/>
                <w:lang w:val="en-US" w:eastAsia="zh-CN" w:bidi="ar"/>
              </w:rPr>
              <w:t>1.</w:t>
            </w:r>
            <w:r>
              <w:rPr>
                <w:rFonts w:hint="default" w:ascii="Calibri" w:hAnsi="Calibri" w:cs="Calibri"/>
                <w:color w:val="auto"/>
                <w:kern w:val="0"/>
                <w:sz w:val="24"/>
                <w:szCs w:val="24"/>
                <w:lang w:val="en-US" w:eastAsia="zh-CN" w:bidi="ar"/>
              </w:rPr>
              <w:t>场地平整</w:t>
            </w:r>
            <w:r>
              <w:rPr>
                <w:rFonts w:hint="default" w:ascii="Calibri" w:hAnsi="Calibri" w:eastAsia="宋体" w:cs="Calibri"/>
                <w:color w:val="auto"/>
                <w:kern w:val="0"/>
                <w:sz w:val="24"/>
                <w:szCs w:val="24"/>
                <w:lang w:val="en-US" w:eastAsia="zh-CN" w:bidi="ar"/>
              </w:rPr>
              <w:t>工程</w:t>
            </w:r>
          </w:p>
          <w:p w14:paraId="6911A4F3">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Calibri" w:hAnsi="Calibri" w:eastAsia="宋体" w:cs="Calibri"/>
                <w:color w:val="auto"/>
                <w:sz w:val="24"/>
                <w:szCs w:val="24"/>
              </w:rPr>
            </w:pPr>
            <w:r>
              <w:rPr>
                <w:rFonts w:hint="default" w:ascii="Calibri" w:hAnsi="Calibri" w:eastAsia="宋体" w:cs="Calibri"/>
                <w:color w:val="auto"/>
                <w:kern w:val="0"/>
                <w:sz w:val="24"/>
                <w:szCs w:val="24"/>
                <w:lang w:val="en-US" w:eastAsia="zh-CN" w:bidi="ar"/>
              </w:rPr>
              <w:t>场地平整开挖时采用机械施工与人工施工相结合的方法，先利用大型机械挖掘、运输、填筑、推平，后使用人工进行局部平整。整个平整过程中，应进行施工组织大纲编制，统筹设计标高挖填方量，避免重复施工和土方乱流。</w:t>
            </w:r>
          </w:p>
          <w:p w14:paraId="5BCC831E">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Calibri" w:hAnsi="Calibri" w:eastAsia="宋体" w:cs="Calibri"/>
                <w:color w:val="auto"/>
                <w:sz w:val="24"/>
                <w:szCs w:val="24"/>
              </w:rPr>
            </w:pPr>
            <w:r>
              <w:rPr>
                <w:rFonts w:hint="eastAsia" w:ascii="Calibri" w:hAnsi="Calibri" w:cs="Calibri"/>
                <w:color w:val="auto"/>
                <w:kern w:val="0"/>
                <w:sz w:val="24"/>
                <w:szCs w:val="24"/>
                <w:lang w:val="en-US" w:eastAsia="zh-CN" w:bidi="ar"/>
              </w:rPr>
              <w:t>2、</w:t>
            </w:r>
            <w:r>
              <w:rPr>
                <w:rFonts w:hint="default" w:ascii="Calibri" w:hAnsi="Calibri" w:eastAsia="宋体" w:cs="Calibri"/>
                <w:color w:val="auto"/>
                <w:kern w:val="0"/>
                <w:sz w:val="24"/>
                <w:szCs w:val="24"/>
                <w:lang w:val="en-US" w:eastAsia="zh-CN" w:bidi="ar"/>
              </w:rPr>
              <w:t>基础区施工</w:t>
            </w:r>
          </w:p>
          <w:p w14:paraId="20E1AD40">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Calibri" w:hAnsi="Calibri" w:eastAsia="宋体" w:cs="Calibri"/>
                <w:color w:val="auto"/>
                <w:sz w:val="24"/>
                <w:szCs w:val="24"/>
              </w:rPr>
            </w:pPr>
            <w:r>
              <w:rPr>
                <w:rFonts w:hint="default" w:ascii="Calibri" w:hAnsi="Calibri" w:eastAsia="宋体" w:cs="Calibri"/>
                <w:color w:val="auto"/>
                <w:kern w:val="0"/>
                <w:sz w:val="24"/>
                <w:szCs w:val="24"/>
                <w:lang w:val="en-US" w:eastAsia="zh-CN" w:bidi="ar"/>
              </w:rPr>
              <w:t>a</w:t>
            </w:r>
            <w:r>
              <w:rPr>
                <w:rFonts w:hint="default" w:ascii="Calibri" w:hAnsi="Calibri" w:cs="Calibri"/>
                <w:color w:val="auto"/>
                <w:kern w:val="0"/>
                <w:sz w:val="24"/>
                <w:szCs w:val="24"/>
                <w:lang w:val="en-US" w:eastAsia="zh-CN" w:bidi="ar"/>
              </w:rPr>
              <w:t>.</w:t>
            </w:r>
            <w:r>
              <w:rPr>
                <w:rFonts w:hint="default" w:ascii="Calibri" w:hAnsi="Calibri" w:eastAsia="宋体" w:cs="Calibri"/>
                <w:color w:val="auto"/>
                <w:kern w:val="0"/>
                <w:sz w:val="24"/>
                <w:szCs w:val="24"/>
                <w:lang w:val="en-US" w:eastAsia="zh-CN" w:bidi="ar"/>
              </w:rPr>
              <w:t>构筑物基础施工</w:t>
            </w:r>
          </w:p>
          <w:p w14:paraId="3574AF08">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Calibri" w:hAnsi="Calibri" w:eastAsia="宋体" w:cs="Calibri"/>
                <w:color w:val="auto"/>
                <w:sz w:val="24"/>
                <w:szCs w:val="24"/>
              </w:rPr>
            </w:pPr>
            <w:r>
              <w:rPr>
                <w:rFonts w:hint="default" w:ascii="Calibri" w:hAnsi="Calibri" w:eastAsia="宋体" w:cs="Calibri"/>
                <w:color w:val="auto"/>
                <w:kern w:val="0"/>
                <w:sz w:val="24"/>
                <w:szCs w:val="24"/>
                <w:lang w:val="en-US" w:eastAsia="zh-CN" w:bidi="ar"/>
              </w:rPr>
              <w:t>基础基坑采用人工开挖、人工清理的方式，待浇筑基础前再清理余土，并从速浇筑基础。填方分层碾压回填，小面积采用立式电动打夯机，边角处采用人工夯实。</w:t>
            </w:r>
          </w:p>
          <w:p w14:paraId="67378994">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Calibri" w:hAnsi="Calibri" w:eastAsia="宋体" w:cs="Calibri"/>
                <w:color w:val="auto"/>
                <w:sz w:val="24"/>
                <w:szCs w:val="24"/>
              </w:rPr>
            </w:pPr>
            <w:r>
              <w:rPr>
                <w:rFonts w:hint="default" w:ascii="Calibri" w:hAnsi="Calibri" w:eastAsia="宋体" w:cs="Calibri"/>
                <w:color w:val="auto"/>
                <w:kern w:val="0"/>
                <w:sz w:val="24"/>
                <w:szCs w:val="24"/>
                <w:lang w:val="en-US" w:eastAsia="zh-CN" w:bidi="ar"/>
              </w:rPr>
              <w:t>b</w:t>
            </w:r>
            <w:r>
              <w:rPr>
                <w:rFonts w:hint="default" w:ascii="Calibri" w:hAnsi="Calibri" w:cs="Calibri"/>
                <w:color w:val="auto"/>
                <w:kern w:val="0"/>
                <w:sz w:val="24"/>
                <w:szCs w:val="24"/>
                <w:lang w:val="en-US" w:eastAsia="zh-CN" w:bidi="ar"/>
              </w:rPr>
              <w:t>.</w:t>
            </w:r>
            <w:r>
              <w:rPr>
                <w:rFonts w:hint="default" w:ascii="Calibri" w:hAnsi="Calibri" w:eastAsia="宋体" w:cs="Calibri"/>
                <w:color w:val="auto"/>
                <w:kern w:val="0"/>
                <w:sz w:val="24"/>
                <w:szCs w:val="24"/>
                <w:lang w:val="en-US" w:eastAsia="zh-CN" w:bidi="ar"/>
              </w:rPr>
              <w:t>设备支架安装</w:t>
            </w:r>
          </w:p>
          <w:p w14:paraId="73E41881">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Calibri" w:hAnsi="Calibri" w:eastAsia="宋体" w:cs="Calibri"/>
                <w:color w:val="auto"/>
                <w:sz w:val="24"/>
                <w:szCs w:val="24"/>
              </w:rPr>
            </w:pPr>
            <w:r>
              <w:rPr>
                <w:rFonts w:hint="default" w:ascii="Calibri" w:hAnsi="Calibri" w:eastAsia="宋体" w:cs="Calibri"/>
                <w:color w:val="auto"/>
                <w:kern w:val="0"/>
                <w:sz w:val="24"/>
                <w:szCs w:val="24"/>
                <w:lang w:val="en-US" w:eastAsia="zh-CN" w:bidi="ar"/>
              </w:rPr>
              <w:t>设备支架采用钢筋混凝土环形杆，与基础连接方式采用杯口插入式。</w:t>
            </w:r>
          </w:p>
          <w:p w14:paraId="1C17BF92">
            <w:pPr>
              <w:keepNext w:val="0"/>
              <w:keepLines w:val="0"/>
              <w:pageBreakBefore w:val="0"/>
              <w:widowControl/>
              <w:suppressLineNumbers w:val="0"/>
              <w:kinsoku/>
              <w:wordWrap/>
              <w:overflowPunct/>
              <w:topLinePunct w:val="0"/>
              <w:autoSpaceDE/>
              <w:autoSpaceDN/>
              <w:bidi w:val="0"/>
              <w:adjustRightInd/>
              <w:snapToGrid/>
              <w:spacing w:line="480" w:lineRule="exact"/>
              <w:ind w:firstLine="480" w:firstLineChars="200"/>
              <w:jc w:val="both"/>
              <w:textAlignment w:val="auto"/>
              <w:rPr>
                <w:rFonts w:hint="default" w:ascii="Calibri" w:hAnsi="Calibri" w:eastAsia="宋体" w:cs="Calibri"/>
                <w:color w:val="auto"/>
                <w:sz w:val="24"/>
                <w:szCs w:val="24"/>
              </w:rPr>
            </w:pPr>
            <w:r>
              <w:rPr>
                <w:rFonts w:hint="eastAsia" w:ascii="Calibri" w:hAnsi="Calibri" w:cs="Calibri"/>
                <w:color w:val="auto"/>
                <w:kern w:val="0"/>
                <w:sz w:val="24"/>
                <w:szCs w:val="24"/>
                <w:lang w:val="en-US" w:eastAsia="zh-CN" w:bidi="ar"/>
              </w:rPr>
              <w:t>3、</w:t>
            </w:r>
            <w:r>
              <w:rPr>
                <w:rFonts w:hint="default" w:ascii="Calibri" w:hAnsi="Calibri" w:eastAsia="宋体" w:cs="Calibri"/>
                <w:color w:val="auto"/>
                <w:kern w:val="0"/>
                <w:sz w:val="24"/>
                <w:szCs w:val="24"/>
                <w:lang w:val="en-US" w:eastAsia="zh-CN" w:bidi="ar"/>
              </w:rPr>
              <w:t>道路区施工</w:t>
            </w:r>
          </w:p>
          <w:p w14:paraId="7DF4253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Calibri" w:hAnsi="Calibri" w:eastAsia="宋体" w:cs="Calibri"/>
                <w:color w:val="auto"/>
                <w:kern w:val="0"/>
                <w:sz w:val="24"/>
                <w:szCs w:val="24"/>
                <w:lang w:val="en-US" w:eastAsia="zh-CN"/>
              </w:rPr>
            </w:pPr>
            <w:r>
              <w:rPr>
                <w:rFonts w:hint="default" w:ascii="Calibri" w:hAnsi="Calibri" w:eastAsia="宋体" w:cs="Calibri"/>
                <w:color w:val="auto"/>
                <w:kern w:val="0"/>
                <w:sz w:val="24"/>
                <w:szCs w:val="24"/>
                <w:lang w:val="en-US" w:eastAsia="zh-CN" w:bidi="ar"/>
              </w:rPr>
              <w:t>路施工主要包括施工测量、场地清理、路基填筑等工序。施工测量，主要为现场布设线位，确定施工范围，沿线设置施工标识。路基填筑采用水平分层填筑法，按照横断面全宽逐层向上填筑，如原地面不平，应由最低处分层填筑，每层经过压实符合规定要求后，再填筑下一层。路面工程在路基完成后立即开工。</w:t>
            </w:r>
          </w:p>
          <w:p w14:paraId="0173AA26">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宋体" w:hAnsi="宋体" w:cs="宋体"/>
                <w:b/>
                <w:bCs/>
                <w:color w:val="auto"/>
                <w:kern w:val="0"/>
                <w:sz w:val="24"/>
                <w:szCs w:val="24"/>
                <w:lang w:val="en-US" w:eastAsia="zh-CN"/>
              </w:rPr>
            </w:pPr>
            <w:r>
              <w:rPr>
                <w:rFonts w:hint="eastAsia" w:ascii="宋体" w:hAnsi="宋体" w:cs="宋体"/>
                <w:color w:val="auto"/>
                <w:kern w:val="0"/>
                <w:sz w:val="24"/>
                <w:szCs w:val="24"/>
                <w:lang w:val="en-US" w:eastAsia="zh-CN"/>
              </w:rPr>
              <w:drawing>
                <wp:anchor distT="0" distB="0" distL="114300" distR="114300" simplePos="0" relativeHeight="251659264" behindDoc="0" locked="0" layoutInCell="1" allowOverlap="1">
                  <wp:simplePos x="0" y="0"/>
                  <wp:positionH relativeFrom="column">
                    <wp:posOffset>306705</wp:posOffset>
                  </wp:positionH>
                  <wp:positionV relativeFrom="paragraph">
                    <wp:posOffset>284480</wp:posOffset>
                  </wp:positionV>
                  <wp:extent cx="4293870" cy="1515745"/>
                  <wp:effectExtent l="0" t="0" r="0" b="0"/>
                  <wp:wrapTopAndBottom/>
                  <wp:docPr id="22" name="ECB019B1-382A-4266-B25C-5B523AA43C14-1" descr="C:/Users/Administrator/AppData/Local/Temp/wps.duIdR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CB019B1-382A-4266-B25C-5B523AA43C14-1" descr="C:/Users/Administrator/AppData/Local/Temp/wps.duIdRawps"/>
                          <pic:cNvPicPr>
                            <a:picLocks noChangeAspect="1"/>
                          </pic:cNvPicPr>
                        </pic:nvPicPr>
                        <pic:blipFill>
                          <a:blip r:embed="rId8"/>
                          <a:stretch>
                            <a:fillRect/>
                          </a:stretch>
                        </pic:blipFill>
                        <pic:spPr>
                          <a:xfrm>
                            <a:off x="0" y="0"/>
                            <a:ext cx="4293870" cy="1515745"/>
                          </a:xfrm>
                          <a:prstGeom prst="rect">
                            <a:avLst/>
                          </a:prstGeom>
                        </pic:spPr>
                      </pic:pic>
                    </a:graphicData>
                  </a:graphic>
                </wp:anchor>
              </w:drawing>
            </w:r>
            <w:r>
              <w:rPr>
                <w:rFonts w:hint="eastAsia" w:ascii="宋体" w:hAnsi="宋体" w:cs="宋体"/>
                <w:b/>
                <w:bCs/>
                <w:color w:val="auto"/>
                <w:kern w:val="0"/>
                <w:sz w:val="24"/>
                <w:szCs w:val="24"/>
                <w:lang w:val="en-US" w:eastAsia="zh-CN"/>
              </w:rPr>
              <w:t>图2-3    变电站施工工艺流程图</w:t>
            </w:r>
          </w:p>
          <w:p w14:paraId="0F8B8BA1">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left"/>
              <w:textAlignment w:val="auto"/>
              <w:rPr>
                <w:rFonts w:hint="default" w:ascii="宋体" w:hAnsi="宋体" w:cs="宋体"/>
                <w:b/>
                <w:bCs/>
                <w:color w:val="auto"/>
                <w:kern w:val="0"/>
                <w:sz w:val="24"/>
                <w:szCs w:val="24"/>
                <w:lang w:val="en-US" w:eastAsia="zh-CN"/>
              </w:rPr>
            </w:pPr>
            <w:r>
              <w:rPr>
                <w:rFonts w:hint="eastAsia" w:ascii="宋体" w:hAnsi="宋体" w:cs="宋体"/>
                <w:b/>
                <w:bCs/>
                <w:color w:val="auto"/>
                <w:kern w:val="0"/>
                <w:sz w:val="24"/>
                <w:szCs w:val="24"/>
                <w:lang w:val="en-US" w:eastAsia="zh-CN"/>
              </w:rPr>
              <w:t>1.3 建设周期</w:t>
            </w:r>
          </w:p>
          <w:p w14:paraId="74D8C26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cs="宋体"/>
                <w:color w:val="auto"/>
                <w:kern w:val="0"/>
                <w:sz w:val="24"/>
                <w:szCs w:val="24"/>
                <w:lang w:eastAsia="zh-CN"/>
              </w:rPr>
            </w:pPr>
            <w:r>
              <w:rPr>
                <w:rFonts w:hint="default" w:ascii="Calibri" w:hAnsi="Calibri" w:cs="Calibri"/>
                <w:color w:val="auto"/>
                <w:kern w:val="0"/>
                <w:sz w:val="24"/>
                <w:szCs w:val="24"/>
                <w:lang w:eastAsia="zh-CN"/>
              </w:rPr>
              <w:t>本项目</w:t>
            </w:r>
            <w:r>
              <w:rPr>
                <w:rFonts w:hint="default" w:ascii="Calibri" w:hAnsi="Calibri" w:cs="Calibri"/>
                <w:color w:val="auto"/>
                <w:kern w:val="0"/>
                <w:sz w:val="24"/>
                <w:szCs w:val="24"/>
                <w:lang w:val="en-US" w:eastAsia="zh-CN"/>
              </w:rPr>
              <w:t>计划</w:t>
            </w:r>
            <w:r>
              <w:rPr>
                <w:rFonts w:hint="default" w:ascii="Calibri" w:hAnsi="Calibri" w:cs="Calibri"/>
                <w:color w:val="auto"/>
                <w:kern w:val="0"/>
                <w:sz w:val="24"/>
                <w:szCs w:val="24"/>
                <w:lang w:eastAsia="zh-CN"/>
              </w:rPr>
              <w:t>于20</w:t>
            </w:r>
            <w:r>
              <w:rPr>
                <w:rFonts w:hint="default" w:ascii="Calibri" w:hAnsi="Calibri" w:cs="Calibri"/>
                <w:color w:val="auto"/>
                <w:kern w:val="0"/>
                <w:sz w:val="24"/>
                <w:szCs w:val="24"/>
                <w:lang w:val="en-US" w:eastAsia="zh-CN"/>
              </w:rPr>
              <w:t>25</w:t>
            </w:r>
            <w:r>
              <w:rPr>
                <w:rFonts w:hint="default" w:ascii="Calibri" w:hAnsi="Calibri" w:cs="Calibri"/>
                <w:color w:val="auto"/>
                <w:kern w:val="0"/>
                <w:sz w:val="24"/>
                <w:szCs w:val="24"/>
                <w:lang w:eastAsia="zh-CN"/>
              </w:rPr>
              <w:t>年</w:t>
            </w:r>
            <w:r>
              <w:rPr>
                <w:rFonts w:hint="default" w:ascii="Calibri" w:hAnsi="Calibri" w:cs="Calibri"/>
                <w:color w:val="auto"/>
                <w:kern w:val="0"/>
                <w:sz w:val="24"/>
                <w:szCs w:val="24"/>
                <w:lang w:val="en-US" w:eastAsia="zh-CN"/>
              </w:rPr>
              <w:t>9月底开工</w:t>
            </w:r>
            <w:r>
              <w:rPr>
                <w:rFonts w:hint="default" w:ascii="Calibri" w:hAnsi="Calibri" w:cs="Calibri"/>
                <w:color w:val="auto"/>
                <w:kern w:val="0"/>
                <w:sz w:val="24"/>
                <w:szCs w:val="24"/>
                <w:lang w:eastAsia="zh-CN"/>
              </w:rPr>
              <w:t>，</w:t>
            </w:r>
            <w:r>
              <w:rPr>
                <w:rFonts w:hint="default" w:ascii="Calibri" w:hAnsi="Calibri" w:cs="Calibri"/>
                <w:color w:val="auto"/>
                <w:kern w:val="0"/>
                <w:sz w:val="24"/>
                <w:szCs w:val="24"/>
                <w:lang w:val="en-US" w:eastAsia="zh-CN"/>
              </w:rPr>
              <w:t>计划</w:t>
            </w:r>
            <w:r>
              <w:rPr>
                <w:rFonts w:hint="default" w:ascii="Calibri" w:hAnsi="Calibri" w:cs="Calibri"/>
                <w:color w:val="auto"/>
                <w:kern w:val="0"/>
                <w:sz w:val="24"/>
                <w:szCs w:val="24"/>
                <w:lang w:eastAsia="zh-CN"/>
              </w:rPr>
              <w:t>于20</w:t>
            </w:r>
            <w:r>
              <w:rPr>
                <w:rFonts w:hint="default" w:ascii="Calibri" w:hAnsi="Calibri" w:cs="Calibri"/>
                <w:color w:val="auto"/>
                <w:kern w:val="0"/>
                <w:sz w:val="24"/>
                <w:szCs w:val="24"/>
                <w:lang w:val="en-US" w:eastAsia="zh-CN"/>
              </w:rPr>
              <w:t>26</w:t>
            </w:r>
            <w:r>
              <w:rPr>
                <w:rFonts w:hint="default" w:ascii="Calibri" w:hAnsi="Calibri" w:cs="Calibri"/>
                <w:color w:val="auto"/>
                <w:kern w:val="0"/>
                <w:sz w:val="24"/>
                <w:szCs w:val="24"/>
                <w:lang w:eastAsia="zh-CN"/>
              </w:rPr>
              <w:t>年</w:t>
            </w:r>
            <w:r>
              <w:rPr>
                <w:rFonts w:hint="default" w:ascii="Calibri" w:hAnsi="Calibri" w:cs="Calibri"/>
                <w:color w:val="auto"/>
                <w:kern w:val="0"/>
                <w:sz w:val="24"/>
                <w:szCs w:val="24"/>
                <w:lang w:val="en-US" w:eastAsia="zh-CN"/>
              </w:rPr>
              <w:t>8</w:t>
            </w:r>
            <w:r>
              <w:rPr>
                <w:rFonts w:hint="default" w:ascii="Calibri" w:hAnsi="Calibri" w:cs="Calibri"/>
                <w:color w:val="auto"/>
                <w:kern w:val="0"/>
                <w:sz w:val="24"/>
                <w:szCs w:val="24"/>
                <w:lang w:eastAsia="zh-CN"/>
              </w:rPr>
              <w:t>月</w:t>
            </w:r>
            <w:r>
              <w:rPr>
                <w:rFonts w:hint="default" w:ascii="Calibri" w:hAnsi="Calibri" w:cs="Calibri"/>
                <w:color w:val="auto"/>
                <w:kern w:val="0"/>
                <w:sz w:val="24"/>
                <w:szCs w:val="24"/>
                <w:lang w:val="en-US" w:eastAsia="zh-CN"/>
              </w:rPr>
              <w:t>底</w:t>
            </w:r>
            <w:r>
              <w:rPr>
                <w:rFonts w:hint="default" w:ascii="Calibri" w:hAnsi="Calibri" w:cs="Calibri"/>
                <w:color w:val="auto"/>
                <w:kern w:val="0"/>
                <w:sz w:val="24"/>
                <w:szCs w:val="24"/>
                <w:lang w:eastAsia="zh-CN"/>
              </w:rPr>
              <w:t>建成，</w:t>
            </w:r>
            <w:r>
              <w:rPr>
                <w:rFonts w:hint="default" w:ascii="Calibri" w:hAnsi="Calibri" w:cs="Calibri"/>
                <w:color w:val="auto"/>
                <w:kern w:val="0"/>
                <w:sz w:val="24"/>
                <w:szCs w:val="24"/>
                <w:lang w:val="en-US" w:eastAsia="zh-CN"/>
              </w:rPr>
              <w:t>冬季不施工，</w:t>
            </w:r>
            <w:r>
              <w:rPr>
                <w:rFonts w:hint="default" w:ascii="Calibri" w:hAnsi="Calibri" w:cs="Calibri"/>
                <w:color w:val="auto"/>
                <w:kern w:val="0"/>
                <w:sz w:val="24"/>
                <w:szCs w:val="24"/>
                <w:lang w:eastAsia="zh-CN"/>
              </w:rPr>
              <w:t>施工期共计</w:t>
            </w:r>
            <w:r>
              <w:rPr>
                <w:rFonts w:hint="default" w:ascii="Calibri" w:hAnsi="Calibri" w:cs="Calibri"/>
                <w:color w:val="auto"/>
                <w:kern w:val="0"/>
                <w:sz w:val="24"/>
                <w:szCs w:val="24"/>
                <w:lang w:val="en-US" w:eastAsia="zh-CN"/>
              </w:rPr>
              <w:t>5</w:t>
            </w:r>
            <w:r>
              <w:rPr>
                <w:rFonts w:hint="default" w:ascii="Calibri" w:hAnsi="Calibri" w:cs="Calibri"/>
                <w:color w:val="auto"/>
                <w:kern w:val="0"/>
                <w:sz w:val="24"/>
                <w:szCs w:val="24"/>
                <w:lang w:eastAsia="zh-CN"/>
              </w:rPr>
              <w:t>个月。</w:t>
            </w:r>
          </w:p>
        </w:tc>
      </w:tr>
      <w:tr w14:paraId="21C5B4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65" w:hRule="atLeast"/>
          <w:jc w:val="center"/>
        </w:trPr>
        <w:tc>
          <w:tcPr>
            <w:tcW w:w="227" w:type="pct"/>
            <w:noWrap w:val="0"/>
            <w:vAlign w:val="center"/>
          </w:tcPr>
          <w:p w14:paraId="14CFF87C">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其他</w:t>
            </w:r>
          </w:p>
        </w:tc>
        <w:tc>
          <w:tcPr>
            <w:tcW w:w="4772" w:type="pct"/>
            <w:noWrap w:val="0"/>
            <w:vAlign w:val="top"/>
          </w:tcPr>
          <w:p w14:paraId="24B33779">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textAlignment w:val="auto"/>
              <w:rPr>
                <w:rFonts w:hint="eastAsia" w:ascii="宋体" w:hAnsi="宋体" w:cs="宋体"/>
                <w:color w:val="auto"/>
                <w:kern w:val="0"/>
                <w:sz w:val="24"/>
                <w:szCs w:val="24"/>
                <w:lang w:val="en-US" w:eastAsia="zh-CN"/>
              </w:rPr>
            </w:pPr>
          </w:p>
          <w:p w14:paraId="0401FDC9">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textAlignment w:val="auto"/>
              <w:rPr>
                <w:rFonts w:hint="eastAsia" w:ascii="宋体" w:hAnsi="宋体" w:cs="宋体"/>
                <w:color w:val="auto"/>
                <w:kern w:val="0"/>
                <w:sz w:val="24"/>
                <w:szCs w:val="24"/>
                <w:lang w:val="en-US" w:eastAsia="zh-CN"/>
              </w:rPr>
            </w:pPr>
          </w:p>
          <w:p w14:paraId="11E840A9">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textAlignment w:val="auto"/>
              <w:rPr>
                <w:rFonts w:hint="eastAsia" w:ascii="宋体" w:hAnsi="宋体" w:cs="宋体"/>
                <w:color w:val="auto"/>
                <w:kern w:val="0"/>
                <w:sz w:val="24"/>
                <w:szCs w:val="24"/>
                <w:lang w:val="en-US" w:eastAsia="zh-CN"/>
              </w:rPr>
            </w:pPr>
          </w:p>
          <w:p w14:paraId="2FD41914">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textAlignment w:val="auto"/>
              <w:rPr>
                <w:rFonts w:hint="eastAsia" w:ascii="宋体" w:hAnsi="宋体" w:cs="宋体"/>
                <w:color w:val="auto"/>
                <w:kern w:val="0"/>
                <w:sz w:val="24"/>
                <w:szCs w:val="24"/>
                <w:lang w:val="en-US" w:eastAsia="zh-CN"/>
              </w:rPr>
            </w:pPr>
          </w:p>
          <w:p w14:paraId="743F4CA5">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textAlignment w:val="auto"/>
              <w:rPr>
                <w:rFonts w:hint="eastAsia" w:ascii="宋体" w:hAnsi="宋体" w:cs="宋体"/>
                <w:color w:val="auto"/>
                <w:kern w:val="0"/>
                <w:sz w:val="24"/>
                <w:szCs w:val="24"/>
                <w:lang w:val="en-US" w:eastAsia="zh-CN"/>
              </w:rPr>
            </w:pPr>
          </w:p>
          <w:p w14:paraId="3826BA68">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textAlignment w:val="auto"/>
              <w:rPr>
                <w:rFonts w:hint="eastAsia" w:ascii="宋体" w:hAnsi="宋体" w:cs="宋体"/>
                <w:color w:val="auto"/>
                <w:kern w:val="0"/>
                <w:sz w:val="24"/>
                <w:szCs w:val="24"/>
                <w:lang w:val="en-US" w:eastAsia="zh-CN"/>
              </w:rPr>
            </w:pPr>
          </w:p>
          <w:p w14:paraId="48D446BD">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textAlignment w:val="auto"/>
              <w:rPr>
                <w:rFonts w:hint="eastAsia" w:ascii="宋体" w:hAnsi="宋体" w:cs="宋体"/>
                <w:color w:val="auto"/>
                <w:kern w:val="0"/>
                <w:sz w:val="24"/>
                <w:szCs w:val="24"/>
                <w:lang w:val="en-US" w:eastAsia="zh-CN"/>
              </w:rPr>
            </w:pPr>
          </w:p>
          <w:p w14:paraId="58D35D2B">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textAlignment w:val="auto"/>
              <w:rPr>
                <w:rFonts w:hint="eastAsia"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无</w:t>
            </w:r>
          </w:p>
        </w:tc>
      </w:tr>
    </w:tbl>
    <w:p w14:paraId="796C075F">
      <w:pPr>
        <w:pStyle w:val="20"/>
        <w:jc w:val="center"/>
        <w:outlineLvl w:val="0"/>
        <w:rPr>
          <w:rFonts w:ascii="黑体" w:hAnsi="黑体" w:eastAsia="黑体"/>
          <w:snapToGrid w:val="0"/>
          <w:color w:val="auto"/>
          <w:sz w:val="30"/>
          <w:szCs w:val="30"/>
        </w:rPr>
      </w:pPr>
      <w:r>
        <w:rPr>
          <w:rFonts w:eastAsia="仿宋_GB2312"/>
          <w:b/>
          <w:bCs/>
          <w:color w:val="auto"/>
        </w:rPr>
        <w:br w:type="page"/>
      </w:r>
      <w:bookmarkStart w:id="9" w:name="_Toc22776"/>
      <w:bookmarkStart w:id="10" w:name="_Toc2806"/>
      <w:r>
        <w:rPr>
          <w:rFonts w:hint="eastAsia" w:ascii="黑体" w:hAnsi="黑体" w:eastAsia="黑体"/>
          <w:snapToGrid w:val="0"/>
          <w:color w:val="auto"/>
          <w:sz w:val="30"/>
          <w:szCs w:val="30"/>
        </w:rPr>
        <w:t>三、生态环境现状、保护目标及评价标准</w:t>
      </w:r>
      <w:bookmarkEnd w:id="9"/>
      <w:bookmarkEnd w:id="10"/>
    </w:p>
    <w:tbl>
      <w:tblPr>
        <w:tblStyle w:val="22"/>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334"/>
      </w:tblGrid>
      <w:tr w14:paraId="7F365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904" w:type="dxa"/>
            <w:noWrap w:val="0"/>
            <w:vAlign w:val="center"/>
          </w:tcPr>
          <w:p w14:paraId="314951CC">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生态环境现状</w:t>
            </w:r>
          </w:p>
        </w:tc>
        <w:tc>
          <w:tcPr>
            <w:tcW w:w="8253" w:type="dxa"/>
            <w:noWrap w:val="0"/>
            <w:vAlign w:val="center"/>
          </w:tcPr>
          <w:p w14:paraId="129EB0C0">
            <w:pPr>
              <w:keepNext w:val="0"/>
              <w:keepLines w:val="0"/>
              <w:pageBreakBefore w:val="0"/>
              <w:widowControl w:val="0"/>
              <w:kinsoku/>
              <w:wordWrap/>
              <w:overflowPunct/>
              <w:topLinePunct w:val="0"/>
              <w:autoSpaceDE/>
              <w:autoSpaceDN/>
              <w:bidi w:val="0"/>
              <w:adjustRightInd w:val="0"/>
              <w:snapToGrid w:val="0"/>
              <w:spacing w:line="480" w:lineRule="exact"/>
              <w:ind w:firstLine="442" w:firstLineChars="200"/>
              <w:textAlignment w:val="auto"/>
              <w:rPr>
                <w:rFonts w:hint="eastAsia" w:cs="Times New Roman"/>
                <w:b/>
                <w:color w:val="auto"/>
                <w:spacing w:val="-10"/>
                <w:kern w:val="0"/>
                <w:sz w:val="24"/>
                <w:szCs w:val="24"/>
                <w:lang w:val="en-US" w:eastAsia="zh-CN"/>
              </w:rPr>
            </w:pPr>
            <w:bookmarkStart w:id="11" w:name="_Toc467057572"/>
            <w:bookmarkStart w:id="12" w:name="_Toc29722416"/>
            <w:r>
              <w:rPr>
                <w:rFonts w:hint="default" w:ascii="Times New Roman" w:hAnsi="Times New Roman" w:cs="Times New Roman"/>
                <w:b/>
                <w:color w:val="auto"/>
                <w:spacing w:val="-10"/>
                <w:kern w:val="0"/>
                <w:sz w:val="24"/>
                <w:szCs w:val="24"/>
              </w:rPr>
              <w:t xml:space="preserve">1 </w:t>
            </w:r>
            <w:bookmarkEnd w:id="11"/>
            <w:bookmarkEnd w:id="12"/>
            <w:bookmarkStart w:id="13" w:name="_Toc29722417"/>
            <w:r>
              <w:rPr>
                <w:rFonts w:hint="eastAsia" w:cs="Times New Roman"/>
                <w:b/>
                <w:color w:val="auto"/>
                <w:spacing w:val="-10"/>
                <w:kern w:val="0"/>
                <w:sz w:val="24"/>
                <w:szCs w:val="24"/>
                <w:lang w:val="en-US" w:eastAsia="zh-CN"/>
              </w:rPr>
              <w:t>生态环境</w:t>
            </w:r>
          </w:p>
          <w:bookmarkEnd w:id="13"/>
          <w:p w14:paraId="3ECCEAB8">
            <w:pPr>
              <w:pStyle w:val="7"/>
              <w:keepNext w:val="0"/>
              <w:keepLines w:val="0"/>
              <w:pageBreakBefore w:val="0"/>
              <w:widowControl w:val="0"/>
              <w:kinsoku/>
              <w:wordWrap/>
              <w:overflowPunct/>
              <w:topLinePunct w:val="0"/>
              <w:autoSpaceDE/>
              <w:autoSpaceDN/>
              <w:bidi w:val="0"/>
              <w:spacing w:line="480" w:lineRule="exact"/>
              <w:ind w:left="0" w:leftChars="0" w:firstLine="482" w:firstLineChars="200"/>
              <w:textAlignment w:val="auto"/>
              <w:rPr>
                <w:rFonts w:hint="default" w:ascii="Times New Roman" w:hAnsi="Times New Roman" w:cs="Times New Roman"/>
                <w:b/>
                <w:bCs w:val="0"/>
                <w:color w:val="auto"/>
                <w:kern w:val="2"/>
                <w:sz w:val="24"/>
                <w:szCs w:val="24"/>
                <w:lang w:val="en-US" w:eastAsia="zh-CN" w:bidi="ar-SA"/>
              </w:rPr>
            </w:pPr>
            <w:r>
              <w:rPr>
                <w:rFonts w:hint="eastAsia" w:ascii="Times New Roman" w:hAnsi="Times New Roman" w:cs="Times New Roman"/>
                <w:b/>
                <w:bCs w:val="0"/>
                <w:color w:val="auto"/>
                <w:kern w:val="2"/>
                <w:sz w:val="24"/>
                <w:szCs w:val="24"/>
                <w:lang w:val="en-US" w:eastAsia="zh-CN" w:bidi="ar-SA"/>
              </w:rPr>
              <w:t>1.</w:t>
            </w:r>
            <w:r>
              <w:rPr>
                <w:rFonts w:hint="eastAsia" w:cs="Times New Roman"/>
                <w:b/>
                <w:bCs w:val="0"/>
                <w:color w:val="auto"/>
                <w:kern w:val="2"/>
                <w:sz w:val="24"/>
                <w:szCs w:val="24"/>
                <w:lang w:val="en-US" w:eastAsia="zh-CN" w:bidi="ar-SA"/>
              </w:rPr>
              <w:t>1</w:t>
            </w:r>
            <w:r>
              <w:rPr>
                <w:rFonts w:hint="eastAsia" w:ascii="Times New Roman" w:hAnsi="Times New Roman" w:cs="Times New Roman"/>
                <w:b/>
                <w:bCs w:val="0"/>
                <w:color w:val="auto"/>
                <w:kern w:val="2"/>
                <w:sz w:val="24"/>
                <w:szCs w:val="24"/>
                <w:lang w:val="en-US" w:eastAsia="zh-CN" w:bidi="ar-SA"/>
              </w:rPr>
              <w:t xml:space="preserve"> </w:t>
            </w:r>
            <w:r>
              <w:rPr>
                <w:rFonts w:hint="eastAsia" w:cs="Times New Roman"/>
                <w:b/>
                <w:bCs w:val="0"/>
                <w:color w:val="auto"/>
                <w:kern w:val="2"/>
                <w:sz w:val="24"/>
                <w:szCs w:val="24"/>
                <w:lang w:val="en-US" w:eastAsia="zh-CN" w:bidi="ar-SA"/>
              </w:rPr>
              <w:t>主体</w:t>
            </w:r>
            <w:r>
              <w:rPr>
                <w:rFonts w:hint="eastAsia" w:ascii="Times New Roman" w:hAnsi="Times New Roman" w:cs="Times New Roman"/>
                <w:b/>
                <w:bCs w:val="0"/>
                <w:color w:val="auto"/>
                <w:kern w:val="2"/>
                <w:sz w:val="24"/>
                <w:szCs w:val="24"/>
                <w:lang w:val="en-US" w:eastAsia="zh-CN" w:bidi="ar-SA"/>
              </w:rPr>
              <w:t>功能区划</w:t>
            </w:r>
          </w:p>
          <w:p w14:paraId="45469A15">
            <w:pPr>
              <w:keepNext w:val="0"/>
              <w:keepLines w:val="0"/>
              <w:pageBreakBefore w:val="0"/>
              <w:widowControl/>
              <w:kinsoku/>
              <w:wordWrap/>
              <w:overflowPunct/>
              <w:topLinePunct w:val="0"/>
              <w:autoSpaceDE/>
              <w:autoSpaceDN/>
              <w:bidi w:val="0"/>
              <w:adjustRightInd/>
              <w:spacing w:before="0" w:line="480" w:lineRule="exact"/>
              <w:ind w:firstLine="480" w:firstLineChars="200"/>
              <w:jc w:val="left"/>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根据《新疆维吾尔自治区主体功能区规划》，新疆维吾尔自治区国土空间分为以下主体功能区：按主体功能区按开发方式，分为重点开发区域、限制开发区域和禁止开发区域三类。</w:t>
            </w:r>
          </w:p>
          <w:p w14:paraId="70E8C7C6">
            <w:pPr>
              <w:keepNext w:val="0"/>
              <w:keepLines w:val="0"/>
              <w:pageBreakBefore w:val="0"/>
              <w:widowControl/>
              <w:kinsoku/>
              <w:wordWrap/>
              <w:overflowPunct/>
              <w:topLinePunct w:val="0"/>
              <w:autoSpaceDE/>
              <w:autoSpaceDN/>
              <w:bidi w:val="0"/>
              <w:adjustRightInd/>
              <w:spacing w:before="0" w:line="480" w:lineRule="exact"/>
              <w:ind w:firstLine="480" w:firstLineChars="200"/>
              <w:jc w:val="left"/>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本项目输电线路全线位于</w:t>
            </w:r>
            <w:r>
              <w:rPr>
                <w:rFonts w:hint="eastAsia" w:cs="Times New Roman"/>
                <w:b w:val="0"/>
                <w:bCs/>
                <w:color w:val="auto"/>
                <w:kern w:val="2"/>
                <w:sz w:val="24"/>
                <w:szCs w:val="24"/>
                <w:lang w:val="en-US" w:eastAsia="zh-CN" w:bidi="ar-SA"/>
              </w:rPr>
              <w:t>巴州若羌县</w:t>
            </w:r>
            <w:r>
              <w:rPr>
                <w:rFonts w:hint="eastAsia" w:ascii="Times New Roman" w:hAnsi="Times New Roman" w:eastAsia="宋体" w:cs="Times New Roman"/>
                <w:b w:val="0"/>
                <w:bCs/>
                <w:color w:val="auto"/>
                <w:kern w:val="2"/>
                <w:sz w:val="24"/>
                <w:szCs w:val="24"/>
                <w:lang w:val="en-US" w:eastAsia="zh-CN" w:bidi="ar-SA"/>
              </w:rPr>
              <w:t>，对照《新疆维吾尔自治区主体功能区规划》的划分，其所在位置属于《新疆维吾尔自治区主体功能区规划》中划定的</w:t>
            </w:r>
            <w:r>
              <w:rPr>
                <w:rFonts w:hint="eastAsia" w:cs="Times New Roman"/>
                <w:b w:val="0"/>
                <w:bCs/>
                <w:color w:val="auto"/>
                <w:kern w:val="2"/>
                <w:sz w:val="24"/>
                <w:szCs w:val="24"/>
                <w:lang w:val="en-US" w:eastAsia="zh-CN" w:bidi="ar-SA"/>
              </w:rPr>
              <w:t>国家级重点生态功能区</w:t>
            </w:r>
            <w:r>
              <w:rPr>
                <w:rFonts w:hint="eastAsia" w:ascii="Times New Roman" w:hAnsi="Times New Roman" w:eastAsia="宋体" w:cs="Times New Roman"/>
                <w:b w:val="0"/>
                <w:bCs/>
                <w:color w:val="auto"/>
                <w:kern w:val="2"/>
                <w:sz w:val="24"/>
                <w:szCs w:val="24"/>
                <w:lang w:val="en-US" w:eastAsia="zh-CN" w:bidi="ar-SA"/>
              </w:rPr>
              <w:t>，为限制开发区域。其主要特征见表3-1。</w:t>
            </w:r>
          </w:p>
          <w:p w14:paraId="0D1473FF">
            <w:pPr>
              <w:keepNext w:val="0"/>
              <w:keepLines w:val="0"/>
              <w:pageBreakBefore w:val="0"/>
              <w:widowControl/>
              <w:kinsoku/>
              <w:wordWrap/>
              <w:overflowPunct/>
              <w:topLinePunct w:val="0"/>
              <w:autoSpaceDE/>
              <w:autoSpaceDN/>
              <w:bidi w:val="0"/>
              <w:adjustRightInd/>
              <w:spacing w:before="0" w:line="480" w:lineRule="exact"/>
              <w:jc w:val="center"/>
              <w:textAlignment w:val="auto"/>
              <w:rPr>
                <w:rFonts w:hint="eastAsia"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表3-1   本项目所属新疆重点生态功能区的类型和发展方向</w:t>
            </w:r>
          </w:p>
          <w:tbl>
            <w:tblPr>
              <w:tblStyle w:val="22"/>
              <w:tblW w:w="499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938"/>
              <w:gridCol w:w="6163"/>
            </w:tblGrid>
            <w:tr w14:paraId="31C4E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96" w:type="pct"/>
                  <w:tcBorders>
                    <w:tl2br w:val="nil"/>
                    <w:tr2bl w:val="nil"/>
                  </w:tcBorders>
                  <w:noWrap w:val="0"/>
                  <w:vAlign w:val="center"/>
                </w:tcPr>
                <w:p w14:paraId="0C2D29B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重点生态功能区</w:t>
                  </w:r>
                </w:p>
              </w:tc>
              <w:tc>
                <w:tcPr>
                  <w:tcW w:w="3803" w:type="pct"/>
                  <w:tcBorders>
                    <w:tl2br w:val="nil"/>
                    <w:tr2bl w:val="nil"/>
                  </w:tcBorders>
                  <w:noWrap w:val="0"/>
                  <w:vAlign w:val="center"/>
                </w:tcPr>
                <w:p w14:paraId="79CE99D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阿尔金草原荒漠化防治生态功能区</w:t>
                  </w:r>
                </w:p>
              </w:tc>
            </w:tr>
            <w:tr w14:paraId="02599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96" w:type="pct"/>
                  <w:tcBorders>
                    <w:tl2br w:val="nil"/>
                    <w:tr2bl w:val="nil"/>
                  </w:tcBorders>
                  <w:noWrap w:val="0"/>
                  <w:vAlign w:val="center"/>
                </w:tcPr>
                <w:p w14:paraId="0E046F4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类型</w:t>
                  </w:r>
                </w:p>
              </w:tc>
              <w:tc>
                <w:tcPr>
                  <w:tcW w:w="3803" w:type="pct"/>
                  <w:tcBorders>
                    <w:tl2br w:val="nil"/>
                    <w:tr2bl w:val="nil"/>
                  </w:tcBorders>
                  <w:noWrap w:val="0"/>
                  <w:vAlign w:val="center"/>
                </w:tcPr>
                <w:p w14:paraId="279E918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防风固沙型</w:t>
                  </w:r>
                </w:p>
              </w:tc>
            </w:tr>
            <w:tr w14:paraId="1100C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96" w:type="pct"/>
                  <w:tcBorders>
                    <w:tl2br w:val="nil"/>
                    <w:tr2bl w:val="nil"/>
                  </w:tcBorders>
                  <w:noWrap w:val="0"/>
                  <w:vAlign w:val="center"/>
                </w:tcPr>
                <w:p w14:paraId="1789619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综合评价</w:t>
                  </w:r>
                </w:p>
              </w:tc>
              <w:tc>
                <w:tcPr>
                  <w:tcW w:w="3803" w:type="pct"/>
                  <w:tcBorders>
                    <w:tl2br w:val="nil"/>
                    <w:tr2bl w:val="nil"/>
                  </w:tcBorders>
                  <w:noWrap w:val="0"/>
                  <w:vAlign w:val="center"/>
                </w:tcPr>
                <w:p w14:paraId="3842A4E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气候极为干旱，地表植被稀少，保存着完整的高原自然生态系统，拥有许多极为珍贵的特有物种，土地沙漠化敏感程度极高。目前鼠害肆虐，土地荒漠化加剧，珍稀动植物的生存受到威胁。</w:t>
                  </w:r>
                </w:p>
              </w:tc>
            </w:tr>
            <w:tr w14:paraId="614AD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196" w:type="pct"/>
                  <w:tcBorders>
                    <w:tl2br w:val="nil"/>
                    <w:tr2bl w:val="nil"/>
                  </w:tcBorders>
                  <w:noWrap w:val="0"/>
                  <w:vAlign w:val="center"/>
                </w:tcPr>
                <w:p w14:paraId="4BFE35E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发展方向</w:t>
                  </w:r>
                </w:p>
              </w:tc>
              <w:tc>
                <w:tcPr>
                  <w:tcW w:w="3803" w:type="pct"/>
                  <w:tcBorders>
                    <w:tl2br w:val="nil"/>
                    <w:tr2bl w:val="nil"/>
                  </w:tcBorders>
                  <w:noWrap w:val="0"/>
                  <w:vAlign w:val="center"/>
                </w:tcPr>
                <w:p w14:paraId="10457FE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控制放牧和旅游区范围，防范盗猎，减少人类活动干扰。</w:t>
                  </w:r>
                </w:p>
              </w:tc>
            </w:tr>
          </w:tbl>
          <w:p w14:paraId="22868AB5">
            <w:pPr>
              <w:keepNext w:val="0"/>
              <w:keepLines w:val="0"/>
              <w:pageBreakBefore w:val="0"/>
              <w:widowControl/>
              <w:kinsoku/>
              <w:wordWrap/>
              <w:overflowPunct/>
              <w:topLinePunct w:val="0"/>
              <w:autoSpaceDE/>
              <w:autoSpaceDN/>
              <w:bidi w:val="0"/>
              <w:adjustRightInd/>
              <w:snapToGrid/>
              <w:spacing w:before="0" w:line="480" w:lineRule="exact"/>
              <w:ind w:firstLine="480" w:firstLineChars="200"/>
              <w:jc w:val="left"/>
              <w:textAlignment w:val="auto"/>
              <w:rPr>
                <w:rFonts w:hint="eastAsia"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本项目不在生态红线区内，项目在建设过程中采取控制作业范围，作业区域定期洒水降尘，避免在大风天气进行开挖作业、施工完成后进行场地平整等措施后，可将项目建设对区域生态环境影响降至最低，建成后项目对生态环境的影响很小，符合</w:t>
            </w:r>
            <w:r>
              <w:rPr>
                <w:rFonts w:hint="eastAsia" w:cs="Times New Roman"/>
                <w:b w:val="0"/>
                <w:bCs/>
                <w:color w:val="auto"/>
                <w:kern w:val="2"/>
                <w:sz w:val="24"/>
                <w:szCs w:val="24"/>
                <w:lang w:val="en-US" w:eastAsia="zh-CN" w:bidi="ar-SA"/>
              </w:rPr>
              <w:t>限</w:t>
            </w:r>
            <w:r>
              <w:rPr>
                <w:rFonts w:hint="eastAsia" w:ascii="Times New Roman" w:hAnsi="Times New Roman" w:eastAsia="宋体" w:cs="Times New Roman"/>
                <w:b w:val="0"/>
                <w:bCs/>
                <w:color w:val="auto"/>
                <w:kern w:val="2"/>
                <w:sz w:val="24"/>
                <w:szCs w:val="24"/>
                <w:lang w:val="en-US" w:eastAsia="zh-CN" w:bidi="ar-SA"/>
              </w:rPr>
              <w:t>制开发区管理要求。</w:t>
            </w:r>
          </w:p>
          <w:p w14:paraId="4ADD390B">
            <w:pPr>
              <w:pStyle w:val="7"/>
              <w:keepNext w:val="0"/>
              <w:keepLines w:val="0"/>
              <w:pageBreakBefore w:val="0"/>
              <w:widowControl w:val="0"/>
              <w:kinsoku/>
              <w:wordWrap/>
              <w:overflowPunct/>
              <w:topLinePunct w:val="0"/>
              <w:autoSpaceDE/>
              <w:autoSpaceDN/>
              <w:bidi w:val="0"/>
              <w:adjustRightInd/>
              <w:snapToGrid/>
              <w:spacing w:line="480" w:lineRule="exact"/>
              <w:ind w:left="0" w:leftChars="0" w:firstLine="482" w:firstLineChars="200"/>
              <w:textAlignment w:val="auto"/>
              <w:rPr>
                <w:rFonts w:hint="default" w:ascii="Times New Roman" w:hAnsi="Times New Roman" w:cs="Times New Roman"/>
                <w:b/>
                <w:bCs w:val="0"/>
                <w:color w:val="auto"/>
                <w:sz w:val="24"/>
                <w:szCs w:val="24"/>
                <w:lang w:val="en-US"/>
              </w:rPr>
            </w:pPr>
            <w:r>
              <w:rPr>
                <w:rFonts w:hint="default" w:ascii="Times New Roman" w:hAnsi="Times New Roman" w:cs="Times New Roman"/>
                <w:b/>
                <w:bCs w:val="0"/>
                <w:color w:val="auto"/>
                <w:kern w:val="2"/>
                <w:sz w:val="24"/>
                <w:szCs w:val="24"/>
                <w:lang w:val="en-US" w:eastAsia="zh-CN" w:bidi="ar-SA"/>
              </w:rPr>
              <w:t>1.</w:t>
            </w:r>
            <w:r>
              <w:rPr>
                <w:rFonts w:hint="eastAsia" w:cs="Times New Roman"/>
                <w:b/>
                <w:bCs w:val="0"/>
                <w:color w:val="auto"/>
                <w:kern w:val="2"/>
                <w:sz w:val="24"/>
                <w:szCs w:val="24"/>
                <w:lang w:val="en-US" w:eastAsia="zh-CN" w:bidi="ar-SA"/>
              </w:rPr>
              <w:t>2</w:t>
            </w:r>
            <w:r>
              <w:rPr>
                <w:rFonts w:hint="default" w:ascii="Times New Roman" w:hAnsi="Times New Roman" w:cs="Times New Roman"/>
                <w:b/>
                <w:bCs w:val="0"/>
                <w:color w:val="auto"/>
                <w:kern w:val="2"/>
                <w:sz w:val="24"/>
                <w:szCs w:val="24"/>
                <w:lang w:val="en-US" w:eastAsia="zh-CN" w:bidi="ar-SA"/>
              </w:rPr>
              <w:t xml:space="preserve"> </w:t>
            </w:r>
            <w:r>
              <w:rPr>
                <w:rFonts w:hint="default" w:ascii="Times New Roman" w:hAnsi="Times New Roman" w:cs="Times New Roman"/>
                <w:b/>
                <w:bCs w:val="0"/>
                <w:color w:val="auto"/>
                <w:sz w:val="24"/>
                <w:szCs w:val="24"/>
              </w:rPr>
              <w:t>生态功能区划</w:t>
            </w:r>
          </w:p>
          <w:p w14:paraId="4C312272">
            <w:pPr>
              <w:keepNext w:val="0"/>
              <w:keepLines w:val="0"/>
              <w:pageBreakBefore w:val="0"/>
              <w:widowControl/>
              <w:kinsoku/>
              <w:wordWrap/>
              <w:overflowPunct/>
              <w:topLinePunct w:val="0"/>
              <w:autoSpaceDE/>
              <w:autoSpaceDN/>
              <w:bidi w:val="0"/>
              <w:adjustRightInd/>
              <w:snapToGrid/>
              <w:spacing w:before="0" w:line="480" w:lineRule="exact"/>
              <w:ind w:firstLine="480" w:firstLineChars="200"/>
              <w:jc w:val="both"/>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根据《新疆生态功能区划》，矿区所在区域位于Ⅴ帕米尔</w:t>
            </w:r>
            <w:r>
              <w:rPr>
                <w:rFonts w:hint="eastAsia" w:cs="Times New Roman"/>
                <w:b w:val="0"/>
                <w:bCs/>
                <w:color w:val="auto"/>
                <w:kern w:val="2"/>
                <w:sz w:val="24"/>
                <w:szCs w:val="24"/>
                <w:lang w:val="en-US" w:eastAsia="zh-CN" w:bidi="ar-SA"/>
              </w:rPr>
              <w:t>－</w:t>
            </w:r>
            <w:r>
              <w:rPr>
                <w:rFonts w:hint="default" w:ascii="Times New Roman" w:hAnsi="Times New Roman" w:eastAsia="宋体" w:cs="Times New Roman"/>
                <w:b w:val="0"/>
                <w:bCs/>
                <w:color w:val="auto"/>
                <w:kern w:val="2"/>
                <w:sz w:val="24"/>
                <w:szCs w:val="24"/>
                <w:lang w:val="en-US" w:eastAsia="zh-CN" w:bidi="ar-SA"/>
              </w:rPr>
              <w:t>昆仑山</w:t>
            </w:r>
            <w:r>
              <w:rPr>
                <w:rFonts w:hint="eastAsia" w:cs="Times New Roman"/>
                <w:b w:val="0"/>
                <w:bCs/>
                <w:color w:val="auto"/>
                <w:kern w:val="2"/>
                <w:sz w:val="24"/>
                <w:szCs w:val="24"/>
                <w:lang w:val="en-US" w:eastAsia="zh-CN" w:bidi="ar-SA"/>
              </w:rPr>
              <w:t>－</w:t>
            </w:r>
            <w:r>
              <w:rPr>
                <w:rFonts w:hint="default" w:ascii="Times New Roman" w:hAnsi="Times New Roman" w:eastAsia="宋体" w:cs="Times New Roman"/>
                <w:b w:val="0"/>
                <w:bCs/>
                <w:color w:val="auto"/>
                <w:kern w:val="2"/>
                <w:sz w:val="24"/>
                <w:szCs w:val="24"/>
                <w:lang w:val="en-US" w:eastAsia="zh-CN" w:bidi="ar-SA"/>
              </w:rPr>
              <w:t>阿尔金山荒漠干旱草原生态区——Ⅴ3阿尔金山荒漠草原生物多样性保护生态亚区——76阿尔金山荒漠草原及野骆驼保护</w:t>
            </w:r>
            <w:r>
              <w:rPr>
                <w:rFonts w:hint="eastAsia" w:cs="Times New Roman"/>
                <w:b w:val="0"/>
                <w:bCs/>
                <w:color w:val="auto"/>
                <w:kern w:val="2"/>
                <w:sz w:val="24"/>
                <w:szCs w:val="24"/>
                <w:lang w:val="en-US" w:eastAsia="zh-CN" w:bidi="ar-SA"/>
              </w:rPr>
              <w:t>生态功能区划</w:t>
            </w:r>
            <w:r>
              <w:rPr>
                <w:rFonts w:hint="default" w:ascii="Times New Roman" w:hAnsi="Times New Roman" w:eastAsia="宋体" w:cs="Times New Roman"/>
                <w:b w:val="0"/>
                <w:bCs/>
                <w:color w:val="auto"/>
                <w:kern w:val="2"/>
                <w:sz w:val="24"/>
                <w:szCs w:val="24"/>
                <w:lang w:val="en-US" w:eastAsia="zh-CN" w:bidi="ar-SA"/>
              </w:rPr>
              <w:t>，该区主要生态服务功能为土壤保持、</w:t>
            </w:r>
            <w:r>
              <w:rPr>
                <w:rFonts w:hint="eastAsia" w:cs="Times New Roman"/>
                <w:b w:val="0"/>
                <w:bCs/>
                <w:color w:val="auto"/>
                <w:kern w:val="2"/>
                <w:sz w:val="24"/>
                <w:szCs w:val="24"/>
                <w:lang w:val="en-US" w:eastAsia="zh-CN" w:bidi="ar-SA"/>
              </w:rPr>
              <w:t>生物多样性维护</w:t>
            </w:r>
            <w:r>
              <w:rPr>
                <w:rFonts w:hint="default" w:ascii="Times New Roman" w:hAnsi="Times New Roman" w:eastAsia="宋体" w:cs="Times New Roman"/>
                <w:b w:val="0"/>
                <w:bCs/>
                <w:color w:val="auto"/>
                <w:kern w:val="2"/>
                <w:sz w:val="24"/>
                <w:szCs w:val="24"/>
                <w:lang w:val="en-US" w:eastAsia="zh-CN" w:bidi="ar-SA"/>
              </w:rPr>
              <w:t>，主要生态环境问题为草地退化、水土流失、洪水危害，主要保护目标为保护荒漠草原和野骆驼，主要保护措施为保护区退牧、禁止偷猎、禁止乱采玉石矿、加强保护区管理，适宜发展方向为保护野生动物栖息地，维护自然生态平衡。</w:t>
            </w:r>
            <w:r>
              <w:rPr>
                <w:rFonts w:hint="eastAsia" w:cs="Times New Roman"/>
                <w:b w:val="0"/>
                <w:bCs/>
                <w:color w:val="auto"/>
                <w:kern w:val="2"/>
                <w:sz w:val="24"/>
                <w:szCs w:val="24"/>
                <w:lang w:val="en-US" w:eastAsia="zh-CN" w:bidi="ar-SA"/>
              </w:rPr>
              <w:t>输变电</w:t>
            </w:r>
            <w:r>
              <w:rPr>
                <w:rFonts w:hint="default" w:ascii="Times New Roman" w:hAnsi="Times New Roman" w:eastAsia="宋体" w:cs="Times New Roman"/>
                <w:b w:val="0"/>
                <w:bCs/>
                <w:color w:val="auto"/>
                <w:kern w:val="2"/>
                <w:sz w:val="24"/>
                <w:szCs w:val="24"/>
                <w:lang w:val="en-US" w:eastAsia="zh-CN" w:bidi="ar-SA"/>
              </w:rPr>
              <w:t>所在区域不在城市化地区、农业地区和生态地区三类国土空间规划和用途管制范围内，也不在生态保护红线范围内。本项目符合《新疆生态环境功能区划》要求</w:t>
            </w:r>
            <w:r>
              <w:rPr>
                <w:rFonts w:hint="eastAsia" w:cs="Times New Roman"/>
                <w:b w:val="0"/>
                <w:bCs/>
                <w:color w:val="auto"/>
                <w:kern w:val="2"/>
                <w:sz w:val="24"/>
                <w:szCs w:val="24"/>
                <w:lang w:val="en-US" w:eastAsia="zh-CN" w:bidi="ar-SA"/>
              </w:rPr>
              <w:t>，新疆生态功能区划图见附图5</w:t>
            </w:r>
            <w:r>
              <w:rPr>
                <w:rFonts w:hint="default" w:ascii="Times New Roman" w:hAnsi="Times New Roman" w:eastAsia="宋体" w:cs="Times New Roman"/>
                <w:b w:val="0"/>
                <w:bCs/>
                <w:color w:val="auto"/>
                <w:kern w:val="2"/>
                <w:sz w:val="24"/>
                <w:szCs w:val="24"/>
                <w:lang w:val="en-US" w:eastAsia="zh-CN" w:bidi="ar-SA"/>
              </w:rPr>
              <w:t>。</w:t>
            </w:r>
          </w:p>
          <w:p w14:paraId="5A33E503">
            <w:pPr>
              <w:keepNext w:val="0"/>
              <w:keepLines w:val="0"/>
              <w:pageBreakBefore w:val="0"/>
              <w:widowControl/>
              <w:kinsoku/>
              <w:wordWrap/>
              <w:overflowPunct/>
              <w:topLinePunct w:val="0"/>
              <w:autoSpaceDE/>
              <w:autoSpaceDN/>
              <w:bidi w:val="0"/>
              <w:adjustRightInd/>
              <w:snapToGrid/>
              <w:spacing w:before="0" w:line="480" w:lineRule="exact"/>
              <w:jc w:val="center"/>
              <w:textAlignment w:val="auto"/>
              <w:rPr>
                <w:rFonts w:hint="default" w:ascii="Times New Roman" w:hAnsi="Times New Roman" w:eastAsia="宋体" w:cs="Times New Roman"/>
                <w:b/>
                <w:bCs w:val="0"/>
                <w:color w:val="auto"/>
                <w:kern w:val="2"/>
                <w:sz w:val="24"/>
                <w:szCs w:val="24"/>
                <w:lang w:val="zh-CN" w:eastAsia="zh-CN" w:bidi="ar-SA"/>
              </w:rPr>
            </w:pPr>
            <w:r>
              <w:rPr>
                <w:rFonts w:hint="default" w:ascii="Times New Roman" w:hAnsi="Times New Roman" w:eastAsia="宋体" w:cs="Times New Roman"/>
                <w:b/>
                <w:bCs w:val="0"/>
                <w:color w:val="auto"/>
                <w:kern w:val="2"/>
                <w:sz w:val="24"/>
                <w:szCs w:val="24"/>
                <w:lang w:val="zh-CN" w:eastAsia="zh-CN" w:bidi="ar-SA"/>
              </w:rPr>
              <w:t>表</w:t>
            </w:r>
            <w:r>
              <w:rPr>
                <w:rFonts w:hint="eastAsia" w:cs="Times New Roman"/>
                <w:b/>
                <w:bCs w:val="0"/>
                <w:color w:val="auto"/>
                <w:kern w:val="2"/>
                <w:sz w:val="24"/>
                <w:szCs w:val="24"/>
                <w:lang w:val="en-US" w:eastAsia="zh-CN" w:bidi="ar-SA"/>
              </w:rPr>
              <w:t xml:space="preserve">3-2    </w:t>
            </w:r>
            <w:r>
              <w:rPr>
                <w:rFonts w:hint="default" w:ascii="Times New Roman" w:hAnsi="Times New Roman" w:eastAsia="宋体" w:cs="Times New Roman"/>
                <w:b/>
                <w:bCs w:val="0"/>
                <w:color w:val="auto"/>
                <w:kern w:val="2"/>
                <w:sz w:val="24"/>
                <w:szCs w:val="24"/>
                <w:lang w:val="en-US" w:eastAsia="zh-CN" w:bidi="ar-SA"/>
              </w:rPr>
              <w:t xml:space="preserve">   </w:t>
            </w:r>
            <w:r>
              <w:rPr>
                <w:rFonts w:hint="default" w:ascii="Times New Roman" w:hAnsi="Times New Roman" w:eastAsia="宋体" w:cs="Times New Roman"/>
                <w:b/>
                <w:bCs w:val="0"/>
                <w:color w:val="auto"/>
                <w:kern w:val="2"/>
                <w:sz w:val="24"/>
                <w:szCs w:val="24"/>
                <w:lang w:val="zh-CN" w:eastAsia="zh-CN" w:bidi="ar-SA"/>
              </w:rPr>
              <w:t xml:space="preserve"> 项目所在区域生态功能区划</w:t>
            </w:r>
          </w:p>
          <w:tbl>
            <w:tblPr>
              <w:tblStyle w:val="22"/>
              <w:tblW w:w="4999"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944"/>
              <w:gridCol w:w="1302"/>
              <w:gridCol w:w="5860"/>
            </w:tblGrid>
            <w:tr w14:paraId="2EFEA40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2" w:type="pct"/>
                  <w:vMerge w:val="restart"/>
                  <w:vAlign w:val="center"/>
                </w:tcPr>
                <w:p w14:paraId="0C251F7A">
                  <w:pPr>
                    <w:pStyle w:val="40"/>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sz w:val="21"/>
                      <w:szCs w:val="21"/>
                      <w:highlight w:val="none"/>
                      <w:lang w:val="en-US" w:eastAsia="zh-CN"/>
                    </w:rPr>
                    <w:t>生态功能分区单元</w:t>
                  </w:r>
                </w:p>
              </w:tc>
              <w:tc>
                <w:tcPr>
                  <w:tcW w:w="803" w:type="pct"/>
                  <w:vAlign w:val="center"/>
                </w:tcPr>
                <w:p w14:paraId="7AAA4B5D">
                  <w:pPr>
                    <w:pStyle w:val="40"/>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sz w:val="21"/>
                      <w:szCs w:val="21"/>
                      <w:highlight w:val="none"/>
                      <w:lang w:val="en-US" w:eastAsia="zh-CN"/>
                    </w:rPr>
                    <w:t>生态区</w:t>
                  </w:r>
                </w:p>
              </w:tc>
              <w:tc>
                <w:tcPr>
                  <w:tcW w:w="3614" w:type="pct"/>
                  <w:vAlign w:val="center"/>
                </w:tcPr>
                <w:p w14:paraId="0CCFDB37">
                  <w:pPr>
                    <w:pStyle w:val="40"/>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kern w:val="0"/>
                      <w:sz w:val="21"/>
                      <w:szCs w:val="21"/>
                      <w:highlight w:val="none"/>
                    </w:rPr>
                    <w:t>Ⅴ帕米尔-昆仑山-阿尔金山荒漠干旱草原生态区</w:t>
                  </w:r>
                </w:p>
              </w:tc>
            </w:tr>
            <w:tr w14:paraId="3464EB9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2" w:type="pct"/>
                  <w:vMerge w:val="continue"/>
                  <w:vAlign w:val="center"/>
                </w:tcPr>
                <w:p w14:paraId="046EB33E">
                  <w:pPr>
                    <w:pStyle w:val="40"/>
                    <w:keepNext w:val="0"/>
                    <w:keepLines w:val="0"/>
                    <w:pageBreakBefore w:val="0"/>
                    <w:widowControl/>
                    <w:kinsoku/>
                    <w:wordWrap/>
                    <w:overflowPunct/>
                    <w:topLinePunct w:val="0"/>
                    <w:autoSpaceDE/>
                    <w:autoSpaceDN/>
                    <w:bidi w:val="0"/>
                    <w:adjustRightInd w:val="0"/>
                    <w:snapToGrid w:val="0"/>
                    <w:spacing w:after="0"/>
                    <w:jc w:val="center"/>
                    <w:textAlignment w:val="baseline"/>
                    <w:outlineLvl w:val="9"/>
                    <w:rPr>
                      <w:rFonts w:hint="default" w:ascii="Calibri" w:hAnsi="Calibri" w:eastAsia="宋体" w:cs="Calibri"/>
                      <w:color w:val="auto"/>
                      <w:sz w:val="21"/>
                      <w:szCs w:val="21"/>
                      <w:highlight w:val="none"/>
                      <w:lang w:val="en-US" w:eastAsia="zh-CN"/>
                    </w:rPr>
                  </w:pPr>
                </w:p>
              </w:tc>
              <w:tc>
                <w:tcPr>
                  <w:tcW w:w="803" w:type="pct"/>
                  <w:vAlign w:val="center"/>
                </w:tcPr>
                <w:p w14:paraId="2A4B6025">
                  <w:pPr>
                    <w:pStyle w:val="40"/>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sz w:val="21"/>
                      <w:szCs w:val="21"/>
                      <w:highlight w:val="none"/>
                      <w:lang w:val="en-US" w:eastAsia="zh-CN"/>
                    </w:rPr>
                    <w:t>生态亚区</w:t>
                  </w:r>
                </w:p>
              </w:tc>
              <w:tc>
                <w:tcPr>
                  <w:tcW w:w="3614" w:type="pct"/>
                  <w:vAlign w:val="center"/>
                </w:tcPr>
                <w:p w14:paraId="2EA859A2">
                  <w:pPr>
                    <w:pStyle w:val="40"/>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sz w:val="21"/>
                      <w:szCs w:val="21"/>
                      <w:highlight w:val="none"/>
                      <w:lang w:val="en-US" w:eastAsia="zh-CN"/>
                    </w:rPr>
                    <w:t>Ⅴ</w:t>
                  </w:r>
                  <w:r>
                    <w:rPr>
                      <w:rFonts w:hint="default" w:ascii="Calibri" w:hAnsi="Calibri" w:eastAsia="宋体" w:cs="Calibri"/>
                      <w:color w:val="auto"/>
                      <w:sz w:val="21"/>
                      <w:szCs w:val="21"/>
                      <w:highlight w:val="none"/>
                      <w:vertAlign w:val="subscript"/>
                      <w:lang w:val="en-US" w:eastAsia="zh-CN"/>
                    </w:rPr>
                    <w:t>3</w:t>
                  </w:r>
                  <w:r>
                    <w:rPr>
                      <w:rFonts w:hint="default" w:ascii="Calibri" w:hAnsi="Calibri" w:eastAsia="宋体" w:cs="Calibri"/>
                      <w:color w:val="auto"/>
                      <w:sz w:val="21"/>
                      <w:szCs w:val="21"/>
                      <w:highlight w:val="none"/>
                      <w:lang w:val="en-US" w:eastAsia="zh-CN"/>
                    </w:rPr>
                    <w:t>阿尔金山荒漠草原生物多样性保护生态亚区</w:t>
                  </w:r>
                </w:p>
              </w:tc>
            </w:tr>
            <w:tr w14:paraId="7E16472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82" w:type="pct"/>
                  <w:vMerge w:val="continue"/>
                  <w:vAlign w:val="center"/>
                </w:tcPr>
                <w:p w14:paraId="69885144">
                  <w:pPr>
                    <w:pStyle w:val="40"/>
                    <w:keepNext w:val="0"/>
                    <w:keepLines w:val="0"/>
                    <w:pageBreakBefore w:val="0"/>
                    <w:widowControl/>
                    <w:kinsoku/>
                    <w:wordWrap/>
                    <w:overflowPunct/>
                    <w:topLinePunct w:val="0"/>
                    <w:autoSpaceDE/>
                    <w:autoSpaceDN/>
                    <w:bidi w:val="0"/>
                    <w:adjustRightInd w:val="0"/>
                    <w:snapToGrid w:val="0"/>
                    <w:spacing w:after="0"/>
                    <w:jc w:val="center"/>
                    <w:textAlignment w:val="baseline"/>
                    <w:outlineLvl w:val="9"/>
                    <w:rPr>
                      <w:rFonts w:hint="default" w:ascii="Calibri" w:hAnsi="Calibri" w:eastAsia="宋体" w:cs="Calibri"/>
                      <w:color w:val="auto"/>
                      <w:sz w:val="21"/>
                      <w:szCs w:val="21"/>
                      <w:highlight w:val="none"/>
                      <w:lang w:val="en-US" w:eastAsia="zh-CN"/>
                    </w:rPr>
                  </w:pPr>
                </w:p>
              </w:tc>
              <w:tc>
                <w:tcPr>
                  <w:tcW w:w="803" w:type="pct"/>
                  <w:vAlign w:val="center"/>
                </w:tcPr>
                <w:p w14:paraId="6D7ED410">
                  <w:pPr>
                    <w:pStyle w:val="40"/>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sz w:val="21"/>
                      <w:szCs w:val="21"/>
                      <w:highlight w:val="none"/>
                      <w:lang w:val="en-US" w:eastAsia="zh-CN"/>
                    </w:rPr>
                    <w:t>生态功能区</w:t>
                  </w:r>
                </w:p>
              </w:tc>
              <w:tc>
                <w:tcPr>
                  <w:tcW w:w="3614" w:type="pct"/>
                  <w:vAlign w:val="center"/>
                </w:tcPr>
                <w:p w14:paraId="3076BBDC">
                  <w:pPr>
                    <w:pStyle w:val="40"/>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kern w:val="0"/>
                      <w:sz w:val="21"/>
                      <w:szCs w:val="21"/>
                      <w:highlight w:val="none"/>
                      <w:lang w:val="en-US" w:eastAsia="zh-CN"/>
                    </w:rPr>
                    <w:t>76</w:t>
                  </w:r>
                  <w:r>
                    <w:rPr>
                      <w:rFonts w:hint="default" w:ascii="Calibri" w:hAnsi="Calibri" w:eastAsia="宋体" w:cs="Calibri"/>
                      <w:color w:val="auto"/>
                      <w:kern w:val="0"/>
                      <w:sz w:val="21"/>
                      <w:szCs w:val="21"/>
                      <w:highlight w:val="none"/>
                    </w:rPr>
                    <w:t>阿尔金山荒漠草原及野骆驼保护生态功能区</w:t>
                  </w:r>
                </w:p>
              </w:tc>
            </w:tr>
            <w:tr w14:paraId="614CA9D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85" w:type="pct"/>
                  <w:gridSpan w:val="2"/>
                  <w:vAlign w:val="center"/>
                </w:tcPr>
                <w:p w14:paraId="68D8F8BE">
                  <w:pPr>
                    <w:pStyle w:val="40"/>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sz w:val="21"/>
                      <w:szCs w:val="21"/>
                      <w:highlight w:val="none"/>
                      <w:lang w:val="en-US" w:eastAsia="zh-CN"/>
                    </w:rPr>
                    <w:t>隶属行政区</w:t>
                  </w:r>
                </w:p>
              </w:tc>
              <w:tc>
                <w:tcPr>
                  <w:tcW w:w="3614" w:type="pct"/>
                  <w:vAlign w:val="center"/>
                </w:tcPr>
                <w:p w14:paraId="02EAF5BF">
                  <w:pPr>
                    <w:pStyle w:val="40"/>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sz w:val="21"/>
                      <w:szCs w:val="21"/>
                      <w:highlight w:val="none"/>
                      <w:lang w:val="en-US" w:eastAsia="zh-CN"/>
                    </w:rPr>
                    <w:t>若羌县</w:t>
                  </w:r>
                </w:p>
              </w:tc>
            </w:tr>
            <w:tr w14:paraId="71DFB1A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85" w:type="pct"/>
                  <w:gridSpan w:val="2"/>
                  <w:vAlign w:val="center"/>
                </w:tcPr>
                <w:p w14:paraId="5334210E">
                  <w:pPr>
                    <w:pStyle w:val="40"/>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sz w:val="21"/>
                      <w:szCs w:val="21"/>
                      <w:highlight w:val="none"/>
                      <w:lang w:val="en-US" w:eastAsia="zh-CN"/>
                    </w:rPr>
                    <w:t>主要生态服务功能</w:t>
                  </w:r>
                </w:p>
              </w:tc>
              <w:tc>
                <w:tcPr>
                  <w:tcW w:w="3614" w:type="pct"/>
                  <w:vAlign w:val="center"/>
                </w:tcPr>
                <w:p w14:paraId="793DA93B">
                  <w:pPr>
                    <w:pStyle w:val="40"/>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kern w:val="0"/>
                      <w:sz w:val="21"/>
                      <w:szCs w:val="21"/>
                      <w:highlight w:val="none"/>
                    </w:rPr>
                    <w:t>土壤保持、</w:t>
                  </w:r>
                  <w:r>
                    <w:rPr>
                      <w:rFonts w:hint="eastAsia" w:ascii="Calibri" w:hAnsi="Calibri" w:cs="Calibri"/>
                      <w:color w:val="auto"/>
                      <w:kern w:val="0"/>
                      <w:sz w:val="21"/>
                      <w:szCs w:val="21"/>
                      <w:highlight w:val="none"/>
                      <w:lang w:eastAsia="zh-CN"/>
                    </w:rPr>
                    <w:t>生物多样性维护</w:t>
                  </w:r>
                </w:p>
              </w:tc>
            </w:tr>
            <w:tr w14:paraId="23018E4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85" w:type="pct"/>
                  <w:gridSpan w:val="2"/>
                  <w:vAlign w:val="center"/>
                </w:tcPr>
                <w:p w14:paraId="7585EC13">
                  <w:pPr>
                    <w:pStyle w:val="40"/>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sz w:val="21"/>
                      <w:szCs w:val="21"/>
                      <w:highlight w:val="none"/>
                      <w:lang w:val="en-US" w:eastAsia="zh-CN"/>
                    </w:rPr>
                    <w:t>主要生态环境问题</w:t>
                  </w:r>
                </w:p>
              </w:tc>
              <w:tc>
                <w:tcPr>
                  <w:tcW w:w="3614" w:type="pct"/>
                  <w:vAlign w:val="center"/>
                </w:tcPr>
                <w:p w14:paraId="72E8EE50">
                  <w:pPr>
                    <w:pStyle w:val="40"/>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kern w:val="0"/>
                      <w:sz w:val="21"/>
                      <w:szCs w:val="21"/>
                      <w:highlight w:val="none"/>
                    </w:rPr>
                    <w:t>草地退化、水土流失、洪水危害</w:t>
                  </w:r>
                </w:p>
              </w:tc>
            </w:tr>
            <w:tr w14:paraId="699FF02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85" w:type="pct"/>
                  <w:gridSpan w:val="2"/>
                  <w:vAlign w:val="center"/>
                </w:tcPr>
                <w:p w14:paraId="018723EE">
                  <w:pPr>
                    <w:pStyle w:val="40"/>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sz w:val="21"/>
                      <w:szCs w:val="21"/>
                      <w:highlight w:val="none"/>
                      <w:lang w:val="en-US" w:eastAsia="zh-CN"/>
                    </w:rPr>
                    <w:t>主要生态敏感因子、敏感程度</w:t>
                  </w:r>
                </w:p>
              </w:tc>
              <w:tc>
                <w:tcPr>
                  <w:tcW w:w="3614" w:type="pct"/>
                  <w:vAlign w:val="center"/>
                </w:tcPr>
                <w:p w14:paraId="13083069">
                  <w:pPr>
                    <w:pStyle w:val="40"/>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sz w:val="21"/>
                      <w:szCs w:val="21"/>
                      <w:highlight w:val="none"/>
                      <w:lang w:val="en-US" w:eastAsia="zh-CN"/>
                    </w:rPr>
                    <w:t>生物多样性及其生境高度敏感，土壤侵蚀高度敏感</w:t>
                  </w:r>
                </w:p>
              </w:tc>
            </w:tr>
            <w:tr w14:paraId="65F0152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85" w:type="pct"/>
                  <w:gridSpan w:val="2"/>
                  <w:vAlign w:val="center"/>
                </w:tcPr>
                <w:p w14:paraId="12EB155D">
                  <w:pPr>
                    <w:pStyle w:val="40"/>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sz w:val="21"/>
                      <w:szCs w:val="21"/>
                      <w:highlight w:val="none"/>
                      <w:lang w:val="en-US" w:eastAsia="zh-CN"/>
                    </w:rPr>
                    <w:t>主要保护目标</w:t>
                  </w:r>
                </w:p>
              </w:tc>
              <w:tc>
                <w:tcPr>
                  <w:tcW w:w="3614" w:type="pct"/>
                  <w:vAlign w:val="center"/>
                </w:tcPr>
                <w:p w14:paraId="12E44378">
                  <w:pPr>
                    <w:pStyle w:val="40"/>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kern w:val="0"/>
                      <w:sz w:val="21"/>
                      <w:szCs w:val="21"/>
                      <w:highlight w:val="none"/>
                    </w:rPr>
                    <w:t>保护荒漠草原和野骆驼</w:t>
                  </w:r>
                </w:p>
              </w:tc>
            </w:tr>
            <w:tr w14:paraId="61C23D9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85" w:type="pct"/>
                  <w:gridSpan w:val="2"/>
                  <w:vAlign w:val="center"/>
                </w:tcPr>
                <w:p w14:paraId="0CC80A2F">
                  <w:pPr>
                    <w:pStyle w:val="40"/>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sz w:val="21"/>
                      <w:szCs w:val="21"/>
                      <w:highlight w:val="none"/>
                      <w:lang w:val="en-US" w:eastAsia="zh-CN"/>
                    </w:rPr>
                    <w:t>主要保护措施</w:t>
                  </w:r>
                </w:p>
              </w:tc>
              <w:tc>
                <w:tcPr>
                  <w:tcW w:w="3614" w:type="pct"/>
                  <w:vAlign w:val="center"/>
                </w:tcPr>
                <w:p w14:paraId="0F994EC6">
                  <w:pPr>
                    <w:pStyle w:val="40"/>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kern w:val="0"/>
                      <w:sz w:val="21"/>
                      <w:szCs w:val="21"/>
                      <w:highlight w:val="none"/>
                    </w:rPr>
                    <w:t>保护区退牧、禁止偷猎、禁止乱采玉石矿、加强保护区管理</w:t>
                  </w:r>
                </w:p>
              </w:tc>
            </w:tr>
            <w:tr w14:paraId="0CD6A94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85" w:type="pct"/>
                  <w:gridSpan w:val="2"/>
                  <w:vAlign w:val="center"/>
                </w:tcPr>
                <w:p w14:paraId="5383A3FA">
                  <w:pPr>
                    <w:pStyle w:val="40"/>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sz w:val="21"/>
                      <w:szCs w:val="21"/>
                      <w:highlight w:val="none"/>
                      <w:lang w:val="en-US" w:eastAsia="zh-CN"/>
                    </w:rPr>
                    <w:t>适宜发展方向</w:t>
                  </w:r>
                </w:p>
              </w:tc>
              <w:tc>
                <w:tcPr>
                  <w:tcW w:w="3614" w:type="pct"/>
                  <w:vAlign w:val="center"/>
                </w:tcPr>
                <w:p w14:paraId="7F60C341">
                  <w:pPr>
                    <w:pStyle w:val="40"/>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Calibri" w:hAnsi="Calibri" w:eastAsia="宋体" w:cs="Calibri"/>
                      <w:color w:val="auto"/>
                      <w:sz w:val="21"/>
                      <w:szCs w:val="21"/>
                      <w:highlight w:val="none"/>
                      <w:lang w:val="en-US" w:eastAsia="zh-CN"/>
                    </w:rPr>
                  </w:pPr>
                  <w:r>
                    <w:rPr>
                      <w:rFonts w:hint="default" w:ascii="Calibri" w:hAnsi="Calibri" w:eastAsia="宋体" w:cs="Calibri"/>
                      <w:color w:val="auto"/>
                      <w:kern w:val="0"/>
                      <w:sz w:val="21"/>
                      <w:szCs w:val="21"/>
                      <w:highlight w:val="none"/>
                    </w:rPr>
                    <w:t>保护野生动物栖息地，维护自然生态平衡。</w:t>
                  </w:r>
                </w:p>
              </w:tc>
            </w:tr>
          </w:tbl>
          <w:p w14:paraId="65AE7A46">
            <w:pPr>
              <w:keepNext w:val="0"/>
              <w:keepLines w:val="0"/>
              <w:pageBreakBefore w:val="0"/>
              <w:widowControl/>
              <w:kinsoku/>
              <w:wordWrap/>
              <w:overflowPunct/>
              <w:topLinePunct w:val="0"/>
              <w:autoSpaceDE/>
              <w:autoSpaceDN/>
              <w:bidi w:val="0"/>
              <w:adjustRightInd/>
              <w:spacing w:line="520" w:lineRule="exact"/>
              <w:ind w:firstLine="482" w:firstLineChars="200"/>
              <w:jc w:val="both"/>
              <w:textAlignment w:val="auto"/>
              <w:rPr>
                <w:rFonts w:hint="default" w:ascii="Times New Roman" w:hAnsi="Times New Roman" w:eastAsia="宋体" w:cs="Times New Roman"/>
                <w:b/>
                <w:bCs w:val="0"/>
                <w:color w:val="auto"/>
                <w:kern w:val="2"/>
                <w:sz w:val="24"/>
                <w:szCs w:val="24"/>
                <w:lang w:val="en-US" w:eastAsia="zh-CN" w:bidi="ar-SA"/>
              </w:rPr>
            </w:pPr>
            <w:r>
              <w:rPr>
                <w:rFonts w:hint="default" w:ascii="Times New Roman" w:hAnsi="Times New Roman" w:eastAsia="宋体" w:cs="Times New Roman"/>
                <w:b/>
                <w:bCs w:val="0"/>
                <w:color w:val="auto"/>
                <w:kern w:val="2"/>
                <w:sz w:val="24"/>
                <w:szCs w:val="24"/>
                <w:lang w:val="en-US" w:eastAsia="zh-CN" w:bidi="ar-SA"/>
              </w:rPr>
              <w:t>1.</w:t>
            </w:r>
            <w:r>
              <w:rPr>
                <w:rFonts w:hint="eastAsia" w:cs="Times New Roman"/>
                <w:b/>
                <w:bCs w:val="0"/>
                <w:color w:val="auto"/>
                <w:kern w:val="2"/>
                <w:sz w:val="24"/>
                <w:szCs w:val="24"/>
                <w:lang w:val="en-US" w:eastAsia="zh-CN" w:bidi="ar-SA"/>
              </w:rPr>
              <w:t>3</w:t>
            </w:r>
            <w:r>
              <w:rPr>
                <w:rFonts w:hint="default" w:ascii="Times New Roman" w:hAnsi="Times New Roman" w:eastAsia="宋体" w:cs="Times New Roman"/>
                <w:b/>
                <w:bCs w:val="0"/>
                <w:color w:val="auto"/>
                <w:kern w:val="2"/>
                <w:sz w:val="24"/>
                <w:szCs w:val="24"/>
                <w:lang w:val="en-US" w:eastAsia="zh-CN" w:bidi="ar-SA"/>
              </w:rPr>
              <w:t xml:space="preserve"> 生态环境现状</w:t>
            </w:r>
          </w:p>
          <w:p w14:paraId="6A759DE9">
            <w:pPr>
              <w:keepNext w:val="0"/>
              <w:keepLines w:val="0"/>
              <w:pageBreakBefore w:val="0"/>
              <w:widowControl/>
              <w:kinsoku/>
              <w:wordWrap/>
              <w:overflowPunct/>
              <w:topLinePunct w:val="0"/>
              <w:autoSpaceDE/>
              <w:autoSpaceDN/>
              <w:bidi w:val="0"/>
              <w:adjustRightInd/>
              <w:snapToGrid/>
              <w:spacing w:line="520" w:lineRule="exact"/>
              <w:ind w:firstLine="482" w:firstLineChars="200"/>
              <w:jc w:val="both"/>
              <w:textAlignment w:val="auto"/>
              <w:rPr>
                <w:rFonts w:hint="default"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1.</w:t>
            </w:r>
            <w:r>
              <w:rPr>
                <w:rFonts w:hint="eastAsia" w:cs="Times New Roman"/>
                <w:b/>
                <w:bCs w:val="0"/>
                <w:color w:val="auto"/>
                <w:kern w:val="2"/>
                <w:sz w:val="24"/>
                <w:szCs w:val="24"/>
                <w:lang w:val="en-US" w:eastAsia="zh-CN" w:bidi="ar-SA"/>
              </w:rPr>
              <w:t xml:space="preserve">3.1 </w:t>
            </w:r>
            <w:r>
              <w:rPr>
                <w:rFonts w:hint="eastAsia" w:ascii="Times New Roman" w:hAnsi="Times New Roman" w:eastAsia="宋体" w:cs="Times New Roman"/>
                <w:b/>
                <w:bCs w:val="0"/>
                <w:color w:val="auto"/>
                <w:kern w:val="2"/>
                <w:sz w:val="24"/>
                <w:szCs w:val="24"/>
                <w:lang w:val="en-US" w:eastAsia="zh-CN" w:bidi="ar-SA"/>
              </w:rPr>
              <w:t>生态环境影响评价等级</w:t>
            </w:r>
          </w:p>
          <w:p w14:paraId="47F6C481">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default" w:ascii="Calibri" w:hAnsi="Calibri" w:eastAsia="宋体" w:cs="Calibri"/>
                <w:color w:val="auto"/>
                <w:sz w:val="24"/>
                <w:szCs w:val="24"/>
                <w:lang w:val="en-US" w:eastAsia="zh-CN"/>
              </w:rPr>
            </w:pPr>
            <w:r>
              <w:rPr>
                <w:rFonts w:hint="default" w:ascii="Calibri" w:hAnsi="Calibri" w:eastAsia="宋体" w:cs="Calibri"/>
                <w:color w:val="auto"/>
                <w:sz w:val="24"/>
                <w:szCs w:val="24"/>
                <w:lang w:val="en-US" w:eastAsia="zh-CN"/>
              </w:rPr>
              <w:t>对照《环境影响评价技术导则 生态影响》（HJ19-2022）中的等级判别：项目区范围内无自然保护区等特殊生态敏感区，也无风景名胜区、森林公园、珍稀濒危野生动植物天然集中区等重要生态敏感区，</w:t>
            </w:r>
            <w:r>
              <w:rPr>
                <w:rFonts w:hint="default" w:ascii="Calibri" w:hAnsi="Calibri" w:cs="Calibri"/>
                <w:color w:val="auto"/>
                <w:sz w:val="24"/>
                <w:szCs w:val="24"/>
                <w:lang w:val="en-US" w:eastAsia="zh-CN"/>
              </w:rPr>
              <w:t>属于</w:t>
            </w:r>
            <w:r>
              <w:rPr>
                <w:rFonts w:hint="default" w:ascii="Calibri" w:hAnsi="Calibri" w:eastAsia="宋体" w:cs="Calibri"/>
                <w:color w:val="auto"/>
                <w:sz w:val="24"/>
                <w:szCs w:val="24"/>
                <w:lang w:val="en-US" w:eastAsia="zh-CN"/>
              </w:rPr>
              <w:t>一般区域；本项目属于电力基础设施建设项目，</w:t>
            </w:r>
            <w:r>
              <w:rPr>
                <w:rFonts w:hint="default" w:ascii="Calibri" w:hAnsi="Calibri" w:cs="Calibri"/>
                <w:color w:val="auto"/>
                <w:sz w:val="24"/>
                <w:szCs w:val="24"/>
                <w:lang w:val="en-US" w:eastAsia="zh-CN"/>
              </w:rPr>
              <w:t>项目</w:t>
            </w:r>
            <w:r>
              <w:rPr>
                <w:rFonts w:hint="default" w:ascii="Calibri" w:hAnsi="Calibri" w:eastAsia="宋体" w:cs="Calibri"/>
                <w:color w:val="auto"/>
                <w:sz w:val="24"/>
                <w:szCs w:val="24"/>
                <w:lang w:val="en-US" w:eastAsia="zh-CN"/>
              </w:rPr>
              <w:t>总占地面积为</w:t>
            </w:r>
            <w:r>
              <w:rPr>
                <w:rFonts w:hint="eastAsia" w:ascii="Calibri" w:hAnsi="Calibri" w:cs="Calibri"/>
                <w:color w:val="auto"/>
                <w:sz w:val="24"/>
                <w:szCs w:val="24"/>
                <w:lang w:val="en-US" w:eastAsia="zh-CN"/>
              </w:rPr>
              <w:t>23.6721</w:t>
            </w:r>
            <w:r>
              <w:rPr>
                <w:rFonts w:hint="default" w:ascii="Calibri" w:hAnsi="Calibri" w:cs="Calibri"/>
                <w:color w:val="auto"/>
                <w:sz w:val="24"/>
                <w:szCs w:val="24"/>
                <w:highlight w:val="none"/>
                <w:lang w:val="en-US" w:eastAsia="zh-CN"/>
              </w:rPr>
              <w:t>h</w:t>
            </w:r>
            <w:r>
              <w:rPr>
                <w:rFonts w:hint="default" w:ascii="Calibri" w:hAnsi="Calibri" w:eastAsia="宋体" w:cs="Calibri"/>
                <w:color w:val="auto"/>
                <w:sz w:val="24"/>
                <w:szCs w:val="24"/>
                <w:highlight w:val="none"/>
                <w:lang w:val="en-US" w:eastAsia="zh-CN"/>
              </w:rPr>
              <w:t>m</w:t>
            </w:r>
            <w:r>
              <w:rPr>
                <w:rFonts w:hint="default" w:ascii="Calibri" w:hAnsi="Calibri" w:eastAsia="宋体" w:cs="Calibri"/>
                <w:color w:val="auto"/>
                <w:sz w:val="24"/>
                <w:szCs w:val="24"/>
                <w:vertAlign w:val="superscript"/>
                <w:lang w:val="en-US" w:eastAsia="zh-CN"/>
              </w:rPr>
              <w:t>2</w:t>
            </w:r>
            <w:r>
              <w:rPr>
                <w:rFonts w:hint="default" w:ascii="Calibri" w:hAnsi="Calibri" w:cs="Calibri"/>
                <w:color w:val="auto"/>
                <w:sz w:val="24"/>
                <w:szCs w:val="24"/>
                <w:lang w:val="en-US" w:eastAsia="zh-CN"/>
              </w:rPr>
              <w:t>（</w:t>
            </w:r>
            <w:r>
              <w:rPr>
                <w:rFonts w:hint="eastAsia" w:ascii="Calibri" w:hAnsi="Calibri" w:cs="Calibri"/>
                <w:color w:val="auto"/>
                <w:sz w:val="24"/>
                <w:szCs w:val="24"/>
                <w:lang w:val="en-US" w:eastAsia="zh-CN"/>
              </w:rPr>
              <w:t>236721</w:t>
            </w:r>
            <w:r>
              <w:rPr>
                <w:rFonts w:hint="default" w:ascii="Calibri" w:hAnsi="Calibri" w:eastAsia="宋体" w:cs="Calibri"/>
                <w:color w:val="auto"/>
                <w:sz w:val="24"/>
                <w:szCs w:val="24"/>
                <w:highlight w:val="none"/>
                <w:lang w:val="en-US" w:eastAsia="zh-CN"/>
              </w:rPr>
              <w:t>m</w:t>
            </w:r>
            <w:r>
              <w:rPr>
                <w:rFonts w:hint="default" w:ascii="Calibri" w:hAnsi="Calibri" w:eastAsia="宋体" w:cs="Calibri"/>
                <w:color w:val="auto"/>
                <w:sz w:val="24"/>
                <w:szCs w:val="24"/>
                <w:vertAlign w:val="superscript"/>
                <w:lang w:val="en-US" w:eastAsia="zh-CN"/>
              </w:rPr>
              <w:t>2</w:t>
            </w:r>
            <w:r>
              <w:rPr>
                <w:rFonts w:hint="default" w:ascii="Calibri" w:hAnsi="Calibri" w:cs="Calibri"/>
                <w:color w:val="auto"/>
                <w:sz w:val="24"/>
                <w:szCs w:val="24"/>
                <w:lang w:val="en-US" w:eastAsia="zh-CN"/>
              </w:rPr>
              <w:t>）</w:t>
            </w:r>
            <w:r>
              <w:rPr>
                <w:rFonts w:hint="default" w:ascii="Calibri" w:hAnsi="Calibri" w:eastAsia="宋体" w:cs="Calibri"/>
                <w:color w:val="auto"/>
                <w:sz w:val="24"/>
                <w:szCs w:val="24"/>
                <w:lang w:val="en-US" w:eastAsia="zh-CN"/>
              </w:rPr>
              <w:t>，小于2</w:t>
            </w:r>
            <w:r>
              <w:rPr>
                <w:rFonts w:hint="default" w:ascii="Calibri" w:hAnsi="Calibri" w:cs="Calibri"/>
                <w:color w:val="auto"/>
                <w:sz w:val="24"/>
                <w:szCs w:val="24"/>
                <w:lang w:val="en-US" w:eastAsia="zh-CN"/>
              </w:rPr>
              <w:t>00h</w:t>
            </w:r>
            <w:r>
              <w:rPr>
                <w:rFonts w:hint="default" w:ascii="Calibri" w:hAnsi="Calibri" w:eastAsia="宋体" w:cs="Calibri"/>
                <w:color w:val="auto"/>
                <w:sz w:val="24"/>
                <w:szCs w:val="24"/>
                <w:lang w:val="en-US" w:eastAsia="zh-CN"/>
              </w:rPr>
              <w:t>m</w:t>
            </w:r>
            <w:r>
              <w:rPr>
                <w:rFonts w:hint="default" w:ascii="Calibri" w:hAnsi="Calibri" w:eastAsia="宋体" w:cs="Calibri"/>
                <w:color w:val="auto"/>
                <w:sz w:val="24"/>
                <w:szCs w:val="24"/>
                <w:vertAlign w:val="superscript"/>
                <w:lang w:val="en-US" w:eastAsia="zh-CN"/>
              </w:rPr>
              <w:t>2</w:t>
            </w:r>
            <w:r>
              <w:rPr>
                <w:rFonts w:hint="default" w:ascii="Calibri" w:hAnsi="Calibri" w:eastAsia="宋体" w:cs="Calibri"/>
                <w:color w:val="auto"/>
                <w:sz w:val="24"/>
                <w:szCs w:val="24"/>
                <w:lang w:val="en-US" w:eastAsia="zh-CN"/>
              </w:rPr>
              <w:t>，并且不涉及国家公园、自然保护区及天然林、公益林</w:t>
            </w:r>
            <w:r>
              <w:rPr>
                <w:rFonts w:hint="default" w:ascii="Calibri" w:hAnsi="Calibri" w:cs="Calibri"/>
                <w:color w:val="auto"/>
                <w:sz w:val="24"/>
                <w:szCs w:val="24"/>
                <w:lang w:val="en-US" w:eastAsia="zh-CN"/>
              </w:rPr>
              <w:t>，</w:t>
            </w:r>
            <w:r>
              <w:rPr>
                <w:rFonts w:hint="default" w:ascii="Calibri" w:hAnsi="Calibri" w:eastAsia="宋体" w:cs="Calibri"/>
                <w:color w:val="auto"/>
                <w:sz w:val="24"/>
                <w:szCs w:val="24"/>
                <w:lang w:val="en-US" w:eastAsia="zh-CN"/>
              </w:rPr>
              <w:t>生态评价等级a-g划分。本项目生态影响评价等级确定为三级。</w:t>
            </w:r>
          </w:p>
          <w:p w14:paraId="3A2BDA61">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jc w:val="both"/>
              <w:textAlignment w:val="auto"/>
              <w:rPr>
                <w:rFonts w:hint="eastAsia" w:ascii="宋体" w:hAnsi="宋体" w:cs="宋体"/>
                <w:b/>
                <w:bCs/>
                <w:color w:val="auto"/>
                <w:kern w:val="0"/>
                <w:sz w:val="24"/>
                <w:szCs w:val="24"/>
                <w:lang w:val="en-US" w:eastAsia="zh-CN"/>
              </w:rPr>
            </w:pPr>
            <w:r>
              <w:rPr>
                <w:rFonts w:hint="eastAsia" w:ascii="宋体" w:hAnsi="宋体" w:cs="宋体"/>
                <w:b/>
                <w:bCs/>
                <w:color w:val="auto"/>
                <w:kern w:val="0"/>
                <w:sz w:val="24"/>
                <w:szCs w:val="24"/>
                <w:lang w:val="en-US" w:eastAsia="zh-CN"/>
              </w:rPr>
              <w:t>1.4.2 生态环境影响评价范围</w:t>
            </w:r>
          </w:p>
          <w:p w14:paraId="16D98015">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default" w:ascii="Calibri" w:hAnsi="Calibri" w:eastAsia="宋体" w:cs="Calibri"/>
                <w:color w:val="auto"/>
                <w:kern w:val="0"/>
                <w:sz w:val="24"/>
                <w:szCs w:val="24"/>
                <w:lang w:val="en-US" w:eastAsia="zh-CN"/>
              </w:rPr>
            </w:pPr>
            <w:r>
              <w:rPr>
                <w:rFonts w:hint="default" w:ascii="Calibri" w:hAnsi="Calibri" w:cs="Calibri"/>
                <w:color w:val="auto"/>
                <w:kern w:val="0"/>
                <w:sz w:val="24"/>
                <w:szCs w:val="24"/>
                <w:lang w:val="en-US" w:eastAsia="zh-CN"/>
              </w:rPr>
              <w:t>根据《环境影响评价技术导则 输变电》（HJ 24-2020）变电站生态环境影响评价范围为站场边界或围墙外500m内；输电线路段或接地极线路段生态环境影响评价范围为线路边导线地面投影外两侧各300m内的带状区域。</w:t>
            </w:r>
          </w:p>
          <w:p w14:paraId="3B2E601D">
            <w:pPr>
              <w:keepNext w:val="0"/>
              <w:keepLines w:val="0"/>
              <w:pageBreakBefore w:val="0"/>
              <w:widowControl/>
              <w:kinsoku/>
              <w:wordWrap/>
              <w:overflowPunct/>
              <w:topLinePunct w:val="0"/>
              <w:autoSpaceDE/>
              <w:autoSpaceDN/>
              <w:bidi w:val="0"/>
              <w:adjustRightInd/>
              <w:snapToGrid/>
              <w:spacing w:before="0" w:line="520" w:lineRule="exact"/>
              <w:ind w:left="0" w:firstLine="482" w:firstLineChars="200"/>
              <w:jc w:val="both"/>
              <w:textAlignment w:val="auto"/>
              <w:rPr>
                <w:rFonts w:hint="default" w:ascii="宋体" w:hAnsi="宋体" w:eastAsia="宋体" w:cs="宋体"/>
                <w:color w:val="auto"/>
                <w:sz w:val="24"/>
                <w:szCs w:val="24"/>
                <w:lang w:val="en-US" w:eastAsia="zh-CN"/>
              </w:rPr>
            </w:pP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水土流失现状</w:t>
            </w:r>
          </w:p>
          <w:p w14:paraId="7B246365">
            <w:pPr>
              <w:pStyle w:val="3"/>
              <w:keepLines w:val="0"/>
              <w:pageBreakBefore w:val="0"/>
              <w:widowControl w:val="0"/>
              <w:kinsoku/>
              <w:wordWrap/>
              <w:topLinePunct w:val="0"/>
              <w:autoSpaceDE/>
              <w:autoSpaceDN/>
              <w:bidi w:val="0"/>
              <w:adjustRightInd/>
              <w:spacing w:before="0" w:after="0" w:line="520" w:lineRule="exact"/>
              <w:ind w:left="0" w:firstLine="480" w:firstLineChars="200"/>
              <w:textAlignment w:val="auto"/>
              <w:rPr>
                <w:rFonts w:hint="default" w:ascii="Calibri" w:hAnsi="Calibri" w:eastAsia="宋体" w:cs="Calibri"/>
                <w:b w:val="0"/>
                <w:bCs w:val="0"/>
                <w:color w:val="auto"/>
                <w:sz w:val="24"/>
                <w:szCs w:val="24"/>
                <w:lang w:val="en-US" w:eastAsia="zh-CN"/>
              </w:rPr>
            </w:pPr>
            <w:bookmarkStart w:id="14" w:name="_Toc21275"/>
            <w:bookmarkStart w:id="15" w:name="_Toc1433"/>
            <w:bookmarkStart w:id="16" w:name="_Toc11807"/>
            <w:r>
              <w:rPr>
                <w:rFonts w:hint="default" w:ascii="Calibri" w:hAnsi="Calibri" w:eastAsia="宋体" w:cs="Calibri"/>
                <w:b w:val="0"/>
                <w:bCs w:val="0"/>
                <w:color w:val="auto"/>
                <w:sz w:val="24"/>
                <w:szCs w:val="24"/>
                <w:lang w:eastAsia="zh-CN"/>
              </w:rPr>
              <w:t>《关于印发新疆自治区级水土流失重点预防区和重点治理区复核划分成果的通知》（新水水保〔2019〕4号），</w:t>
            </w:r>
            <w:r>
              <w:rPr>
                <w:rFonts w:hint="default" w:ascii="Calibri" w:hAnsi="Calibri" w:eastAsia="宋体" w:cs="Calibri"/>
                <w:b w:val="0"/>
                <w:bCs w:val="0"/>
                <w:color w:val="auto"/>
                <w:sz w:val="24"/>
                <w:szCs w:val="24"/>
                <w:lang w:val="en-US" w:eastAsia="zh-CN"/>
              </w:rPr>
              <w:t>项目所在地不属于新疆维吾尔自治区</w:t>
            </w:r>
            <w:r>
              <w:rPr>
                <w:rFonts w:hint="default" w:ascii="Calibri" w:hAnsi="Calibri" w:eastAsia="宋体" w:cs="Calibri"/>
                <w:b w:val="0"/>
                <w:bCs w:val="0"/>
                <w:color w:val="auto"/>
                <w:sz w:val="24"/>
                <w:szCs w:val="24"/>
                <w:lang w:eastAsia="zh-CN"/>
              </w:rPr>
              <w:t>级水土流失重点预防区和重点治理区。</w:t>
            </w:r>
            <w:bookmarkEnd w:id="14"/>
            <w:bookmarkEnd w:id="15"/>
            <w:bookmarkEnd w:id="16"/>
          </w:p>
          <w:p w14:paraId="5923B5DF">
            <w:pPr>
              <w:keepLines w:val="0"/>
              <w:pageBreakBefore w:val="0"/>
              <w:widowControl w:val="0"/>
              <w:kinsoku/>
              <w:wordWrap/>
              <w:topLinePunct w:val="0"/>
              <w:autoSpaceDE/>
              <w:autoSpaceDN/>
              <w:bidi w:val="0"/>
              <w:adjustRightInd/>
              <w:spacing w:line="520" w:lineRule="exact"/>
              <w:ind w:left="0" w:firstLine="480" w:firstLineChars="200"/>
              <w:textAlignment w:val="auto"/>
              <w:rPr>
                <w:rFonts w:hint="default" w:ascii="Calibri" w:hAnsi="Calibri" w:eastAsia="宋体" w:cs="Calibri"/>
                <w:color w:val="auto"/>
                <w:sz w:val="24"/>
                <w:szCs w:val="24"/>
                <w:lang w:eastAsia="zh-CN"/>
              </w:rPr>
            </w:pPr>
            <w:r>
              <w:rPr>
                <w:rFonts w:hint="default" w:ascii="Calibri" w:hAnsi="Calibri" w:cs="Calibri"/>
                <w:b w:val="0"/>
                <w:bCs w:val="0"/>
                <w:color w:val="auto"/>
                <w:sz w:val="24"/>
                <w:szCs w:val="24"/>
                <w:lang w:val="en-US" w:eastAsia="zh-CN"/>
              </w:rPr>
              <w:t>《水利部办公厅关于印发全国水土保持规划国家级水土流失重点预防区和重点治理区复核划分成果的通知》（办水保〔2013〕188号），</w:t>
            </w:r>
            <w:r>
              <w:rPr>
                <w:rFonts w:hint="default" w:ascii="Calibri" w:hAnsi="Calibri" w:eastAsia="宋体" w:cs="Calibri"/>
                <w:b w:val="0"/>
                <w:bCs w:val="0"/>
                <w:color w:val="auto"/>
                <w:sz w:val="24"/>
                <w:szCs w:val="24"/>
                <w:lang w:val="en-US" w:eastAsia="zh-CN"/>
              </w:rPr>
              <w:t>项目所在地属于</w:t>
            </w:r>
            <w:r>
              <w:rPr>
                <w:rFonts w:hint="default" w:ascii="Calibri" w:hAnsi="Calibri" w:eastAsia="宋体" w:cs="Calibri"/>
                <w:color w:val="auto"/>
                <w:sz w:val="24"/>
                <w:szCs w:val="24"/>
                <w:lang w:eastAsia="zh-CN"/>
              </w:rPr>
              <w:t>阿尔金山国家级水土流失重点预防区。</w:t>
            </w:r>
          </w:p>
          <w:p w14:paraId="4D6DFDE4">
            <w:pPr>
              <w:keepNext w:val="0"/>
              <w:keepLines w:val="0"/>
              <w:pageBreakBefore w:val="0"/>
              <w:widowControl/>
              <w:kinsoku/>
              <w:wordWrap/>
              <w:overflowPunct/>
              <w:topLinePunct w:val="0"/>
              <w:autoSpaceDE/>
              <w:autoSpaceDN/>
              <w:bidi w:val="0"/>
              <w:adjustRightInd/>
              <w:snapToGrid/>
              <w:spacing w:before="0" w:line="520" w:lineRule="exact"/>
              <w:ind w:firstLine="482" w:firstLineChars="200"/>
              <w:jc w:val="both"/>
              <w:textAlignment w:val="auto"/>
              <w:rPr>
                <w:rFonts w:hint="default" w:ascii="Calibri" w:hAnsi="Calibri" w:eastAsia="宋体" w:cs="Calibri"/>
                <w:b/>
                <w:bCs/>
                <w:color w:val="auto"/>
                <w:kern w:val="2"/>
                <w:sz w:val="24"/>
                <w:szCs w:val="24"/>
                <w:lang w:val="en-US" w:eastAsia="zh-CN" w:bidi="ar-SA"/>
              </w:rPr>
            </w:pPr>
            <w:r>
              <w:rPr>
                <w:rFonts w:hint="default" w:ascii="Calibri" w:hAnsi="Calibri" w:cs="Calibri"/>
                <w:b/>
                <w:bCs/>
                <w:color w:val="auto"/>
                <w:sz w:val="24"/>
                <w:szCs w:val="24"/>
                <w:lang w:eastAsia="zh-CN"/>
              </w:rPr>
              <w:t>（</w:t>
            </w:r>
            <w:r>
              <w:rPr>
                <w:rFonts w:hint="default" w:ascii="Calibri" w:hAnsi="Calibri" w:cs="Calibri"/>
                <w:b/>
                <w:bCs/>
                <w:color w:val="auto"/>
                <w:kern w:val="2"/>
                <w:sz w:val="24"/>
                <w:szCs w:val="24"/>
                <w:lang w:val="en-US" w:eastAsia="zh-CN" w:bidi="ar-SA"/>
              </w:rPr>
              <w:t>2</w:t>
            </w:r>
            <w:r>
              <w:rPr>
                <w:rFonts w:hint="default" w:ascii="Calibri" w:hAnsi="Calibri" w:eastAsia="宋体" w:cs="Calibri"/>
                <w:b/>
                <w:bCs/>
                <w:color w:val="auto"/>
                <w:kern w:val="2"/>
                <w:sz w:val="24"/>
                <w:szCs w:val="24"/>
                <w:lang w:val="en-US" w:eastAsia="zh-CN" w:bidi="ar-SA"/>
              </w:rPr>
              <w:t>）</w:t>
            </w:r>
            <w:r>
              <w:rPr>
                <w:rFonts w:hint="default" w:ascii="Calibri" w:hAnsi="Calibri" w:cs="Calibri"/>
                <w:b/>
                <w:bCs/>
                <w:color w:val="auto"/>
                <w:kern w:val="2"/>
                <w:sz w:val="24"/>
                <w:szCs w:val="24"/>
                <w:lang w:val="en-US" w:eastAsia="zh-CN" w:bidi="ar-SA"/>
              </w:rPr>
              <w:t>沙化情况</w:t>
            </w:r>
          </w:p>
          <w:p w14:paraId="6800BE89">
            <w:pPr>
              <w:keepNext w:val="0"/>
              <w:keepLines w:val="0"/>
              <w:pageBreakBefore w:val="0"/>
              <w:widowControl/>
              <w:kinsoku/>
              <w:wordWrap/>
              <w:overflowPunct/>
              <w:topLinePunct w:val="0"/>
              <w:autoSpaceDE/>
              <w:autoSpaceDN/>
              <w:bidi w:val="0"/>
              <w:adjustRightInd/>
              <w:snapToGrid/>
              <w:spacing w:before="0" w:line="520" w:lineRule="exact"/>
              <w:ind w:firstLine="480" w:firstLineChars="200"/>
              <w:jc w:val="both"/>
              <w:textAlignment w:val="auto"/>
              <w:rPr>
                <w:rFonts w:hint="default" w:ascii="Calibri" w:hAnsi="Calibri" w:eastAsia="宋体" w:cs="Calibri"/>
                <w:b w:val="0"/>
                <w:bCs/>
                <w:color w:val="auto"/>
                <w:kern w:val="2"/>
                <w:sz w:val="24"/>
                <w:szCs w:val="24"/>
                <w:lang w:val="en-US" w:eastAsia="zh-CN" w:bidi="ar-SA"/>
              </w:rPr>
            </w:pPr>
            <w:r>
              <w:rPr>
                <w:rFonts w:hint="default" w:ascii="Calibri" w:hAnsi="Calibri" w:cs="Calibri"/>
                <w:b w:val="0"/>
                <w:bCs/>
                <w:color w:val="auto"/>
                <w:kern w:val="2"/>
                <w:sz w:val="24"/>
                <w:szCs w:val="24"/>
                <w:lang w:val="en-US" w:eastAsia="zh-CN" w:bidi="ar-SA"/>
              </w:rPr>
              <w:t>根据《新疆维吾尔自治区防沙治沙规划</w:t>
            </w:r>
            <w:r>
              <w:rPr>
                <w:rFonts w:hint="eastAsia" w:ascii="Calibri" w:hAnsi="Calibri" w:cs="Calibri"/>
                <w:b w:val="0"/>
                <w:bCs/>
                <w:color w:val="auto"/>
                <w:kern w:val="2"/>
                <w:sz w:val="24"/>
                <w:szCs w:val="24"/>
                <w:lang w:val="en-US" w:eastAsia="zh-CN" w:bidi="ar-SA"/>
              </w:rPr>
              <w:t>（</w:t>
            </w:r>
            <w:r>
              <w:rPr>
                <w:rFonts w:hint="default" w:ascii="Calibri" w:hAnsi="Calibri" w:cs="Calibri"/>
                <w:b w:val="0"/>
                <w:bCs/>
                <w:color w:val="auto"/>
                <w:kern w:val="2"/>
                <w:sz w:val="24"/>
                <w:szCs w:val="24"/>
                <w:lang w:val="en-US" w:eastAsia="zh-CN" w:bidi="ar-SA"/>
              </w:rPr>
              <w:t>2021—2030年</w:t>
            </w:r>
            <w:r>
              <w:rPr>
                <w:rFonts w:hint="eastAsia" w:ascii="Calibri" w:hAnsi="Calibri" w:cs="Calibri"/>
                <w:b w:val="0"/>
                <w:bCs/>
                <w:color w:val="auto"/>
                <w:kern w:val="2"/>
                <w:sz w:val="24"/>
                <w:szCs w:val="24"/>
                <w:lang w:val="en-US" w:eastAsia="zh-CN" w:bidi="ar-SA"/>
              </w:rPr>
              <w:t>）</w:t>
            </w:r>
            <w:r>
              <w:rPr>
                <w:rFonts w:hint="default" w:ascii="Calibri" w:hAnsi="Calibri" w:cs="Calibri"/>
                <w:b w:val="0"/>
                <w:bCs/>
                <w:color w:val="auto"/>
                <w:kern w:val="2"/>
                <w:sz w:val="24"/>
                <w:szCs w:val="24"/>
                <w:lang w:val="en-US" w:eastAsia="zh-CN" w:bidi="ar-SA"/>
              </w:rPr>
              <w:t>》，</w:t>
            </w:r>
            <w:r>
              <w:rPr>
                <w:rFonts w:hint="default" w:ascii="Calibri" w:hAnsi="Calibri" w:eastAsia="宋体" w:cs="Calibri"/>
                <w:b w:val="0"/>
                <w:bCs w:val="0"/>
                <w:color w:val="auto"/>
                <w:sz w:val="24"/>
                <w:szCs w:val="24"/>
                <w:lang w:val="en-US" w:eastAsia="zh-CN"/>
              </w:rPr>
              <w:t>项目所在地</w:t>
            </w:r>
            <w:r>
              <w:rPr>
                <w:rFonts w:hint="default" w:ascii="Calibri" w:hAnsi="Calibri" w:cs="Calibri"/>
                <w:b w:val="0"/>
                <w:bCs/>
                <w:color w:val="auto"/>
                <w:kern w:val="2"/>
                <w:sz w:val="24"/>
                <w:szCs w:val="24"/>
                <w:lang w:val="en-US" w:eastAsia="zh-CN" w:bidi="ar-SA"/>
              </w:rPr>
              <w:t>属于非沙化土地。沙化情况见附图</w:t>
            </w:r>
            <w:r>
              <w:rPr>
                <w:rFonts w:hint="eastAsia" w:ascii="Calibri" w:hAnsi="Calibri" w:cs="Calibri"/>
                <w:b w:val="0"/>
                <w:bCs/>
                <w:color w:val="auto"/>
                <w:kern w:val="2"/>
                <w:sz w:val="24"/>
                <w:szCs w:val="24"/>
                <w:lang w:val="en-US" w:eastAsia="zh-CN" w:bidi="ar-SA"/>
              </w:rPr>
              <w:t>11</w:t>
            </w:r>
            <w:r>
              <w:rPr>
                <w:rFonts w:hint="default" w:ascii="Calibri" w:hAnsi="Calibri" w:cs="Calibri"/>
                <w:b w:val="0"/>
                <w:bCs/>
                <w:color w:val="auto"/>
                <w:kern w:val="2"/>
                <w:sz w:val="24"/>
                <w:szCs w:val="24"/>
                <w:lang w:val="en-US" w:eastAsia="zh-CN" w:bidi="ar-SA"/>
              </w:rPr>
              <w:t>。</w:t>
            </w:r>
          </w:p>
          <w:p w14:paraId="7A632502">
            <w:pPr>
              <w:keepNext w:val="0"/>
              <w:keepLines w:val="0"/>
              <w:pageBreakBefore w:val="0"/>
              <w:widowControl/>
              <w:kinsoku/>
              <w:wordWrap/>
              <w:overflowPunct/>
              <w:topLinePunct w:val="0"/>
              <w:autoSpaceDE/>
              <w:autoSpaceDN/>
              <w:bidi w:val="0"/>
              <w:adjustRightInd/>
              <w:snapToGrid/>
              <w:spacing w:before="0" w:line="520" w:lineRule="exact"/>
              <w:ind w:firstLine="482" w:firstLineChars="200"/>
              <w:jc w:val="both"/>
              <w:textAlignment w:val="auto"/>
              <w:rPr>
                <w:rFonts w:hint="default" w:ascii="Calibri" w:hAnsi="Calibri" w:cs="Calibri"/>
                <w:b/>
                <w:bCs w:val="0"/>
                <w:color w:val="auto"/>
                <w:kern w:val="2"/>
                <w:sz w:val="24"/>
                <w:szCs w:val="24"/>
                <w:lang w:val="en-US" w:eastAsia="zh-CN" w:bidi="ar-SA"/>
              </w:rPr>
            </w:pPr>
            <w:r>
              <w:rPr>
                <w:rFonts w:hint="default" w:ascii="Calibri" w:hAnsi="Calibri" w:cs="Calibri"/>
                <w:b/>
                <w:bCs w:val="0"/>
                <w:color w:val="auto"/>
                <w:kern w:val="2"/>
                <w:sz w:val="24"/>
                <w:szCs w:val="24"/>
                <w:lang w:val="en-US" w:eastAsia="zh-CN" w:bidi="ar-SA"/>
              </w:rPr>
              <w:t>（3）</w:t>
            </w:r>
            <w:r>
              <w:rPr>
                <w:rFonts w:hint="default" w:ascii="Calibri" w:hAnsi="Calibri" w:eastAsia="宋体" w:cs="Calibri"/>
                <w:b/>
                <w:bCs w:val="0"/>
                <w:color w:val="auto"/>
                <w:kern w:val="2"/>
                <w:sz w:val="24"/>
                <w:szCs w:val="24"/>
                <w:lang w:val="en-US" w:eastAsia="zh-CN" w:bidi="ar-SA"/>
              </w:rPr>
              <w:t>生态系统</w:t>
            </w:r>
          </w:p>
          <w:p w14:paraId="4713BF55">
            <w:pPr>
              <w:keepNext w:val="0"/>
              <w:keepLines w:val="0"/>
              <w:pageBreakBefore w:val="0"/>
              <w:widowControl/>
              <w:kinsoku/>
              <w:wordWrap/>
              <w:overflowPunct/>
              <w:topLinePunct w:val="0"/>
              <w:autoSpaceDE/>
              <w:autoSpaceDN/>
              <w:bidi w:val="0"/>
              <w:adjustRightInd/>
              <w:snapToGrid/>
              <w:spacing w:before="0" w:line="520" w:lineRule="exact"/>
              <w:ind w:firstLine="480" w:firstLineChars="200"/>
              <w:jc w:val="both"/>
              <w:textAlignment w:val="auto"/>
              <w:rPr>
                <w:rFonts w:hint="default" w:ascii="Calibri" w:hAnsi="Calibri" w:eastAsia="宋体" w:cs="Calibri"/>
                <w:b w:val="0"/>
                <w:bCs/>
                <w:color w:val="auto"/>
                <w:kern w:val="2"/>
                <w:sz w:val="24"/>
                <w:szCs w:val="24"/>
                <w:lang w:val="en-US" w:eastAsia="zh-CN" w:bidi="ar-SA"/>
              </w:rPr>
            </w:pPr>
            <w:r>
              <w:rPr>
                <w:rFonts w:hint="default" w:ascii="Calibri" w:hAnsi="Calibri" w:eastAsia="宋体" w:cs="Calibri"/>
                <w:bCs/>
                <w:color w:val="auto"/>
                <w:kern w:val="2"/>
                <w:sz w:val="24"/>
                <w:szCs w:val="24"/>
                <w:lang w:val="en-US" w:eastAsia="zh-CN" w:bidi="ar-SA"/>
              </w:rPr>
              <w:t>评价区域属荒漠生态系统。荒漠生态系统的功能简单，结构单一，区域土壤中水分因子较少，一经破坏较难恢复。其分布面积大，目前处于未利用的原始状态。</w:t>
            </w:r>
          </w:p>
          <w:p w14:paraId="782C34F4">
            <w:pPr>
              <w:keepNext w:val="0"/>
              <w:keepLines w:val="0"/>
              <w:pageBreakBefore w:val="0"/>
              <w:widowControl/>
              <w:kinsoku/>
              <w:wordWrap/>
              <w:overflowPunct/>
              <w:topLinePunct w:val="0"/>
              <w:autoSpaceDE/>
              <w:autoSpaceDN/>
              <w:bidi w:val="0"/>
              <w:adjustRightInd/>
              <w:snapToGrid/>
              <w:spacing w:before="0" w:line="520" w:lineRule="exact"/>
              <w:ind w:firstLine="482" w:firstLineChars="200"/>
              <w:jc w:val="both"/>
              <w:textAlignment w:val="auto"/>
              <w:rPr>
                <w:rFonts w:hint="default" w:ascii="Times New Roman" w:hAnsi="Times New Roman" w:eastAsia="宋体"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（4）</w:t>
            </w:r>
            <w:r>
              <w:rPr>
                <w:rFonts w:hint="eastAsia" w:ascii="Times New Roman" w:hAnsi="Times New Roman" w:eastAsia="宋体" w:cs="Times New Roman"/>
                <w:b/>
                <w:bCs w:val="0"/>
                <w:color w:val="auto"/>
                <w:kern w:val="2"/>
                <w:sz w:val="24"/>
                <w:szCs w:val="24"/>
                <w:lang w:val="en-US" w:eastAsia="zh-CN" w:bidi="ar-SA"/>
              </w:rPr>
              <w:t>土壤类型</w:t>
            </w:r>
          </w:p>
          <w:p w14:paraId="4E93ED6F">
            <w:pPr>
              <w:keepNext w:val="0"/>
              <w:keepLines w:val="0"/>
              <w:pageBreakBefore w:val="0"/>
              <w:widowControl/>
              <w:kinsoku/>
              <w:wordWrap/>
              <w:overflowPunct/>
              <w:topLinePunct w:val="0"/>
              <w:autoSpaceDE/>
              <w:autoSpaceDN/>
              <w:bidi w:val="0"/>
              <w:adjustRightInd/>
              <w:snapToGrid/>
              <w:spacing w:before="0" w:line="520" w:lineRule="exact"/>
              <w:ind w:firstLine="480" w:firstLineChars="200"/>
              <w:jc w:val="both"/>
              <w:textAlignment w:val="auto"/>
              <w:rPr>
                <w:rFonts w:hint="default" w:cs="Times New Roman"/>
                <w:b w:val="0"/>
                <w:bCs/>
                <w:color w:val="auto"/>
                <w:kern w:val="2"/>
                <w:sz w:val="24"/>
                <w:szCs w:val="24"/>
                <w:lang w:val="en-US" w:eastAsia="zh-CN" w:bidi="ar-SA"/>
              </w:rPr>
            </w:pPr>
            <w:r>
              <w:rPr>
                <w:rFonts w:hint="eastAsia" w:cs="Times New Roman"/>
                <w:b w:val="0"/>
                <w:bCs/>
                <w:color w:val="auto"/>
                <w:kern w:val="2"/>
                <w:sz w:val="24"/>
                <w:szCs w:val="24"/>
                <w:lang w:val="en-US" w:eastAsia="zh-CN" w:bidi="ar-SA"/>
              </w:rPr>
              <w:t>项目区土壤类型主要为高山土。</w:t>
            </w:r>
          </w:p>
          <w:p w14:paraId="488CBE63">
            <w:pPr>
              <w:keepNext w:val="0"/>
              <w:keepLines w:val="0"/>
              <w:pageBreakBefore w:val="0"/>
              <w:widowControl/>
              <w:kinsoku/>
              <w:wordWrap/>
              <w:overflowPunct/>
              <w:topLinePunct w:val="0"/>
              <w:autoSpaceDE/>
              <w:autoSpaceDN/>
              <w:bidi w:val="0"/>
              <w:adjustRightInd/>
              <w:snapToGrid/>
              <w:spacing w:before="0" w:line="520" w:lineRule="exact"/>
              <w:ind w:firstLine="480" w:firstLineChars="200"/>
              <w:jc w:val="both"/>
              <w:textAlignment w:val="auto"/>
              <w:rPr>
                <w:rFonts w:hint="default" w:ascii="Times New Roman" w:hAnsi="Times New Roman" w:eastAsia="宋体" w:cs="Times New Roman"/>
                <w:bCs/>
                <w:color w:val="auto"/>
                <w:kern w:val="2"/>
                <w:sz w:val="24"/>
                <w:szCs w:val="24"/>
                <w:lang w:val="en-US" w:eastAsia="zh-CN" w:bidi="ar-SA"/>
              </w:rPr>
            </w:pPr>
            <w:r>
              <w:rPr>
                <w:rFonts w:hint="eastAsia" w:cs="Times New Roman"/>
                <w:b w:val="0"/>
                <w:bCs/>
                <w:color w:val="auto"/>
                <w:kern w:val="2"/>
                <w:sz w:val="24"/>
                <w:szCs w:val="24"/>
                <w:lang w:val="en-US" w:eastAsia="zh-CN" w:bidi="ar-SA"/>
              </w:rPr>
              <w:t>本项目土壤侵蚀为“风力侵蚀”重度地区</w:t>
            </w:r>
            <w:r>
              <w:rPr>
                <w:rFonts w:hint="default" w:ascii="Times New Roman" w:hAnsi="Times New Roman" w:eastAsia="宋体" w:cs="Times New Roman"/>
                <w:bCs/>
                <w:color w:val="auto"/>
                <w:kern w:val="2"/>
                <w:sz w:val="24"/>
                <w:szCs w:val="24"/>
                <w:lang w:val="en-US" w:eastAsia="zh-CN" w:bidi="ar-SA"/>
              </w:rPr>
              <w:t>。</w:t>
            </w:r>
          </w:p>
          <w:p w14:paraId="36FADF8F">
            <w:pPr>
              <w:keepNext w:val="0"/>
              <w:keepLines w:val="0"/>
              <w:pageBreakBefore w:val="0"/>
              <w:widowControl/>
              <w:kinsoku/>
              <w:wordWrap/>
              <w:overflowPunct/>
              <w:topLinePunct w:val="0"/>
              <w:autoSpaceDE/>
              <w:autoSpaceDN/>
              <w:bidi w:val="0"/>
              <w:adjustRightInd/>
              <w:snapToGrid/>
              <w:spacing w:before="0" w:line="520" w:lineRule="exact"/>
              <w:ind w:firstLine="480" w:firstLineChars="200"/>
              <w:jc w:val="both"/>
              <w:textAlignment w:val="auto"/>
              <w:rPr>
                <w:rFonts w:hint="default" w:eastAsia="宋体"/>
                <w:color w:val="auto"/>
                <w:sz w:val="24"/>
                <w:szCs w:val="24"/>
                <w:lang w:val="en-US" w:eastAsia="zh-CN"/>
              </w:rPr>
            </w:pPr>
            <w:r>
              <w:rPr>
                <w:rFonts w:hint="eastAsia" w:cs="Times New Roman"/>
                <w:bCs/>
                <w:color w:val="auto"/>
                <w:kern w:val="2"/>
                <w:sz w:val="24"/>
                <w:szCs w:val="24"/>
                <w:lang w:val="en-US" w:eastAsia="zh-CN" w:bidi="ar-SA"/>
              </w:rPr>
              <w:t>本项目土壤类型图见附图8，土地利用类型图见附图9。</w:t>
            </w:r>
          </w:p>
          <w:p w14:paraId="2FE040E4">
            <w:pPr>
              <w:keepNext w:val="0"/>
              <w:keepLines w:val="0"/>
              <w:pageBreakBefore w:val="0"/>
              <w:kinsoku/>
              <w:wordWrap/>
              <w:overflowPunct/>
              <w:topLinePunct w:val="0"/>
              <w:autoSpaceDE/>
              <w:autoSpaceDN/>
              <w:bidi w:val="0"/>
              <w:adjustRightInd w:val="0"/>
              <w:snapToGrid w:val="0"/>
              <w:spacing w:line="520" w:lineRule="exact"/>
              <w:ind w:firstLine="482" w:firstLineChars="200"/>
              <w:textAlignment w:val="auto"/>
              <w:rPr>
                <w:b/>
                <w:bCs/>
                <w:color w:val="auto"/>
                <w:sz w:val="24"/>
                <w:szCs w:val="24"/>
              </w:rPr>
            </w:pPr>
            <w:r>
              <w:rPr>
                <w:rFonts w:hint="eastAsia"/>
                <w:b/>
                <w:bCs/>
                <w:color w:val="auto"/>
                <w:sz w:val="24"/>
                <w:szCs w:val="24"/>
              </w:rPr>
              <w:t>（</w:t>
            </w:r>
            <w:r>
              <w:rPr>
                <w:rFonts w:hint="eastAsia"/>
                <w:b/>
                <w:bCs/>
                <w:color w:val="auto"/>
                <w:sz w:val="24"/>
                <w:szCs w:val="24"/>
                <w:lang w:val="en-US" w:eastAsia="zh-CN"/>
              </w:rPr>
              <w:t>5</w:t>
            </w:r>
            <w:r>
              <w:rPr>
                <w:rFonts w:hint="eastAsia"/>
                <w:b/>
                <w:bCs/>
                <w:color w:val="auto"/>
                <w:sz w:val="24"/>
                <w:szCs w:val="24"/>
              </w:rPr>
              <w:t>）植被类型</w:t>
            </w:r>
          </w:p>
          <w:p w14:paraId="70FD3C1D">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eastAsia="宋体"/>
                <w:snapToGrid/>
                <w:color w:val="auto"/>
                <w:kern w:val="2"/>
                <w:sz w:val="24"/>
                <w:szCs w:val="24"/>
                <w:highlight w:val="none"/>
                <w:lang w:val="en-US" w:eastAsia="zh-CN" w:bidi="ar-SA"/>
              </w:rPr>
            </w:pPr>
            <w:r>
              <w:rPr>
                <w:rFonts w:hint="eastAsia"/>
                <w:snapToGrid/>
                <w:color w:val="auto"/>
                <w:kern w:val="2"/>
                <w:sz w:val="24"/>
                <w:szCs w:val="24"/>
                <w:highlight w:val="none"/>
                <w:lang w:val="en-US" w:eastAsia="zh-CN" w:bidi="ar-SA"/>
              </w:rPr>
              <w:t>项目区位于阿尔金山北坡，植被盖度较低，植被类型为荒漠，根据卫星遥感调查合并现场踏勘校核，本项目输电线路途经区域主要为中高山荒漠地区，在AJ1-AJ14、BJ1-BJ10、BJ17-BJ25段分布有零星荒漠植被，植被类型为灌木，主要植物群落以蒙古沙拐枣—合头草群落为主，植物种类主要为蒙古沙拐枣、合头草等，植被覆盖度约10%</w:t>
            </w:r>
            <w:r>
              <w:rPr>
                <w:rFonts w:hint="eastAsia" w:eastAsia="宋体"/>
                <w:snapToGrid/>
                <w:color w:val="auto"/>
                <w:kern w:val="2"/>
                <w:sz w:val="24"/>
                <w:szCs w:val="24"/>
                <w:highlight w:val="none"/>
                <w:lang w:val="en-US" w:eastAsia="zh-CN" w:bidi="ar-SA"/>
              </w:rPr>
              <w:t>，对照《国家重点保护野生植物名录》《新疆维吾尔自治区重点保护野生植物名录》，项目评价范围内无国家级、自治区级重点保护珍稀、濒危野生植物种。</w:t>
            </w:r>
            <w:r>
              <w:rPr>
                <w:rFonts w:hint="eastAsia"/>
                <w:snapToGrid/>
                <w:color w:val="auto"/>
                <w:kern w:val="2"/>
                <w:sz w:val="24"/>
                <w:szCs w:val="24"/>
                <w:highlight w:val="none"/>
                <w:lang w:val="en-US" w:eastAsia="zh-CN" w:bidi="ar-SA"/>
              </w:rPr>
              <w:t>植被覆盖类型图见附图10。</w:t>
            </w:r>
          </w:p>
          <w:p w14:paraId="38386D80">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textAlignment w:val="auto"/>
              <w:rPr>
                <w:rFonts w:hint="default" w:eastAsia="宋体"/>
                <w:b/>
                <w:bCs/>
                <w:color w:val="auto"/>
                <w:sz w:val="24"/>
                <w:szCs w:val="24"/>
                <w:lang w:val="en-US" w:eastAsia="zh-CN"/>
              </w:rPr>
            </w:pPr>
            <w:r>
              <w:rPr>
                <w:rFonts w:hint="eastAsia"/>
                <w:b/>
                <w:bCs/>
                <w:color w:val="auto"/>
                <w:sz w:val="24"/>
                <w:szCs w:val="24"/>
                <w:lang w:eastAsia="zh-CN"/>
              </w:rPr>
              <w:t>（</w:t>
            </w:r>
            <w:r>
              <w:rPr>
                <w:rFonts w:hint="eastAsia"/>
                <w:b/>
                <w:bCs/>
                <w:color w:val="auto"/>
                <w:sz w:val="24"/>
                <w:szCs w:val="24"/>
                <w:lang w:val="en-US" w:eastAsia="zh-CN"/>
              </w:rPr>
              <w:t>6</w:t>
            </w:r>
            <w:r>
              <w:rPr>
                <w:rFonts w:hint="eastAsia"/>
                <w:b/>
                <w:bCs/>
                <w:color w:val="auto"/>
                <w:sz w:val="24"/>
                <w:szCs w:val="24"/>
                <w:lang w:eastAsia="zh-CN"/>
              </w:rPr>
              <w:t>）</w:t>
            </w:r>
            <w:r>
              <w:rPr>
                <w:rFonts w:hint="eastAsia"/>
                <w:b/>
                <w:bCs/>
                <w:color w:val="auto"/>
                <w:sz w:val="24"/>
                <w:szCs w:val="24"/>
                <w:lang w:val="en-US" w:eastAsia="zh-CN"/>
              </w:rPr>
              <w:t>动物类型</w:t>
            </w:r>
          </w:p>
          <w:p w14:paraId="331EB8CF">
            <w:pPr>
              <w:keepNext w:val="0"/>
              <w:keepLines w:val="0"/>
              <w:pageBreakBefore w:val="0"/>
              <w:kinsoku/>
              <w:wordWrap/>
              <w:overflowPunct/>
              <w:topLinePunct w:val="0"/>
              <w:autoSpaceDE/>
              <w:autoSpaceDN/>
              <w:bidi w:val="0"/>
              <w:adjustRightInd w:val="0"/>
              <w:snapToGrid w:val="0"/>
              <w:spacing w:line="520" w:lineRule="exact"/>
              <w:ind w:firstLine="480" w:firstLineChars="200"/>
              <w:textAlignment w:val="auto"/>
              <w:rPr>
                <w:rFonts w:hint="eastAsia" w:ascii="Times New Roman" w:hAnsi="Times New Roman" w:eastAsia="宋体" w:cs="Times New Roman"/>
                <w:b/>
                <w:bCs w:val="0"/>
                <w:color w:val="auto"/>
                <w:kern w:val="2"/>
                <w:sz w:val="24"/>
                <w:szCs w:val="24"/>
                <w:lang w:val="en-US" w:eastAsia="zh-CN" w:bidi="ar-SA"/>
              </w:rPr>
            </w:pPr>
            <w:r>
              <w:rPr>
                <w:rFonts w:hint="default" w:ascii="Times New Roman" w:hAnsi="Times New Roman" w:eastAsia="宋体" w:cs="Times New Roman"/>
                <w:color w:val="auto"/>
                <w:sz w:val="24"/>
                <w:szCs w:val="24"/>
                <w:highlight w:val="none"/>
                <w:lang w:val="en-US" w:eastAsia="zh-CN"/>
              </w:rPr>
              <w:t>调查中未发现项目沿线评价范围内有国家级或自治区级保护动物分布，也不存在野生动物栖息地、繁殖地、主要觅食场所及迁徙路线，由于本项目大部分建设区域处在山区无人区，偶见一些小的动物和飞禽，如鼠、蜥蜴、麻雀等动物。项目区无鸟类食源、水源、栖息地分布，不涉及鸟类越冬或迁徙通道。</w:t>
            </w:r>
          </w:p>
          <w:p w14:paraId="24D02F9E">
            <w:pPr>
              <w:pStyle w:val="36"/>
              <w:keepNext w:val="0"/>
              <w:keepLines w:val="0"/>
              <w:pageBreakBefore w:val="0"/>
              <w:widowControl w:val="0"/>
              <w:numPr>
                <w:ilvl w:val="0"/>
                <w:numId w:val="0"/>
              </w:numPr>
              <w:kinsoku/>
              <w:wordWrap/>
              <w:overflowPunct/>
              <w:topLinePunct w:val="0"/>
              <w:autoSpaceDE w:val="0"/>
              <w:autoSpaceDN w:val="0"/>
              <w:bidi w:val="0"/>
              <w:adjustRightInd w:val="0"/>
              <w:snapToGrid w:val="0"/>
              <w:spacing w:line="520" w:lineRule="exact"/>
              <w:ind w:firstLine="482" w:firstLineChars="200"/>
              <w:textAlignment w:val="auto"/>
              <w:rPr>
                <w:rFonts w:hint="eastAsia"/>
                <w:color w:val="auto"/>
                <w:lang w:val="en-US" w:eastAsia="zh-CN"/>
              </w:rPr>
            </w:pPr>
            <w:r>
              <w:rPr>
                <w:rFonts w:hint="eastAsia"/>
                <w:color w:val="auto"/>
                <w:lang w:val="en-US" w:eastAsia="zh-CN"/>
              </w:rPr>
              <w:t>二、大气环境质量现状</w:t>
            </w:r>
          </w:p>
          <w:p w14:paraId="360E8EF1">
            <w:pPr>
              <w:pStyle w:val="36"/>
              <w:keepNext w:val="0"/>
              <w:keepLines w:val="0"/>
              <w:pageBreakBefore w:val="0"/>
              <w:widowControl w:val="0"/>
              <w:kinsoku/>
              <w:wordWrap/>
              <w:overflowPunct/>
              <w:topLinePunct w:val="0"/>
              <w:autoSpaceDE w:val="0"/>
              <w:autoSpaceDN w:val="0"/>
              <w:bidi w:val="0"/>
              <w:adjustRightInd w:val="0"/>
              <w:snapToGrid w:val="0"/>
              <w:spacing w:line="520" w:lineRule="exact"/>
              <w:ind w:firstLine="482" w:firstLineChars="200"/>
              <w:textAlignment w:val="auto"/>
              <w:rPr>
                <w:rFonts w:hint="eastAsia"/>
                <w:color w:val="auto"/>
                <w:lang w:val="en-US" w:eastAsia="zh-CN"/>
              </w:rPr>
            </w:pPr>
            <w:r>
              <w:rPr>
                <w:rFonts w:hint="eastAsia"/>
                <w:color w:val="auto"/>
                <w:lang w:val="en-US" w:eastAsia="zh-CN"/>
              </w:rPr>
              <w:t>2.1 区域大气环境达标判定</w:t>
            </w:r>
          </w:p>
          <w:p w14:paraId="2E1D879B">
            <w:pPr>
              <w:pStyle w:val="10"/>
              <w:keepNext w:val="0"/>
              <w:keepLines w:val="0"/>
              <w:pageBreakBefore w:val="0"/>
              <w:widowControl w:val="0"/>
              <w:kinsoku/>
              <w:wordWrap/>
              <w:overflowPunct/>
              <w:topLinePunct w:val="0"/>
              <w:bidi w:val="0"/>
              <w:spacing w:line="520" w:lineRule="exact"/>
              <w:textAlignment w:val="auto"/>
              <w:rPr>
                <w:rFonts w:hint="eastAsia"/>
                <w:color w:val="auto"/>
                <w:sz w:val="24"/>
              </w:rPr>
            </w:pPr>
            <w:r>
              <w:rPr>
                <w:rFonts w:hint="eastAsia"/>
                <w:color w:val="auto"/>
                <w:lang w:val="en-US" w:eastAsia="zh-CN"/>
              </w:rPr>
              <w:t>根据巴州人民政府发布的《2023年巴音郭楞蒙古自治州环境状况公报》，项目所在地若羌县受沙尘天气影响，</w:t>
            </w:r>
            <w:r>
              <w:rPr>
                <w:rFonts w:hint="eastAsia"/>
                <w:color w:val="auto"/>
                <w:sz w:val="24"/>
              </w:rPr>
              <w:t>PM</w:t>
            </w:r>
            <w:r>
              <w:rPr>
                <w:rFonts w:hint="eastAsia"/>
                <w:color w:val="auto"/>
                <w:sz w:val="24"/>
                <w:vertAlign w:val="subscript"/>
              </w:rPr>
              <w:t>10</w:t>
            </w:r>
            <w:r>
              <w:rPr>
                <w:rFonts w:hint="eastAsia"/>
                <w:color w:val="auto"/>
                <w:sz w:val="24"/>
              </w:rPr>
              <w:t>、PM</w:t>
            </w:r>
            <w:r>
              <w:rPr>
                <w:rFonts w:hint="eastAsia"/>
                <w:color w:val="auto"/>
                <w:sz w:val="24"/>
                <w:vertAlign w:val="subscript"/>
              </w:rPr>
              <w:t>2.5</w:t>
            </w:r>
            <w:r>
              <w:rPr>
                <w:rFonts w:hint="eastAsia"/>
                <w:color w:val="auto"/>
                <w:sz w:val="24"/>
              </w:rPr>
              <w:t>年均值浓度超过《环境空气质量标准（GB 3095-2012）》二级标准</w:t>
            </w:r>
            <w:r>
              <w:rPr>
                <w:rFonts w:hint="eastAsia"/>
                <w:color w:val="auto"/>
                <w:sz w:val="24"/>
                <w:lang w:eastAsia="zh-CN"/>
              </w:rPr>
              <w:t>，</w:t>
            </w:r>
            <w:r>
              <w:rPr>
                <w:rFonts w:hint="eastAsia"/>
                <w:color w:val="auto"/>
                <w:sz w:val="24"/>
              </w:rPr>
              <w:t>其它指标均满足二级标准《环境空气质量标准》（</w:t>
            </w:r>
            <w:r>
              <w:rPr>
                <w:rFonts w:hint="eastAsia"/>
                <w:color w:val="auto"/>
                <w:sz w:val="24"/>
                <w:lang w:eastAsia="zh-CN"/>
              </w:rPr>
              <w:t>GB 3095-2012</w:t>
            </w:r>
            <w:r>
              <w:rPr>
                <w:rFonts w:hint="eastAsia"/>
                <w:color w:val="auto"/>
                <w:sz w:val="24"/>
              </w:rPr>
              <w:t>）二级标准，属于环境质量不达标区域，主要受西北地区风沙环境影响。</w:t>
            </w:r>
          </w:p>
          <w:p w14:paraId="78AB280D">
            <w:pPr>
              <w:pStyle w:val="36"/>
              <w:keepNext w:val="0"/>
              <w:keepLines w:val="0"/>
              <w:pageBreakBefore w:val="0"/>
              <w:widowControl w:val="0"/>
              <w:kinsoku/>
              <w:wordWrap/>
              <w:overflowPunct/>
              <w:topLinePunct w:val="0"/>
              <w:autoSpaceDE w:val="0"/>
              <w:autoSpaceDN w:val="0"/>
              <w:bidi w:val="0"/>
              <w:adjustRightInd w:val="0"/>
              <w:snapToGrid w:val="0"/>
              <w:spacing w:line="520" w:lineRule="exact"/>
              <w:ind w:firstLine="482" w:firstLineChars="200"/>
              <w:textAlignment w:val="auto"/>
              <w:rPr>
                <w:rFonts w:hint="eastAsia"/>
                <w:color w:val="auto"/>
                <w:lang w:val="en-US" w:eastAsia="zh-CN"/>
              </w:rPr>
            </w:pPr>
            <w:r>
              <w:rPr>
                <w:rFonts w:hint="eastAsia"/>
                <w:color w:val="auto"/>
                <w:lang w:val="en-US" w:eastAsia="zh-CN"/>
              </w:rPr>
              <w:t>2.2 项目区环境质量现状调查</w:t>
            </w:r>
          </w:p>
          <w:p w14:paraId="790D2B05">
            <w:pPr>
              <w:pStyle w:val="10"/>
              <w:keepNext w:val="0"/>
              <w:keepLines w:val="0"/>
              <w:pageBreakBefore w:val="0"/>
              <w:widowControl w:val="0"/>
              <w:numPr>
                <w:ilvl w:val="0"/>
                <w:numId w:val="3"/>
              </w:numPr>
              <w:kinsoku/>
              <w:wordWrap/>
              <w:overflowPunct/>
              <w:topLinePunct w:val="0"/>
              <w:bidi w:val="0"/>
              <w:spacing w:line="520" w:lineRule="exact"/>
              <w:textAlignment w:val="auto"/>
              <w:rPr>
                <w:rFonts w:hint="eastAsia"/>
                <w:color w:val="auto"/>
                <w:lang w:val="en-US" w:eastAsia="zh-CN"/>
              </w:rPr>
            </w:pPr>
            <w:r>
              <w:rPr>
                <w:rFonts w:hint="eastAsia"/>
                <w:color w:val="auto"/>
                <w:lang w:val="en-US" w:eastAsia="zh-CN"/>
              </w:rPr>
              <w:t>评价数据选用</w:t>
            </w:r>
          </w:p>
          <w:p w14:paraId="5174D33B">
            <w:pPr>
              <w:pStyle w:val="10"/>
              <w:keepNext w:val="0"/>
              <w:keepLines w:val="0"/>
              <w:pageBreakBefore w:val="0"/>
              <w:widowControl w:val="0"/>
              <w:kinsoku/>
              <w:wordWrap/>
              <w:overflowPunct/>
              <w:topLinePunct w:val="0"/>
              <w:bidi w:val="0"/>
              <w:spacing w:line="520" w:lineRule="exact"/>
              <w:textAlignment w:val="auto"/>
              <w:rPr>
                <w:rFonts w:hint="eastAsia"/>
                <w:color w:val="auto"/>
                <w:lang w:val="en-US" w:eastAsia="zh-CN"/>
              </w:rPr>
            </w:pPr>
            <w:r>
              <w:rPr>
                <w:rFonts w:hint="eastAsia"/>
                <w:color w:val="auto"/>
                <w:lang w:val="en-US" w:eastAsia="zh-CN"/>
              </w:rPr>
              <w:t>根据《环境影响评价技术导则 大气环境》（HJ2.2-2018），本次评价选取若羌县空气自动监测站2024年的监测数据进行统计分析，基本污染物环境空气质量现状评价表见表3-5。</w:t>
            </w:r>
          </w:p>
          <w:p w14:paraId="619C56E4">
            <w:pPr>
              <w:pStyle w:val="10"/>
              <w:keepNext w:val="0"/>
              <w:keepLines w:val="0"/>
              <w:pageBreakBefore w:val="0"/>
              <w:widowControl w:val="0"/>
              <w:kinsoku/>
              <w:wordWrap/>
              <w:overflowPunct/>
              <w:topLinePunct w:val="0"/>
              <w:bidi w:val="0"/>
              <w:spacing w:line="520" w:lineRule="exact"/>
              <w:textAlignment w:val="auto"/>
              <w:rPr>
                <w:rFonts w:hint="eastAsia"/>
                <w:color w:val="auto"/>
                <w:lang w:val="en-US" w:eastAsia="zh-CN"/>
              </w:rPr>
            </w:pPr>
            <w:r>
              <w:rPr>
                <w:rFonts w:hint="eastAsia"/>
                <w:color w:val="auto"/>
                <w:lang w:val="en-US" w:eastAsia="zh-CN"/>
              </w:rPr>
              <w:t>①监测点位：若羌县空气自动监测站。</w:t>
            </w:r>
          </w:p>
          <w:p w14:paraId="1238A7D0">
            <w:pPr>
              <w:pStyle w:val="10"/>
              <w:keepNext w:val="0"/>
              <w:keepLines w:val="0"/>
              <w:pageBreakBefore w:val="0"/>
              <w:widowControl w:val="0"/>
              <w:kinsoku/>
              <w:wordWrap/>
              <w:overflowPunct/>
              <w:topLinePunct w:val="0"/>
              <w:bidi w:val="0"/>
              <w:spacing w:line="520" w:lineRule="exact"/>
              <w:textAlignment w:val="auto"/>
              <w:rPr>
                <w:rFonts w:hint="eastAsia"/>
                <w:color w:val="auto"/>
                <w:sz w:val="24"/>
                <w:highlight w:val="none"/>
              </w:rPr>
            </w:pPr>
            <w:r>
              <w:rPr>
                <w:rFonts w:hint="default"/>
                <w:color w:val="auto"/>
                <w:lang w:val="en-US" w:eastAsia="zh-CN"/>
              </w:rPr>
              <w:t>②</w:t>
            </w:r>
            <w:r>
              <w:rPr>
                <w:rFonts w:hint="eastAsia"/>
                <w:color w:val="auto"/>
                <w:lang w:val="en-US" w:eastAsia="zh-CN"/>
              </w:rPr>
              <w:t>监测项目：</w:t>
            </w:r>
            <w:r>
              <w:rPr>
                <w:rFonts w:hint="eastAsia"/>
                <w:color w:val="auto"/>
                <w:sz w:val="24"/>
                <w:highlight w:val="none"/>
              </w:rPr>
              <w:t>二氧化硫（SO</w:t>
            </w:r>
            <w:r>
              <w:rPr>
                <w:rFonts w:hint="eastAsia"/>
                <w:color w:val="auto"/>
                <w:sz w:val="24"/>
                <w:highlight w:val="none"/>
                <w:vertAlign w:val="subscript"/>
              </w:rPr>
              <w:t>2</w:t>
            </w:r>
            <w:r>
              <w:rPr>
                <w:rFonts w:hint="eastAsia"/>
                <w:color w:val="auto"/>
                <w:sz w:val="24"/>
                <w:highlight w:val="none"/>
              </w:rPr>
              <w:t>）、二氧化氮（NO</w:t>
            </w:r>
            <w:r>
              <w:rPr>
                <w:rFonts w:hint="eastAsia"/>
                <w:color w:val="auto"/>
                <w:sz w:val="24"/>
                <w:highlight w:val="none"/>
                <w:vertAlign w:val="subscript"/>
              </w:rPr>
              <w:t>2</w:t>
            </w:r>
            <w:r>
              <w:rPr>
                <w:rFonts w:hint="eastAsia"/>
                <w:color w:val="auto"/>
                <w:sz w:val="24"/>
                <w:highlight w:val="none"/>
              </w:rPr>
              <w:t>）、可吸入颗粒物（PM</w:t>
            </w:r>
            <w:r>
              <w:rPr>
                <w:rFonts w:hint="eastAsia"/>
                <w:color w:val="auto"/>
                <w:sz w:val="24"/>
                <w:highlight w:val="none"/>
                <w:vertAlign w:val="subscript"/>
              </w:rPr>
              <w:t>10</w:t>
            </w:r>
            <w:r>
              <w:rPr>
                <w:rFonts w:hint="eastAsia"/>
                <w:color w:val="auto"/>
                <w:sz w:val="24"/>
                <w:highlight w:val="none"/>
              </w:rPr>
              <w:t>）、一氧化碳（CO）、臭氧（O</w:t>
            </w:r>
            <w:r>
              <w:rPr>
                <w:rFonts w:hint="eastAsia"/>
                <w:color w:val="auto"/>
                <w:sz w:val="24"/>
                <w:highlight w:val="none"/>
                <w:vertAlign w:val="subscript"/>
              </w:rPr>
              <w:t>3</w:t>
            </w:r>
            <w:r>
              <w:rPr>
                <w:rFonts w:hint="eastAsia"/>
                <w:color w:val="auto"/>
                <w:sz w:val="24"/>
                <w:highlight w:val="none"/>
              </w:rPr>
              <w:t>）、细颗粒物（PM</w:t>
            </w:r>
            <w:r>
              <w:rPr>
                <w:rFonts w:hint="eastAsia"/>
                <w:color w:val="auto"/>
                <w:sz w:val="24"/>
                <w:highlight w:val="none"/>
                <w:vertAlign w:val="subscript"/>
              </w:rPr>
              <w:t>2.5</w:t>
            </w:r>
            <w:r>
              <w:rPr>
                <w:rFonts w:hint="eastAsia"/>
                <w:color w:val="auto"/>
                <w:sz w:val="24"/>
                <w:highlight w:val="none"/>
              </w:rPr>
              <w:t>）六项。</w:t>
            </w:r>
          </w:p>
          <w:p w14:paraId="2CB4AFED">
            <w:pPr>
              <w:pStyle w:val="10"/>
              <w:keepNext w:val="0"/>
              <w:keepLines w:val="0"/>
              <w:pageBreakBefore w:val="0"/>
              <w:widowControl w:val="0"/>
              <w:kinsoku/>
              <w:wordWrap/>
              <w:overflowPunct/>
              <w:topLinePunct w:val="0"/>
              <w:bidi w:val="0"/>
              <w:spacing w:line="520" w:lineRule="exact"/>
              <w:textAlignment w:val="auto"/>
              <w:rPr>
                <w:rFonts w:hint="eastAsia"/>
                <w:color w:val="auto"/>
                <w:lang w:val="en-US" w:eastAsia="zh-CN"/>
              </w:rPr>
            </w:pPr>
            <w:r>
              <w:rPr>
                <w:rFonts w:hint="default"/>
                <w:color w:val="auto"/>
                <w:lang w:val="en-US" w:eastAsia="zh-CN"/>
              </w:rPr>
              <w:t>③</w:t>
            </w:r>
            <w:r>
              <w:rPr>
                <w:rFonts w:hint="eastAsia"/>
                <w:color w:val="auto"/>
                <w:lang w:val="en-US" w:eastAsia="zh-CN"/>
              </w:rPr>
              <w:t>监测时间：2024年全年。</w:t>
            </w:r>
          </w:p>
          <w:p w14:paraId="7DBADE66">
            <w:pPr>
              <w:pStyle w:val="10"/>
              <w:keepNext w:val="0"/>
              <w:keepLines w:val="0"/>
              <w:pageBreakBefore w:val="0"/>
              <w:widowControl w:val="0"/>
              <w:numPr>
                <w:ilvl w:val="0"/>
                <w:numId w:val="3"/>
              </w:numPr>
              <w:kinsoku/>
              <w:wordWrap/>
              <w:overflowPunct/>
              <w:topLinePunct w:val="0"/>
              <w:bidi w:val="0"/>
              <w:spacing w:line="520" w:lineRule="exact"/>
              <w:textAlignment w:val="auto"/>
              <w:rPr>
                <w:rFonts w:hint="eastAsia"/>
                <w:color w:val="auto"/>
                <w:lang w:val="en-US" w:eastAsia="zh-CN"/>
              </w:rPr>
            </w:pPr>
            <w:r>
              <w:rPr>
                <w:rFonts w:hint="eastAsia"/>
                <w:color w:val="auto"/>
                <w:lang w:val="en-US" w:eastAsia="zh-CN"/>
              </w:rPr>
              <w:t>评价标准</w:t>
            </w:r>
          </w:p>
          <w:p w14:paraId="1CBC92AF">
            <w:pPr>
              <w:pStyle w:val="10"/>
              <w:keepNext w:val="0"/>
              <w:keepLines w:val="0"/>
              <w:pageBreakBefore w:val="0"/>
              <w:widowControl w:val="0"/>
              <w:kinsoku/>
              <w:wordWrap/>
              <w:overflowPunct/>
              <w:topLinePunct w:val="0"/>
              <w:bidi w:val="0"/>
              <w:spacing w:line="520" w:lineRule="exact"/>
              <w:textAlignment w:val="auto"/>
              <w:rPr>
                <w:rFonts w:hint="eastAsia"/>
                <w:color w:val="auto"/>
                <w:lang w:val="en-US" w:eastAsia="zh-CN"/>
              </w:rPr>
            </w:pPr>
            <w:r>
              <w:rPr>
                <w:rFonts w:hint="eastAsia"/>
                <w:color w:val="auto"/>
                <w:lang w:val="en-US" w:eastAsia="zh-CN"/>
              </w:rPr>
              <w:t>项目区属于二类环境空气功能区，评价标准采用环境空气质量执行《环境空气质量标准》（GB3095-2012）中24小时平均二级标准，见下表。</w:t>
            </w:r>
          </w:p>
          <w:p w14:paraId="345A7463">
            <w:pPr>
              <w:pStyle w:val="10"/>
              <w:keepNext w:val="0"/>
              <w:keepLines w:val="0"/>
              <w:pageBreakBefore w:val="0"/>
              <w:widowControl w:val="0"/>
              <w:kinsoku/>
              <w:wordWrap/>
              <w:overflowPunct/>
              <w:topLinePunct w:val="0"/>
              <w:bidi w:val="0"/>
              <w:spacing w:line="520" w:lineRule="exact"/>
              <w:ind w:left="0" w:leftChars="0" w:firstLine="0" w:firstLineChars="0"/>
              <w:jc w:val="center"/>
              <w:textAlignment w:val="auto"/>
              <w:rPr>
                <w:rFonts w:hint="eastAsia"/>
                <w:b/>
                <w:bCs/>
                <w:color w:val="auto"/>
                <w:lang w:val="en-US" w:eastAsia="zh-CN"/>
              </w:rPr>
            </w:pPr>
            <w:r>
              <w:rPr>
                <w:rFonts w:hint="eastAsia"/>
                <w:b/>
                <w:bCs/>
                <w:color w:val="auto"/>
                <w:lang w:val="en-US" w:eastAsia="zh-CN"/>
              </w:rPr>
              <w:t>表3-3       环境空气质量标准（部分）</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0"/>
              <w:gridCol w:w="2969"/>
              <w:gridCol w:w="2096"/>
            </w:tblGrid>
            <w:tr w14:paraId="1C26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875" w:type="pct"/>
                  <w:tcBorders>
                    <w:top w:val="single" w:color="auto" w:sz="4" w:space="0"/>
                    <w:left w:val="single" w:color="auto" w:sz="4" w:space="0"/>
                    <w:bottom w:val="single" w:color="auto" w:sz="4" w:space="0"/>
                    <w:right w:val="single" w:color="auto" w:sz="4" w:space="0"/>
                  </w:tcBorders>
                  <w:noWrap w:val="0"/>
                  <w:vAlign w:val="center"/>
                </w:tcPr>
                <w:p w14:paraId="2355F5ED">
                  <w:pPr>
                    <w:jc w:val="center"/>
                    <w:rPr>
                      <w:color w:val="auto"/>
                      <w:szCs w:val="21"/>
                      <w:highlight w:val="none"/>
                    </w:rPr>
                  </w:pPr>
                  <w:r>
                    <w:rPr>
                      <w:rFonts w:hint="eastAsia"/>
                      <w:color w:val="auto"/>
                      <w:szCs w:val="21"/>
                      <w:highlight w:val="none"/>
                    </w:rPr>
                    <w:t>污染物名称</w:t>
                  </w:r>
                </w:p>
              </w:tc>
              <w:tc>
                <w:tcPr>
                  <w:tcW w:w="1831" w:type="pct"/>
                  <w:tcBorders>
                    <w:top w:val="single" w:color="auto" w:sz="4" w:space="0"/>
                    <w:left w:val="single" w:color="auto" w:sz="4" w:space="0"/>
                    <w:bottom w:val="single" w:color="auto" w:sz="4" w:space="0"/>
                    <w:right w:val="single" w:color="auto" w:sz="4" w:space="0"/>
                  </w:tcBorders>
                  <w:noWrap w:val="0"/>
                  <w:vAlign w:val="center"/>
                </w:tcPr>
                <w:p w14:paraId="2CB57575">
                  <w:pPr>
                    <w:jc w:val="center"/>
                    <w:rPr>
                      <w:color w:val="auto"/>
                      <w:szCs w:val="21"/>
                      <w:highlight w:val="none"/>
                    </w:rPr>
                  </w:pPr>
                  <w:r>
                    <w:rPr>
                      <w:rFonts w:hint="eastAsia"/>
                      <w:color w:val="auto"/>
                      <w:szCs w:val="21"/>
                      <w:highlight w:val="none"/>
                    </w:rPr>
                    <w:t>年平均（二级）</w:t>
                  </w:r>
                </w:p>
              </w:tc>
              <w:tc>
                <w:tcPr>
                  <w:tcW w:w="1293" w:type="pct"/>
                  <w:tcBorders>
                    <w:top w:val="single" w:color="auto" w:sz="4" w:space="0"/>
                    <w:left w:val="single" w:color="auto" w:sz="4" w:space="0"/>
                    <w:bottom w:val="single" w:color="auto" w:sz="4" w:space="0"/>
                    <w:right w:val="single" w:color="auto" w:sz="4" w:space="0"/>
                  </w:tcBorders>
                  <w:noWrap w:val="0"/>
                  <w:vAlign w:val="center"/>
                </w:tcPr>
                <w:p w14:paraId="386123E0">
                  <w:pPr>
                    <w:jc w:val="center"/>
                    <w:rPr>
                      <w:color w:val="auto"/>
                      <w:szCs w:val="21"/>
                      <w:highlight w:val="none"/>
                    </w:rPr>
                  </w:pPr>
                  <w:r>
                    <w:rPr>
                      <w:rFonts w:hint="eastAsia"/>
                      <w:color w:val="auto"/>
                      <w:szCs w:val="21"/>
                      <w:highlight w:val="none"/>
                    </w:rPr>
                    <w:t>单位</w:t>
                  </w:r>
                </w:p>
              </w:tc>
            </w:tr>
            <w:tr w14:paraId="4CC1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875" w:type="pct"/>
                  <w:tcBorders>
                    <w:top w:val="single" w:color="auto" w:sz="4" w:space="0"/>
                    <w:left w:val="single" w:color="auto" w:sz="4" w:space="0"/>
                    <w:bottom w:val="single" w:color="auto" w:sz="4" w:space="0"/>
                    <w:right w:val="single" w:color="auto" w:sz="4" w:space="0"/>
                  </w:tcBorders>
                  <w:noWrap w:val="0"/>
                  <w:vAlign w:val="center"/>
                </w:tcPr>
                <w:p w14:paraId="1B5EBC3D">
                  <w:pPr>
                    <w:jc w:val="center"/>
                    <w:rPr>
                      <w:color w:val="auto"/>
                      <w:szCs w:val="21"/>
                      <w:highlight w:val="none"/>
                    </w:rPr>
                  </w:pPr>
                  <w:r>
                    <w:rPr>
                      <w:color w:val="auto"/>
                      <w:szCs w:val="21"/>
                      <w:highlight w:val="none"/>
                    </w:rPr>
                    <w:t>SO</w:t>
                  </w:r>
                  <w:r>
                    <w:rPr>
                      <w:color w:val="auto"/>
                      <w:szCs w:val="21"/>
                      <w:highlight w:val="none"/>
                      <w:vertAlign w:val="subscript"/>
                    </w:rPr>
                    <w:t>2</w:t>
                  </w:r>
                </w:p>
              </w:tc>
              <w:tc>
                <w:tcPr>
                  <w:tcW w:w="1831" w:type="pct"/>
                  <w:tcBorders>
                    <w:top w:val="single" w:color="auto" w:sz="4" w:space="0"/>
                    <w:left w:val="single" w:color="auto" w:sz="4" w:space="0"/>
                    <w:bottom w:val="single" w:color="auto" w:sz="4" w:space="0"/>
                    <w:right w:val="single" w:color="auto" w:sz="4" w:space="0"/>
                  </w:tcBorders>
                  <w:noWrap w:val="0"/>
                  <w:vAlign w:val="center"/>
                </w:tcPr>
                <w:p w14:paraId="16AD3835">
                  <w:pPr>
                    <w:jc w:val="center"/>
                    <w:rPr>
                      <w:color w:val="auto"/>
                      <w:szCs w:val="21"/>
                      <w:highlight w:val="none"/>
                    </w:rPr>
                  </w:pPr>
                  <w:r>
                    <w:rPr>
                      <w:color w:val="auto"/>
                      <w:szCs w:val="21"/>
                      <w:highlight w:val="none"/>
                    </w:rPr>
                    <w:t>60</w:t>
                  </w:r>
                </w:p>
              </w:tc>
              <w:tc>
                <w:tcPr>
                  <w:tcW w:w="1293" w:type="pct"/>
                  <w:tcBorders>
                    <w:top w:val="single" w:color="auto" w:sz="4" w:space="0"/>
                    <w:left w:val="single" w:color="auto" w:sz="4" w:space="0"/>
                    <w:bottom w:val="single" w:color="auto" w:sz="4" w:space="0"/>
                    <w:right w:val="single" w:color="auto" w:sz="4" w:space="0"/>
                  </w:tcBorders>
                  <w:noWrap w:val="0"/>
                  <w:vAlign w:val="center"/>
                </w:tcPr>
                <w:p w14:paraId="53D5C11A">
                  <w:pPr>
                    <w:jc w:val="center"/>
                    <w:rPr>
                      <w:rFonts w:hint="eastAsia" w:eastAsia="宋体"/>
                      <w:color w:val="auto"/>
                      <w:szCs w:val="21"/>
                      <w:highlight w:val="none"/>
                      <w:lang w:eastAsia="zh-CN"/>
                    </w:rPr>
                  </w:pPr>
                  <w:r>
                    <w:rPr>
                      <w:color w:val="auto"/>
                      <w:szCs w:val="21"/>
                      <w:highlight w:val="none"/>
                    </w:rPr>
                    <w:t>μg/</w:t>
                  </w:r>
                  <w:r>
                    <w:rPr>
                      <w:rFonts w:hint="eastAsia"/>
                      <w:color w:val="auto"/>
                      <w:szCs w:val="21"/>
                      <w:highlight w:val="none"/>
                      <w:lang w:eastAsia="zh-CN"/>
                    </w:rPr>
                    <w:t>m³</w:t>
                  </w:r>
                </w:p>
              </w:tc>
            </w:tr>
            <w:tr w14:paraId="6F1A3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875" w:type="pct"/>
                  <w:tcBorders>
                    <w:top w:val="single" w:color="auto" w:sz="4" w:space="0"/>
                    <w:left w:val="single" w:color="auto" w:sz="4" w:space="0"/>
                    <w:bottom w:val="single" w:color="auto" w:sz="4" w:space="0"/>
                    <w:right w:val="single" w:color="auto" w:sz="4" w:space="0"/>
                  </w:tcBorders>
                  <w:noWrap w:val="0"/>
                  <w:vAlign w:val="center"/>
                </w:tcPr>
                <w:p w14:paraId="43E17E01">
                  <w:pPr>
                    <w:jc w:val="center"/>
                    <w:rPr>
                      <w:color w:val="auto"/>
                      <w:szCs w:val="21"/>
                      <w:highlight w:val="none"/>
                    </w:rPr>
                  </w:pPr>
                  <w:r>
                    <w:rPr>
                      <w:color w:val="auto"/>
                      <w:szCs w:val="21"/>
                      <w:highlight w:val="none"/>
                    </w:rPr>
                    <w:t>NO</w:t>
                  </w:r>
                  <w:r>
                    <w:rPr>
                      <w:color w:val="auto"/>
                      <w:szCs w:val="21"/>
                      <w:highlight w:val="none"/>
                      <w:vertAlign w:val="subscript"/>
                    </w:rPr>
                    <w:t>2</w:t>
                  </w:r>
                </w:p>
              </w:tc>
              <w:tc>
                <w:tcPr>
                  <w:tcW w:w="1831" w:type="pct"/>
                  <w:tcBorders>
                    <w:top w:val="single" w:color="auto" w:sz="4" w:space="0"/>
                    <w:left w:val="single" w:color="auto" w:sz="4" w:space="0"/>
                    <w:bottom w:val="single" w:color="auto" w:sz="4" w:space="0"/>
                    <w:right w:val="single" w:color="auto" w:sz="4" w:space="0"/>
                  </w:tcBorders>
                  <w:noWrap w:val="0"/>
                  <w:vAlign w:val="center"/>
                </w:tcPr>
                <w:p w14:paraId="63BC6036">
                  <w:pPr>
                    <w:jc w:val="center"/>
                    <w:rPr>
                      <w:color w:val="auto"/>
                      <w:szCs w:val="21"/>
                      <w:highlight w:val="none"/>
                    </w:rPr>
                  </w:pPr>
                  <w:r>
                    <w:rPr>
                      <w:color w:val="auto"/>
                      <w:szCs w:val="21"/>
                      <w:highlight w:val="none"/>
                    </w:rPr>
                    <w:t>40</w:t>
                  </w:r>
                </w:p>
              </w:tc>
              <w:tc>
                <w:tcPr>
                  <w:tcW w:w="1293" w:type="pct"/>
                  <w:tcBorders>
                    <w:top w:val="single" w:color="auto" w:sz="4" w:space="0"/>
                    <w:left w:val="single" w:color="auto" w:sz="4" w:space="0"/>
                    <w:bottom w:val="single" w:color="auto" w:sz="4" w:space="0"/>
                    <w:right w:val="single" w:color="auto" w:sz="4" w:space="0"/>
                  </w:tcBorders>
                  <w:noWrap w:val="0"/>
                  <w:vAlign w:val="center"/>
                </w:tcPr>
                <w:p w14:paraId="47EE0536">
                  <w:pPr>
                    <w:jc w:val="center"/>
                    <w:rPr>
                      <w:rFonts w:hint="eastAsia" w:eastAsia="宋体"/>
                      <w:color w:val="auto"/>
                      <w:szCs w:val="21"/>
                      <w:highlight w:val="none"/>
                      <w:lang w:eastAsia="zh-CN"/>
                    </w:rPr>
                  </w:pPr>
                  <w:r>
                    <w:rPr>
                      <w:color w:val="auto"/>
                      <w:szCs w:val="21"/>
                      <w:highlight w:val="none"/>
                    </w:rPr>
                    <w:t>μg/</w:t>
                  </w:r>
                  <w:r>
                    <w:rPr>
                      <w:rFonts w:hint="eastAsia"/>
                      <w:color w:val="auto"/>
                      <w:szCs w:val="21"/>
                      <w:highlight w:val="none"/>
                      <w:lang w:eastAsia="zh-CN"/>
                    </w:rPr>
                    <w:t>m³</w:t>
                  </w:r>
                </w:p>
              </w:tc>
            </w:tr>
            <w:tr w14:paraId="4D9E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875" w:type="pct"/>
                  <w:tcBorders>
                    <w:top w:val="single" w:color="auto" w:sz="4" w:space="0"/>
                    <w:left w:val="single" w:color="auto" w:sz="4" w:space="0"/>
                    <w:bottom w:val="single" w:color="auto" w:sz="4" w:space="0"/>
                    <w:right w:val="single" w:color="auto" w:sz="4" w:space="0"/>
                  </w:tcBorders>
                  <w:noWrap w:val="0"/>
                  <w:vAlign w:val="center"/>
                </w:tcPr>
                <w:p w14:paraId="12217710">
                  <w:pPr>
                    <w:jc w:val="center"/>
                    <w:rPr>
                      <w:color w:val="auto"/>
                      <w:szCs w:val="21"/>
                      <w:highlight w:val="none"/>
                    </w:rPr>
                  </w:pPr>
                  <w:r>
                    <w:rPr>
                      <w:color w:val="auto"/>
                      <w:szCs w:val="21"/>
                      <w:highlight w:val="none"/>
                    </w:rPr>
                    <w:t>PM</w:t>
                  </w:r>
                  <w:r>
                    <w:rPr>
                      <w:color w:val="auto"/>
                      <w:szCs w:val="21"/>
                      <w:highlight w:val="none"/>
                      <w:vertAlign w:val="subscript"/>
                    </w:rPr>
                    <w:t>10</w:t>
                  </w:r>
                </w:p>
              </w:tc>
              <w:tc>
                <w:tcPr>
                  <w:tcW w:w="1831" w:type="pct"/>
                  <w:tcBorders>
                    <w:top w:val="single" w:color="auto" w:sz="4" w:space="0"/>
                    <w:left w:val="single" w:color="auto" w:sz="4" w:space="0"/>
                    <w:bottom w:val="single" w:color="auto" w:sz="4" w:space="0"/>
                    <w:right w:val="single" w:color="auto" w:sz="4" w:space="0"/>
                  </w:tcBorders>
                  <w:noWrap w:val="0"/>
                  <w:vAlign w:val="center"/>
                </w:tcPr>
                <w:p w14:paraId="25EF064B">
                  <w:pPr>
                    <w:jc w:val="center"/>
                    <w:rPr>
                      <w:color w:val="auto"/>
                      <w:szCs w:val="21"/>
                      <w:highlight w:val="none"/>
                    </w:rPr>
                  </w:pPr>
                  <w:r>
                    <w:rPr>
                      <w:color w:val="auto"/>
                      <w:szCs w:val="21"/>
                      <w:highlight w:val="none"/>
                    </w:rPr>
                    <w:t>70</w:t>
                  </w:r>
                </w:p>
              </w:tc>
              <w:tc>
                <w:tcPr>
                  <w:tcW w:w="1293" w:type="pct"/>
                  <w:tcBorders>
                    <w:top w:val="single" w:color="auto" w:sz="4" w:space="0"/>
                    <w:left w:val="single" w:color="auto" w:sz="4" w:space="0"/>
                    <w:bottom w:val="single" w:color="auto" w:sz="4" w:space="0"/>
                    <w:right w:val="single" w:color="auto" w:sz="4" w:space="0"/>
                  </w:tcBorders>
                  <w:noWrap w:val="0"/>
                  <w:vAlign w:val="center"/>
                </w:tcPr>
                <w:p w14:paraId="316B7C42">
                  <w:pPr>
                    <w:jc w:val="center"/>
                    <w:rPr>
                      <w:rFonts w:hint="eastAsia" w:eastAsia="宋体"/>
                      <w:color w:val="auto"/>
                      <w:szCs w:val="21"/>
                      <w:highlight w:val="none"/>
                      <w:lang w:eastAsia="zh-CN"/>
                    </w:rPr>
                  </w:pPr>
                  <w:r>
                    <w:rPr>
                      <w:color w:val="auto"/>
                      <w:szCs w:val="21"/>
                      <w:highlight w:val="none"/>
                    </w:rPr>
                    <w:t>μg/</w:t>
                  </w:r>
                  <w:r>
                    <w:rPr>
                      <w:rFonts w:hint="eastAsia"/>
                      <w:color w:val="auto"/>
                      <w:szCs w:val="21"/>
                      <w:highlight w:val="none"/>
                      <w:lang w:eastAsia="zh-CN"/>
                    </w:rPr>
                    <w:t>m³</w:t>
                  </w:r>
                </w:p>
              </w:tc>
            </w:tr>
            <w:tr w14:paraId="0B4C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875" w:type="pct"/>
                  <w:tcBorders>
                    <w:top w:val="single" w:color="auto" w:sz="4" w:space="0"/>
                    <w:left w:val="single" w:color="auto" w:sz="4" w:space="0"/>
                    <w:bottom w:val="single" w:color="auto" w:sz="4" w:space="0"/>
                    <w:right w:val="single" w:color="auto" w:sz="4" w:space="0"/>
                  </w:tcBorders>
                  <w:noWrap w:val="0"/>
                  <w:vAlign w:val="center"/>
                </w:tcPr>
                <w:p w14:paraId="53012BCA">
                  <w:pPr>
                    <w:jc w:val="center"/>
                    <w:rPr>
                      <w:color w:val="auto"/>
                      <w:szCs w:val="21"/>
                      <w:highlight w:val="none"/>
                    </w:rPr>
                  </w:pPr>
                  <w:r>
                    <w:rPr>
                      <w:color w:val="auto"/>
                      <w:kern w:val="0"/>
                      <w:szCs w:val="21"/>
                      <w:highlight w:val="none"/>
                    </w:rPr>
                    <w:t>PM</w:t>
                  </w:r>
                  <w:r>
                    <w:rPr>
                      <w:color w:val="auto"/>
                      <w:kern w:val="0"/>
                      <w:szCs w:val="21"/>
                      <w:highlight w:val="none"/>
                      <w:vertAlign w:val="subscript"/>
                    </w:rPr>
                    <w:t>2.5</w:t>
                  </w:r>
                </w:p>
              </w:tc>
              <w:tc>
                <w:tcPr>
                  <w:tcW w:w="1831" w:type="pct"/>
                  <w:tcBorders>
                    <w:top w:val="single" w:color="auto" w:sz="4" w:space="0"/>
                    <w:left w:val="single" w:color="auto" w:sz="4" w:space="0"/>
                    <w:bottom w:val="single" w:color="auto" w:sz="4" w:space="0"/>
                    <w:right w:val="single" w:color="auto" w:sz="4" w:space="0"/>
                  </w:tcBorders>
                  <w:noWrap w:val="0"/>
                  <w:vAlign w:val="center"/>
                </w:tcPr>
                <w:p w14:paraId="763E09E0">
                  <w:pPr>
                    <w:jc w:val="center"/>
                    <w:rPr>
                      <w:color w:val="auto"/>
                      <w:szCs w:val="21"/>
                      <w:highlight w:val="none"/>
                    </w:rPr>
                  </w:pPr>
                  <w:r>
                    <w:rPr>
                      <w:color w:val="auto"/>
                      <w:szCs w:val="21"/>
                      <w:highlight w:val="none"/>
                    </w:rPr>
                    <w:t>35</w:t>
                  </w:r>
                </w:p>
              </w:tc>
              <w:tc>
                <w:tcPr>
                  <w:tcW w:w="1293" w:type="pct"/>
                  <w:tcBorders>
                    <w:top w:val="single" w:color="auto" w:sz="4" w:space="0"/>
                    <w:left w:val="single" w:color="auto" w:sz="4" w:space="0"/>
                    <w:bottom w:val="single" w:color="auto" w:sz="4" w:space="0"/>
                    <w:right w:val="single" w:color="auto" w:sz="4" w:space="0"/>
                  </w:tcBorders>
                  <w:noWrap w:val="0"/>
                  <w:vAlign w:val="center"/>
                </w:tcPr>
                <w:p w14:paraId="3AC3A54F">
                  <w:pPr>
                    <w:jc w:val="center"/>
                    <w:rPr>
                      <w:rFonts w:hint="eastAsia" w:eastAsia="宋体"/>
                      <w:color w:val="auto"/>
                      <w:szCs w:val="21"/>
                      <w:highlight w:val="none"/>
                      <w:lang w:eastAsia="zh-CN"/>
                    </w:rPr>
                  </w:pPr>
                  <w:r>
                    <w:rPr>
                      <w:color w:val="auto"/>
                      <w:szCs w:val="21"/>
                      <w:highlight w:val="none"/>
                    </w:rPr>
                    <w:t>μg/</w:t>
                  </w:r>
                  <w:r>
                    <w:rPr>
                      <w:rFonts w:hint="eastAsia"/>
                      <w:color w:val="auto"/>
                      <w:szCs w:val="21"/>
                      <w:highlight w:val="none"/>
                      <w:lang w:eastAsia="zh-CN"/>
                    </w:rPr>
                    <w:t>m³</w:t>
                  </w:r>
                </w:p>
              </w:tc>
            </w:tr>
            <w:tr w14:paraId="1EB41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875" w:type="pct"/>
                  <w:tcBorders>
                    <w:top w:val="single" w:color="auto" w:sz="4" w:space="0"/>
                    <w:left w:val="single" w:color="auto" w:sz="4" w:space="0"/>
                    <w:bottom w:val="single" w:color="auto" w:sz="4" w:space="0"/>
                    <w:right w:val="single" w:color="auto" w:sz="4" w:space="0"/>
                  </w:tcBorders>
                  <w:noWrap w:val="0"/>
                  <w:vAlign w:val="center"/>
                </w:tcPr>
                <w:p w14:paraId="607375FE">
                  <w:pPr>
                    <w:jc w:val="center"/>
                    <w:rPr>
                      <w:color w:val="auto"/>
                      <w:szCs w:val="21"/>
                      <w:highlight w:val="none"/>
                    </w:rPr>
                  </w:pPr>
                  <w:r>
                    <w:rPr>
                      <w:color w:val="auto"/>
                      <w:kern w:val="0"/>
                      <w:szCs w:val="21"/>
                      <w:highlight w:val="none"/>
                    </w:rPr>
                    <w:t>CO</w:t>
                  </w:r>
                </w:p>
              </w:tc>
              <w:tc>
                <w:tcPr>
                  <w:tcW w:w="1831" w:type="pct"/>
                  <w:tcBorders>
                    <w:top w:val="single" w:color="auto" w:sz="4" w:space="0"/>
                    <w:left w:val="single" w:color="auto" w:sz="4" w:space="0"/>
                    <w:bottom w:val="single" w:color="auto" w:sz="4" w:space="0"/>
                    <w:right w:val="single" w:color="auto" w:sz="4" w:space="0"/>
                  </w:tcBorders>
                  <w:noWrap w:val="0"/>
                  <w:vAlign w:val="center"/>
                </w:tcPr>
                <w:p w14:paraId="74C1FDDE">
                  <w:pPr>
                    <w:jc w:val="center"/>
                    <w:rPr>
                      <w:color w:val="auto"/>
                      <w:szCs w:val="21"/>
                      <w:highlight w:val="none"/>
                    </w:rPr>
                  </w:pPr>
                  <w:r>
                    <w:rPr>
                      <w:color w:val="auto"/>
                      <w:szCs w:val="21"/>
                      <w:highlight w:val="none"/>
                    </w:rPr>
                    <w:t>4</w:t>
                  </w:r>
                  <w:r>
                    <w:rPr>
                      <w:rFonts w:hint="eastAsia"/>
                      <w:color w:val="auto"/>
                      <w:szCs w:val="21"/>
                      <w:highlight w:val="none"/>
                    </w:rPr>
                    <w:t>（</w:t>
                  </w:r>
                  <w:r>
                    <w:rPr>
                      <w:color w:val="auto"/>
                      <w:szCs w:val="21"/>
                      <w:highlight w:val="none"/>
                    </w:rPr>
                    <w:t>24</w:t>
                  </w:r>
                  <w:r>
                    <w:rPr>
                      <w:rFonts w:hint="eastAsia"/>
                      <w:color w:val="auto"/>
                      <w:kern w:val="0"/>
                      <w:szCs w:val="21"/>
                      <w:highlight w:val="none"/>
                    </w:rPr>
                    <w:t>小时平均</w:t>
                  </w:r>
                  <w:r>
                    <w:rPr>
                      <w:rFonts w:hint="eastAsia"/>
                      <w:color w:val="auto"/>
                      <w:szCs w:val="21"/>
                      <w:highlight w:val="none"/>
                    </w:rPr>
                    <w:t>）</w:t>
                  </w:r>
                </w:p>
              </w:tc>
              <w:tc>
                <w:tcPr>
                  <w:tcW w:w="1293" w:type="pct"/>
                  <w:tcBorders>
                    <w:top w:val="single" w:color="auto" w:sz="4" w:space="0"/>
                    <w:left w:val="single" w:color="auto" w:sz="4" w:space="0"/>
                    <w:bottom w:val="single" w:color="auto" w:sz="4" w:space="0"/>
                    <w:right w:val="single" w:color="auto" w:sz="4" w:space="0"/>
                  </w:tcBorders>
                  <w:noWrap w:val="0"/>
                  <w:vAlign w:val="center"/>
                </w:tcPr>
                <w:p w14:paraId="646EE1AA">
                  <w:pPr>
                    <w:jc w:val="center"/>
                    <w:rPr>
                      <w:rFonts w:hint="eastAsia" w:eastAsia="宋体"/>
                      <w:color w:val="auto"/>
                      <w:szCs w:val="21"/>
                      <w:highlight w:val="none"/>
                      <w:lang w:eastAsia="zh-CN"/>
                    </w:rPr>
                  </w:pPr>
                  <w:r>
                    <w:rPr>
                      <w:color w:val="auto"/>
                      <w:kern w:val="0"/>
                      <w:szCs w:val="21"/>
                      <w:highlight w:val="none"/>
                    </w:rPr>
                    <w:t>mg/</w:t>
                  </w:r>
                  <w:r>
                    <w:rPr>
                      <w:rFonts w:hint="eastAsia"/>
                      <w:color w:val="auto"/>
                      <w:kern w:val="0"/>
                      <w:szCs w:val="21"/>
                      <w:highlight w:val="none"/>
                      <w:lang w:eastAsia="zh-CN"/>
                    </w:rPr>
                    <w:t>m³</w:t>
                  </w:r>
                </w:p>
              </w:tc>
            </w:tr>
            <w:tr w14:paraId="66AC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 w:hRule="atLeast"/>
                <w:jc w:val="center"/>
              </w:trPr>
              <w:tc>
                <w:tcPr>
                  <w:tcW w:w="1875" w:type="pct"/>
                  <w:tcBorders>
                    <w:top w:val="single" w:color="auto" w:sz="4" w:space="0"/>
                    <w:left w:val="single" w:color="auto" w:sz="4" w:space="0"/>
                    <w:bottom w:val="single" w:color="auto" w:sz="4" w:space="0"/>
                    <w:right w:val="single" w:color="auto" w:sz="4" w:space="0"/>
                  </w:tcBorders>
                  <w:noWrap w:val="0"/>
                  <w:vAlign w:val="center"/>
                </w:tcPr>
                <w:p w14:paraId="6E252449">
                  <w:pPr>
                    <w:jc w:val="center"/>
                    <w:rPr>
                      <w:color w:val="auto"/>
                      <w:szCs w:val="21"/>
                      <w:highlight w:val="none"/>
                    </w:rPr>
                  </w:pPr>
                  <w:r>
                    <w:rPr>
                      <w:color w:val="auto"/>
                      <w:kern w:val="0"/>
                      <w:szCs w:val="21"/>
                      <w:highlight w:val="none"/>
                    </w:rPr>
                    <w:t>O</w:t>
                  </w:r>
                  <w:r>
                    <w:rPr>
                      <w:color w:val="auto"/>
                      <w:kern w:val="0"/>
                      <w:szCs w:val="21"/>
                      <w:highlight w:val="none"/>
                      <w:vertAlign w:val="subscript"/>
                    </w:rPr>
                    <w:t>3</w:t>
                  </w:r>
                </w:p>
              </w:tc>
              <w:tc>
                <w:tcPr>
                  <w:tcW w:w="1831" w:type="pct"/>
                  <w:tcBorders>
                    <w:top w:val="single" w:color="auto" w:sz="4" w:space="0"/>
                    <w:left w:val="single" w:color="auto" w:sz="4" w:space="0"/>
                    <w:bottom w:val="single" w:color="auto" w:sz="4" w:space="0"/>
                    <w:right w:val="single" w:color="auto" w:sz="4" w:space="0"/>
                  </w:tcBorders>
                  <w:noWrap w:val="0"/>
                  <w:vAlign w:val="center"/>
                </w:tcPr>
                <w:p w14:paraId="652F80D7">
                  <w:pPr>
                    <w:jc w:val="center"/>
                    <w:rPr>
                      <w:color w:val="auto"/>
                      <w:szCs w:val="21"/>
                      <w:highlight w:val="none"/>
                    </w:rPr>
                  </w:pPr>
                  <w:r>
                    <w:rPr>
                      <w:color w:val="auto"/>
                      <w:szCs w:val="21"/>
                      <w:highlight w:val="none"/>
                    </w:rPr>
                    <w:t>160</w:t>
                  </w:r>
                  <w:r>
                    <w:rPr>
                      <w:rFonts w:hint="eastAsia"/>
                      <w:color w:val="auto"/>
                      <w:szCs w:val="21"/>
                      <w:highlight w:val="none"/>
                    </w:rPr>
                    <w:t>（日最大</w:t>
                  </w:r>
                  <w:r>
                    <w:rPr>
                      <w:color w:val="auto"/>
                      <w:kern w:val="0"/>
                      <w:szCs w:val="21"/>
                      <w:highlight w:val="none"/>
                    </w:rPr>
                    <w:t>8</w:t>
                  </w:r>
                  <w:r>
                    <w:rPr>
                      <w:rFonts w:hint="eastAsia"/>
                      <w:color w:val="auto"/>
                      <w:kern w:val="0"/>
                      <w:szCs w:val="21"/>
                      <w:highlight w:val="none"/>
                    </w:rPr>
                    <w:t>小时平均</w:t>
                  </w:r>
                  <w:r>
                    <w:rPr>
                      <w:rFonts w:hint="eastAsia"/>
                      <w:color w:val="auto"/>
                      <w:szCs w:val="21"/>
                      <w:highlight w:val="none"/>
                    </w:rPr>
                    <w:t>）</w:t>
                  </w:r>
                </w:p>
              </w:tc>
              <w:tc>
                <w:tcPr>
                  <w:tcW w:w="1293" w:type="pct"/>
                  <w:tcBorders>
                    <w:top w:val="single" w:color="auto" w:sz="4" w:space="0"/>
                    <w:left w:val="single" w:color="auto" w:sz="4" w:space="0"/>
                    <w:bottom w:val="single" w:color="auto" w:sz="4" w:space="0"/>
                    <w:right w:val="single" w:color="auto" w:sz="4" w:space="0"/>
                  </w:tcBorders>
                  <w:noWrap w:val="0"/>
                  <w:vAlign w:val="center"/>
                </w:tcPr>
                <w:p w14:paraId="69FDA248">
                  <w:pPr>
                    <w:jc w:val="center"/>
                    <w:rPr>
                      <w:rFonts w:hint="eastAsia" w:eastAsia="宋体"/>
                      <w:color w:val="auto"/>
                      <w:szCs w:val="21"/>
                      <w:highlight w:val="none"/>
                      <w:lang w:eastAsia="zh-CN"/>
                    </w:rPr>
                  </w:pPr>
                  <w:r>
                    <w:rPr>
                      <w:color w:val="auto"/>
                      <w:szCs w:val="21"/>
                      <w:highlight w:val="none"/>
                    </w:rPr>
                    <w:t>μg/</w:t>
                  </w:r>
                  <w:r>
                    <w:rPr>
                      <w:rFonts w:hint="eastAsia"/>
                      <w:color w:val="auto"/>
                      <w:szCs w:val="21"/>
                      <w:highlight w:val="none"/>
                      <w:lang w:eastAsia="zh-CN"/>
                    </w:rPr>
                    <w:t>m³</w:t>
                  </w:r>
                </w:p>
              </w:tc>
            </w:tr>
          </w:tbl>
          <w:p w14:paraId="4A01C1E9">
            <w:pPr>
              <w:pStyle w:val="10"/>
              <w:keepNext w:val="0"/>
              <w:keepLines w:val="0"/>
              <w:pageBreakBefore w:val="0"/>
              <w:widowControl w:val="0"/>
              <w:numPr>
                <w:ilvl w:val="0"/>
                <w:numId w:val="3"/>
              </w:numPr>
              <w:kinsoku/>
              <w:wordWrap/>
              <w:overflowPunct/>
              <w:topLinePunct w:val="0"/>
              <w:autoSpaceDE/>
              <w:autoSpaceDN/>
              <w:bidi w:val="0"/>
              <w:adjustRightInd/>
              <w:snapToGrid/>
              <w:spacing w:line="520" w:lineRule="exact"/>
              <w:ind w:left="0" w:leftChars="0" w:firstLine="480" w:firstLineChars="200"/>
              <w:textAlignment w:val="auto"/>
              <w:rPr>
                <w:rFonts w:hint="eastAsia"/>
                <w:color w:val="auto"/>
                <w:lang w:val="en-US" w:eastAsia="zh-CN"/>
              </w:rPr>
            </w:pPr>
            <w:r>
              <w:rPr>
                <w:rFonts w:hint="eastAsia"/>
                <w:color w:val="auto"/>
                <w:lang w:val="en-US" w:eastAsia="zh-CN"/>
              </w:rPr>
              <w:t>监测结果分析及评价</w:t>
            </w:r>
          </w:p>
          <w:p w14:paraId="2AD26184">
            <w:pPr>
              <w:pStyle w:val="10"/>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color w:val="auto"/>
                <w:lang w:val="en-US" w:eastAsia="zh-CN"/>
              </w:rPr>
            </w:pPr>
            <w:r>
              <w:rPr>
                <w:rFonts w:hint="eastAsia"/>
                <w:color w:val="auto"/>
                <w:lang w:val="en-US" w:eastAsia="zh-CN"/>
              </w:rPr>
              <w:t>环境空气质量现状监测统计结果见下表。</w:t>
            </w:r>
          </w:p>
          <w:p w14:paraId="5179FB66">
            <w:pPr>
              <w:pStyle w:val="10"/>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eastAsia"/>
                <w:b/>
                <w:bCs/>
                <w:color w:val="auto"/>
                <w:lang w:val="en-US" w:eastAsia="zh-CN"/>
              </w:rPr>
            </w:pPr>
            <w:r>
              <w:rPr>
                <w:rFonts w:hint="eastAsia"/>
                <w:b/>
                <w:bCs/>
                <w:color w:val="auto"/>
                <w:lang w:val="en-US" w:eastAsia="zh-CN"/>
              </w:rPr>
              <w:t>表3-4       区域空气质量现状监测数据统计表</w:t>
            </w:r>
          </w:p>
          <w:tbl>
            <w:tblPr>
              <w:tblStyle w:val="23"/>
              <w:tblW w:w="8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54"/>
              <w:gridCol w:w="2684"/>
              <w:gridCol w:w="1142"/>
              <w:gridCol w:w="1285"/>
              <w:gridCol w:w="999"/>
              <w:gridCol w:w="844"/>
            </w:tblGrid>
            <w:tr w14:paraId="0343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54" w:type="dxa"/>
                  <w:vAlign w:val="center"/>
                </w:tcPr>
                <w:p w14:paraId="3F4542F3">
                  <w:pPr>
                    <w:pStyle w:val="56"/>
                    <w:rPr>
                      <w:rFonts w:hint="default" w:ascii="Calibri" w:hAnsi="Calibri" w:cs="Calibri"/>
                      <w:sz w:val="21"/>
                      <w:szCs w:val="21"/>
                    </w:rPr>
                  </w:pPr>
                  <w:r>
                    <w:rPr>
                      <w:rFonts w:hint="default" w:ascii="Calibri" w:hAnsi="Calibri" w:cs="Calibri"/>
                      <w:sz w:val="21"/>
                      <w:szCs w:val="21"/>
                    </w:rPr>
                    <w:t>污染物名称</w:t>
                  </w:r>
                </w:p>
              </w:tc>
              <w:tc>
                <w:tcPr>
                  <w:tcW w:w="2684" w:type="dxa"/>
                  <w:vAlign w:val="center"/>
                </w:tcPr>
                <w:p w14:paraId="6B0F0D86">
                  <w:pPr>
                    <w:pStyle w:val="56"/>
                    <w:rPr>
                      <w:rFonts w:hint="default" w:ascii="Calibri" w:hAnsi="Calibri" w:cs="Calibri"/>
                      <w:sz w:val="21"/>
                      <w:szCs w:val="21"/>
                    </w:rPr>
                  </w:pPr>
                  <w:r>
                    <w:rPr>
                      <w:rFonts w:hint="eastAsia" w:ascii="Calibri" w:hAnsi="Calibri" w:cs="Calibri"/>
                      <w:sz w:val="21"/>
                      <w:szCs w:val="21"/>
                      <w:lang w:eastAsia="zh-CN"/>
                    </w:rPr>
                    <w:t>年</w:t>
                  </w:r>
                  <w:r>
                    <w:rPr>
                      <w:rFonts w:hint="default" w:ascii="Calibri" w:hAnsi="Calibri" w:cs="Calibri"/>
                      <w:sz w:val="21"/>
                      <w:szCs w:val="21"/>
                    </w:rPr>
                    <w:t>评价指标</w:t>
                  </w:r>
                </w:p>
              </w:tc>
              <w:tc>
                <w:tcPr>
                  <w:tcW w:w="1142" w:type="dxa"/>
                  <w:vAlign w:val="center"/>
                </w:tcPr>
                <w:p w14:paraId="083F3E76">
                  <w:pPr>
                    <w:pStyle w:val="56"/>
                    <w:rPr>
                      <w:rFonts w:hint="default" w:ascii="Calibri" w:hAnsi="Calibri" w:cs="Calibri"/>
                      <w:sz w:val="21"/>
                      <w:szCs w:val="21"/>
                    </w:rPr>
                  </w:pPr>
                  <w:r>
                    <w:rPr>
                      <w:rFonts w:hint="default" w:ascii="Calibri" w:hAnsi="Calibri" w:cs="Calibri"/>
                      <w:sz w:val="21"/>
                      <w:szCs w:val="21"/>
                    </w:rPr>
                    <w:t>评价标准</w:t>
                  </w:r>
                </w:p>
                <w:p w14:paraId="2195B44B">
                  <w:pPr>
                    <w:pStyle w:val="56"/>
                    <w:rPr>
                      <w:rFonts w:hint="default" w:ascii="Calibri" w:hAnsi="Calibri" w:cs="Calibri"/>
                      <w:sz w:val="21"/>
                      <w:szCs w:val="21"/>
                    </w:rPr>
                  </w:pPr>
                  <w:r>
                    <w:rPr>
                      <w:rFonts w:hint="eastAsia" w:ascii="Calibri" w:hAnsi="Calibri" w:cs="Calibri"/>
                      <w:sz w:val="21"/>
                      <w:szCs w:val="21"/>
                      <w:lang w:eastAsia="zh-CN"/>
                    </w:rPr>
                    <w:t>(</w:t>
                  </w:r>
                  <w:r>
                    <w:rPr>
                      <w:rFonts w:hint="default" w:ascii="Calibri" w:hAnsi="Calibri" w:cs="Calibri"/>
                      <w:sz w:val="21"/>
                      <w:szCs w:val="21"/>
                    </w:rPr>
                    <w:t>μg/m</w:t>
                  </w:r>
                  <w:r>
                    <w:rPr>
                      <w:rFonts w:hint="default" w:ascii="Calibri" w:hAnsi="Calibri" w:cs="Calibri"/>
                      <w:sz w:val="21"/>
                      <w:szCs w:val="21"/>
                      <w:vertAlign w:val="superscript"/>
                    </w:rPr>
                    <w:t>3</w:t>
                  </w:r>
                  <w:r>
                    <w:rPr>
                      <w:rFonts w:hint="eastAsia" w:ascii="Calibri" w:hAnsi="Calibri" w:cs="Calibri"/>
                      <w:sz w:val="21"/>
                      <w:szCs w:val="21"/>
                      <w:vertAlign w:val="superscript"/>
                      <w:lang w:eastAsia="zh-CN"/>
                    </w:rPr>
                    <w:t>)</w:t>
                  </w:r>
                </w:p>
              </w:tc>
              <w:tc>
                <w:tcPr>
                  <w:tcW w:w="1285" w:type="dxa"/>
                  <w:vAlign w:val="center"/>
                </w:tcPr>
                <w:p w14:paraId="55309502">
                  <w:pPr>
                    <w:pStyle w:val="56"/>
                    <w:rPr>
                      <w:rFonts w:hint="default" w:ascii="Calibri" w:hAnsi="Calibri" w:cs="Calibri"/>
                      <w:sz w:val="21"/>
                      <w:szCs w:val="21"/>
                    </w:rPr>
                  </w:pPr>
                  <w:r>
                    <w:rPr>
                      <w:rFonts w:hint="default" w:ascii="Calibri" w:hAnsi="Calibri" w:cs="Calibri"/>
                      <w:sz w:val="21"/>
                      <w:szCs w:val="21"/>
                    </w:rPr>
                    <w:t>现状浓度</w:t>
                  </w:r>
                </w:p>
                <w:p w14:paraId="165941DA">
                  <w:pPr>
                    <w:pStyle w:val="56"/>
                    <w:rPr>
                      <w:rFonts w:hint="default" w:ascii="Calibri" w:hAnsi="Calibri" w:cs="Calibri"/>
                      <w:sz w:val="21"/>
                      <w:szCs w:val="21"/>
                    </w:rPr>
                  </w:pPr>
                  <w:r>
                    <w:rPr>
                      <w:rFonts w:hint="eastAsia" w:ascii="Calibri" w:hAnsi="Calibri" w:cs="Calibri"/>
                      <w:sz w:val="21"/>
                      <w:szCs w:val="21"/>
                      <w:lang w:eastAsia="zh-CN"/>
                    </w:rPr>
                    <w:t>(</w:t>
                  </w:r>
                  <w:r>
                    <w:rPr>
                      <w:rFonts w:hint="default" w:ascii="Calibri" w:hAnsi="Calibri" w:cs="Calibri"/>
                      <w:sz w:val="21"/>
                      <w:szCs w:val="21"/>
                    </w:rPr>
                    <w:t>μg/m</w:t>
                  </w:r>
                  <w:r>
                    <w:rPr>
                      <w:rFonts w:hint="default" w:ascii="Calibri" w:hAnsi="Calibri" w:cs="Calibri"/>
                      <w:sz w:val="21"/>
                      <w:szCs w:val="21"/>
                      <w:vertAlign w:val="superscript"/>
                    </w:rPr>
                    <w:t>3</w:t>
                  </w:r>
                  <w:r>
                    <w:rPr>
                      <w:rFonts w:hint="eastAsia" w:ascii="Calibri" w:hAnsi="Calibri" w:cs="Calibri"/>
                      <w:sz w:val="21"/>
                      <w:szCs w:val="21"/>
                      <w:vertAlign w:val="superscript"/>
                      <w:lang w:eastAsia="zh-CN"/>
                    </w:rPr>
                    <w:t>)</w:t>
                  </w:r>
                </w:p>
              </w:tc>
              <w:tc>
                <w:tcPr>
                  <w:tcW w:w="999" w:type="dxa"/>
                  <w:vAlign w:val="center"/>
                </w:tcPr>
                <w:p w14:paraId="1B3FF7AA">
                  <w:pPr>
                    <w:pStyle w:val="56"/>
                    <w:rPr>
                      <w:rFonts w:hint="default" w:ascii="Calibri" w:hAnsi="Calibri" w:cs="Calibri"/>
                      <w:sz w:val="21"/>
                      <w:szCs w:val="21"/>
                    </w:rPr>
                  </w:pPr>
                  <w:r>
                    <w:rPr>
                      <w:rFonts w:hint="default" w:ascii="Calibri" w:hAnsi="Calibri" w:cs="Calibri"/>
                      <w:sz w:val="21"/>
                      <w:szCs w:val="21"/>
                    </w:rPr>
                    <w:t>占标率</w:t>
                  </w:r>
                </w:p>
              </w:tc>
              <w:tc>
                <w:tcPr>
                  <w:tcW w:w="844" w:type="dxa"/>
                  <w:vAlign w:val="center"/>
                </w:tcPr>
                <w:p w14:paraId="18C74B47">
                  <w:pPr>
                    <w:pStyle w:val="56"/>
                    <w:rPr>
                      <w:rFonts w:hint="default" w:ascii="Calibri" w:hAnsi="Calibri" w:cs="Calibri"/>
                      <w:sz w:val="21"/>
                      <w:szCs w:val="21"/>
                    </w:rPr>
                  </w:pPr>
                  <w:r>
                    <w:rPr>
                      <w:rFonts w:hint="default" w:ascii="Calibri" w:hAnsi="Calibri" w:cs="Calibri"/>
                      <w:sz w:val="21"/>
                      <w:szCs w:val="21"/>
                    </w:rPr>
                    <w:t>达标</w:t>
                  </w:r>
                </w:p>
                <w:p w14:paraId="798F6ADA">
                  <w:pPr>
                    <w:pStyle w:val="56"/>
                    <w:rPr>
                      <w:rFonts w:hint="default" w:ascii="Calibri" w:hAnsi="Calibri" w:cs="Calibri"/>
                      <w:sz w:val="21"/>
                      <w:szCs w:val="21"/>
                    </w:rPr>
                  </w:pPr>
                  <w:r>
                    <w:rPr>
                      <w:rFonts w:hint="default" w:ascii="Calibri" w:hAnsi="Calibri" w:cs="Calibri"/>
                      <w:sz w:val="21"/>
                      <w:szCs w:val="21"/>
                    </w:rPr>
                    <w:t>情况</w:t>
                  </w:r>
                </w:p>
              </w:tc>
            </w:tr>
            <w:tr w14:paraId="01B0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54" w:type="dxa"/>
                  <w:vAlign w:val="center"/>
                </w:tcPr>
                <w:p w14:paraId="59EC66C0">
                  <w:pPr>
                    <w:pStyle w:val="56"/>
                    <w:rPr>
                      <w:rFonts w:hint="default" w:ascii="Calibri" w:hAnsi="Calibri" w:cs="Calibri"/>
                      <w:sz w:val="21"/>
                      <w:szCs w:val="21"/>
                    </w:rPr>
                  </w:pPr>
                  <w:r>
                    <w:rPr>
                      <w:rFonts w:hint="default" w:ascii="Calibri" w:hAnsi="Calibri" w:cs="Calibri"/>
                      <w:sz w:val="21"/>
                      <w:szCs w:val="21"/>
                    </w:rPr>
                    <w:t>SO</w:t>
                  </w:r>
                  <w:r>
                    <w:rPr>
                      <w:rFonts w:hint="default" w:ascii="Calibri" w:hAnsi="Calibri" w:cs="Calibri"/>
                      <w:sz w:val="21"/>
                      <w:szCs w:val="21"/>
                      <w:vertAlign w:val="subscript"/>
                    </w:rPr>
                    <w:t>2</w:t>
                  </w:r>
                </w:p>
              </w:tc>
              <w:tc>
                <w:tcPr>
                  <w:tcW w:w="2684" w:type="dxa"/>
                  <w:vAlign w:val="center"/>
                </w:tcPr>
                <w:p w14:paraId="2F4D98D6">
                  <w:pPr>
                    <w:pStyle w:val="56"/>
                    <w:rPr>
                      <w:rFonts w:hint="default" w:ascii="Calibri" w:hAnsi="Calibri" w:cs="Calibri"/>
                      <w:sz w:val="21"/>
                      <w:szCs w:val="21"/>
                    </w:rPr>
                  </w:pPr>
                  <w:r>
                    <w:rPr>
                      <w:rFonts w:hint="default" w:ascii="Calibri" w:hAnsi="Calibri" w:cs="Calibri"/>
                      <w:sz w:val="21"/>
                      <w:szCs w:val="21"/>
                    </w:rPr>
                    <w:t>年平均</w:t>
                  </w:r>
                </w:p>
              </w:tc>
              <w:tc>
                <w:tcPr>
                  <w:tcW w:w="1142" w:type="dxa"/>
                  <w:vAlign w:val="center"/>
                </w:tcPr>
                <w:p w14:paraId="1248276C">
                  <w:pPr>
                    <w:pStyle w:val="56"/>
                    <w:rPr>
                      <w:rFonts w:hint="default" w:ascii="Calibri" w:hAnsi="Calibri" w:cs="Calibri"/>
                      <w:sz w:val="21"/>
                      <w:szCs w:val="21"/>
                    </w:rPr>
                  </w:pPr>
                  <w:r>
                    <w:rPr>
                      <w:rFonts w:hint="default" w:ascii="Calibri" w:hAnsi="Calibri" w:cs="Calibri"/>
                      <w:sz w:val="21"/>
                      <w:szCs w:val="21"/>
                    </w:rPr>
                    <w:t>60</w:t>
                  </w:r>
                </w:p>
              </w:tc>
              <w:tc>
                <w:tcPr>
                  <w:tcW w:w="1285" w:type="dxa"/>
                  <w:vAlign w:val="center"/>
                </w:tcPr>
                <w:p w14:paraId="2FDF6F7D">
                  <w:pPr>
                    <w:pStyle w:val="56"/>
                    <w:rPr>
                      <w:rFonts w:hint="default" w:ascii="Calibri" w:hAnsi="Calibri" w:cs="Calibri"/>
                      <w:sz w:val="21"/>
                      <w:szCs w:val="21"/>
                    </w:rPr>
                  </w:pPr>
                  <w:r>
                    <w:rPr>
                      <w:rFonts w:hint="default" w:ascii="Calibri" w:hAnsi="Calibri" w:cs="Calibri"/>
                      <w:sz w:val="21"/>
                      <w:szCs w:val="21"/>
                    </w:rPr>
                    <w:t>5.95</w:t>
                  </w:r>
                </w:p>
              </w:tc>
              <w:tc>
                <w:tcPr>
                  <w:tcW w:w="999" w:type="dxa"/>
                  <w:vAlign w:val="center"/>
                </w:tcPr>
                <w:p w14:paraId="256DB827">
                  <w:pPr>
                    <w:pStyle w:val="56"/>
                    <w:rPr>
                      <w:rFonts w:hint="default" w:ascii="Calibri" w:hAnsi="Calibri" w:cs="Calibri"/>
                      <w:sz w:val="21"/>
                      <w:szCs w:val="21"/>
                    </w:rPr>
                  </w:pPr>
                  <w:r>
                    <w:rPr>
                      <w:rFonts w:hint="default" w:ascii="Calibri" w:hAnsi="Calibri" w:cs="Calibri"/>
                      <w:sz w:val="21"/>
                      <w:szCs w:val="21"/>
                    </w:rPr>
                    <w:t>9.92%</w:t>
                  </w:r>
                </w:p>
              </w:tc>
              <w:tc>
                <w:tcPr>
                  <w:tcW w:w="844" w:type="dxa"/>
                  <w:vAlign w:val="center"/>
                </w:tcPr>
                <w:p w14:paraId="1B853A99">
                  <w:pPr>
                    <w:pStyle w:val="56"/>
                    <w:rPr>
                      <w:rFonts w:hint="default" w:ascii="Calibri" w:hAnsi="Calibri" w:cs="Calibri"/>
                      <w:sz w:val="21"/>
                      <w:szCs w:val="21"/>
                    </w:rPr>
                  </w:pPr>
                  <w:r>
                    <w:rPr>
                      <w:rFonts w:hint="default" w:ascii="Calibri" w:hAnsi="Calibri" w:cs="Calibri"/>
                      <w:sz w:val="21"/>
                      <w:szCs w:val="21"/>
                    </w:rPr>
                    <w:t>达标</w:t>
                  </w:r>
                </w:p>
              </w:tc>
            </w:tr>
            <w:tr w14:paraId="2433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54" w:type="dxa"/>
                  <w:vAlign w:val="center"/>
                </w:tcPr>
                <w:p w14:paraId="6F1C79A7">
                  <w:pPr>
                    <w:pStyle w:val="56"/>
                    <w:rPr>
                      <w:rFonts w:hint="default" w:ascii="Calibri" w:hAnsi="Calibri" w:cs="Calibri"/>
                      <w:sz w:val="21"/>
                      <w:szCs w:val="21"/>
                    </w:rPr>
                  </w:pPr>
                  <w:r>
                    <w:rPr>
                      <w:rFonts w:hint="default" w:ascii="Calibri" w:hAnsi="Calibri" w:cs="Calibri"/>
                      <w:sz w:val="21"/>
                      <w:szCs w:val="21"/>
                    </w:rPr>
                    <w:t>NO</w:t>
                  </w:r>
                  <w:r>
                    <w:rPr>
                      <w:rFonts w:hint="default" w:ascii="Calibri" w:hAnsi="Calibri" w:cs="Calibri"/>
                      <w:sz w:val="21"/>
                      <w:szCs w:val="21"/>
                      <w:vertAlign w:val="subscript"/>
                    </w:rPr>
                    <w:t>2</w:t>
                  </w:r>
                </w:p>
              </w:tc>
              <w:tc>
                <w:tcPr>
                  <w:tcW w:w="2684" w:type="dxa"/>
                  <w:vAlign w:val="center"/>
                </w:tcPr>
                <w:p w14:paraId="70BF56BD">
                  <w:pPr>
                    <w:pStyle w:val="56"/>
                    <w:rPr>
                      <w:rFonts w:hint="default" w:ascii="Calibri" w:hAnsi="Calibri" w:cs="Calibri"/>
                      <w:sz w:val="21"/>
                      <w:szCs w:val="21"/>
                    </w:rPr>
                  </w:pPr>
                  <w:r>
                    <w:rPr>
                      <w:rFonts w:hint="default" w:ascii="Calibri" w:hAnsi="Calibri" w:cs="Calibri"/>
                      <w:sz w:val="21"/>
                      <w:szCs w:val="21"/>
                    </w:rPr>
                    <w:t>年平均</w:t>
                  </w:r>
                </w:p>
              </w:tc>
              <w:tc>
                <w:tcPr>
                  <w:tcW w:w="1142" w:type="dxa"/>
                  <w:vAlign w:val="center"/>
                </w:tcPr>
                <w:p w14:paraId="44F5DF68">
                  <w:pPr>
                    <w:pStyle w:val="56"/>
                    <w:rPr>
                      <w:rFonts w:hint="default" w:ascii="Calibri" w:hAnsi="Calibri" w:cs="Calibri"/>
                      <w:sz w:val="21"/>
                      <w:szCs w:val="21"/>
                    </w:rPr>
                  </w:pPr>
                  <w:r>
                    <w:rPr>
                      <w:rFonts w:hint="default" w:ascii="Calibri" w:hAnsi="Calibri" w:cs="Calibri"/>
                      <w:sz w:val="21"/>
                      <w:szCs w:val="21"/>
                    </w:rPr>
                    <w:t>40</w:t>
                  </w:r>
                </w:p>
              </w:tc>
              <w:tc>
                <w:tcPr>
                  <w:tcW w:w="1285" w:type="dxa"/>
                  <w:vAlign w:val="center"/>
                </w:tcPr>
                <w:p w14:paraId="691175CD">
                  <w:pPr>
                    <w:pStyle w:val="56"/>
                    <w:rPr>
                      <w:rFonts w:hint="default" w:ascii="Calibri" w:hAnsi="Calibri" w:cs="Calibri"/>
                      <w:sz w:val="21"/>
                      <w:szCs w:val="21"/>
                    </w:rPr>
                  </w:pPr>
                  <w:r>
                    <w:rPr>
                      <w:rFonts w:hint="default" w:ascii="Calibri" w:hAnsi="Calibri" w:cs="Calibri"/>
                      <w:sz w:val="21"/>
                      <w:szCs w:val="21"/>
                    </w:rPr>
                    <w:t>8.15</w:t>
                  </w:r>
                </w:p>
              </w:tc>
              <w:tc>
                <w:tcPr>
                  <w:tcW w:w="999" w:type="dxa"/>
                  <w:vAlign w:val="center"/>
                </w:tcPr>
                <w:p w14:paraId="72D7F3C5">
                  <w:pPr>
                    <w:pStyle w:val="56"/>
                    <w:rPr>
                      <w:rFonts w:hint="default" w:ascii="Calibri" w:hAnsi="Calibri" w:cs="Calibri"/>
                      <w:sz w:val="21"/>
                      <w:szCs w:val="21"/>
                    </w:rPr>
                  </w:pPr>
                  <w:r>
                    <w:rPr>
                      <w:rFonts w:hint="default" w:ascii="Calibri" w:hAnsi="Calibri" w:cs="Calibri"/>
                      <w:sz w:val="21"/>
                      <w:szCs w:val="21"/>
                    </w:rPr>
                    <w:t>20.38%</w:t>
                  </w:r>
                </w:p>
              </w:tc>
              <w:tc>
                <w:tcPr>
                  <w:tcW w:w="844" w:type="dxa"/>
                  <w:vAlign w:val="center"/>
                </w:tcPr>
                <w:p w14:paraId="34BDD477">
                  <w:pPr>
                    <w:pStyle w:val="56"/>
                    <w:rPr>
                      <w:rFonts w:hint="default" w:ascii="Calibri" w:hAnsi="Calibri" w:cs="Calibri"/>
                      <w:sz w:val="21"/>
                      <w:szCs w:val="21"/>
                    </w:rPr>
                  </w:pPr>
                  <w:r>
                    <w:rPr>
                      <w:rFonts w:hint="default" w:ascii="Calibri" w:hAnsi="Calibri" w:cs="Calibri"/>
                      <w:sz w:val="21"/>
                      <w:szCs w:val="21"/>
                    </w:rPr>
                    <w:t>达标</w:t>
                  </w:r>
                </w:p>
              </w:tc>
            </w:tr>
            <w:tr w14:paraId="67B3B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54" w:type="dxa"/>
                  <w:vAlign w:val="center"/>
                </w:tcPr>
                <w:p w14:paraId="09C7979B">
                  <w:pPr>
                    <w:pStyle w:val="56"/>
                    <w:rPr>
                      <w:rFonts w:hint="default" w:ascii="Calibri" w:hAnsi="Calibri" w:cs="Calibri"/>
                      <w:sz w:val="21"/>
                      <w:szCs w:val="21"/>
                    </w:rPr>
                  </w:pPr>
                  <w:r>
                    <w:rPr>
                      <w:rFonts w:hint="default" w:ascii="Calibri" w:hAnsi="Calibri" w:cs="Calibri"/>
                      <w:sz w:val="21"/>
                      <w:szCs w:val="21"/>
                    </w:rPr>
                    <w:t>PM</w:t>
                  </w:r>
                  <w:r>
                    <w:rPr>
                      <w:rFonts w:hint="default" w:ascii="Calibri" w:hAnsi="Calibri" w:cs="Calibri"/>
                      <w:sz w:val="21"/>
                      <w:szCs w:val="21"/>
                      <w:vertAlign w:val="subscript"/>
                    </w:rPr>
                    <w:t>10</w:t>
                  </w:r>
                </w:p>
              </w:tc>
              <w:tc>
                <w:tcPr>
                  <w:tcW w:w="2684" w:type="dxa"/>
                  <w:vAlign w:val="center"/>
                </w:tcPr>
                <w:p w14:paraId="62ED6D1A">
                  <w:pPr>
                    <w:pStyle w:val="56"/>
                    <w:rPr>
                      <w:rFonts w:hint="default" w:ascii="Calibri" w:hAnsi="Calibri" w:cs="Calibri"/>
                      <w:sz w:val="21"/>
                      <w:szCs w:val="21"/>
                    </w:rPr>
                  </w:pPr>
                  <w:r>
                    <w:rPr>
                      <w:rFonts w:hint="default" w:ascii="Calibri" w:hAnsi="Calibri" w:cs="Calibri"/>
                      <w:sz w:val="21"/>
                      <w:szCs w:val="21"/>
                    </w:rPr>
                    <w:t>年平均</w:t>
                  </w:r>
                </w:p>
              </w:tc>
              <w:tc>
                <w:tcPr>
                  <w:tcW w:w="1142" w:type="dxa"/>
                  <w:vAlign w:val="center"/>
                </w:tcPr>
                <w:p w14:paraId="52341146">
                  <w:pPr>
                    <w:pStyle w:val="56"/>
                    <w:rPr>
                      <w:rFonts w:hint="default" w:ascii="Calibri" w:hAnsi="Calibri" w:cs="Calibri"/>
                      <w:sz w:val="21"/>
                      <w:szCs w:val="21"/>
                    </w:rPr>
                  </w:pPr>
                  <w:r>
                    <w:rPr>
                      <w:rFonts w:hint="default" w:ascii="Calibri" w:hAnsi="Calibri" w:cs="Calibri"/>
                      <w:sz w:val="21"/>
                      <w:szCs w:val="21"/>
                    </w:rPr>
                    <w:t>70</w:t>
                  </w:r>
                </w:p>
              </w:tc>
              <w:tc>
                <w:tcPr>
                  <w:tcW w:w="1285" w:type="dxa"/>
                  <w:vAlign w:val="center"/>
                </w:tcPr>
                <w:p w14:paraId="03BA5906">
                  <w:pPr>
                    <w:pStyle w:val="56"/>
                    <w:rPr>
                      <w:rFonts w:hint="default" w:ascii="Calibri" w:hAnsi="Calibri" w:cs="Calibri"/>
                      <w:sz w:val="21"/>
                      <w:szCs w:val="21"/>
                    </w:rPr>
                  </w:pPr>
                  <w:r>
                    <w:rPr>
                      <w:rFonts w:hint="default" w:ascii="Calibri" w:hAnsi="Calibri" w:cs="Calibri"/>
                      <w:sz w:val="21"/>
                      <w:szCs w:val="21"/>
                    </w:rPr>
                    <w:t>274.07</w:t>
                  </w:r>
                </w:p>
              </w:tc>
              <w:tc>
                <w:tcPr>
                  <w:tcW w:w="999" w:type="dxa"/>
                  <w:vAlign w:val="center"/>
                </w:tcPr>
                <w:p w14:paraId="28AEF85E">
                  <w:pPr>
                    <w:pStyle w:val="56"/>
                    <w:rPr>
                      <w:rFonts w:hint="default" w:ascii="Calibri" w:hAnsi="Calibri" w:cs="Calibri"/>
                      <w:sz w:val="21"/>
                      <w:szCs w:val="21"/>
                    </w:rPr>
                  </w:pPr>
                  <w:r>
                    <w:rPr>
                      <w:rFonts w:hint="default" w:ascii="Calibri" w:hAnsi="Calibri" w:cs="Calibri"/>
                      <w:sz w:val="21"/>
                      <w:szCs w:val="21"/>
                    </w:rPr>
                    <w:t>391.53%</w:t>
                  </w:r>
                </w:p>
              </w:tc>
              <w:tc>
                <w:tcPr>
                  <w:tcW w:w="844" w:type="dxa"/>
                  <w:vAlign w:val="center"/>
                </w:tcPr>
                <w:p w14:paraId="36C59CA2">
                  <w:pPr>
                    <w:pStyle w:val="56"/>
                    <w:rPr>
                      <w:rFonts w:hint="default" w:ascii="Calibri" w:hAnsi="Calibri" w:cs="Calibri"/>
                      <w:sz w:val="21"/>
                      <w:szCs w:val="21"/>
                    </w:rPr>
                  </w:pPr>
                  <w:r>
                    <w:rPr>
                      <w:rFonts w:hint="default" w:ascii="Calibri" w:hAnsi="Calibri" w:cs="Calibri"/>
                      <w:sz w:val="21"/>
                      <w:szCs w:val="21"/>
                    </w:rPr>
                    <w:t>超标</w:t>
                  </w:r>
                </w:p>
              </w:tc>
            </w:tr>
            <w:tr w14:paraId="7CB4C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54" w:type="dxa"/>
                  <w:vAlign w:val="center"/>
                </w:tcPr>
                <w:p w14:paraId="6713122D">
                  <w:pPr>
                    <w:pStyle w:val="56"/>
                    <w:rPr>
                      <w:rFonts w:hint="default" w:ascii="Calibri" w:hAnsi="Calibri" w:cs="Calibri"/>
                      <w:sz w:val="21"/>
                      <w:szCs w:val="21"/>
                    </w:rPr>
                  </w:pPr>
                  <w:r>
                    <w:rPr>
                      <w:rFonts w:hint="default" w:ascii="Calibri" w:hAnsi="Calibri" w:cs="Calibri"/>
                      <w:sz w:val="21"/>
                      <w:szCs w:val="21"/>
                    </w:rPr>
                    <w:t>PM</w:t>
                  </w:r>
                  <w:r>
                    <w:rPr>
                      <w:rFonts w:hint="default" w:ascii="Calibri" w:hAnsi="Calibri" w:cs="Calibri"/>
                      <w:sz w:val="21"/>
                      <w:szCs w:val="21"/>
                      <w:vertAlign w:val="subscript"/>
                    </w:rPr>
                    <w:t>2.5</w:t>
                  </w:r>
                </w:p>
              </w:tc>
              <w:tc>
                <w:tcPr>
                  <w:tcW w:w="2684" w:type="dxa"/>
                  <w:vAlign w:val="center"/>
                </w:tcPr>
                <w:p w14:paraId="2C737EC0">
                  <w:pPr>
                    <w:pStyle w:val="56"/>
                    <w:rPr>
                      <w:rFonts w:hint="default" w:ascii="Calibri" w:hAnsi="Calibri" w:cs="Calibri"/>
                      <w:sz w:val="21"/>
                      <w:szCs w:val="21"/>
                    </w:rPr>
                  </w:pPr>
                  <w:r>
                    <w:rPr>
                      <w:rFonts w:hint="default" w:ascii="Calibri" w:hAnsi="Calibri" w:cs="Calibri"/>
                      <w:sz w:val="21"/>
                      <w:szCs w:val="21"/>
                    </w:rPr>
                    <w:t>年平均</w:t>
                  </w:r>
                </w:p>
              </w:tc>
              <w:tc>
                <w:tcPr>
                  <w:tcW w:w="1142" w:type="dxa"/>
                  <w:vAlign w:val="center"/>
                </w:tcPr>
                <w:p w14:paraId="084B2BA2">
                  <w:pPr>
                    <w:pStyle w:val="56"/>
                    <w:rPr>
                      <w:rFonts w:hint="default" w:ascii="Calibri" w:hAnsi="Calibri" w:cs="Calibri"/>
                      <w:sz w:val="21"/>
                      <w:szCs w:val="21"/>
                    </w:rPr>
                  </w:pPr>
                  <w:r>
                    <w:rPr>
                      <w:rFonts w:hint="default" w:ascii="Calibri" w:hAnsi="Calibri" w:cs="Calibri"/>
                      <w:sz w:val="21"/>
                      <w:szCs w:val="21"/>
                    </w:rPr>
                    <w:t>35</w:t>
                  </w:r>
                </w:p>
              </w:tc>
              <w:tc>
                <w:tcPr>
                  <w:tcW w:w="1285" w:type="dxa"/>
                  <w:vAlign w:val="center"/>
                </w:tcPr>
                <w:p w14:paraId="0B142D1C">
                  <w:pPr>
                    <w:pStyle w:val="56"/>
                    <w:rPr>
                      <w:rFonts w:hint="default" w:ascii="Calibri" w:hAnsi="Calibri" w:cs="Calibri"/>
                      <w:sz w:val="21"/>
                      <w:szCs w:val="21"/>
                    </w:rPr>
                  </w:pPr>
                  <w:r>
                    <w:rPr>
                      <w:rFonts w:hint="default" w:ascii="Calibri" w:hAnsi="Calibri" w:cs="Calibri"/>
                      <w:sz w:val="21"/>
                      <w:szCs w:val="21"/>
                    </w:rPr>
                    <w:t>90.64</w:t>
                  </w:r>
                </w:p>
              </w:tc>
              <w:tc>
                <w:tcPr>
                  <w:tcW w:w="999" w:type="dxa"/>
                  <w:vAlign w:val="center"/>
                </w:tcPr>
                <w:p w14:paraId="49C342D9">
                  <w:pPr>
                    <w:pStyle w:val="56"/>
                    <w:rPr>
                      <w:rFonts w:hint="default" w:ascii="Calibri" w:hAnsi="Calibri" w:cs="Calibri"/>
                      <w:sz w:val="21"/>
                      <w:szCs w:val="21"/>
                    </w:rPr>
                  </w:pPr>
                  <w:r>
                    <w:rPr>
                      <w:rFonts w:hint="default" w:ascii="Calibri" w:hAnsi="Calibri" w:cs="Calibri"/>
                      <w:sz w:val="21"/>
                      <w:szCs w:val="21"/>
                    </w:rPr>
                    <w:t>258.97%</w:t>
                  </w:r>
                </w:p>
              </w:tc>
              <w:tc>
                <w:tcPr>
                  <w:tcW w:w="844" w:type="dxa"/>
                  <w:vAlign w:val="center"/>
                </w:tcPr>
                <w:p w14:paraId="1B15D47D">
                  <w:pPr>
                    <w:pStyle w:val="56"/>
                    <w:rPr>
                      <w:rFonts w:hint="default" w:ascii="Calibri" w:hAnsi="Calibri" w:cs="Calibri"/>
                      <w:sz w:val="21"/>
                      <w:szCs w:val="21"/>
                    </w:rPr>
                  </w:pPr>
                  <w:r>
                    <w:rPr>
                      <w:rFonts w:hint="default" w:ascii="Calibri" w:hAnsi="Calibri" w:cs="Calibri"/>
                      <w:sz w:val="21"/>
                      <w:szCs w:val="21"/>
                    </w:rPr>
                    <w:t>超标</w:t>
                  </w:r>
                </w:p>
              </w:tc>
            </w:tr>
            <w:tr w14:paraId="28CDD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54" w:type="dxa"/>
                  <w:vAlign w:val="center"/>
                </w:tcPr>
                <w:p w14:paraId="4C7A41AA">
                  <w:pPr>
                    <w:pStyle w:val="56"/>
                    <w:rPr>
                      <w:rFonts w:hint="default" w:ascii="Calibri" w:hAnsi="Calibri" w:cs="Calibri"/>
                      <w:sz w:val="21"/>
                      <w:szCs w:val="21"/>
                    </w:rPr>
                  </w:pPr>
                  <w:r>
                    <w:rPr>
                      <w:rFonts w:hint="default" w:ascii="Calibri" w:hAnsi="Calibri" w:cs="Calibri"/>
                      <w:sz w:val="21"/>
                      <w:szCs w:val="21"/>
                    </w:rPr>
                    <w:t>CO</w:t>
                  </w:r>
                </w:p>
              </w:tc>
              <w:tc>
                <w:tcPr>
                  <w:tcW w:w="2684" w:type="dxa"/>
                  <w:vAlign w:val="center"/>
                </w:tcPr>
                <w:p w14:paraId="6C7EF5E6">
                  <w:pPr>
                    <w:pStyle w:val="56"/>
                    <w:rPr>
                      <w:rFonts w:hint="default" w:ascii="Calibri" w:hAnsi="Calibri" w:cs="Calibri"/>
                      <w:sz w:val="21"/>
                      <w:szCs w:val="21"/>
                    </w:rPr>
                  </w:pPr>
                  <w:r>
                    <w:rPr>
                      <w:rFonts w:hint="default" w:ascii="Calibri" w:hAnsi="Calibri" w:cs="Calibri"/>
                      <w:sz w:val="21"/>
                      <w:szCs w:val="21"/>
                    </w:rPr>
                    <w:t>24h平均第95百分位数</w:t>
                  </w:r>
                </w:p>
              </w:tc>
              <w:tc>
                <w:tcPr>
                  <w:tcW w:w="1142" w:type="dxa"/>
                  <w:vAlign w:val="center"/>
                </w:tcPr>
                <w:p w14:paraId="76382660">
                  <w:pPr>
                    <w:pStyle w:val="56"/>
                    <w:rPr>
                      <w:rFonts w:hint="default" w:ascii="Calibri" w:hAnsi="Calibri" w:cs="Calibri"/>
                      <w:sz w:val="21"/>
                      <w:szCs w:val="21"/>
                    </w:rPr>
                  </w:pPr>
                  <w:r>
                    <w:rPr>
                      <w:rFonts w:hint="default" w:ascii="Calibri" w:hAnsi="Calibri" w:cs="Calibri"/>
                      <w:sz w:val="21"/>
                      <w:szCs w:val="21"/>
                    </w:rPr>
                    <w:t>4mg/m</w:t>
                  </w:r>
                  <w:r>
                    <w:rPr>
                      <w:rFonts w:hint="default" w:ascii="Calibri" w:hAnsi="Calibri" w:cs="Calibri"/>
                      <w:sz w:val="21"/>
                      <w:szCs w:val="21"/>
                      <w:vertAlign w:val="superscript"/>
                    </w:rPr>
                    <w:t>3</w:t>
                  </w:r>
                </w:p>
              </w:tc>
              <w:tc>
                <w:tcPr>
                  <w:tcW w:w="1285" w:type="dxa"/>
                  <w:vAlign w:val="center"/>
                </w:tcPr>
                <w:p w14:paraId="18647F29">
                  <w:pPr>
                    <w:pStyle w:val="56"/>
                    <w:rPr>
                      <w:rFonts w:hint="default" w:ascii="Calibri" w:hAnsi="Calibri" w:cs="Calibri"/>
                      <w:sz w:val="21"/>
                      <w:szCs w:val="21"/>
                    </w:rPr>
                  </w:pPr>
                  <w:r>
                    <w:rPr>
                      <w:rFonts w:hint="default" w:ascii="Calibri" w:hAnsi="Calibri" w:cs="Calibri"/>
                      <w:sz w:val="21"/>
                      <w:szCs w:val="21"/>
                    </w:rPr>
                    <w:t>0.5mg/m</w:t>
                  </w:r>
                  <w:r>
                    <w:rPr>
                      <w:rFonts w:hint="default" w:ascii="Calibri" w:hAnsi="Calibri" w:cs="Calibri"/>
                      <w:sz w:val="21"/>
                      <w:szCs w:val="21"/>
                      <w:vertAlign w:val="superscript"/>
                    </w:rPr>
                    <w:t>3</w:t>
                  </w:r>
                </w:p>
              </w:tc>
              <w:tc>
                <w:tcPr>
                  <w:tcW w:w="999" w:type="dxa"/>
                  <w:vAlign w:val="center"/>
                </w:tcPr>
                <w:p w14:paraId="6B4F0F75">
                  <w:pPr>
                    <w:pStyle w:val="56"/>
                    <w:rPr>
                      <w:rFonts w:hint="default" w:ascii="Calibri" w:hAnsi="Calibri" w:cs="Calibri"/>
                      <w:sz w:val="21"/>
                      <w:szCs w:val="21"/>
                    </w:rPr>
                  </w:pPr>
                  <w:r>
                    <w:rPr>
                      <w:rFonts w:hint="default" w:ascii="Calibri" w:hAnsi="Calibri" w:cs="Calibri"/>
                      <w:sz w:val="21"/>
                      <w:szCs w:val="21"/>
                    </w:rPr>
                    <w:t>12.50%</w:t>
                  </w:r>
                </w:p>
              </w:tc>
              <w:tc>
                <w:tcPr>
                  <w:tcW w:w="844" w:type="dxa"/>
                  <w:vAlign w:val="center"/>
                </w:tcPr>
                <w:p w14:paraId="2D7889B8">
                  <w:pPr>
                    <w:pStyle w:val="56"/>
                    <w:rPr>
                      <w:rFonts w:hint="default" w:ascii="Calibri" w:hAnsi="Calibri" w:cs="Calibri"/>
                      <w:sz w:val="21"/>
                      <w:szCs w:val="21"/>
                    </w:rPr>
                  </w:pPr>
                  <w:r>
                    <w:rPr>
                      <w:rFonts w:hint="default" w:ascii="Calibri" w:hAnsi="Calibri" w:cs="Calibri"/>
                      <w:sz w:val="21"/>
                      <w:szCs w:val="21"/>
                    </w:rPr>
                    <w:t>达标</w:t>
                  </w:r>
                </w:p>
              </w:tc>
            </w:tr>
            <w:tr w14:paraId="1AD80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54" w:type="dxa"/>
                  <w:vAlign w:val="center"/>
                </w:tcPr>
                <w:p w14:paraId="4749BB44">
                  <w:pPr>
                    <w:pStyle w:val="56"/>
                    <w:rPr>
                      <w:rFonts w:hint="default" w:ascii="Calibri" w:hAnsi="Calibri" w:cs="Calibri"/>
                      <w:sz w:val="21"/>
                      <w:szCs w:val="21"/>
                    </w:rPr>
                  </w:pPr>
                  <w:r>
                    <w:rPr>
                      <w:rFonts w:hint="default" w:ascii="Calibri" w:hAnsi="Calibri" w:cs="Calibri"/>
                      <w:sz w:val="21"/>
                      <w:szCs w:val="21"/>
                    </w:rPr>
                    <w:t>O</w:t>
                  </w:r>
                  <w:r>
                    <w:rPr>
                      <w:rFonts w:hint="default" w:ascii="Calibri" w:hAnsi="Calibri" w:cs="Calibri"/>
                      <w:sz w:val="21"/>
                      <w:szCs w:val="21"/>
                      <w:vertAlign w:val="subscript"/>
                    </w:rPr>
                    <w:t>3</w:t>
                  </w:r>
                </w:p>
              </w:tc>
              <w:tc>
                <w:tcPr>
                  <w:tcW w:w="2684" w:type="dxa"/>
                  <w:vAlign w:val="center"/>
                </w:tcPr>
                <w:p w14:paraId="1261BCB2">
                  <w:pPr>
                    <w:pStyle w:val="56"/>
                    <w:rPr>
                      <w:rFonts w:hint="default" w:ascii="Calibri" w:hAnsi="Calibri" w:cs="Calibri"/>
                      <w:sz w:val="21"/>
                      <w:szCs w:val="21"/>
                    </w:rPr>
                  </w:pPr>
                  <w:r>
                    <w:rPr>
                      <w:rFonts w:hint="default" w:ascii="Calibri" w:hAnsi="Calibri" w:cs="Calibri"/>
                      <w:sz w:val="21"/>
                      <w:szCs w:val="21"/>
                    </w:rPr>
                    <w:t>日最大8h滑动平均值的第90百分位数</w:t>
                  </w:r>
                </w:p>
              </w:tc>
              <w:tc>
                <w:tcPr>
                  <w:tcW w:w="1142" w:type="dxa"/>
                  <w:vAlign w:val="center"/>
                </w:tcPr>
                <w:p w14:paraId="1EFB5C1E">
                  <w:pPr>
                    <w:pStyle w:val="56"/>
                    <w:rPr>
                      <w:rFonts w:hint="default" w:ascii="Calibri" w:hAnsi="Calibri" w:cs="Calibri"/>
                      <w:sz w:val="21"/>
                      <w:szCs w:val="21"/>
                    </w:rPr>
                  </w:pPr>
                  <w:r>
                    <w:rPr>
                      <w:rFonts w:hint="default" w:ascii="Calibri" w:hAnsi="Calibri" w:cs="Calibri"/>
                      <w:sz w:val="21"/>
                      <w:szCs w:val="21"/>
                    </w:rPr>
                    <w:t>160</w:t>
                  </w:r>
                </w:p>
              </w:tc>
              <w:tc>
                <w:tcPr>
                  <w:tcW w:w="1285" w:type="dxa"/>
                  <w:vAlign w:val="center"/>
                </w:tcPr>
                <w:p w14:paraId="1ECC03C6">
                  <w:pPr>
                    <w:pStyle w:val="56"/>
                    <w:rPr>
                      <w:rFonts w:hint="default" w:ascii="Calibri" w:hAnsi="Calibri" w:cs="Calibri"/>
                      <w:sz w:val="21"/>
                      <w:szCs w:val="21"/>
                    </w:rPr>
                  </w:pPr>
                  <w:r>
                    <w:rPr>
                      <w:rFonts w:hint="default" w:ascii="Calibri" w:hAnsi="Calibri" w:cs="Calibri"/>
                      <w:sz w:val="21"/>
                      <w:szCs w:val="21"/>
                    </w:rPr>
                    <w:t>131</w:t>
                  </w:r>
                </w:p>
              </w:tc>
              <w:tc>
                <w:tcPr>
                  <w:tcW w:w="999" w:type="dxa"/>
                  <w:vAlign w:val="center"/>
                </w:tcPr>
                <w:p w14:paraId="4038670A">
                  <w:pPr>
                    <w:pStyle w:val="56"/>
                    <w:rPr>
                      <w:rFonts w:hint="default" w:ascii="Calibri" w:hAnsi="Calibri" w:cs="Calibri"/>
                      <w:sz w:val="21"/>
                      <w:szCs w:val="21"/>
                    </w:rPr>
                  </w:pPr>
                  <w:r>
                    <w:rPr>
                      <w:rFonts w:hint="default" w:ascii="Calibri" w:hAnsi="Calibri" w:cs="Calibri"/>
                      <w:sz w:val="21"/>
                      <w:szCs w:val="21"/>
                    </w:rPr>
                    <w:t>81.88%</w:t>
                  </w:r>
                </w:p>
              </w:tc>
              <w:tc>
                <w:tcPr>
                  <w:tcW w:w="844" w:type="dxa"/>
                  <w:vAlign w:val="center"/>
                </w:tcPr>
                <w:p w14:paraId="5135534F">
                  <w:pPr>
                    <w:pStyle w:val="56"/>
                    <w:rPr>
                      <w:rFonts w:hint="default" w:ascii="Calibri" w:hAnsi="Calibri" w:cs="Calibri"/>
                      <w:sz w:val="21"/>
                      <w:szCs w:val="21"/>
                    </w:rPr>
                  </w:pPr>
                  <w:r>
                    <w:rPr>
                      <w:rFonts w:hint="default" w:ascii="Calibri" w:hAnsi="Calibri" w:cs="Calibri"/>
                      <w:sz w:val="21"/>
                      <w:szCs w:val="21"/>
                    </w:rPr>
                    <w:t>达标</w:t>
                  </w:r>
                </w:p>
              </w:tc>
            </w:tr>
          </w:tbl>
          <w:p w14:paraId="1765D82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Calibri" w:hAnsi="Calibri" w:eastAsia="宋体" w:cs="Calibri"/>
                <w:b w:val="0"/>
                <w:bCs w:val="0"/>
                <w:color w:val="auto"/>
                <w:kern w:val="0"/>
                <w:sz w:val="24"/>
                <w:szCs w:val="24"/>
                <w:lang w:val="en-US" w:eastAsia="zh-CN"/>
              </w:rPr>
            </w:pPr>
            <w:r>
              <w:rPr>
                <w:rFonts w:hint="default" w:ascii="Calibri" w:hAnsi="Calibri" w:eastAsia="宋体" w:cs="Calibri"/>
                <w:b w:val="0"/>
                <w:bCs w:val="0"/>
                <w:color w:val="auto"/>
                <w:sz w:val="24"/>
                <w:szCs w:val="24"/>
                <w:lang w:val="en-US" w:eastAsia="zh-CN"/>
              </w:rPr>
              <w:t>由统计结果可知，项目所在区域各污染因子中SO</w:t>
            </w:r>
            <w:r>
              <w:rPr>
                <w:rFonts w:hint="default" w:ascii="Calibri" w:hAnsi="Calibri" w:eastAsia="宋体" w:cs="Calibri"/>
                <w:b w:val="0"/>
                <w:bCs w:val="0"/>
                <w:color w:val="auto"/>
                <w:sz w:val="24"/>
                <w:szCs w:val="24"/>
                <w:vertAlign w:val="subscript"/>
                <w:lang w:val="en-US" w:eastAsia="zh-CN"/>
              </w:rPr>
              <w:t>2</w:t>
            </w:r>
            <w:r>
              <w:rPr>
                <w:rFonts w:hint="default" w:ascii="Calibri" w:hAnsi="Calibri" w:eastAsia="宋体" w:cs="Calibri"/>
                <w:b w:val="0"/>
                <w:bCs w:val="0"/>
                <w:color w:val="auto"/>
                <w:sz w:val="24"/>
                <w:szCs w:val="24"/>
                <w:lang w:val="en-US" w:eastAsia="zh-CN"/>
              </w:rPr>
              <w:t>、NO</w:t>
            </w:r>
            <w:r>
              <w:rPr>
                <w:rFonts w:hint="default" w:ascii="Calibri" w:hAnsi="Calibri" w:eastAsia="宋体" w:cs="Calibri"/>
                <w:b w:val="0"/>
                <w:bCs w:val="0"/>
                <w:color w:val="auto"/>
                <w:sz w:val="24"/>
                <w:szCs w:val="24"/>
                <w:vertAlign w:val="subscript"/>
                <w:lang w:val="en-US" w:eastAsia="zh-CN"/>
              </w:rPr>
              <w:t>2</w:t>
            </w:r>
            <w:r>
              <w:rPr>
                <w:rFonts w:hint="default" w:ascii="Calibri" w:hAnsi="Calibri" w:eastAsia="宋体" w:cs="Calibri"/>
                <w:b w:val="0"/>
                <w:bCs w:val="0"/>
                <w:color w:val="auto"/>
                <w:sz w:val="24"/>
                <w:szCs w:val="24"/>
                <w:lang w:val="en-US" w:eastAsia="zh-CN"/>
              </w:rPr>
              <w:t>、CO、O</w:t>
            </w:r>
            <w:r>
              <w:rPr>
                <w:rFonts w:hint="default" w:ascii="Calibri" w:hAnsi="Calibri" w:eastAsia="宋体" w:cs="Calibri"/>
                <w:b w:val="0"/>
                <w:bCs w:val="0"/>
                <w:color w:val="auto"/>
                <w:sz w:val="24"/>
                <w:szCs w:val="24"/>
                <w:vertAlign w:val="subscript"/>
                <w:lang w:val="en-US" w:eastAsia="zh-CN"/>
              </w:rPr>
              <w:t>3</w:t>
            </w:r>
            <w:r>
              <w:rPr>
                <w:rFonts w:hint="default" w:ascii="Calibri" w:hAnsi="Calibri" w:eastAsia="宋体" w:cs="Calibri"/>
                <w:b w:val="0"/>
                <w:bCs w:val="0"/>
                <w:color w:val="auto"/>
                <w:sz w:val="24"/>
                <w:szCs w:val="24"/>
              </w:rPr>
              <w:t>满足《环境空气质量标准》（GB3095-2012）中二级标准要求，</w:t>
            </w:r>
            <w:r>
              <w:rPr>
                <w:rFonts w:hint="default" w:ascii="Calibri" w:hAnsi="Calibri" w:eastAsia="宋体" w:cs="Calibri"/>
                <w:b w:val="0"/>
                <w:bCs w:val="0"/>
                <w:color w:val="auto"/>
                <w:sz w:val="24"/>
                <w:szCs w:val="24"/>
                <w:lang w:val="en-US" w:eastAsia="zh-CN"/>
              </w:rPr>
              <w:t>PM</w:t>
            </w:r>
            <w:r>
              <w:rPr>
                <w:rFonts w:hint="default" w:ascii="Calibri" w:hAnsi="Calibri" w:eastAsia="宋体" w:cs="Calibri"/>
                <w:b w:val="0"/>
                <w:bCs w:val="0"/>
                <w:color w:val="auto"/>
                <w:sz w:val="24"/>
                <w:szCs w:val="24"/>
                <w:vertAlign w:val="subscript"/>
                <w:lang w:val="en-US" w:eastAsia="zh-CN"/>
              </w:rPr>
              <w:t>10</w:t>
            </w:r>
            <w:r>
              <w:rPr>
                <w:rFonts w:hint="default" w:ascii="Calibri" w:hAnsi="Calibri" w:eastAsia="宋体" w:cs="Calibri"/>
                <w:b w:val="0"/>
                <w:bCs w:val="0"/>
                <w:color w:val="auto"/>
                <w:sz w:val="24"/>
                <w:szCs w:val="24"/>
                <w:lang w:val="en-US" w:eastAsia="zh-CN"/>
              </w:rPr>
              <w:t>、PM</w:t>
            </w:r>
            <w:r>
              <w:rPr>
                <w:rFonts w:hint="default" w:ascii="Calibri" w:hAnsi="Calibri" w:eastAsia="宋体" w:cs="Calibri"/>
                <w:b w:val="0"/>
                <w:bCs w:val="0"/>
                <w:color w:val="auto"/>
                <w:sz w:val="24"/>
                <w:szCs w:val="24"/>
                <w:vertAlign w:val="subscript"/>
                <w:lang w:val="en-US" w:eastAsia="zh-CN"/>
              </w:rPr>
              <w:t>2.5</w:t>
            </w:r>
            <w:r>
              <w:rPr>
                <w:rFonts w:hint="default" w:ascii="Calibri" w:hAnsi="Calibri" w:eastAsia="宋体" w:cs="Calibri"/>
                <w:b w:val="0"/>
                <w:bCs w:val="0"/>
                <w:color w:val="auto"/>
                <w:sz w:val="24"/>
                <w:szCs w:val="24"/>
                <w:lang w:val="en-US" w:eastAsia="zh-CN"/>
              </w:rPr>
              <w:t>年平均浓度和日平均不达标，项目所在区域PM</w:t>
            </w:r>
            <w:r>
              <w:rPr>
                <w:rFonts w:hint="default" w:ascii="Calibri" w:hAnsi="Calibri" w:eastAsia="宋体" w:cs="Calibri"/>
                <w:b w:val="0"/>
                <w:bCs w:val="0"/>
                <w:color w:val="auto"/>
                <w:sz w:val="24"/>
                <w:szCs w:val="24"/>
                <w:vertAlign w:val="subscript"/>
                <w:lang w:val="en-US" w:eastAsia="zh-CN"/>
              </w:rPr>
              <w:t>10</w:t>
            </w:r>
            <w:r>
              <w:rPr>
                <w:rFonts w:hint="default" w:ascii="Calibri" w:hAnsi="Calibri" w:eastAsia="宋体" w:cs="Calibri"/>
                <w:b w:val="0"/>
                <w:bCs w:val="0"/>
                <w:color w:val="auto"/>
                <w:sz w:val="24"/>
                <w:szCs w:val="24"/>
                <w:lang w:val="en-US" w:eastAsia="zh-CN"/>
              </w:rPr>
              <w:t>、PM</w:t>
            </w:r>
            <w:r>
              <w:rPr>
                <w:rFonts w:hint="default" w:ascii="Calibri" w:hAnsi="Calibri" w:eastAsia="宋体" w:cs="Calibri"/>
                <w:b w:val="0"/>
                <w:bCs w:val="0"/>
                <w:color w:val="auto"/>
                <w:sz w:val="24"/>
                <w:szCs w:val="24"/>
                <w:vertAlign w:val="subscript"/>
                <w:lang w:val="en-US" w:eastAsia="zh-CN"/>
              </w:rPr>
              <w:t>2.5</w:t>
            </w:r>
            <w:r>
              <w:rPr>
                <w:rFonts w:hint="default" w:ascii="Calibri" w:hAnsi="Calibri" w:eastAsia="宋体" w:cs="Calibri"/>
                <w:b w:val="0"/>
                <w:bCs w:val="0"/>
                <w:color w:val="auto"/>
                <w:sz w:val="24"/>
                <w:szCs w:val="24"/>
                <w:lang w:val="en-US" w:eastAsia="zh-CN"/>
              </w:rPr>
              <w:t>超标与区域地处干旱沙漠边缘自然环境有关。</w:t>
            </w:r>
            <w:r>
              <w:rPr>
                <w:rFonts w:hint="default" w:ascii="Calibri" w:hAnsi="Calibri" w:eastAsia="宋体" w:cs="Calibri"/>
                <w:b w:val="0"/>
                <w:bCs w:val="0"/>
                <w:color w:val="auto"/>
                <w:sz w:val="24"/>
                <w:szCs w:val="24"/>
              </w:rPr>
              <w:t>项目所在区域属于环境空气质量</w:t>
            </w:r>
            <w:r>
              <w:rPr>
                <w:rFonts w:hint="default" w:ascii="Calibri" w:hAnsi="Calibri" w:eastAsia="宋体" w:cs="Calibri"/>
                <w:b w:val="0"/>
                <w:bCs w:val="0"/>
                <w:color w:val="auto"/>
                <w:sz w:val="24"/>
                <w:szCs w:val="24"/>
                <w:lang w:val="en-US" w:eastAsia="zh-CN"/>
              </w:rPr>
              <w:t>为不</w:t>
            </w:r>
            <w:r>
              <w:rPr>
                <w:rFonts w:hint="default" w:ascii="Calibri" w:hAnsi="Calibri" w:eastAsia="宋体" w:cs="Calibri"/>
                <w:b w:val="0"/>
                <w:bCs w:val="0"/>
                <w:color w:val="auto"/>
                <w:sz w:val="24"/>
                <w:szCs w:val="24"/>
              </w:rPr>
              <w:t>达标区</w:t>
            </w:r>
            <w:r>
              <w:rPr>
                <w:rFonts w:hint="default" w:ascii="Calibri" w:hAnsi="Calibri" w:eastAsia="宋体" w:cs="Calibri"/>
                <w:b w:val="0"/>
                <w:bCs w:val="0"/>
                <w:color w:val="auto"/>
                <w:sz w:val="24"/>
                <w:szCs w:val="24"/>
                <w:lang w:eastAsia="zh-CN"/>
              </w:rPr>
              <w:t>。</w:t>
            </w:r>
          </w:p>
          <w:p w14:paraId="5DD00BD3">
            <w:pPr>
              <w:pStyle w:val="36"/>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firstLine="482" w:firstLineChars="200"/>
              <w:textAlignment w:val="auto"/>
              <w:rPr>
                <w:rFonts w:hint="eastAsia"/>
                <w:color w:val="auto"/>
                <w:lang w:val="en-US" w:eastAsia="zh-CN"/>
              </w:rPr>
            </w:pPr>
            <w:r>
              <w:rPr>
                <w:rFonts w:hint="eastAsia"/>
                <w:color w:val="auto"/>
                <w:lang w:val="en-US" w:eastAsia="zh-CN"/>
              </w:rPr>
              <w:t>三、水环境质量现状</w:t>
            </w:r>
          </w:p>
          <w:p w14:paraId="3A4AA4B6">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both"/>
              <w:textAlignment w:val="auto"/>
              <w:rPr>
                <w:rFonts w:hint="default" w:ascii="宋体" w:hAnsi="宋体" w:cs="宋体"/>
                <w:b/>
                <w:bCs/>
                <w:color w:val="auto"/>
                <w:kern w:val="0"/>
                <w:sz w:val="24"/>
                <w:szCs w:val="24"/>
                <w:lang w:val="en-US" w:eastAsia="zh-CN"/>
              </w:rPr>
            </w:pPr>
            <w:r>
              <w:rPr>
                <w:rFonts w:hint="eastAsia" w:ascii="宋体" w:hAnsi="宋体" w:cs="宋体"/>
                <w:b/>
                <w:bCs/>
                <w:color w:val="auto"/>
                <w:kern w:val="0"/>
                <w:sz w:val="24"/>
                <w:szCs w:val="24"/>
                <w:lang w:val="en-US" w:eastAsia="zh-CN"/>
              </w:rPr>
              <w:t>3.1 地表水</w:t>
            </w:r>
          </w:p>
          <w:p w14:paraId="7CAF43A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根据《环境影响评价技术导则 地表水环境》（HJ2.3-2018），本项目不向地表水体排放废水，也不进行涉水项目建设，不会对地表水水文要素产生影响，故不进行地表水环境现状调查。</w:t>
            </w:r>
          </w:p>
          <w:p w14:paraId="47EA6720">
            <w:pPr>
              <w:pStyle w:val="10"/>
              <w:keepNext w:val="0"/>
              <w:keepLines w:val="0"/>
              <w:pageBreakBefore w:val="0"/>
              <w:widowControl w:val="0"/>
              <w:kinsoku/>
              <w:wordWrap/>
              <w:overflowPunct/>
              <w:topLinePunct w:val="0"/>
              <w:bidi w:val="0"/>
              <w:spacing w:line="480" w:lineRule="exact"/>
              <w:ind w:firstLine="482" w:firstLineChars="200"/>
              <w:textAlignment w:val="auto"/>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3.2 地下水</w:t>
            </w:r>
          </w:p>
          <w:p w14:paraId="3E6F1B83">
            <w:pPr>
              <w:pStyle w:val="10"/>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根据《环境影响评价技术导则 地下水环境》（HJ610-2016）附录A，本项目类别为Ⅳ类，不开展地下水环境影响评价。</w:t>
            </w:r>
          </w:p>
          <w:p w14:paraId="09ECBB82">
            <w:pPr>
              <w:pStyle w:val="36"/>
              <w:keepNext w:val="0"/>
              <w:keepLines w:val="0"/>
              <w:pageBreakBefore w:val="0"/>
              <w:widowControl w:val="0"/>
              <w:kinsoku/>
              <w:wordWrap/>
              <w:overflowPunct/>
              <w:topLinePunct w:val="0"/>
              <w:bidi w:val="0"/>
              <w:spacing w:line="480" w:lineRule="exact"/>
              <w:ind w:firstLine="482" w:firstLineChars="200"/>
              <w:textAlignment w:val="auto"/>
              <w:rPr>
                <w:rFonts w:hint="eastAsia"/>
                <w:color w:val="auto"/>
                <w:lang w:val="en-US" w:eastAsia="zh-CN"/>
              </w:rPr>
            </w:pPr>
            <w:r>
              <w:rPr>
                <w:rFonts w:hint="eastAsia"/>
                <w:color w:val="auto"/>
                <w:lang w:val="en-US" w:eastAsia="zh-CN"/>
              </w:rPr>
              <w:t>四、土壤环境质量现状评价</w:t>
            </w:r>
          </w:p>
          <w:p w14:paraId="091CF3F9">
            <w:pPr>
              <w:pStyle w:val="10"/>
              <w:keepNext w:val="0"/>
              <w:keepLines w:val="0"/>
              <w:pageBreakBefore w:val="0"/>
              <w:widowControl w:val="0"/>
              <w:kinsoku/>
              <w:wordWrap/>
              <w:overflowPunct/>
              <w:topLinePunct w:val="0"/>
              <w:bidi w:val="0"/>
              <w:spacing w:line="480" w:lineRule="exact"/>
              <w:ind w:firstLine="480" w:firstLineChars="200"/>
              <w:textAlignment w:val="auto"/>
              <w:rPr>
                <w:rFonts w:hint="default"/>
                <w:color w:val="auto"/>
                <w:lang w:val="en-US" w:eastAsia="zh-CN"/>
              </w:rPr>
            </w:pPr>
            <w:r>
              <w:rPr>
                <w:rFonts w:hint="eastAsia"/>
                <w:color w:val="auto"/>
                <w:lang w:val="en-US" w:eastAsia="zh-CN"/>
              </w:rPr>
              <w:t>根据《环境影响评价技术导则 土壤环境（试行）》（HJ964-2018）附录A，本项目类别为Ⅳ类，可不开展土壤环境影响评价工作。不进行土壤环境评价。</w:t>
            </w:r>
          </w:p>
          <w:p w14:paraId="6969431E">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both"/>
              <w:textAlignment w:val="auto"/>
              <w:rPr>
                <w:rFonts w:hint="default"/>
                <w:color w:val="auto"/>
                <w:lang w:val="en-US" w:eastAsia="zh-CN"/>
              </w:rPr>
            </w:pPr>
            <w:r>
              <w:rPr>
                <w:rFonts w:hint="eastAsia" w:ascii="宋体" w:hAnsi="宋体" w:eastAsia="宋体" w:cs="宋体"/>
                <w:b/>
                <w:color w:val="auto"/>
                <w:kern w:val="0"/>
                <w:sz w:val="24"/>
                <w:szCs w:val="21"/>
                <w:lang w:val="en-US" w:eastAsia="zh-CN" w:bidi="ar-SA"/>
              </w:rPr>
              <w:t>五、声环境现状</w:t>
            </w:r>
          </w:p>
          <w:p w14:paraId="67D6E384">
            <w:pPr>
              <w:pStyle w:val="10"/>
              <w:keepNext w:val="0"/>
              <w:keepLines w:val="0"/>
              <w:pageBreakBefore w:val="0"/>
              <w:widowControl w:val="0"/>
              <w:kinsoku/>
              <w:wordWrap/>
              <w:overflowPunct/>
              <w:topLinePunct w:val="0"/>
              <w:bidi w:val="0"/>
              <w:spacing w:line="480" w:lineRule="exact"/>
              <w:ind w:firstLine="480" w:firstLineChars="200"/>
              <w:textAlignment w:val="auto"/>
              <w:rPr>
                <w:rFonts w:hint="eastAsia"/>
                <w:color w:val="auto"/>
                <w:lang w:val="en-US" w:eastAsia="zh-CN"/>
              </w:rPr>
            </w:pPr>
            <w:r>
              <w:rPr>
                <w:rFonts w:hint="eastAsia"/>
                <w:color w:val="auto"/>
                <w:lang w:val="en-US" w:eastAsia="zh-CN"/>
              </w:rPr>
              <w:t>本次环评委托新疆中测测试有限责任公司于2025年8月2日对输变线路及拟建变电站周边声环境质量进行了监测。</w:t>
            </w:r>
          </w:p>
          <w:p w14:paraId="29A9141E">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Calibri" w:hAnsi="Calibri" w:eastAsia="宋体" w:cs="Calibri"/>
                <w:b/>
                <w:bCs w:val="0"/>
                <w:sz w:val="24"/>
                <w:lang w:val="en-US" w:eastAsia="zh-CN"/>
              </w:rPr>
            </w:pPr>
            <w:r>
              <w:rPr>
                <w:rFonts w:hint="eastAsia" w:ascii="Calibri" w:hAnsi="Calibri" w:cs="Calibri"/>
                <w:b/>
                <w:bCs w:val="0"/>
                <w:sz w:val="24"/>
                <w:lang w:val="en-US" w:eastAsia="zh-CN"/>
              </w:rPr>
              <w:t>1.</w:t>
            </w:r>
            <w:r>
              <w:rPr>
                <w:rFonts w:hint="default" w:ascii="Calibri" w:hAnsi="Calibri" w:eastAsia="宋体" w:cs="Calibri"/>
                <w:b/>
                <w:bCs w:val="0"/>
                <w:sz w:val="24"/>
                <w:lang w:val="en-US" w:eastAsia="zh-CN"/>
              </w:rPr>
              <w:t>监测布点</w:t>
            </w:r>
          </w:p>
          <w:p w14:paraId="1DFD6B7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Calibri" w:hAnsi="Calibri" w:eastAsia="宋体" w:cs="Calibri"/>
                <w:bCs/>
                <w:sz w:val="24"/>
              </w:rPr>
            </w:pPr>
            <w:r>
              <w:rPr>
                <w:rFonts w:hint="default" w:ascii="Calibri" w:hAnsi="Calibri" w:eastAsia="宋体" w:cs="Calibri"/>
                <w:bCs/>
                <w:sz w:val="24"/>
              </w:rPr>
              <w:t>根据《环境影响评价技术导则 声环境》</w:t>
            </w:r>
            <w:r>
              <w:rPr>
                <w:rFonts w:hint="eastAsia" w:ascii="Calibri" w:hAnsi="Calibri" w:cs="Calibri"/>
                <w:bCs/>
                <w:sz w:val="24"/>
                <w:lang w:eastAsia="zh-CN"/>
              </w:rPr>
              <w:t>（</w:t>
            </w:r>
            <w:r>
              <w:rPr>
                <w:rFonts w:hint="default" w:ascii="Calibri" w:hAnsi="Calibri" w:eastAsia="宋体" w:cs="Calibri"/>
                <w:bCs/>
                <w:sz w:val="24"/>
              </w:rPr>
              <w:t>HJ2.4-2021</w:t>
            </w:r>
            <w:r>
              <w:rPr>
                <w:rFonts w:hint="eastAsia" w:ascii="Calibri" w:hAnsi="Calibri" w:cs="Calibri"/>
                <w:bCs/>
                <w:sz w:val="24"/>
                <w:lang w:eastAsia="zh-CN"/>
              </w:rPr>
              <w:t>）</w:t>
            </w:r>
            <w:r>
              <w:rPr>
                <w:rFonts w:hint="default" w:ascii="Calibri" w:hAnsi="Calibri" w:eastAsia="宋体" w:cs="Calibri"/>
                <w:bCs/>
                <w:sz w:val="24"/>
              </w:rPr>
              <w:t>的要求，现状监测共布</w:t>
            </w:r>
            <w:r>
              <w:rPr>
                <w:rFonts w:hint="default" w:ascii="Calibri" w:hAnsi="Calibri" w:eastAsia="宋体" w:cs="Calibri"/>
                <w:bCs/>
                <w:color w:val="auto"/>
                <w:sz w:val="24"/>
              </w:rPr>
              <w:t>设测点</w:t>
            </w:r>
            <w:r>
              <w:rPr>
                <w:rFonts w:hint="eastAsia" w:ascii="Calibri" w:hAnsi="Calibri" w:eastAsia="宋体" w:cs="Calibri"/>
                <w:bCs/>
                <w:color w:val="auto"/>
                <w:sz w:val="24"/>
                <w:lang w:val="en-US" w:eastAsia="zh-CN"/>
              </w:rPr>
              <w:t>6</w:t>
            </w:r>
            <w:r>
              <w:rPr>
                <w:rFonts w:hint="default" w:ascii="Calibri" w:hAnsi="Calibri" w:eastAsia="宋体" w:cs="Calibri"/>
                <w:bCs/>
                <w:color w:val="auto"/>
                <w:sz w:val="24"/>
              </w:rPr>
              <w:t>个，测点布设于拟建变电站周边、</w:t>
            </w:r>
            <w:r>
              <w:rPr>
                <w:rFonts w:hint="eastAsia" w:ascii="Calibri" w:hAnsi="Calibri" w:eastAsia="宋体" w:cs="Calibri"/>
                <w:bCs/>
                <w:color w:val="auto"/>
                <w:sz w:val="24"/>
                <w:lang w:val="en-US" w:eastAsia="zh-CN"/>
              </w:rPr>
              <w:t>输电</w:t>
            </w:r>
            <w:r>
              <w:rPr>
                <w:rFonts w:hint="default" w:ascii="Calibri" w:hAnsi="Calibri" w:eastAsia="宋体" w:cs="Calibri"/>
                <w:bCs/>
                <w:color w:val="auto"/>
                <w:sz w:val="24"/>
              </w:rPr>
              <w:t>线路沿线，监测点的位置详见附图</w:t>
            </w:r>
            <w:r>
              <w:rPr>
                <w:rFonts w:hint="eastAsia" w:ascii="Calibri" w:hAnsi="Calibri" w:cs="Calibri"/>
                <w:bCs/>
                <w:color w:val="auto"/>
                <w:sz w:val="24"/>
                <w:lang w:val="en-US" w:eastAsia="zh-CN"/>
              </w:rPr>
              <w:t>2</w:t>
            </w:r>
            <w:r>
              <w:rPr>
                <w:rFonts w:hint="default" w:ascii="Calibri" w:hAnsi="Calibri" w:eastAsia="宋体" w:cs="Calibri"/>
                <w:bCs/>
                <w:color w:val="auto"/>
                <w:sz w:val="24"/>
              </w:rPr>
              <w:t>。</w:t>
            </w:r>
          </w:p>
          <w:p w14:paraId="3FA7C362">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Calibri" w:hAnsi="Calibri" w:eastAsia="宋体" w:cs="Calibri"/>
                <w:b/>
                <w:bCs w:val="0"/>
                <w:sz w:val="24"/>
                <w:lang w:val="en-US" w:eastAsia="zh-CN"/>
              </w:rPr>
            </w:pPr>
            <w:r>
              <w:rPr>
                <w:rFonts w:hint="eastAsia" w:ascii="Calibri" w:hAnsi="Calibri" w:cs="Calibri"/>
                <w:b/>
                <w:bCs w:val="0"/>
                <w:sz w:val="24"/>
                <w:lang w:val="en-US" w:eastAsia="zh-CN"/>
              </w:rPr>
              <w:t>2、</w:t>
            </w:r>
            <w:r>
              <w:rPr>
                <w:rFonts w:hint="default" w:ascii="Calibri" w:hAnsi="Calibri" w:eastAsia="宋体" w:cs="Calibri"/>
                <w:b/>
                <w:bCs w:val="0"/>
                <w:sz w:val="24"/>
                <w:lang w:val="en-US" w:eastAsia="zh-CN"/>
              </w:rPr>
              <w:t>监测</w:t>
            </w:r>
            <w:r>
              <w:rPr>
                <w:rFonts w:hint="eastAsia" w:ascii="Calibri" w:hAnsi="Calibri" w:eastAsia="宋体" w:cs="Calibri"/>
                <w:b/>
                <w:bCs w:val="0"/>
                <w:sz w:val="24"/>
                <w:lang w:val="en-US" w:eastAsia="zh-CN"/>
              </w:rPr>
              <w:t>项目</w:t>
            </w:r>
          </w:p>
          <w:p w14:paraId="1A7DBC2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Calibri" w:hAnsi="Calibri" w:eastAsia="宋体" w:cs="Calibri"/>
                <w:bCs/>
                <w:sz w:val="24"/>
              </w:rPr>
            </w:pPr>
            <w:r>
              <w:rPr>
                <w:rFonts w:hint="default" w:ascii="Calibri" w:hAnsi="Calibri" w:eastAsia="宋体" w:cs="Calibri"/>
                <w:bCs/>
                <w:sz w:val="24"/>
              </w:rPr>
              <w:t>各监测点位处的昼、夜间等效连续 A 声级 Leq。</w:t>
            </w:r>
          </w:p>
          <w:p w14:paraId="53956824">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Calibri" w:hAnsi="Calibri" w:eastAsia="宋体" w:cs="Calibri"/>
                <w:b/>
                <w:bCs w:val="0"/>
                <w:sz w:val="24"/>
                <w:lang w:val="en-US" w:eastAsia="zh-CN"/>
              </w:rPr>
            </w:pPr>
            <w:r>
              <w:rPr>
                <w:rFonts w:hint="eastAsia" w:ascii="Calibri" w:hAnsi="Calibri" w:cs="Calibri"/>
                <w:b/>
                <w:bCs w:val="0"/>
                <w:sz w:val="24"/>
                <w:lang w:val="en-US" w:eastAsia="zh-CN"/>
              </w:rPr>
              <w:t>3、</w:t>
            </w:r>
            <w:r>
              <w:rPr>
                <w:rFonts w:hint="default" w:ascii="Calibri" w:hAnsi="Calibri" w:eastAsia="宋体" w:cs="Calibri"/>
                <w:b/>
                <w:bCs w:val="0"/>
                <w:sz w:val="24"/>
                <w:lang w:val="en-US" w:eastAsia="zh-CN"/>
              </w:rPr>
              <w:t>监测方法</w:t>
            </w:r>
          </w:p>
          <w:p w14:paraId="77CCB26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Calibri" w:hAnsi="Calibri" w:eastAsia="宋体" w:cs="Calibri"/>
                <w:bCs/>
                <w:sz w:val="24"/>
              </w:rPr>
            </w:pPr>
            <w:r>
              <w:rPr>
                <w:rFonts w:hint="default" w:ascii="Calibri" w:hAnsi="Calibri" w:eastAsia="宋体" w:cs="Calibri"/>
                <w:bCs/>
                <w:sz w:val="24"/>
              </w:rPr>
              <w:t>监测方法采用《声环境质量标准》（GB3096-2008）中的有关规定进行监测。</w:t>
            </w:r>
          </w:p>
          <w:p w14:paraId="470EC56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Calibri" w:hAnsi="Calibri" w:eastAsia="宋体" w:cs="Calibri"/>
                <w:bCs/>
                <w:sz w:val="24"/>
              </w:rPr>
            </w:pPr>
            <w:r>
              <w:rPr>
                <w:rFonts w:hint="default" w:ascii="Calibri" w:hAnsi="Calibri" w:eastAsia="宋体" w:cs="Calibri"/>
                <w:bCs/>
                <w:sz w:val="24"/>
              </w:rPr>
              <w:t>测试仪器：多功能声级计AWA5688，声校准器AWA6221A。</w:t>
            </w:r>
          </w:p>
          <w:p w14:paraId="0A36D3D7">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Calibri" w:hAnsi="Calibri" w:eastAsia="宋体" w:cs="Calibri"/>
                <w:b/>
                <w:bCs w:val="0"/>
                <w:sz w:val="24"/>
                <w:lang w:val="en-US" w:eastAsia="zh-CN"/>
              </w:rPr>
            </w:pPr>
            <w:r>
              <w:rPr>
                <w:rFonts w:hint="eastAsia" w:ascii="Calibri" w:hAnsi="Calibri" w:cs="Calibri"/>
                <w:b/>
                <w:bCs w:val="0"/>
                <w:sz w:val="24"/>
                <w:lang w:val="en-US" w:eastAsia="zh-CN"/>
              </w:rPr>
              <w:t>4、</w:t>
            </w:r>
            <w:r>
              <w:rPr>
                <w:rFonts w:hint="default" w:ascii="Calibri" w:hAnsi="Calibri" w:eastAsia="宋体" w:cs="Calibri"/>
                <w:b/>
                <w:bCs w:val="0"/>
                <w:sz w:val="24"/>
                <w:lang w:val="en-US" w:eastAsia="zh-CN"/>
              </w:rPr>
              <w:t>评价标准</w:t>
            </w:r>
          </w:p>
          <w:p w14:paraId="598BBFE0">
            <w:pPr>
              <w:pStyle w:val="10"/>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textAlignment w:val="auto"/>
              <w:rPr>
                <w:rFonts w:hint="default" w:ascii="Calibri" w:hAnsi="Calibri" w:cs="Calibri"/>
                <w:b/>
                <w:bCs/>
                <w:color w:val="auto"/>
                <w:kern w:val="2"/>
                <w:sz w:val="24"/>
                <w:szCs w:val="24"/>
                <w:lang w:val="en-US" w:eastAsia="zh-CN" w:bidi="ar-SA"/>
              </w:rPr>
            </w:pPr>
            <w:r>
              <w:rPr>
                <w:rFonts w:hint="default" w:ascii="Calibri" w:hAnsi="Calibri" w:eastAsia="宋体" w:cs="Calibri"/>
                <w:bCs/>
                <w:sz w:val="24"/>
              </w:rPr>
              <w:t>根据《巴音郭楞蒙古自治州环境功能区划》以及《声环境功能区划分技术规范》（GB/T15190-2014）划分规定，本项目区域声环境质量评价执行《声环境质量标准》（GB3096-2008）中的</w:t>
            </w:r>
            <w:r>
              <w:rPr>
                <w:rFonts w:hint="eastAsia" w:ascii="Calibri" w:hAnsi="Calibri" w:eastAsia="宋体" w:cs="Calibri"/>
                <w:bCs/>
                <w:sz w:val="24"/>
                <w:lang w:val="en-US" w:eastAsia="zh-CN"/>
              </w:rPr>
              <w:t>2</w:t>
            </w:r>
            <w:r>
              <w:rPr>
                <w:rFonts w:hint="default" w:ascii="Calibri" w:hAnsi="Calibri" w:eastAsia="宋体" w:cs="Calibri"/>
                <w:bCs/>
                <w:sz w:val="24"/>
              </w:rPr>
              <w:t>类声功能区噪声限值，即昼间6</w:t>
            </w:r>
            <w:r>
              <w:rPr>
                <w:rFonts w:hint="eastAsia" w:ascii="Calibri" w:hAnsi="Calibri" w:eastAsia="宋体" w:cs="Calibri"/>
                <w:bCs/>
                <w:sz w:val="24"/>
                <w:lang w:val="en-US" w:eastAsia="zh-CN"/>
              </w:rPr>
              <w:t>0</w:t>
            </w:r>
            <w:r>
              <w:rPr>
                <w:rFonts w:hint="default" w:ascii="Calibri" w:hAnsi="Calibri" w:eastAsia="宋体" w:cs="Calibri"/>
                <w:bCs/>
                <w:sz w:val="24"/>
              </w:rPr>
              <w:t>dB（A），夜间5</w:t>
            </w:r>
            <w:r>
              <w:rPr>
                <w:rFonts w:hint="eastAsia" w:ascii="Calibri" w:hAnsi="Calibri" w:eastAsia="宋体" w:cs="Calibri"/>
                <w:bCs/>
                <w:sz w:val="24"/>
                <w:lang w:val="en-US" w:eastAsia="zh-CN"/>
              </w:rPr>
              <w:t>0</w:t>
            </w:r>
            <w:r>
              <w:rPr>
                <w:rFonts w:hint="default" w:ascii="Calibri" w:hAnsi="Calibri" w:eastAsia="宋体" w:cs="Calibri"/>
                <w:bCs/>
                <w:sz w:val="24"/>
              </w:rPr>
              <w:t>dB（A）。</w:t>
            </w:r>
          </w:p>
          <w:p w14:paraId="5E0938AE">
            <w:pPr>
              <w:pStyle w:val="10"/>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textAlignment w:val="auto"/>
              <w:rPr>
                <w:rFonts w:hint="eastAsia"/>
                <w:b/>
                <w:bCs/>
                <w:color w:val="auto"/>
                <w:lang w:val="en-US" w:eastAsia="zh-CN"/>
              </w:rPr>
            </w:pPr>
            <w:r>
              <w:rPr>
                <w:rFonts w:hint="eastAsia" w:cs="Times New Roman"/>
                <w:b/>
                <w:bCs/>
                <w:color w:val="auto"/>
                <w:kern w:val="2"/>
                <w:sz w:val="24"/>
                <w:szCs w:val="24"/>
                <w:lang w:val="en-US" w:eastAsia="zh-CN" w:bidi="ar-SA"/>
              </w:rPr>
              <w:t>5、</w:t>
            </w:r>
            <w:r>
              <w:rPr>
                <w:rFonts w:hint="eastAsia"/>
                <w:b/>
                <w:bCs/>
                <w:color w:val="auto"/>
                <w:lang w:val="en-US" w:eastAsia="zh-CN"/>
              </w:rPr>
              <w:t>检测结果</w:t>
            </w:r>
          </w:p>
          <w:p w14:paraId="1CF27EDB">
            <w:pPr>
              <w:pStyle w:val="10"/>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color w:val="auto"/>
                <w:lang w:val="en-US" w:eastAsia="zh-CN"/>
              </w:rPr>
            </w:pPr>
            <w:r>
              <w:rPr>
                <w:rFonts w:hint="eastAsia"/>
                <w:color w:val="auto"/>
                <w:lang w:val="en-US" w:eastAsia="zh-CN"/>
              </w:rPr>
              <w:t>本次噪声现状检测结果见下表。</w:t>
            </w:r>
          </w:p>
          <w:p w14:paraId="7E6281B4">
            <w:pPr>
              <w:pStyle w:val="10"/>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b w:val="0"/>
                <w:bCs w:val="0"/>
                <w:color w:val="auto"/>
                <w:lang w:val="en-US" w:eastAsia="zh-CN"/>
              </w:rPr>
            </w:pPr>
            <w:r>
              <w:rPr>
                <w:rFonts w:hint="eastAsia"/>
                <w:b/>
                <w:bCs/>
                <w:color w:val="auto"/>
                <w:lang w:val="en-US" w:eastAsia="zh-CN"/>
              </w:rPr>
              <w:t>表3-5     噪声现状值检测结果</w:t>
            </w:r>
          </w:p>
          <w:tbl>
            <w:tblPr>
              <w:tblStyle w:val="23"/>
              <w:tblW w:w="4998" w:type="pct"/>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2"/>
              <w:gridCol w:w="2735"/>
              <w:gridCol w:w="2738"/>
            </w:tblGrid>
            <w:tr w14:paraId="4339D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4" w:type="pct"/>
                  <w:noWrap w:val="0"/>
                  <w:vAlign w:val="center"/>
                </w:tcPr>
                <w:p w14:paraId="722E4C82">
                  <w:pPr>
                    <w:pStyle w:val="35"/>
                    <w:bidi w:val="0"/>
                    <w:jc w:val="center"/>
                    <w:rPr>
                      <w:rFonts w:hint="default" w:ascii="Calibri" w:hAnsi="Calibri" w:cs="Calibri"/>
                      <w:color w:val="auto"/>
                      <w:sz w:val="21"/>
                      <w:szCs w:val="21"/>
                      <w:lang w:val="en-US" w:eastAsia="zh-CN"/>
                    </w:rPr>
                  </w:pPr>
                  <w:r>
                    <w:rPr>
                      <w:rFonts w:hint="default" w:ascii="Calibri" w:hAnsi="Calibri" w:cs="Calibri"/>
                      <w:color w:val="auto"/>
                      <w:sz w:val="21"/>
                      <w:szCs w:val="21"/>
                      <w:lang w:val="en-US" w:eastAsia="zh-CN"/>
                    </w:rPr>
                    <w:t>监测点编号</w:t>
                  </w:r>
                </w:p>
              </w:tc>
              <w:tc>
                <w:tcPr>
                  <w:tcW w:w="1687" w:type="pct"/>
                  <w:noWrap w:val="0"/>
                  <w:vAlign w:val="center"/>
                </w:tcPr>
                <w:p w14:paraId="5DEB194F">
                  <w:pPr>
                    <w:pStyle w:val="35"/>
                    <w:bidi w:val="0"/>
                    <w:jc w:val="center"/>
                    <w:rPr>
                      <w:rFonts w:hint="default" w:ascii="Calibri" w:hAnsi="Calibri" w:cs="Calibri"/>
                      <w:color w:val="auto"/>
                      <w:sz w:val="21"/>
                      <w:szCs w:val="21"/>
                      <w:lang w:val="en-US" w:eastAsia="zh-CN"/>
                    </w:rPr>
                  </w:pPr>
                  <w:r>
                    <w:rPr>
                      <w:rFonts w:hint="default" w:ascii="Calibri" w:hAnsi="Calibri" w:cs="Calibri"/>
                      <w:color w:val="auto"/>
                      <w:sz w:val="21"/>
                      <w:szCs w:val="21"/>
                    </w:rPr>
                    <w:t>昼间</w:t>
                  </w:r>
                  <w:r>
                    <w:rPr>
                      <w:rFonts w:hint="eastAsia" w:ascii="Calibri" w:hAnsi="Calibri" w:cs="Calibri"/>
                      <w:color w:val="auto"/>
                      <w:sz w:val="21"/>
                      <w:szCs w:val="21"/>
                      <w:lang w:eastAsia="zh-CN"/>
                    </w:rPr>
                    <w:t>（</w:t>
                  </w:r>
                  <w:r>
                    <w:rPr>
                      <w:rFonts w:hint="default" w:ascii="Calibri" w:hAnsi="Calibri" w:cs="Calibri"/>
                      <w:color w:val="auto"/>
                      <w:sz w:val="21"/>
                      <w:szCs w:val="21"/>
                    </w:rPr>
                    <w:t>dB(A))</w:t>
                  </w:r>
                </w:p>
              </w:tc>
              <w:tc>
                <w:tcPr>
                  <w:tcW w:w="1688" w:type="pct"/>
                  <w:noWrap w:val="0"/>
                  <w:vAlign w:val="center"/>
                </w:tcPr>
                <w:p w14:paraId="5BBD3F2E">
                  <w:pPr>
                    <w:pStyle w:val="35"/>
                    <w:bidi w:val="0"/>
                    <w:jc w:val="center"/>
                    <w:rPr>
                      <w:rFonts w:hint="default" w:ascii="Calibri" w:hAnsi="Calibri" w:cs="Calibri"/>
                      <w:color w:val="auto"/>
                      <w:sz w:val="21"/>
                      <w:szCs w:val="21"/>
                      <w:lang w:val="en-US" w:eastAsia="zh-CN"/>
                    </w:rPr>
                  </w:pPr>
                  <w:r>
                    <w:rPr>
                      <w:rFonts w:hint="default" w:ascii="Calibri" w:hAnsi="Calibri" w:cs="Calibri"/>
                      <w:color w:val="auto"/>
                      <w:sz w:val="21"/>
                      <w:szCs w:val="21"/>
                    </w:rPr>
                    <w:t>夜间</w:t>
                  </w:r>
                  <w:r>
                    <w:rPr>
                      <w:rFonts w:hint="eastAsia" w:ascii="Calibri" w:hAnsi="Calibri" w:cs="Calibri"/>
                      <w:color w:val="auto"/>
                      <w:sz w:val="21"/>
                      <w:szCs w:val="21"/>
                      <w:lang w:eastAsia="zh-CN"/>
                    </w:rPr>
                    <w:t>（</w:t>
                  </w:r>
                  <w:r>
                    <w:rPr>
                      <w:rFonts w:hint="default" w:ascii="Calibri" w:hAnsi="Calibri" w:cs="Calibri"/>
                      <w:color w:val="auto"/>
                      <w:sz w:val="21"/>
                      <w:szCs w:val="21"/>
                    </w:rPr>
                    <w:t>dB(A))</w:t>
                  </w:r>
                </w:p>
              </w:tc>
            </w:tr>
            <w:tr w14:paraId="3C21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4" w:type="pct"/>
                  <w:noWrap w:val="0"/>
                  <w:vAlign w:val="center"/>
                </w:tcPr>
                <w:p w14:paraId="39265A4D">
                  <w:pPr>
                    <w:pStyle w:val="4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Calibri" w:hAnsi="Calibri" w:cs="Calibri"/>
                      <w:color w:val="auto"/>
                      <w:sz w:val="21"/>
                      <w:szCs w:val="21"/>
                      <w:lang w:val="en-US" w:eastAsia="zh-CN"/>
                    </w:rPr>
                  </w:pPr>
                  <w:r>
                    <w:rPr>
                      <w:rFonts w:hint="default" w:ascii="Calibri" w:hAnsi="Calibri" w:cs="Calibri"/>
                      <w:b w:val="0"/>
                      <w:bCs w:val="0"/>
                      <w:color w:val="auto"/>
                      <w:sz w:val="21"/>
                      <w:szCs w:val="21"/>
                      <w:lang w:val="en-US" w:eastAsia="zh-CN"/>
                    </w:rPr>
                    <w:t>1#</w:t>
                  </w:r>
                </w:p>
              </w:tc>
              <w:tc>
                <w:tcPr>
                  <w:tcW w:w="1687" w:type="pct"/>
                  <w:noWrap w:val="0"/>
                  <w:vAlign w:val="center"/>
                </w:tcPr>
                <w:p w14:paraId="41590B3D">
                  <w:pPr>
                    <w:pStyle w:val="35"/>
                    <w:bidi w:val="0"/>
                    <w:jc w:val="center"/>
                    <w:rPr>
                      <w:rFonts w:hint="default" w:ascii="Calibri" w:hAnsi="Calibri" w:cs="Calibri"/>
                      <w:color w:val="auto"/>
                      <w:sz w:val="21"/>
                      <w:szCs w:val="21"/>
                      <w:lang w:val="en-US" w:eastAsia="zh-CN"/>
                    </w:rPr>
                  </w:pPr>
                  <w:r>
                    <w:rPr>
                      <w:rFonts w:hint="eastAsia" w:ascii="Calibri" w:hAnsi="Calibri" w:cs="Calibri"/>
                      <w:color w:val="auto"/>
                      <w:sz w:val="21"/>
                      <w:szCs w:val="21"/>
                      <w:lang w:val="en-US" w:eastAsia="zh-CN"/>
                    </w:rPr>
                    <w:t>46</w:t>
                  </w:r>
                </w:p>
              </w:tc>
              <w:tc>
                <w:tcPr>
                  <w:tcW w:w="1688" w:type="pct"/>
                  <w:noWrap w:val="0"/>
                  <w:vAlign w:val="center"/>
                </w:tcPr>
                <w:p w14:paraId="111360A4">
                  <w:pPr>
                    <w:pStyle w:val="35"/>
                    <w:bidi w:val="0"/>
                    <w:jc w:val="center"/>
                    <w:rPr>
                      <w:rFonts w:hint="default" w:ascii="Calibri" w:hAnsi="Calibri" w:cs="Calibri"/>
                      <w:color w:val="auto"/>
                      <w:sz w:val="21"/>
                      <w:szCs w:val="21"/>
                      <w:lang w:val="en-US" w:eastAsia="zh-CN"/>
                    </w:rPr>
                  </w:pPr>
                  <w:r>
                    <w:rPr>
                      <w:rFonts w:hint="eastAsia" w:ascii="Calibri" w:hAnsi="Calibri" w:cs="Calibri"/>
                      <w:color w:val="auto"/>
                      <w:sz w:val="21"/>
                      <w:szCs w:val="21"/>
                      <w:lang w:val="en-US" w:eastAsia="zh-CN"/>
                    </w:rPr>
                    <w:t>39</w:t>
                  </w:r>
                </w:p>
              </w:tc>
            </w:tr>
            <w:tr w14:paraId="0D01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4" w:type="pct"/>
                  <w:noWrap w:val="0"/>
                  <w:vAlign w:val="center"/>
                </w:tcPr>
                <w:p w14:paraId="4947A9BB">
                  <w:pPr>
                    <w:pStyle w:val="4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Calibri" w:hAnsi="Calibri" w:cs="Calibri"/>
                      <w:color w:val="auto"/>
                      <w:sz w:val="21"/>
                      <w:szCs w:val="21"/>
                      <w:lang w:val="en-US" w:eastAsia="zh-CN"/>
                    </w:rPr>
                  </w:pPr>
                  <w:r>
                    <w:rPr>
                      <w:rFonts w:hint="default" w:ascii="Calibri" w:hAnsi="Calibri" w:cs="Calibri"/>
                      <w:b w:val="0"/>
                      <w:bCs w:val="0"/>
                      <w:color w:val="auto"/>
                      <w:sz w:val="21"/>
                      <w:szCs w:val="21"/>
                      <w:lang w:val="en-US" w:eastAsia="zh-CN"/>
                    </w:rPr>
                    <w:t>2#</w:t>
                  </w:r>
                </w:p>
              </w:tc>
              <w:tc>
                <w:tcPr>
                  <w:tcW w:w="1687" w:type="pct"/>
                  <w:noWrap w:val="0"/>
                  <w:vAlign w:val="center"/>
                </w:tcPr>
                <w:p w14:paraId="0856DD47">
                  <w:pPr>
                    <w:pStyle w:val="35"/>
                    <w:bidi w:val="0"/>
                    <w:jc w:val="center"/>
                    <w:rPr>
                      <w:rFonts w:hint="default" w:ascii="Calibri" w:hAnsi="Calibri" w:cs="Calibri"/>
                      <w:color w:val="auto"/>
                      <w:sz w:val="21"/>
                      <w:szCs w:val="21"/>
                      <w:lang w:val="en-US" w:eastAsia="zh-CN"/>
                    </w:rPr>
                  </w:pPr>
                  <w:r>
                    <w:rPr>
                      <w:rFonts w:hint="eastAsia" w:ascii="Calibri" w:hAnsi="Calibri" w:cs="Calibri"/>
                      <w:color w:val="auto"/>
                      <w:sz w:val="21"/>
                      <w:szCs w:val="21"/>
                      <w:lang w:val="en-US" w:eastAsia="zh-CN"/>
                    </w:rPr>
                    <w:t>45</w:t>
                  </w:r>
                </w:p>
              </w:tc>
              <w:tc>
                <w:tcPr>
                  <w:tcW w:w="1688" w:type="pct"/>
                  <w:noWrap w:val="0"/>
                  <w:vAlign w:val="center"/>
                </w:tcPr>
                <w:p w14:paraId="207D2E9D">
                  <w:pPr>
                    <w:pStyle w:val="35"/>
                    <w:bidi w:val="0"/>
                    <w:jc w:val="center"/>
                    <w:rPr>
                      <w:rFonts w:hint="default" w:ascii="Calibri" w:hAnsi="Calibri" w:cs="Calibri"/>
                      <w:color w:val="auto"/>
                      <w:sz w:val="21"/>
                      <w:szCs w:val="21"/>
                      <w:lang w:val="en-US" w:eastAsia="zh-CN"/>
                    </w:rPr>
                  </w:pPr>
                  <w:r>
                    <w:rPr>
                      <w:rFonts w:hint="eastAsia" w:ascii="Calibri" w:hAnsi="Calibri" w:cs="Calibri"/>
                      <w:color w:val="auto"/>
                      <w:sz w:val="21"/>
                      <w:szCs w:val="21"/>
                      <w:lang w:val="en-US" w:eastAsia="zh-CN"/>
                    </w:rPr>
                    <w:t>37</w:t>
                  </w:r>
                </w:p>
              </w:tc>
            </w:tr>
            <w:tr w14:paraId="657DE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4" w:type="pct"/>
                  <w:noWrap w:val="0"/>
                  <w:vAlign w:val="center"/>
                </w:tcPr>
                <w:p w14:paraId="4F60D8E6">
                  <w:pPr>
                    <w:pStyle w:val="4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Calibri" w:hAnsi="Calibri" w:cs="Calibri"/>
                      <w:color w:val="auto"/>
                      <w:sz w:val="21"/>
                      <w:szCs w:val="21"/>
                      <w:lang w:val="en-US" w:eastAsia="zh-CN"/>
                    </w:rPr>
                  </w:pPr>
                  <w:r>
                    <w:rPr>
                      <w:rFonts w:hint="default" w:ascii="Calibri" w:hAnsi="Calibri" w:cs="Calibri"/>
                      <w:b w:val="0"/>
                      <w:bCs w:val="0"/>
                      <w:color w:val="auto"/>
                      <w:sz w:val="21"/>
                      <w:szCs w:val="21"/>
                      <w:lang w:val="en-US" w:eastAsia="zh-CN"/>
                    </w:rPr>
                    <w:t>3#</w:t>
                  </w:r>
                </w:p>
              </w:tc>
              <w:tc>
                <w:tcPr>
                  <w:tcW w:w="1687" w:type="pct"/>
                  <w:noWrap w:val="0"/>
                  <w:vAlign w:val="center"/>
                </w:tcPr>
                <w:p w14:paraId="0EEBEE6A">
                  <w:pPr>
                    <w:pStyle w:val="35"/>
                    <w:bidi w:val="0"/>
                    <w:jc w:val="center"/>
                    <w:rPr>
                      <w:rFonts w:hint="default" w:ascii="Calibri" w:hAnsi="Calibri" w:cs="Calibri"/>
                      <w:color w:val="auto"/>
                      <w:sz w:val="21"/>
                      <w:szCs w:val="21"/>
                      <w:lang w:val="en-US" w:eastAsia="zh-CN"/>
                    </w:rPr>
                  </w:pPr>
                  <w:r>
                    <w:rPr>
                      <w:rFonts w:hint="eastAsia" w:ascii="Calibri" w:hAnsi="Calibri" w:cs="Calibri"/>
                      <w:color w:val="auto"/>
                      <w:sz w:val="21"/>
                      <w:szCs w:val="21"/>
                      <w:lang w:val="en-US" w:eastAsia="zh-CN"/>
                    </w:rPr>
                    <w:t>44</w:t>
                  </w:r>
                </w:p>
              </w:tc>
              <w:tc>
                <w:tcPr>
                  <w:tcW w:w="1688" w:type="pct"/>
                  <w:noWrap w:val="0"/>
                  <w:vAlign w:val="center"/>
                </w:tcPr>
                <w:p w14:paraId="7F7C07DF">
                  <w:pPr>
                    <w:pStyle w:val="35"/>
                    <w:bidi w:val="0"/>
                    <w:jc w:val="center"/>
                    <w:rPr>
                      <w:rFonts w:hint="default" w:ascii="Calibri" w:hAnsi="Calibri" w:cs="Calibri"/>
                      <w:color w:val="auto"/>
                      <w:sz w:val="21"/>
                      <w:szCs w:val="21"/>
                      <w:lang w:val="en-US" w:eastAsia="zh-CN"/>
                    </w:rPr>
                  </w:pPr>
                  <w:r>
                    <w:rPr>
                      <w:rFonts w:hint="eastAsia" w:ascii="Calibri" w:hAnsi="Calibri" w:cs="Calibri"/>
                      <w:color w:val="auto"/>
                      <w:sz w:val="21"/>
                      <w:szCs w:val="21"/>
                      <w:lang w:val="en-US" w:eastAsia="zh-CN"/>
                    </w:rPr>
                    <w:t>39</w:t>
                  </w:r>
                </w:p>
              </w:tc>
            </w:tr>
            <w:tr w14:paraId="653A5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4" w:type="pct"/>
                  <w:noWrap w:val="0"/>
                  <w:vAlign w:val="center"/>
                </w:tcPr>
                <w:p w14:paraId="24CD4C4B">
                  <w:pPr>
                    <w:pStyle w:val="4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Calibri" w:hAnsi="Calibri" w:cs="Calibri"/>
                      <w:b w:val="0"/>
                      <w:bCs w:val="0"/>
                      <w:color w:val="auto"/>
                      <w:sz w:val="21"/>
                      <w:szCs w:val="21"/>
                      <w:lang w:val="en-US" w:eastAsia="zh-CN"/>
                    </w:rPr>
                  </w:pPr>
                  <w:r>
                    <w:rPr>
                      <w:rFonts w:hint="eastAsia" w:ascii="Calibri" w:hAnsi="Calibri" w:cs="Calibri"/>
                      <w:b w:val="0"/>
                      <w:bCs w:val="0"/>
                      <w:color w:val="auto"/>
                      <w:sz w:val="21"/>
                      <w:szCs w:val="21"/>
                      <w:lang w:val="en-US" w:eastAsia="zh-CN"/>
                    </w:rPr>
                    <w:t>4#</w:t>
                  </w:r>
                </w:p>
              </w:tc>
              <w:tc>
                <w:tcPr>
                  <w:tcW w:w="1687" w:type="pct"/>
                  <w:noWrap w:val="0"/>
                  <w:vAlign w:val="center"/>
                </w:tcPr>
                <w:p w14:paraId="2E7B57E4">
                  <w:pPr>
                    <w:pStyle w:val="35"/>
                    <w:bidi w:val="0"/>
                    <w:jc w:val="center"/>
                    <w:rPr>
                      <w:rFonts w:hint="default" w:ascii="Calibri" w:hAnsi="Calibri" w:cs="Calibri"/>
                      <w:color w:val="auto"/>
                      <w:sz w:val="21"/>
                      <w:szCs w:val="21"/>
                      <w:lang w:val="en-US" w:eastAsia="zh-CN"/>
                    </w:rPr>
                  </w:pPr>
                  <w:r>
                    <w:rPr>
                      <w:rFonts w:hint="eastAsia" w:ascii="Calibri" w:hAnsi="Calibri" w:cs="Calibri"/>
                      <w:color w:val="auto"/>
                      <w:sz w:val="21"/>
                      <w:szCs w:val="21"/>
                      <w:lang w:val="en-US" w:eastAsia="zh-CN"/>
                    </w:rPr>
                    <w:t>46</w:t>
                  </w:r>
                </w:p>
              </w:tc>
              <w:tc>
                <w:tcPr>
                  <w:tcW w:w="1688" w:type="pct"/>
                  <w:noWrap w:val="0"/>
                  <w:vAlign w:val="center"/>
                </w:tcPr>
                <w:p w14:paraId="1734A72B">
                  <w:pPr>
                    <w:pStyle w:val="35"/>
                    <w:bidi w:val="0"/>
                    <w:jc w:val="center"/>
                    <w:rPr>
                      <w:rFonts w:hint="default" w:ascii="Calibri" w:hAnsi="Calibri" w:cs="Calibri"/>
                      <w:color w:val="auto"/>
                      <w:sz w:val="21"/>
                      <w:szCs w:val="21"/>
                      <w:lang w:val="en-US" w:eastAsia="zh-CN"/>
                    </w:rPr>
                  </w:pPr>
                  <w:r>
                    <w:rPr>
                      <w:rFonts w:hint="eastAsia" w:ascii="Calibri" w:hAnsi="Calibri" w:cs="Calibri"/>
                      <w:color w:val="auto"/>
                      <w:sz w:val="21"/>
                      <w:szCs w:val="21"/>
                      <w:lang w:val="en-US" w:eastAsia="zh-CN"/>
                    </w:rPr>
                    <w:t>38</w:t>
                  </w:r>
                </w:p>
              </w:tc>
            </w:tr>
            <w:tr w14:paraId="19CA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4" w:type="pct"/>
                  <w:noWrap w:val="0"/>
                  <w:vAlign w:val="center"/>
                </w:tcPr>
                <w:p w14:paraId="5DAAFBD2">
                  <w:pPr>
                    <w:pStyle w:val="4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Calibri" w:hAnsi="Calibri" w:cs="Calibri"/>
                      <w:b w:val="0"/>
                      <w:bCs w:val="0"/>
                      <w:color w:val="auto"/>
                      <w:sz w:val="21"/>
                      <w:szCs w:val="21"/>
                      <w:lang w:val="en-US" w:eastAsia="zh-CN"/>
                    </w:rPr>
                  </w:pPr>
                  <w:r>
                    <w:rPr>
                      <w:rFonts w:hint="eastAsia" w:ascii="Calibri" w:hAnsi="Calibri" w:cs="Calibri"/>
                      <w:b w:val="0"/>
                      <w:bCs w:val="0"/>
                      <w:color w:val="auto"/>
                      <w:sz w:val="21"/>
                      <w:szCs w:val="21"/>
                      <w:lang w:val="en-US" w:eastAsia="zh-CN"/>
                    </w:rPr>
                    <w:t>5#</w:t>
                  </w:r>
                </w:p>
              </w:tc>
              <w:tc>
                <w:tcPr>
                  <w:tcW w:w="1687" w:type="pct"/>
                  <w:noWrap w:val="0"/>
                  <w:vAlign w:val="center"/>
                </w:tcPr>
                <w:p w14:paraId="3CBDDBF6">
                  <w:pPr>
                    <w:pStyle w:val="35"/>
                    <w:bidi w:val="0"/>
                    <w:jc w:val="center"/>
                    <w:rPr>
                      <w:rFonts w:hint="default" w:ascii="Calibri" w:hAnsi="Calibri" w:cs="Calibri"/>
                      <w:color w:val="auto"/>
                      <w:sz w:val="21"/>
                      <w:szCs w:val="21"/>
                      <w:lang w:val="en-US" w:eastAsia="zh-CN"/>
                    </w:rPr>
                  </w:pPr>
                  <w:r>
                    <w:rPr>
                      <w:rFonts w:hint="eastAsia" w:ascii="Calibri" w:hAnsi="Calibri" w:cs="Calibri"/>
                      <w:color w:val="auto"/>
                      <w:sz w:val="21"/>
                      <w:szCs w:val="21"/>
                      <w:lang w:val="en-US" w:eastAsia="zh-CN"/>
                    </w:rPr>
                    <w:t>44</w:t>
                  </w:r>
                </w:p>
              </w:tc>
              <w:tc>
                <w:tcPr>
                  <w:tcW w:w="1688" w:type="pct"/>
                  <w:noWrap w:val="0"/>
                  <w:vAlign w:val="center"/>
                </w:tcPr>
                <w:p w14:paraId="4C1C67B8">
                  <w:pPr>
                    <w:pStyle w:val="35"/>
                    <w:bidi w:val="0"/>
                    <w:jc w:val="center"/>
                    <w:rPr>
                      <w:rFonts w:hint="default" w:ascii="Calibri" w:hAnsi="Calibri" w:cs="Calibri"/>
                      <w:color w:val="auto"/>
                      <w:sz w:val="21"/>
                      <w:szCs w:val="21"/>
                      <w:lang w:val="en-US" w:eastAsia="zh-CN"/>
                    </w:rPr>
                  </w:pPr>
                  <w:r>
                    <w:rPr>
                      <w:rFonts w:hint="eastAsia" w:ascii="Calibri" w:hAnsi="Calibri" w:cs="Calibri"/>
                      <w:color w:val="auto"/>
                      <w:sz w:val="21"/>
                      <w:szCs w:val="21"/>
                      <w:lang w:val="en-US" w:eastAsia="zh-CN"/>
                    </w:rPr>
                    <w:t>38</w:t>
                  </w:r>
                </w:p>
              </w:tc>
            </w:tr>
            <w:tr w14:paraId="584D3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4" w:type="pct"/>
                  <w:noWrap w:val="0"/>
                  <w:vAlign w:val="center"/>
                </w:tcPr>
                <w:p w14:paraId="586803A2">
                  <w:pPr>
                    <w:pStyle w:val="4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ascii="Calibri" w:hAnsi="Calibri" w:cs="Calibri"/>
                      <w:b w:val="0"/>
                      <w:bCs w:val="0"/>
                      <w:color w:val="auto"/>
                      <w:sz w:val="21"/>
                      <w:szCs w:val="21"/>
                      <w:lang w:val="en-US" w:eastAsia="zh-CN"/>
                    </w:rPr>
                  </w:pPr>
                  <w:r>
                    <w:rPr>
                      <w:rFonts w:hint="eastAsia" w:ascii="Calibri" w:hAnsi="Calibri" w:cs="Calibri"/>
                      <w:b w:val="0"/>
                      <w:bCs w:val="0"/>
                      <w:color w:val="auto"/>
                      <w:sz w:val="21"/>
                      <w:szCs w:val="21"/>
                      <w:lang w:val="en-US" w:eastAsia="zh-CN"/>
                    </w:rPr>
                    <w:t>6#</w:t>
                  </w:r>
                </w:p>
              </w:tc>
              <w:tc>
                <w:tcPr>
                  <w:tcW w:w="1687" w:type="pct"/>
                  <w:noWrap w:val="0"/>
                  <w:vAlign w:val="center"/>
                </w:tcPr>
                <w:p w14:paraId="41F2D4E1">
                  <w:pPr>
                    <w:pStyle w:val="35"/>
                    <w:bidi w:val="0"/>
                    <w:jc w:val="center"/>
                    <w:rPr>
                      <w:rFonts w:hint="default" w:ascii="Calibri" w:hAnsi="Calibri" w:cs="Calibri"/>
                      <w:color w:val="auto"/>
                      <w:sz w:val="21"/>
                      <w:szCs w:val="21"/>
                      <w:lang w:val="en-US" w:eastAsia="zh-CN"/>
                    </w:rPr>
                  </w:pPr>
                  <w:r>
                    <w:rPr>
                      <w:rFonts w:hint="eastAsia" w:ascii="Calibri" w:hAnsi="Calibri" w:cs="Calibri"/>
                      <w:color w:val="auto"/>
                      <w:sz w:val="21"/>
                      <w:szCs w:val="21"/>
                      <w:lang w:val="en-US" w:eastAsia="zh-CN"/>
                    </w:rPr>
                    <w:t>45</w:t>
                  </w:r>
                </w:p>
              </w:tc>
              <w:tc>
                <w:tcPr>
                  <w:tcW w:w="1688" w:type="pct"/>
                  <w:noWrap w:val="0"/>
                  <w:vAlign w:val="center"/>
                </w:tcPr>
                <w:p w14:paraId="5DFC389D">
                  <w:pPr>
                    <w:pStyle w:val="35"/>
                    <w:bidi w:val="0"/>
                    <w:jc w:val="center"/>
                    <w:rPr>
                      <w:rFonts w:hint="default" w:ascii="Calibri" w:hAnsi="Calibri" w:cs="Calibri"/>
                      <w:color w:val="auto"/>
                      <w:sz w:val="21"/>
                      <w:szCs w:val="21"/>
                      <w:lang w:val="en-US" w:eastAsia="zh-CN"/>
                    </w:rPr>
                  </w:pPr>
                  <w:r>
                    <w:rPr>
                      <w:rFonts w:hint="eastAsia" w:ascii="Calibri" w:hAnsi="Calibri" w:cs="Calibri"/>
                      <w:color w:val="auto"/>
                      <w:sz w:val="21"/>
                      <w:szCs w:val="21"/>
                      <w:lang w:val="en-US" w:eastAsia="zh-CN"/>
                    </w:rPr>
                    <w:t>39</w:t>
                  </w:r>
                </w:p>
              </w:tc>
            </w:tr>
            <w:tr w14:paraId="7D00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noWrap w:val="0"/>
                  <w:vAlign w:val="center"/>
                </w:tcPr>
                <w:p w14:paraId="016CAF41">
                  <w:pPr>
                    <w:pStyle w:val="35"/>
                    <w:bidi w:val="0"/>
                    <w:ind w:firstLine="0" w:firstLineChars="0"/>
                    <w:jc w:val="center"/>
                    <w:rPr>
                      <w:rFonts w:hint="default" w:ascii="Calibri" w:hAnsi="Calibri" w:cs="Calibri"/>
                      <w:color w:val="auto"/>
                      <w:sz w:val="21"/>
                      <w:szCs w:val="21"/>
                      <w:lang w:val="en-US" w:eastAsia="zh-CN"/>
                    </w:rPr>
                  </w:pPr>
                  <w:r>
                    <w:rPr>
                      <w:rFonts w:hint="default" w:ascii="Calibri" w:hAnsi="Calibri" w:cs="Calibri"/>
                      <w:color w:val="auto"/>
                      <w:sz w:val="21"/>
                      <w:szCs w:val="21"/>
                      <w:lang w:val="en-US" w:eastAsia="zh-CN"/>
                    </w:rPr>
                    <w:t>《声环境质量标准》（ GB3096-2008）。AWA5688型多功能声级计XJZC127。</w:t>
                  </w:r>
                </w:p>
              </w:tc>
            </w:tr>
          </w:tbl>
          <w:p w14:paraId="1E128BF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w:t>
            </w:r>
            <w:r>
              <w:rPr>
                <w:rFonts w:hint="eastAsia" w:cs="Times New Roman"/>
                <w:color w:val="auto"/>
                <w:kern w:val="2"/>
                <w:sz w:val="24"/>
                <w:szCs w:val="24"/>
                <w:lang w:val="en-US" w:eastAsia="zh-CN" w:bidi="ar-SA"/>
              </w:rPr>
              <w:t>上表</w:t>
            </w:r>
            <w:r>
              <w:rPr>
                <w:rFonts w:hint="eastAsia" w:ascii="Times New Roman" w:hAnsi="Times New Roman" w:eastAsia="宋体" w:cs="Times New Roman"/>
                <w:color w:val="auto"/>
                <w:kern w:val="2"/>
                <w:sz w:val="24"/>
                <w:szCs w:val="24"/>
                <w:lang w:val="en-US" w:eastAsia="zh-CN" w:bidi="ar-SA"/>
              </w:rPr>
              <w:t>检测结果分析拟建</w:t>
            </w:r>
            <w:r>
              <w:rPr>
                <w:rFonts w:hint="eastAsia" w:cs="Times New Roman"/>
                <w:color w:val="auto"/>
                <w:kern w:val="2"/>
                <w:sz w:val="24"/>
                <w:szCs w:val="24"/>
                <w:lang w:val="en-US" w:eastAsia="zh-CN" w:bidi="ar-SA"/>
              </w:rPr>
              <w:t>南部</w:t>
            </w:r>
            <w:r>
              <w:rPr>
                <w:rFonts w:hint="eastAsia" w:ascii="Times New Roman" w:hAnsi="Times New Roman" w:eastAsia="宋体" w:cs="Times New Roman"/>
                <w:color w:val="auto"/>
                <w:kern w:val="2"/>
                <w:sz w:val="24"/>
                <w:szCs w:val="24"/>
                <w:lang w:val="en-US" w:eastAsia="zh-CN" w:bidi="ar-SA"/>
              </w:rPr>
              <w:t>矿区110</w:t>
            </w:r>
            <w:r>
              <w:rPr>
                <w:rFonts w:hint="eastAsia" w:cs="Times New Roman"/>
                <w:color w:val="auto"/>
                <w:kern w:val="2"/>
                <w:sz w:val="24"/>
                <w:szCs w:val="24"/>
                <w:lang w:val="en-US" w:eastAsia="zh-CN" w:bidi="ar-SA"/>
              </w:rPr>
              <w:t>kv</w:t>
            </w:r>
            <w:r>
              <w:rPr>
                <w:rFonts w:hint="eastAsia" w:ascii="Times New Roman" w:hAnsi="Times New Roman" w:eastAsia="宋体" w:cs="Times New Roman"/>
                <w:color w:val="auto"/>
                <w:kern w:val="2"/>
                <w:sz w:val="24"/>
                <w:szCs w:val="24"/>
                <w:lang w:val="en-US" w:eastAsia="zh-CN" w:bidi="ar-SA"/>
              </w:rPr>
              <w:t>变电站、输电线路沿线声环境质量均满足《声环境质量标准》</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GB3096-2008</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中2类标准限值要求。</w:t>
            </w:r>
            <w:r>
              <w:rPr>
                <w:rFonts w:hint="eastAsia" w:cs="Times New Roman"/>
                <w:color w:val="auto"/>
                <w:kern w:val="2"/>
                <w:sz w:val="24"/>
                <w:szCs w:val="24"/>
                <w:lang w:val="en-US" w:eastAsia="zh-CN" w:bidi="ar-SA"/>
              </w:rPr>
              <w:t>评价区域声环境质量良好。</w:t>
            </w:r>
          </w:p>
          <w:p w14:paraId="3A54A449">
            <w:pPr>
              <w:pStyle w:val="36"/>
              <w:keepNext w:val="0"/>
              <w:keepLines w:val="0"/>
              <w:pageBreakBefore w:val="0"/>
              <w:widowControl w:val="0"/>
              <w:numPr>
                <w:ilvl w:val="0"/>
                <w:numId w:val="0"/>
              </w:numPr>
              <w:kinsoku/>
              <w:wordWrap/>
              <w:overflowPunct/>
              <w:topLinePunct w:val="0"/>
              <w:bidi w:val="0"/>
              <w:spacing w:line="480" w:lineRule="exact"/>
              <w:ind w:firstLine="482" w:firstLineChars="200"/>
              <w:textAlignment w:val="auto"/>
              <w:rPr>
                <w:rFonts w:hint="eastAsia"/>
                <w:color w:val="auto"/>
                <w:lang w:val="en-US" w:eastAsia="zh-CN"/>
              </w:rPr>
            </w:pPr>
            <w:r>
              <w:rPr>
                <w:rFonts w:hint="eastAsia" w:ascii="宋体" w:hAnsi="宋体" w:cs="宋体"/>
                <w:color w:val="auto"/>
                <w:kern w:val="0"/>
                <w:sz w:val="24"/>
                <w:szCs w:val="24"/>
                <w:lang w:val="en-US" w:eastAsia="zh-CN"/>
              </w:rPr>
              <w:t>六、</w:t>
            </w:r>
            <w:r>
              <w:rPr>
                <w:rFonts w:hint="eastAsia"/>
                <w:color w:val="auto"/>
                <w:lang w:val="en-US" w:eastAsia="zh-CN"/>
              </w:rPr>
              <w:t>电磁环境质量现状评价</w:t>
            </w:r>
          </w:p>
          <w:p w14:paraId="019AAD5B">
            <w:pPr>
              <w:pStyle w:val="10"/>
              <w:keepNext w:val="0"/>
              <w:keepLines w:val="0"/>
              <w:pageBreakBefore w:val="0"/>
              <w:widowControl w:val="0"/>
              <w:kinsoku/>
              <w:wordWrap/>
              <w:overflowPunct/>
              <w:topLinePunct w:val="0"/>
              <w:bidi w:val="0"/>
              <w:spacing w:line="520" w:lineRule="exact"/>
              <w:textAlignment w:val="auto"/>
              <w:rPr>
                <w:rFonts w:hint="default"/>
                <w:b/>
                <w:bCs/>
                <w:color w:val="auto"/>
                <w:lang w:val="en-US" w:eastAsia="zh-CN"/>
              </w:rPr>
            </w:pPr>
            <w:r>
              <w:rPr>
                <w:rFonts w:hint="eastAsia"/>
                <w:b/>
                <w:bCs/>
                <w:color w:val="auto"/>
                <w:lang w:val="en-US" w:eastAsia="zh-CN"/>
              </w:rPr>
              <w:t>1.电磁环境现状监测</w:t>
            </w:r>
          </w:p>
          <w:p w14:paraId="4A5A7C87">
            <w:pPr>
              <w:pStyle w:val="10"/>
              <w:keepNext w:val="0"/>
              <w:keepLines w:val="0"/>
              <w:pageBreakBefore w:val="0"/>
              <w:widowControl w:val="0"/>
              <w:kinsoku/>
              <w:wordWrap/>
              <w:overflowPunct/>
              <w:topLinePunct w:val="0"/>
              <w:bidi w:val="0"/>
              <w:spacing w:line="520" w:lineRule="exact"/>
              <w:ind w:firstLine="480" w:firstLineChars="200"/>
              <w:textAlignment w:val="auto"/>
              <w:rPr>
                <w:rFonts w:hint="eastAsia"/>
                <w:color w:val="auto"/>
                <w:lang w:val="en-US" w:eastAsia="zh-CN"/>
              </w:rPr>
            </w:pPr>
            <w:r>
              <w:rPr>
                <w:rFonts w:hint="eastAsia"/>
                <w:color w:val="auto"/>
                <w:lang w:val="en-US" w:eastAsia="zh-CN"/>
              </w:rPr>
              <w:t>本项目委托新疆中测测试有限责任公司于2025年8月2日对输电线路及变电站工频电场强度、工频磁感应强度进行了监测。</w:t>
            </w:r>
          </w:p>
          <w:p w14:paraId="79BDC1AA">
            <w:pPr>
              <w:pStyle w:val="10"/>
              <w:keepNext w:val="0"/>
              <w:keepLines w:val="0"/>
              <w:pageBreakBefore w:val="0"/>
              <w:widowControl w:val="0"/>
              <w:kinsoku/>
              <w:wordWrap/>
              <w:overflowPunct/>
              <w:topLinePunct w:val="0"/>
              <w:bidi w:val="0"/>
              <w:spacing w:line="520" w:lineRule="exact"/>
              <w:textAlignment w:val="auto"/>
              <w:rPr>
                <w:rFonts w:hint="eastAsia"/>
                <w:b/>
                <w:bCs/>
                <w:color w:val="auto"/>
                <w:lang w:val="en-US" w:eastAsia="zh-CN"/>
              </w:rPr>
            </w:pPr>
            <w:r>
              <w:rPr>
                <w:rFonts w:hint="eastAsia"/>
                <w:b/>
                <w:bCs/>
                <w:color w:val="auto"/>
                <w:lang w:val="en-US" w:eastAsia="zh-CN"/>
              </w:rPr>
              <w:t>2、监测内容</w:t>
            </w:r>
          </w:p>
          <w:p w14:paraId="5A609618">
            <w:pPr>
              <w:pStyle w:val="10"/>
              <w:keepNext w:val="0"/>
              <w:keepLines w:val="0"/>
              <w:pageBreakBefore w:val="0"/>
              <w:widowControl w:val="0"/>
              <w:kinsoku/>
              <w:wordWrap/>
              <w:overflowPunct/>
              <w:topLinePunct w:val="0"/>
              <w:bidi w:val="0"/>
              <w:spacing w:line="520" w:lineRule="exact"/>
              <w:textAlignment w:val="auto"/>
              <w:rPr>
                <w:rFonts w:hint="default"/>
                <w:color w:val="auto"/>
                <w:lang w:val="en-US" w:eastAsia="zh-CN"/>
              </w:rPr>
            </w:pPr>
            <w:r>
              <w:rPr>
                <w:rFonts w:hint="eastAsia"/>
                <w:color w:val="auto"/>
                <w:lang w:val="en-US" w:eastAsia="zh-CN"/>
              </w:rPr>
              <w:t>工频电场强度、工频磁感应强度</w:t>
            </w:r>
          </w:p>
          <w:p w14:paraId="44D281AE">
            <w:pPr>
              <w:pStyle w:val="10"/>
              <w:keepNext w:val="0"/>
              <w:keepLines w:val="0"/>
              <w:pageBreakBefore w:val="0"/>
              <w:widowControl w:val="0"/>
              <w:kinsoku/>
              <w:wordWrap/>
              <w:overflowPunct/>
              <w:topLinePunct w:val="0"/>
              <w:bidi w:val="0"/>
              <w:spacing w:line="520" w:lineRule="exact"/>
              <w:textAlignment w:val="auto"/>
              <w:rPr>
                <w:rFonts w:hint="eastAsia"/>
                <w:b/>
                <w:bCs/>
                <w:color w:val="auto"/>
                <w:lang w:val="en-US" w:eastAsia="zh-CN"/>
              </w:rPr>
            </w:pPr>
            <w:r>
              <w:rPr>
                <w:rFonts w:hint="eastAsia"/>
                <w:b/>
                <w:bCs/>
                <w:color w:val="auto"/>
                <w:lang w:val="en-US" w:eastAsia="zh-CN"/>
              </w:rPr>
              <w:t>3、 监测方法</w:t>
            </w:r>
          </w:p>
          <w:p w14:paraId="5CD99353">
            <w:pPr>
              <w:pStyle w:val="10"/>
              <w:keepNext w:val="0"/>
              <w:keepLines w:val="0"/>
              <w:pageBreakBefore w:val="0"/>
              <w:widowControl w:val="0"/>
              <w:kinsoku/>
              <w:wordWrap/>
              <w:overflowPunct/>
              <w:topLinePunct w:val="0"/>
              <w:bidi w:val="0"/>
              <w:spacing w:line="520" w:lineRule="exact"/>
              <w:textAlignment w:val="auto"/>
              <w:rPr>
                <w:rFonts w:hint="eastAsia"/>
                <w:color w:val="auto"/>
                <w:lang w:val="en-US" w:eastAsia="zh-CN"/>
              </w:rPr>
            </w:pPr>
            <w:r>
              <w:rPr>
                <w:rFonts w:hint="eastAsia"/>
                <w:color w:val="auto"/>
                <w:lang w:val="en-US" w:eastAsia="zh-CN"/>
              </w:rPr>
              <w:t>《交流输变电工程电磁环境监测方法（试行）》（HJ681-2013）。</w:t>
            </w:r>
          </w:p>
          <w:p w14:paraId="1AFE9A04">
            <w:pPr>
              <w:pStyle w:val="10"/>
              <w:keepNext w:val="0"/>
              <w:keepLines w:val="0"/>
              <w:pageBreakBefore w:val="0"/>
              <w:widowControl w:val="0"/>
              <w:kinsoku/>
              <w:wordWrap/>
              <w:overflowPunct/>
              <w:topLinePunct w:val="0"/>
              <w:bidi w:val="0"/>
              <w:spacing w:line="520" w:lineRule="exact"/>
              <w:textAlignment w:val="auto"/>
              <w:rPr>
                <w:rFonts w:hint="default"/>
                <w:b/>
                <w:bCs/>
                <w:color w:val="auto"/>
                <w:lang w:val="en-US" w:eastAsia="zh-CN"/>
              </w:rPr>
            </w:pPr>
            <w:r>
              <w:rPr>
                <w:rFonts w:hint="eastAsia"/>
                <w:b/>
                <w:bCs/>
                <w:color w:val="auto"/>
                <w:lang w:val="en-US" w:eastAsia="zh-CN"/>
              </w:rPr>
              <w:t>4、监测结果</w:t>
            </w:r>
          </w:p>
          <w:p w14:paraId="65057C29">
            <w:pPr>
              <w:pStyle w:val="10"/>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color w:val="auto"/>
                <w:lang w:val="en-US" w:eastAsia="zh-CN"/>
              </w:rPr>
            </w:pPr>
            <w:r>
              <w:rPr>
                <w:rFonts w:hint="eastAsia"/>
                <w:color w:val="auto"/>
                <w:lang w:val="en-US" w:eastAsia="zh-CN"/>
              </w:rPr>
              <w:t>工频电场强度、工频磁感应强度监测结果见下表。</w:t>
            </w:r>
          </w:p>
          <w:p w14:paraId="00BFAACA">
            <w:pPr>
              <w:pStyle w:val="10"/>
              <w:keepNext w:val="0"/>
              <w:keepLines w:val="0"/>
              <w:pageBreakBefore w:val="0"/>
              <w:widowControl w:val="0"/>
              <w:kinsoku/>
              <w:wordWrap/>
              <w:overflowPunct/>
              <w:topLinePunct w:val="0"/>
              <w:autoSpaceDE/>
              <w:autoSpaceDN/>
              <w:bidi w:val="0"/>
              <w:adjustRightInd/>
              <w:snapToGrid/>
              <w:spacing w:line="520" w:lineRule="exact"/>
              <w:ind w:left="0" w:leftChars="0" w:firstLine="0" w:firstLineChars="0"/>
              <w:jc w:val="center"/>
              <w:textAlignment w:val="auto"/>
              <w:rPr>
                <w:rFonts w:hint="default"/>
                <w:b/>
                <w:bCs/>
                <w:color w:val="auto"/>
                <w:lang w:val="en-US" w:eastAsia="zh-CN"/>
              </w:rPr>
            </w:pPr>
            <w:r>
              <w:rPr>
                <w:rFonts w:hint="eastAsia"/>
                <w:b/>
                <w:bCs/>
                <w:color w:val="auto"/>
                <w:lang w:val="en-US" w:eastAsia="zh-CN"/>
              </w:rPr>
              <w:t>表3-6     工频电场强度、工频磁感应强度监测结果一览表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3077"/>
              <w:gridCol w:w="2165"/>
              <w:gridCol w:w="2184"/>
              <w:gridCol w:w="5"/>
            </w:tblGrid>
            <w:tr w14:paraId="23025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4" w:hRule="atLeast"/>
                <w:jc w:val="center"/>
              </w:trPr>
              <w:tc>
                <w:tcPr>
                  <w:tcW w:w="416" w:type="pct"/>
                  <w:vMerge w:val="restart"/>
                  <w:noWrap w:val="0"/>
                  <w:vAlign w:val="center"/>
                </w:tcPr>
                <w:p w14:paraId="6F360939">
                  <w:pPr>
                    <w:pStyle w:val="35"/>
                    <w:bidi w:val="0"/>
                    <w:rPr>
                      <w:rFonts w:hint="default"/>
                      <w:color w:val="auto"/>
                      <w:lang w:val="en-US" w:eastAsia="zh-CN"/>
                    </w:rPr>
                  </w:pPr>
                  <w:r>
                    <w:rPr>
                      <w:rFonts w:hint="default"/>
                      <w:color w:val="auto"/>
                      <w:lang w:val="en-US" w:eastAsia="zh-CN"/>
                    </w:rPr>
                    <w:t>序号</w:t>
                  </w:r>
                </w:p>
              </w:tc>
              <w:tc>
                <w:tcPr>
                  <w:tcW w:w="1897" w:type="pct"/>
                  <w:vMerge w:val="restart"/>
                  <w:noWrap w:val="0"/>
                  <w:vAlign w:val="center"/>
                </w:tcPr>
                <w:p w14:paraId="48D31398">
                  <w:pPr>
                    <w:pStyle w:val="35"/>
                    <w:bidi w:val="0"/>
                    <w:rPr>
                      <w:rFonts w:hint="default"/>
                      <w:color w:val="auto"/>
                      <w:lang w:eastAsia="zh-CN"/>
                    </w:rPr>
                  </w:pPr>
                  <w:r>
                    <w:rPr>
                      <w:rFonts w:hint="default"/>
                      <w:color w:val="auto"/>
                      <w:lang w:eastAsia="zh-CN"/>
                    </w:rPr>
                    <w:t>检测点位</w:t>
                  </w:r>
                </w:p>
              </w:tc>
              <w:tc>
                <w:tcPr>
                  <w:tcW w:w="2685" w:type="pct"/>
                  <w:gridSpan w:val="3"/>
                  <w:noWrap w:val="0"/>
                  <w:vAlign w:val="center"/>
                </w:tcPr>
                <w:p w14:paraId="195B717D">
                  <w:pPr>
                    <w:pStyle w:val="35"/>
                    <w:bidi w:val="0"/>
                    <w:rPr>
                      <w:rFonts w:hint="default"/>
                      <w:color w:val="auto"/>
                      <w:lang w:eastAsia="zh-CN"/>
                    </w:rPr>
                  </w:pPr>
                  <w:r>
                    <w:rPr>
                      <w:rFonts w:hint="default"/>
                      <w:color w:val="auto"/>
                      <w:lang w:eastAsia="zh-CN"/>
                    </w:rPr>
                    <w:t>检测结果</w:t>
                  </w:r>
                </w:p>
              </w:tc>
            </w:tr>
            <w:tr w14:paraId="3723E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16" w:type="pct"/>
                  <w:vMerge w:val="continue"/>
                  <w:noWrap w:val="0"/>
                  <w:vAlign w:val="center"/>
                </w:tcPr>
                <w:p w14:paraId="6FB8A365">
                  <w:pPr>
                    <w:pStyle w:val="35"/>
                    <w:bidi w:val="0"/>
                    <w:rPr>
                      <w:rFonts w:hint="default"/>
                      <w:color w:val="auto"/>
                      <w:lang w:val="en-US" w:eastAsia="zh-CN"/>
                    </w:rPr>
                  </w:pPr>
                </w:p>
              </w:tc>
              <w:tc>
                <w:tcPr>
                  <w:tcW w:w="1897" w:type="pct"/>
                  <w:vMerge w:val="continue"/>
                  <w:noWrap w:val="0"/>
                  <w:vAlign w:val="center"/>
                </w:tcPr>
                <w:p w14:paraId="561DA09E">
                  <w:pPr>
                    <w:pStyle w:val="35"/>
                    <w:bidi w:val="0"/>
                    <w:rPr>
                      <w:rFonts w:hint="default"/>
                      <w:color w:val="auto"/>
                      <w:lang w:eastAsia="zh-CN"/>
                    </w:rPr>
                  </w:pPr>
                </w:p>
              </w:tc>
              <w:tc>
                <w:tcPr>
                  <w:tcW w:w="1335" w:type="pct"/>
                  <w:noWrap w:val="0"/>
                  <w:vAlign w:val="center"/>
                </w:tcPr>
                <w:p w14:paraId="323B791B">
                  <w:pPr>
                    <w:pStyle w:val="35"/>
                    <w:bidi w:val="0"/>
                    <w:rPr>
                      <w:rFonts w:hint="default"/>
                      <w:color w:val="auto"/>
                      <w:lang w:eastAsia="zh-CN"/>
                    </w:rPr>
                  </w:pPr>
                  <w:r>
                    <w:rPr>
                      <w:rFonts w:hint="default"/>
                      <w:color w:val="auto"/>
                      <w:lang w:eastAsia="zh-CN"/>
                    </w:rPr>
                    <w:t>工频电场强度（</w:t>
                  </w:r>
                  <w:r>
                    <w:rPr>
                      <w:rFonts w:hint="default"/>
                      <w:color w:val="auto"/>
                      <w:lang w:val="en-US" w:eastAsia="zh-CN"/>
                    </w:rPr>
                    <w:t>V/m</w:t>
                  </w:r>
                  <w:r>
                    <w:rPr>
                      <w:rFonts w:hint="default"/>
                      <w:color w:val="auto"/>
                      <w:lang w:eastAsia="zh-CN"/>
                    </w:rPr>
                    <w:t>）</w:t>
                  </w:r>
                </w:p>
              </w:tc>
              <w:tc>
                <w:tcPr>
                  <w:tcW w:w="1350" w:type="pct"/>
                  <w:gridSpan w:val="2"/>
                  <w:noWrap w:val="0"/>
                  <w:vAlign w:val="center"/>
                </w:tcPr>
                <w:p w14:paraId="40708691">
                  <w:pPr>
                    <w:pStyle w:val="35"/>
                    <w:bidi w:val="0"/>
                    <w:rPr>
                      <w:rFonts w:hint="default"/>
                      <w:color w:val="auto"/>
                      <w:lang w:eastAsia="zh-CN"/>
                    </w:rPr>
                  </w:pPr>
                  <w:r>
                    <w:rPr>
                      <w:rFonts w:hint="default"/>
                      <w:color w:val="auto"/>
                      <w:lang w:eastAsia="zh-CN"/>
                    </w:rPr>
                    <w:t>工频磁感应强度（μ</w:t>
                  </w:r>
                  <w:r>
                    <w:rPr>
                      <w:rFonts w:hint="default"/>
                      <w:color w:val="auto"/>
                      <w:lang w:val="en-US" w:eastAsia="zh-CN"/>
                    </w:rPr>
                    <w:t>T</w:t>
                  </w:r>
                  <w:r>
                    <w:rPr>
                      <w:rFonts w:hint="default"/>
                      <w:color w:val="auto"/>
                      <w:lang w:eastAsia="zh-CN"/>
                    </w:rPr>
                    <w:t>）</w:t>
                  </w:r>
                </w:p>
              </w:tc>
            </w:tr>
            <w:tr w14:paraId="4573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90" w:hRule="atLeast"/>
                <w:jc w:val="center"/>
              </w:trPr>
              <w:tc>
                <w:tcPr>
                  <w:tcW w:w="416" w:type="pct"/>
                  <w:noWrap w:val="0"/>
                  <w:vAlign w:val="center"/>
                </w:tcPr>
                <w:p w14:paraId="3FB5B462">
                  <w:pPr>
                    <w:pStyle w:val="35"/>
                    <w:bidi w:val="0"/>
                    <w:rPr>
                      <w:rFonts w:hint="default"/>
                      <w:color w:val="auto"/>
                      <w:lang w:val="en-US" w:eastAsia="zh-CN"/>
                    </w:rPr>
                  </w:pPr>
                  <w:r>
                    <w:rPr>
                      <w:rFonts w:hint="default"/>
                      <w:color w:val="auto"/>
                      <w:lang w:val="en-US" w:eastAsia="zh-CN"/>
                    </w:rPr>
                    <w:t>1</w:t>
                  </w:r>
                </w:p>
              </w:tc>
              <w:tc>
                <w:tcPr>
                  <w:tcW w:w="1897" w:type="pct"/>
                  <w:noWrap w:val="0"/>
                  <w:vAlign w:val="center"/>
                </w:tcPr>
                <w:p w14:paraId="743CD9A4">
                  <w:pPr>
                    <w:pStyle w:val="43"/>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color w:val="auto"/>
                      <w:lang w:val="en-US" w:eastAsia="zh-CN"/>
                    </w:rPr>
                  </w:pPr>
                  <w:r>
                    <w:rPr>
                      <w:rFonts w:hint="eastAsia"/>
                      <w:color w:val="auto"/>
                      <w:lang w:val="en-US" w:eastAsia="zh-CN"/>
                    </w:rPr>
                    <w:t>1#（输变电线路路径E1）</w:t>
                  </w:r>
                </w:p>
              </w:tc>
              <w:tc>
                <w:tcPr>
                  <w:tcW w:w="1335" w:type="pct"/>
                  <w:noWrap w:val="0"/>
                  <w:vAlign w:val="center"/>
                </w:tcPr>
                <w:p w14:paraId="03300AC2">
                  <w:pPr>
                    <w:pStyle w:val="35"/>
                    <w:bidi w:val="0"/>
                    <w:rPr>
                      <w:rFonts w:hint="default"/>
                      <w:color w:val="auto"/>
                      <w:lang w:val="en-US" w:eastAsia="zh-CN"/>
                    </w:rPr>
                  </w:pPr>
                  <w:r>
                    <w:rPr>
                      <w:rFonts w:hint="eastAsia"/>
                      <w:color w:val="auto"/>
                      <w:lang w:val="en-US" w:eastAsia="zh-CN"/>
                    </w:rPr>
                    <w:t>0.157</w:t>
                  </w:r>
                </w:p>
              </w:tc>
              <w:tc>
                <w:tcPr>
                  <w:tcW w:w="1347" w:type="pct"/>
                  <w:noWrap w:val="0"/>
                  <w:vAlign w:val="center"/>
                </w:tcPr>
                <w:p w14:paraId="02FC9950">
                  <w:pPr>
                    <w:pStyle w:val="35"/>
                    <w:bidi w:val="0"/>
                    <w:rPr>
                      <w:rFonts w:hint="default"/>
                      <w:color w:val="auto"/>
                      <w:lang w:val="en-US" w:eastAsia="zh-CN"/>
                    </w:rPr>
                  </w:pPr>
                  <w:r>
                    <w:rPr>
                      <w:rFonts w:hint="eastAsia"/>
                      <w:color w:val="auto"/>
                      <w:lang w:val="en-US" w:eastAsia="zh-CN"/>
                    </w:rPr>
                    <w:t>0.497</w:t>
                  </w:r>
                </w:p>
              </w:tc>
            </w:tr>
            <w:tr w14:paraId="09DF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90" w:hRule="atLeast"/>
                <w:jc w:val="center"/>
              </w:trPr>
              <w:tc>
                <w:tcPr>
                  <w:tcW w:w="416" w:type="pct"/>
                  <w:noWrap w:val="0"/>
                  <w:vAlign w:val="center"/>
                </w:tcPr>
                <w:p w14:paraId="220949ED">
                  <w:pPr>
                    <w:pStyle w:val="35"/>
                    <w:bidi w:val="0"/>
                    <w:rPr>
                      <w:rFonts w:hint="default"/>
                      <w:color w:val="auto"/>
                      <w:lang w:val="en-US" w:eastAsia="zh-CN"/>
                    </w:rPr>
                  </w:pPr>
                  <w:r>
                    <w:rPr>
                      <w:rFonts w:hint="eastAsia"/>
                      <w:color w:val="auto"/>
                      <w:lang w:val="en-US" w:eastAsia="zh-CN"/>
                    </w:rPr>
                    <w:t>2</w:t>
                  </w:r>
                </w:p>
              </w:tc>
              <w:tc>
                <w:tcPr>
                  <w:tcW w:w="1897" w:type="pct"/>
                  <w:noWrap w:val="0"/>
                  <w:vAlign w:val="center"/>
                </w:tcPr>
                <w:p w14:paraId="13E4FDBC">
                  <w:pPr>
                    <w:pStyle w:val="43"/>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color w:val="auto"/>
                      <w:lang w:val="en-US" w:eastAsia="zh-CN"/>
                    </w:rPr>
                  </w:pPr>
                  <w:r>
                    <w:rPr>
                      <w:rFonts w:hint="eastAsia"/>
                      <w:color w:val="auto"/>
                      <w:lang w:val="en-US" w:eastAsia="zh-CN"/>
                    </w:rPr>
                    <w:t>2#（输变电线路路径E2）</w:t>
                  </w:r>
                </w:p>
              </w:tc>
              <w:tc>
                <w:tcPr>
                  <w:tcW w:w="1335" w:type="pct"/>
                  <w:noWrap w:val="0"/>
                  <w:vAlign w:val="center"/>
                </w:tcPr>
                <w:p w14:paraId="3BE6AC37">
                  <w:pPr>
                    <w:pStyle w:val="35"/>
                    <w:bidi w:val="0"/>
                    <w:rPr>
                      <w:rFonts w:hint="default"/>
                      <w:color w:val="auto"/>
                      <w:lang w:val="en-US" w:eastAsia="zh-CN"/>
                    </w:rPr>
                  </w:pPr>
                  <w:r>
                    <w:rPr>
                      <w:rFonts w:hint="eastAsia"/>
                      <w:color w:val="auto"/>
                      <w:lang w:val="en-US" w:eastAsia="zh-CN"/>
                    </w:rPr>
                    <w:t>0.157</w:t>
                  </w:r>
                </w:p>
              </w:tc>
              <w:tc>
                <w:tcPr>
                  <w:tcW w:w="1347" w:type="pct"/>
                  <w:noWrap w:val="0"/>
                  <w:vAlign w:val="center"/>
                </w:tcPr>
                <w:p w14:paraId="0A43C330">
                  <w:pPr>
                    <w:pStyle w:val="35"/>
                    <w:bidi w:val="0"/>
                    <w:rPr>
                      <w:rFonts w:hint="default"/>
                      <w:color w:val="auto"/>
                      <w:lang w:val="en-US" w:eastAsia="zh-CN"/>
                    </w:rPr>
                  </w:pPr>
                  <w:r>
                    <w:rPr>
                      <w:rFonts w:hint="eastAsia"/>
                      <w:color w:val="auto"/>
                      <w:lang w:val="en-US" w:eastAsia="zh-CN"/>
                    </w:rPr>
                    <w:t>0.508</w:t>
                  </w:r>
                </w:p>
              </w:tc>
            </w:tr>
            <w:tr w14:paraId="51AD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128" w:hRule="atLeast"/>
                <w:jc w:val="center"/>
              </w:trPr>
              <w:tc>
                <w:tcPr>
                  <w:tcW w:w="416" w:type="pct"/>
                  <w:noWrap w:val="0"/>
                  <w:vAlign w:val="center"/>
                </w:tcPr>
                <w:p w14:paraId="4A4B9769">
                  <w:pPr>
                    <w:pStyle w:val="35"/>
                    <w:bidi w:val="0"/>
                    <w:rPr>
                      <w:rFonts w:hint="default"/>
                      <w:color w:val="auto"/>
                      <w:lang w:val="en-US" w:eastAsia="zh-CN"/>
                    </w:rPr>
                  </w:pPr>
                  <w:r>
                    <w:rPr>
                      <w:rFonts w:hint="eastAsia"/>
                      <w:color w:val="auto"/>
                      <w:lang w:val="en-US" w:eastAsia="zh-CN"/>
                    </w:rPr>
                    <w:t>3</w:t>
                  </w:r>
                </w:p>
              </w:tc>
              <w:tc>
                <w:tcPr>
                  <w:tcW w:w="1897" w:type="pct"/>
                  <w:noWrap w:val="0"/>
                  <w:vAlign w:val="center"/>
                </w:tcPr>
                <w:p w14:paraId="2A1F1393">
                  <w:pPr>
                    <w:pStyle w:val="43"/>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color w:val="auto"/>
                      <w:lang w:val="en-US" w:eastAsia="zh-CN"/>
                    </w:rPr>
                  </w:pPr>
                  <w:r>
                    <w:rPr>
                      <w:rFonts w:hint="eastAsia"/>
                      <w:color w:val="auto"/>
                      <w:lang w:val="en-US" w:eastAsia="zh-CN"/>
                    </w:rPr>
                    <w:t>3#（220kv白干湖变电站中心）</w:t>
                  </w:r>
                </w:p>
              </w:tc>
              <w:tc>
                <w:tcPr>
                  <w:tcW w:w="1335" w:type="pct"/>
                  <w:noWrap w:val="0"/>
                  <w:vAlign w:val="center"/>
                </w:tcPr>
                <w:p w14:paraId="26E61C87">
                  <w:pPr>
                    <w:pStyle w:val="35"/>
                    <w:bidi w:val="0"/>
                    <w:rPr>
                      <w:rFonts w:hint="default"/>
                      <w:color w:val="auto"/>
                      <w:lang w:val="en-US" w:eastAsia="zh-CN"/>
                    </w:rPr>
                  </w:pPr>
                  <w:r>
                    <w:rPr>
                      <w:rFonts w:hint="eastAsia"/>
                      <w:color w:val="auto"/>
                      <w:lang w:val="en-US" w:eastAsia="zh-CN"/>
                    </w:rPr>
                    <w:t>0.328</w:t>
                  </w:r>
                </w:p>
              </w:tc>
              <w:tc>
                <w:tcPr>
                  <w:tcW w:w="1347" w:type="pct"/>
                  <w:noWrap w:val="0"/>
                  <w:vAlign w:val="center"/>
                </w:tcPr>
                <w:p w14:paraId="4353D368">
                  <w:pPr>
                    <w:pStyle w:val="35"/>
                    <w:bidi w:val="0"/>
                    <w:rPr>
                      <w:rFonts w:hint="default"/>
                      <w:color w:val="auto"/>
                      <w:lang w:val="en-US" w:eastAsia="zh-CN"/>
                    </w:rPr>
                  </w:pPr>
                  <w:r>
                    <w:rPr>
                      <w:rFonts w:hint="eastAsia"/>
                      <w:color w:val="auto"/>
                      <w:lang w:val="en-US" w:eastAsia="zh-CN"/>
                    </w:rPr>
                    <w:t>0.613</w:t>
                  </w:r>
                </w:p>
              </w:tc>
            </w:tr>
            <w:tr w14:paraId="10A9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128" w:hRule="atLeast"/>
                <w:jc w:val="center"/>
              </w:trPr>
              <w:tc>
                <w:tcPr>
                  <w:tcW w:w="416" w:type="pct"/>
                  <w:noWrap w:val="0"/>
                  <w:vAlign w:val="center"/>
                </w:tcPr>
                <w:p w14:paraId="78837134">
                  <w:pPr>
                    <w:pStyle w:val="35"/>
                    <w:bidi w:val="0"/>
                    <w:rPr>
                      <w:rFonts w:hint="default"/>
                      <w:color w:val="auto"/>
                      <w:lang w:val="en-US" w:eastAsia="zh-CN"/>
                    </w:rPr>
                  </w:pPr>
                  <w:r>
                    <w:rPr>
                      <w:rFonts w:hint="eastAsia"/>
                      <w:color w:val="auto"/>
                      <w:lang w:val="en-US" w:eastAsia="zh-CN"/>
                    </w:rPr>
                    <w:t>4</w:t>
                  </w:r>
                </w:p>
              </w:tc>
              <w:tc>
                <w:tcPr>
                  <w:tcW w:w="1897" w:type="pct"/>
                  <w:noWrap w:val="0"/>
                  <w:vAlign w:val="center"/>
                </w:tcPr>
                <w:p w14:paraId="015677BF">
                  <w:pPr>
                    <w:pStyle w:val="43"/>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color w:val="auto"/>
                      <w:lang w:val="en-US" w:eastAsia="zh-CN"/>
                    </w:rPr>
                  </w:pPr>
                  <w:r>
                    <w:rPr>
                      <w:rFonts w:hint="eastAsia"/>
                      <w:color w:val="auto"/>
                      <w:lang w:val="en-US" w:eastAsia="zh-CN"/>
                    </w:rPr>
                    <w:t>4#（拟建110kv南部矿区变电站中心点）</w:t>
                  </w:r>
                </w:p>
              </w:tc>
              <w:tc>
                <w:tcPr>
                  <w:tcW w:w="1335" w:type="pct"/>
                  <w:noWrap w:val="0"/>
                  <w:vAlign w:val="center"/>
                </w:tcPr>
                <w:p w14:paraId="3DC2BE8F">
                  <w:pPr>
                    <w:pStyle w:val="35"/>
                    <w:bidi w:val="0"/>
                    <w:rPr>
                      <w:rFonts w:hint="default"/>
                      <w:color w:val="auto"/>
                      <w:lang w:val="en-US" w:eastAsia="zh-CN"/>
                    </w:rPr>
                  </w:pPr>
                  <w:r>
                    <w:rPr>
                      <w:rFonts w:hint="eastAsia"/>
                      <w:color w:val="auto"/>
                      <w:lang w:val="en-US" w:eastAsia="zh-CN"/>
                    </w:rPr>
                    <w:t>0.355</w:t>
                  </w:r>
                </w:p>
              </w:tc>
              <w:tc>
                <w:tcPr>
                  <w:tcW w:w="1347" w:type="pct"/>
                  <w:noWrap w:val="0"/>
                  <w:vAlign w:val="center"/>
                </w:tcPr>
                <w:p w14:paraId="4A2D4062">
                  <w:pPr>
                    <w:pStyle w:val="35"/>
                    <w:bidi w:val="0"/>
                    <w:rPr>
                      <w:rFonts w:hint="default"/>
                      <w:color w:val="auto"/>
                      <w:lang w:val="en-US" w:eastAsia="zh-CN"/>
                    </w:rPr>
                  </w:pPr>
                  <w:r>
                    <w:rPr>
                      <w:rFonts w:hint="eastAsia"/>
                      <w:color w:val="auto"/>
                      <w:lang w:val="en-US" w:eastAsia="zh-CN"/>
                    </w:rPr>
                    <w:t>0.518</w:t>
                  </w:r>
                </w:p>
              </w:tc>
            </w:tr>
            <w:tr w14:paraId="06463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128" w:hRule="atLeast"/>
                <w:jc w:val="center"/>
              </w:trPr>
              <w:tc>
                <w:tcPr>
                  <w:tcW w:w="2314" w:type="pct"/>
                  <w:gridSpan w:val="2"/>
                  <w:noWrap w:val="0"/>
                  <w:vAlign w:val="center"/>
                </w:tcPr>
                <w:p w14:paraId="758E7096">
                  <w:pPr>
                    <w:pStyle w:val="43"/>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color w:val="auto"/>
                      <w:lang w:val="en-US" w:eastAsia="zh-CN"/>
                    </w:rPr>
                  </w:pPr>
                  <w:r>
                    <w:rPr>
                      <w:rFonts w:hint="eastAsia"/>
                      <w:color w:val="auto"/>
                      <w:lang w:val="en-US" w:eastAsia="zh-CN"/>
                    </w:rPr>
                    <w:t>限值要求</w:t>
                  </w:r>
                </w:p>
              </w:tc>
              <w:tc>
                <w:tcPr>
                  <w:tcW w:w="1335" w:type="pct"/>
                  <w:noWrap w:val="0"/>
                  <w:vAlign w:val="center"/>
                </w:tcPr>
                <w:p w14:paraId="0EAFC20B">
                  <w:pPr>
                    <w:pStyle w:val="35"/>
                    <w:bidi w:val="0"/>
                    <w:rPr>
                      <w:rFonts w:hint="default"/>
                      <w:color w:val="auto"/>
                      <w:lang w:val="en-US" w:eastAsia="zh-CN"/>
                    </w:rPr>
                  </w:pPr>
                  <w:r>
                    <w:rPr>
                      <w:rFonts w:hint="eastAsia"/>
                      <w:color w:val="auto"/>
                      <w:lang w:val="en-US" w:eastAsia="zh-CN"/>
                    </w:rPr>
                    <w:t>≤4000</w:t>
                  </w:r>
                </w:p>
              </w:tc>
              <w:tc>
                <w:tcPr>
                  <w:tcW w:w="1347" w:type="pct"/>
                  <w:noWrap w:val="0"/>
                  <w:vAlign w:val="center"/>
                </w:tcPr>
                <w:p w14:paraId="4A8F26FE">
                  <w:pPr>
                    <w:pStyle w:val="35"/>
                    <w:bidi w:val="0"/>
                    <w:rPr>
                      <w:rFonts w:hint="default"/>
                      <w:color w:val="auto"/>
                      <w:lang w:val="en-US" w:eastAsia="zh-CN"/>
                    </w:rPr>
                  </w:pPr>
                  <w:r>
                    <w:rPr>
                      <w:rFonts w:hint="eastAsia"/>
                      <w:color w:val="auto"/>
                      <w:lang w:val="en-US" w:eastAsia="zh-CN"/>
                    </w:rPr>
                    <w:t>≤100</w:t>
                  </w:r>
                </w:p>
              </w:tc>
            </w:tr>
            <w:tr w14:paraId="35161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128" w:hRule="atLeast"/>
                <w:jc w:val="center"/>
              </w:trPr>
              <w:tc>
                <w:tcPr>
                  <w:tcW w:w="4996" w:type="pct"/>
                  <w:gridSpan w:val="4"/>
                  <w:noWrap w:val="0"/>
                  <w:vAlign w:val="center"/>
                </w:tcPr>
                <w:p w14:paraId="0C6CE2A7">
                  <w:pPr>
                    <w:pStyle w:val="35"/>
                    <w:bidi w:val="0"/>
                    <w:ind w:firstLine="0" w:firstLineChars="0"/>
                    <w:jc w:val="center"/>
                    <w:rPr>
                      <w:rFonts w:hint="eastAsia"/>
                      <w:color w:val="auto"/>
                      <w:lang w:val="en-US" w:eastAsia="zh-CN"/>
                    </w:rPr>
                  </w:pPr>
                  <w:r>
                    <w:rPr>
                      <w:rFonts w:hint="eastAsia"/>
                      <w:color w:val="auto"/>
                      <w:lang w:val="en-US" w:eastAsia="zh-CN"/>
                    </w:rPr>
                    <w:t>采样方法及依据：《交流输变电工程电磁环境监测方法（试行）》（HJ 681-2013）；所用仪器</w:t>
                  </w:r>
                </w:p>
                <w:p w14:paraId="04719D33">
                  <w:pPr>
                    <w:pStyle w:val="35"/>
                    <w:autoSpaceDE/>
                    <w:autoSpaceDN/>
                    <w:bidi w:val="0"/>
                    <w:ind w:firstLine="420" w:firstLineChars="200"/>
                    <w:rPr>
                      <w:rFonts w:hint="default"/>
                      <w:color w:val="auto"/>
                      <w:lang w:val="en-US" w:eastAsia="zh-CN"/>
                    </w:rPr>
                  </w:pPr>
                  <w:r>
                    <w:rPr>
                      <w:rFonts w:hint="eastAsia"/>
                      <w:color w:val="auto"/>
                      <w:lang w:val="en-US" w:eastAsia="zh-CN"/>
                    </w:rPr>
                    <w:t>GY-550L电磁辐射分析仪：XJZC445。</w:t>
                  </w:r>
                </w:p>
              </w:tc>
            </w:tr>
          </w:tbl>
          <w:p w14:paraId="57FF7CE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Calibri" w:hAnsi="Calibri" w:eastAsia="宋体" w:cs="Calibri"/>
                <w:color w:val="auto"/>
                <w:sz w:val="24"/>
                <w:szCs w:val="24"/>
                <w:lang w:val="en-US" w:eastAsia="zh-CN"/>
              </w:rPr>
            </w:pPr>
            <w:r>
              <w:rPr>
                <w:rFonts w:hint="default" w:ascii="Calibri" w:hAnsi="Calibri" w:eastAsia="宋体" w:cs="Calibri"/>
                <w:color w:val="auto"/>
                <w:sz w:val="24"/>
                <w:szCs w:val="24"/>
                <w:lang w:val="en-US" w:eastAsia="zh-CN"/>
              </w:rPr>
              <w:t>监测结果表明：</w:t>
            </w:r>
            <w:r>
              <w:rPr>
                <w:rFonts w:hint="default" w:ascii="Calibri" w:hAnsi="Calibri" w:cs="Calibri"/>
                <w:color w:val="auto"/>
                <w:sz w:val="24"/>
                <w:szCs w:val="24"/>
                <w:lang w:val="en-US" w:eastAsia="zh-CN"/>
              </w:rPr>
              <w:t>输电线路和</w:t>
            </w:r>
            <w:r>
              <w:rPr>
                <w:rFonts w:hint="eastAsia" w:ascii="Calibri" w:hAnsi="Calibri" w:cs="Calibri"/>
                <w:color w:val="auto"/>
                <w:sz w:val="24"/>
                <w:szCs w:val="24"/>
                <w:lang w:val="en-US" w:eastAsia="zh-CN"/>
              </w:rPr>
              <w:t>拟建</w:t>
            </w:r>
            <w:r>
              <w:rPr>
                <w:rFonts w:hint="default" w:ascii="Calibri" w:hAnsi="Calibri" w:cs="Calibri"/>
                <w:color w:val="auto"/>
                <w:sz w:val="24"/>
                <w:szCs w:val="24"/>
                <w:lang w:val="en-US" w:eastAsia="zh-CN"/>
              </w:rPr>
              <w:t>变电站的</w:t>
            </w:r>
            <w:r>
              <w:rPr>
                <w:rFonts w:hint="default" w:ascii="Calibri" w:hAnsi="Calibri" w:eastAsia="宋体" w:cs="Calibri"/>
                <w:color w:val="auto"/>
                <w:sz w:val="24"/>
                <w:szCs w:val="24"/>
                <w:lang w:val="en-US" w:eastAsia="zh-CN"/>
              </w:rPr>
              <w:t>工频电场强度</w:t>
            </w:r>
            <w:r>
              <w:rPr>
                <w:rFonts w:hint="default" w:ascii="Calibri" w:hAnsi="Calibri" w:cs="Calibri"/>
                <w:color w:val="auto"/>
                <w:sz w:val="24"/>
                <w:szCs w:val="24"/>
                <w:lang w:val="en-US" w:eastAsia="zh-CN"/>
              </w:rPr>
              <w:t>、工频磁感应强度</w:t>
            </w:r>
            <w:r>
              <w:rPr>
                <w:rFonts w:hint="default" w:ascii="Calibri" w:hAnsi="Calibri" w:eastAsia="宋体" w:cs="Calibri"/>
                <w:color w:val="auto"/>
                <w:sz w:val="24"/>
                <w:szCs w:val="24"/>
                <w:lang w:val="en-US" w:eastAsia="zh-CN"/>
              </w:rPr>
              <w:t>均小于《电磁环境控制限值》（GB8702-2014）中规定的4000V/m和100μT的公众曝露控制限值。项目所在区域的工频电场强度</w:t>
            </w:r>
            <w:r>
              <w:rPr>
                <w:rFonts w:hint="default" w:ascii="Calibri" w:hAnsi="Calibri" w:cs="Calibri"/>
                <w:color w:val="auto"/>
                <w:sz w:val="24"/>
                <w:szCs w:val="24"/>
                <w:lang w:val="en-US" w:eastAsia="zh-CN"/>
              </w:rPr>
              <w:t>、工频磁感应强度</w:t>
            </w:r>
            <w:r>
              <w:rPr>
                <w:rFonts w:hint="default" w:ascii="Calibri" w:hAnsi="Calibri" w:eastAsia="宋体" w:cs="Calibri"/>
                <w:color w:val="auto"/>
                <w:sz w:val="24"/>
                <w:szCs w:val="24"/>
                <w:lang w:val="en-US" w:eastAsia="zh-CN"/>
              </w:rPr>
              <w:t>均符合国家相关标准和规范要求，电磁环境质量良好。</w:t>
            </w:r>
          </w:p>
          <w:p w14:paraId="4562E1A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宋体" w:hAnsi="宋体" w:eastAsia="宋体" w:cs="宋体"/>
                <w:color w:val="auto"/>
                <w:sz w:val="24"/>
                <w:szCs w:val="24"/>
                <w:lang w:val="en-US" w:eastAsia="zh-CN"/>
              </w:rPr>
            </w:pPr>
          </w:p>
          <w:p w14:paraId="6F1D5B9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宋体" w:hAnsi="宋体" w:eastAsia="宋体" w:cs="宋体"/>
                <w:color w:val="auto"/>
                <w:sz w:val="24"/>
                <w:szCs w:val="24"/>
                <w:lang w:val="en-US" w:eastAsia="zh-CN"/>
              </w:rPr>
            </w:pPr>
          </w:p>
          <w:p w14:paraId="3C8FCE0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宋体" w:hAnsi="宋体" w:eastAsia="宋体" w:cs="宋体"/>
                <w:color w:val="auto"/>
                <w:sz w:val="24"/>
                <w:szCs w:val="24"/>
                <w:lang w:val="en-US" w:eastAsia="zh-CN"/>
              </w:rPr>
            </w:pPr>
          </w:p>
          <w:p w14:paraId="18072CE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宋体" w:hAnsi="宋体" w:eastAsia="宋体" w:cs="宋体"/>
                <w:color w:val="auto"/>
                <w:sz w:val="24"/>
                <w:szCs w:val="24"/>
                <w:lang w:val="en-US" w:eastAsia="zh-CN"/>
              </w:rPr>
            </w:pPr>
          </w:p>
          <w:p w14:paraId="1EC198C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宋体" w:hAnsi="宋体" w:eastAsia="宋体" w:cs="宋体"/>
                <w:color w:val="auto"/>
                <w:sz w:val="24"/>
                <w:szCs w:val="24"/>
                <w:lang w:val="en-US" w:eastAsia="zh-CN"/>
              </w:rPr>
            </w:pPr>
          </w:p>
          <w:p w14:paraId="346FECC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宋体" w:hAnsi="宋体" w:eastAsia="宋体" w:cs="宋体"/>
                <w:color w:val="auto"/>
                <w:sz w:val="24"/>
                <w:szCs w:val="24"/>
                <w:lang w:val="en-US" w:eastAsia="zh-CN"/>
              </w:rPr>
            </w:pPr>
          </w:p>
          <w:p w14:paraId="01D3689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宋体" w:hAnsi="宋体" w:eastAsia="宋体" w:cs="宋体"/>
                <w:color w:val="auto"/>
                <w:sz w:val="24"/>
                <w:szCs w:val="24"/>
                <w:lang w:val="en-US" w:eastAsia="zh-CN"/>
              </w:rPr>
            </w:pPr>
          </w:p>
          <w:p w14:paraId="4678FB0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宋体" w:hAnsi="宋体" w:eastAsia="宋体" w:cs="宋体"/>
                <w:color w:val="auto"/>
                <w:sz w:val="24"/>
                <w:szCs w:val="24"/>
                <w:lang w:val="en-US" w:eastAsia="zh-CN"/>
              </w:rPr>
            </w:pPr>
          </w:p>
          <w:p w14:paraId="6FC6C2D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宋体" w:hAnsi="宋体" w:eastAsia="宋体" w:cs="宋体"/>
                <w:color w:val="auto"/>
                <w:sz w:val="24"/>
                <w:szCs w:val="24"/>
                <w:lang w:val="en-US" w:eastAsia="zh-CN"/>
              </w:rPr>
            </w:pPr>
          </w:p>
          <w:p w14:paraId="02294FA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宋体" w:hAnsi="宋体" w:eastAsia="宋体" w:cs="宋体"/>
                <w:color w:val="auto"/>
                <w:sz w:val="24"/>
                <w:szCs w:val="24"/>
                <w:lang w:val="en-US" w:eastAsia="zh-CN"/>
              </w:rPr>
            </w:pPr>
          </w:p>
          <w:p w14:paraId="077AB6D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default" w:ascii="宋体" w:hAnsi="宋体" w:cs="宋体"/>
                <w:color w:val="auto"/>
                <w:kern w:val="0"/>
                <w:sz w:val="24"/>
                <w:szCs w:val="24"/>
                <w:lang w:val="en-US"/>
              </w:rPr>
            </w:pPr>
            <w:r>
              <w:rPr>
                <w:rFonts w:hint="eastAsia" w:ascii="宋体" w:hAnsi="宋体" w:cs="宋体"/>
                <w:color w:val="auto"/>
                <w:sz w:val="24"/>
                <w:szCs w:val="24"/>
                <w:lang w:val="en-US" w:eastAsia="zh-CN"/>
              </w:rPr>
              <w:t xml:space="preserve"> </w:t>
            </w:r>
          </w:p>
        </w:tc>
      </w:tr>
      <w:tr w14:paraId="20EEA8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37" w:hRule="atLeast"/>
          <w:jc w:val="center"/>
        </w:trPr>
        <w:tc>
          <w:tcPr>
            <w:tcW w:w="904" w:type="dxa"/>
            <w:noWrap w:val="0"/>
            <w:vAlign w:val="center"/>
          </w:tcPr>
          <w:p w14:paraId="1EFD248B">
            <w:pPr>
              <w:adjustRightInd w:val="0"/>
              <w:snapToGrid w:val="0"/>
              <w:jc w:val="center"/>
              <w:rPr>
                <w:rFonts w:ascii="宋体" w:hAnsi="宋体" w:cs="宋体"/>
                <w:color w:val="auto"/>
                <w:kern w:val="0"/>
                <w:sz w:val="24"/>
                <w:szCs w:val="24"/>
              </w:rPr>
            </w:pPr>
            <w:r>
              <w:rPr>
                <w:rFonts w:hint="eastAsia" w:ascii="宋体" w:hAnsi="宋体"/>
                <w:bCs/>
                <w:color w:val="auto"/>
                <w:sz w:val="24"/>
                <w:szCs w:val="24"/>
              </w:rPr>
              <w:t>与项目有关的原有环境污染和生态破坏问题</w:t>
            </w:r>
          </w:p>
        </w:tc>
        <w:tc>
          <w:tcPr>
            <w:tcW w:w="8253" w:type="dxa"/>
            <w:noWrap w:val="0"/>
            <w:vAlign w:val="center"/>
          </w:tcPr>
          <w:p w14:paraId="0326042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宋体" w:hAnsi="宋体" w:eastAsia="宋体" w:cs="宋体"/>
                <w:color w:val="auto"/>
                <w:kern w:val="0"/>
                <w:sz w:val="24"/>
                <w:szCs w:val="24"/>
                <w:lang w:val="en-US" w:eastAsia="zh-CN"/>
              </w:rPr>
            </w:pPr>
            <w:r>
              <w:rPr>
                <w:rFonts w:hint="default" w:ascii="宋体" w:hAnsi="宋体" w:eastAsia="宋体" w:cs="宋体"/>
                <w:color w:val="auto"/>
                <w:kern w:val="0"/>
                <w:sz w:val="24"/>
                <w:szCs w:val="24"/>
                <w:lang w:val="en-US" w:eastAsia="zh-CN"/>
              </w:rPr>
              <w:t>本项目为新建项目，不存在与项目有关的原有环境污染和生态破坏问题。</w:t>
            </w:r>
          </w:p>
        </w:tc>
      </w:tr>
      <w:tr w14:paraId="0B6885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4" w:hRule="atLeast"/>
          <w:jc w:val="center"/>
        </w:trPr>
        <w:tc>
          <w:tcPr>
            <w:tcW w:w="904" w:type="dxa"/>
            <w:noWrap w:val="0"/>
            <w:vAlign w:val="center"/>
          </w:tcPr>
          <w:p w14:paraId="04D4E3B7">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生态环境保护目标</w:t>
            </w:r>
          </w:p>
        </w:tc>
        <w:tc>
          <w:tcPr>
            <w:tcW w:w="8253" w:type="dxa"/>
            <w:noWrap w:val="0"/>
            <w:vAlign w:val="center"/>
          </w:tcPr>
          <w:p w14:paraId="5476C255">
            <w:pPr>
              <w:pStyle w:val="10"/>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cs="宋体"/>
                <w:b/>
                <w:bCs/>
                <w:color w:val="auto"/>
                <w:sz w:val="24"/>
                <w:szCs w:val="24"/>
                <w:lang w:val="en-US" w:eastAsia="zh-CN"/>
              </w:rPr>
              <w:t>一、</w:t>
            </w:r>
            <w:r>
              <w:rPr>
                <w:rFonts w:hint="eastAsia" w:ascii="宋体" w:hAnsi="宋体" w:eastAsia="宋体" w:cs="宋体"/>
                <w:b/>
                <w:bCs/>
                <w:color w:val="auto"/>
                <w:sz w:val="24"/>
                <w:szCs w:val="24"/>
                <w:lang w:val="en-US" w:eastAsia="zh-CN"/>
              </w:rPr>
              <w:t>生态环境保护目标</w:t>
            </w:r>
          </w:p>
          <w:p w14:paraId="049D9003">
            <w:pPr>
              <w:pStyle w:val="10"/>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eastAsia="宋体" w:cs="Calibri"/>
                <w:color w:val="auto"/>
                <w:sz w:val="24"/>
                <w:szCs w:val="24"/>
                <w:lang w:val="en-US" w:eastAsia="zh-CN"/>
              </w:rPr>
            </w:pPr>
            <w:r>
              <w:rPr>
                <w:rFonts w:hint="default" w:ascii="Calibri" w:hAnsi="Calibri" w:eastAsia="宋体" w:cs="Calibri"/>
                <w:color w:val="auto"/>
                <w:sz w:val="24"/>
                <w:szCs w:val="24"/>
                <w:lang w:val="en-US" w:eastAsia="zh-CN"/>
              </w:rPr>
              <w:t>根据《环境影响评价技术导则 生态影响》（HJ 19—2022），生态保护目标是指“受影响的重要物种、生态敏感区以及其他需要保护的物种、种群、生物群落及生态空间等”。本项目评价范围内无</w:t>
            </w:r>
            <w:r>
              <w:rPr>
                <w:rFonts w:hint="eastAsia" w:ascii="Calibri" w:hAnsi="Calibri" w:eastAsia="宋体" w:cs="Calibri"/>
                <w:color w:val="auto"/>
                <w:sz w:val="24"/>
                <w:szCs w:val="24"/>
                <w:lang w:val="en-US" w:eastAsia="zh-CN"/>
              </w:rPr>
              <w:t>生态保护目标以及环境</w:t>
            </w:r>
            <w:r>
              <w:rPr>
                <w:rFonts w:hint="default" w:ascii="Calibri" w:hAnsi="Calibri" w:eastAsia="宋体" w:cs="Calibri"/>
                <w:color w:val="auto"/>
                <w:sz w:val="24"/>
                <w:szCs w:val="24"/>
                <w:lang w:val="en-US" w:eastAsia="zh-CN"/>
              </w:rPr>
              <w:t>保护目标。</w:t>
            </w:r>
          </w:p>
          <w:p w14:paraId="542FB3D6">
            <w:pPr>
              <w:pStyle w:val="10"/>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eastAsia="宋体" w:cs="Calibri"/>
                <w:color w:val="auto"/>
                <w:sz w:val="24"/>
                <w:szCs w:val="24"/>
                <w:lang w:val="en-US" w:eastAsia="zh-CN"/>
              </w:rPr>
            </w:pPr>
            <w:r>
              <w:rPr>
                <w:rFonts w:hint="default" w:ascii="Calibri" w:hAnsi="Calibri" w:cs="Calibri"/>
                <w:color w:val="auto"/>
                <w:kern w:val="0"/>
                <w:sz w:val="24"/>
                <w:szCs w:val="24"/>
                <w:lang w:val="en-US" w:eastAsia="zh-CN"/>
              </w:rPr>
              <w:t>根据《环境影响评价技术导则 输变电》（HJ 24-2020）变电站生态环境影响评价范围为站场边界或围墙外500m内；输电线路段或接地极线路段生态环境影响评价范围为线路边导线地面投影外两侧各300m内的带状区域</w:t>
            </w:r>
            <w:r>
              <w:rPr>
                <w:rFonts w:hint="eastAsia" w:ascii="Calibri" w:hAnsi="Calibri" w:cs="Calibri"/>
                <w:color w:val="auto"/>
                <w:kern w:val="0"/>
                <w:sz w:val="24"/>
                <w:szCs w:val="24"/>
                <w:lang w:val="en-US" w:eastAsia="zh-CN"/>
              </w:rPr>
              <w:t>。</w:t>
            </w:r>
            <w:r>
              <w:rPr>
                <w:rFonts w:hint="eastAsia" w:ascii="Calibri" w:hAnsi="Calibri" w:cs="Calibri"/>
                <w:color w:val="auto"/>
                <w:sz w:val="24"/>
                <w:szCs w:val="24"/>
                <w:lang w:val="en-US" w:eastAsia="zh-CN"/>
              </w:rPr>
              <w:t xml:space="preserve"> </w:t>
            </w:r>
          </w:p>
          <w:p w14:paraId="6ABAFF04">
            <w:pPr>
              <w:pStyle w:val="10"/>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Calibri" w:hAnsi="Calibri" w:eastAsia="宋体" w:cs="Calibri"/>
                <w:b/>
                <w:bCs w:val="0"/>
                <w:color w:val="auto"/>
                <w:sz w:val="24"/>
                <w:szCs w:val="24"/>
                <w:lang w:val="en-US" w:eastAsia="zh-CN"/>
              </w:rPr>
            </w:pPr>
            <w:r>
              <w:rPr>
                <w:rFonts w:hint="default" w:ascii="Calibri" w:hAnsi="Calibri" w:eastAsia="宋体" w:cs="Calibri"/>
                <w:b/>
                <w:bCs w:val="0"/>
                <w:color w:val="auto"/>
                <w:kern w:val="0"/>
                <w:sz w:val="24"/>
                <w:szCs w:val="24"/>
                <w:lang w:val="en-US" w:eastAsia="zh-CN" w:bidi="ar-SA"/>
              </w:rPr>
              <w:t>二、</w:t>
            </w:r>
            <w:r>
              <w:rPr>
                <w:rFonts w:hint="default" w:ascii="Calibri" w:hAnsi="Calibri" w:cs="Calibri"/>
                <w:b/>
                <w:bCs w:val="0"/>
                <w:color w:val="auto"/>
                <w:sz w:val="24"/>
                <w:szCs w:val="24"/>
                <w:lang w:val="en-US" w:eastAsia="zh-CN"/>
              </w:rPr>
              <w:t>环境空气保护目标</w:t>
            </w:r>
          </w:p>
          <w:p w14:paraId="1506697A">
            <w:pPr>
              <w:pStyle w:val="10"/>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eastAsia="宋体" w:cs="Calibri"/>
                <w:color w:val="auto"/>
                <w:sz w:val="24"/>
                <w:szCs w:val="24"/>
                <w:lang w:val="en-US" w:eastAsia="zh-CN"/>
              </w:rPr>
            </w:pPr>
            <w:r>
              <w:rPr>
                <w:rFonts w:hint="default" w:ascii="Calibri" w:hAnsi="Calibri" w:cs="Calibri"/>
                <w:color w:val="auto"/>
                <w:sz w:val="24"/>
                <w:szCs w:val="24"/>
                <w:lang w:val="en-US" w:eastAsia="zh-CN"/>
              </w:rPr>
              <w:t>根据《</w:t>
            </w:r>
            <w:r>
              <w:rPr>
                <w:rFonts w:hint="default" w:ascii="Calibri" w:hAnsi="Calibri" w:eastAsia="宋体" w:cs="Calibri"/>
                <w:color w:val="auto"/>
                <w:sz w:val="24"/>
                <w:szCs w:val="24"/>
                <w:lang w:val="en-US" w:eastAsia="zh-CN"/>
              </w:rPr>
              <w:t>环境影响评价技术导则</w:t>
            </w:r>
            <w:r>
              <w:rPr>
                <w:rFonts w:hint="default" w:ascii="Calibri" w:hAnsi="Calibri" w:cs="Calibri"/>
                <w:color w:val="auto"/>
                <w:sz w:val="24"/>
                <w:szCs w:val="24"/>
                <w:lang w:val="en-US" w:eastAsia="zh-CN"/>
              </w:rPr>
              <w:t xml:space="preserve"> </w:t>
            </w:r>
            <w:r>
              <w:rPr>
                <w:rFonts w:hint="default" w:ascii="Calibri" w:hAnsi="Calibri" w:eastAsia="宋体" w:cs="Calibri"/>
                <w:color w:val="auto"/>
                <w:sz w:val="24"/>
                <w:szCs w:val="24"/>
                <w:lang w:val="en-US" w:eastAsia="zh-CN"/>
              </w:rPr>
              <w:t>大气环境</w:t>
            </w:r>
            <w:r>
              <w:rPr>
                <w:rFonts w:hint="default" w:ascii="Calibri" w:hAnsi="Calibri" w:cs="Calibri"/>
                <w:color w:val="auto"/>
                <w:sz w:val="24"/>
                <w:szCs w:val="24"/>
                <w:lang w:val="en-US" w:eastAsia="zh-CN"/>
              </w:rPr>
              <w:t>》（</w:t>
            </w:r>
            <w:r>
              <w:rPr>
                <w:rFonts w:hint="default" w:ascii="Calibri" w:hAnsi="Calibri" w:eastAsia="宋体" w:cs="Calibri"/>
                <w:color w:val="auto"/>
                <w:sz w:val="24"/>
                <w:szCs w:val="24"/>
                <w:lang w:val="en-US" w:eastAsia="zh-CN"/>
              </w:rPr>
              <w:t>HJ 2.2-2018</w:t>
            </w:r>
            <w:r>
              <w:rPr>
                <w:rFonts w:hint="default" w:ascii="Calibri" w:hAnsi="Calibri" w:cs="Calibri"/>
                <w:color w:val="auto"/>
                <w:sz w:val="24"/>
                <w:szCs w:val="24"/>
                <w:lang w:val="en-US" w:eastAsia="zh-CN"/>
              </w:rPr>
              <w:t>），环境空气保护目标</w:t>
            </w:r>
            <w:r>
              <w:rPr>
                <w:rFonts w:hint="default" w:ascii="Calibri" w:hAnsi="Calibri" w:eastAsia="宋体" w:cs="Calibri"/>
                <w:i w:val="0"/>
                <w:iCs w:val="0"/>
                <w:caps w:val="0"/>
                <w:color w:val="auto"/>
                <w:spacing w:val="0"/>
                <w:sz w:val="24"/>
                <w:szCs w:val="24"/>
                <w:shd w:val="clear" w:fill="auto"/>
              </w:rPr>
              <w:t>评价范围内按GB 3095规定划分为一类区的自然保护区、风景名胜区和其他需要特殊保护的区域，二类区中的居住区、文化区和农村地区中人群较集中的区域。</w:t>
            </w:r>
            <w:r>
              <w:rPr>
                <w:rFonts w:hint="default" w:ascii="Calibri" w:hAnsi="Calibri" w:eastAsia="宋体" w:cs="Calibri"/>
                <w:i w:val="0"/>
                <w:iCs w:val="0"/>
                <w:caps w:val="0"/>
                <w:color w:val="auto"/>
                <w:spacing w:val="0"/>
                <w:sz w:val="24"/>
                <w:szCs w:val="24"/>
                <w:shd w:val="clear"/>
                <w:lang w:val="en-US" w:eastAsia="zh-CN"/>
              </w:rPr>
              <w:t>本项目评价范围内无环境空气保护目标。</w:t>
            </w:r>
          </w:p>
          <w:p w14:paraId="6041CC31">
            <w:pPr>
              <w:pStyle w:val="10"/>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Calibri" w:hAnsi="Calibri" w:eastAsia="宋体" w:cs="Calibri"/>
                <w:b/>
                <w:bCs w:val="0"/>
                <w:color w:val="auto"/>
                <w:kern w:val="0"/>
                <w:sz w:val="24"/>
                <w:szCs w:val="24"/>
                <w:lang w:val="en-US" w:eastAsia="zh-CN"/>
              </w:rPr>
            </w:pPr>
            <w:r>
              <w:rPr>
                <w:rFonts w:hint="default" w:ascii="Calibri" w:hAnsi="Calibri" w:eastAsia="宋体" w:cs="Calibri"/>
                <w:b/>
                <w:bCs w:val="0"/>
                <w:color w:val="auto"/>
                <w:kern w:val="0"/>
                <w:sz w:val="24"/>
                <w:szCs w:val="24"/>
                <w:lang w:val="en-US" w:eastAsia="zh-CN" w:bidi="ar-SA"/>
              </w:rPr>
              <w:t>三、</w:t>
            </w:r>
            <w:r>
              <w:rPr>
                <w:rFonts w:hint="default" w:ascii="Calibri" w:hAnsi="Calibri" w:eastAsia="宋体" w:cs="Calibri"/>
                <w:b/>
                <w:bCs w:val="0"/>
                <w:color w:val="auto"/>
                <w:kern w:val="0"/>
                <w:sz w:val="24"/>
                <w:szCs w:val="24"/>
                <w:lang w:val="en-US" w:eastAsia="zh-CN"/>
              </w:rPr>
              <w:t>声环境保护目标</w:t>
            </w:r>
          </w:p>
          <w:p w14:paraId="0C5119D9">
            <w:pPr>
              <w:pStyle w:val="10"/>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eastAsia="宋体" w:cs="Calibri"/>
                <w:color w:val="auto"/>
                <w:sz w:val="24"/>
                <w:szCs w:val="24"/>
                <w:lang w:val="en-US" w:eastAsia="zh-CN"/>
              </w:rPr>
            </w:pPr>
            <w:r>
              <w:rPr>
                <w:rFonts w:hint="default" w:ascii="Calibri" w:hAnsi="Calibri" w:eastAsia="宋体" w:cs="Calibri"/>
                <w:color w:val="auto"/>
                <w:sz w:val="24"/>
                <w:szCs w:val="24"/>
                <w:lang w:val="en-US" w:eastAsia="zh-CN"/>
              </w:rPr>
              <w:t>根据《环境影响评价技术导则 声环境》（HJ2.4-202</w:t>
            </w:r>
            <w:r>
              <w:rPr>
                <w:rFonts w:hint="default" w:ascii="Calibri" w:hAnsi="Calibri" w:cs="Calibri"/>
                <w:color w:val="auto"/>
                <w:sz w:val="24"/>
                <w:szCs w:val="24"/>
                <w:lang w:val="en-US" w:eastAsia="zh-CN"/>
              </w:rPr>
              <w:t>1</w:t>
            </w:r>
            <w:r>
              <w:rPr>
                <w:rFonts w:hint="default" w:ascii="Calibri" w:hAnsi="Calibri" w:eastAsia="宋体" w:cs="Calibri"/>
                <w:color w:val="auto"/>
                <w:sz w:val="24"/>
                <w:szCs w:val="24"/>
                <w:lang w:val="en-US" w:eastAsia="zh-CN"/>
              </w:rPr>
              <w:t>），声环境保护目标</w:t>
            </w:r>
            <w:r>
              <w:rPr>
                <w:rFonts w:hint="default" w:ascii="Calibri" w:hAnsi="Calibri" w:cs="Calibri"/>
                <w:color w:val="auto"/>
                <w:sz w:val="24"/>
                <w:szCs w:val="24"/>
                <w:lang w:val="en-US" w:eastAsia="zh-CN"/>
              </w:rPr>
              <w:t>是指</w:t>
            </w:r>
            <w:r>
              <w:rPr>
                <w:rFonts w:hint="default" w:ascii="Calibri" w:hAnsi="Calibri" w:eastAsia="宋体" w:cs="Calibri"/>
                <w:color w:val="auto"/>
                <w:sz w:val="24"/>
                <w:szCs w:val="24"/>
                <w:lang w:val="en-US" w:eastAsia="zh-CN"/>
              </w:rPr>
              <w:t>依据</w:t>
            </w:r>
            <w:r>
              <w:rPr>
                <w:rFonts w:hint="default" w:ascii="Calibri" w:hAnsi="Calibri" w:cs="Calibri"/>
                <w:color w:val="auto"/>
                <w:sz w:val="24"/>
                <w:szCs w:val="24"/>
                <w:lang w:val="en-US" w:eastAsia="zh-CN"/>
              </w:rPr>
              <w:t>法律法规</w:t>
            </w:r>
            <w:r>
              <w:rPr>
                <w:rFonts w:hint="default" w:ascii="Calibri" w:hAnsi="Calibri" w:eastAsia="宋体" w:cs="Calibri"/>
                <w:color w:val="auto"/>
                <w:sz w:val="24"/>
                <w:szCs w:val="24"/>
                <w:lang w:val="en-US" w:eastAsia="zh-CN"/>
              </w:rPr>
              <w:t>、标准政策等确定的需要保持安静的建筑物及建筑物集中区。本项目</w:t>
            </w:r>
            <w:r>
              <w:rPr>
                <w:rFonts w:hint="default" w:ascii="Calibri" w:hAnsi="Calibri" w:cs="Calibri"/>
                <w:color w:val="auto"/>
                <w:sz w:val="24"/>
                <w:szCs w:val="24"/>
                <w:lang w:val="en-US" w:eastAsia="zh-CN"/>
              </w:rPr>
              <w:t>评价</w:t>
            </w:r>
            <w:r>
              <w:rPr>
                <w:rFonts w:hint="default" w:ascii="Calibri" w:hAnsi="Calibri" w:eastAsia="宋体" w:cs="Calibri"/>
                <w:color w:val="auto"/>
                <w:sz w:val="24"/>
                <w:szCs w:val="24"/>
                <w:lang w:val="en-US" w:eastAsia="zh-CN"/>
              </w:rPr>
              <w:t>范围内无声环境保护目标。</w:t>
            </w:r>
          </w:p>
          <w:p w14:paraId="6F1807EA">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rPr>
                <w:rFonts w:hint="eastAsia" w:ascii="宋体" w:hAnsi="宋体" w:cs="宋体"/>
                <w:color w:val="auto"/>
                <w:sz w:val="24"/>
                <w:lang w:val="en-US" w:eastAsia="zh-CN"/>
              </w:rPr>
            </w:pPr>
            <w:r>
              <w:rPr>
                <w:rFonts w:hint="eastAsia" w:ascii="宋体" w:hAnsi="宋体" w:cs="宋体"/>
                <w:color w:val="auto"/>
                <w:sz w:val="24"/>
                <w:lang w:val="en-US" w:eastAsia="zh-CN"/>
              </w:rPr>
              <w:t>变电站评价范围根据《环境影响评价技术导则 声环境》（HJ2.4-2021）“二级、三级评价范围可根据建设项目所在区域和相邻区域的声环境功能区类别及声环境保护目标等实际情况适当缩小”。本项目变电站周围无声环境保护目标，本次评价范围为变电站站界外200m。</w:t>
            </w:r>
          </w:p>
          <w:p w14:paraId="4C53A8E8">
            <w:pPr>
              <w:pStyle w:val="10"/>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eastAsia="宋体" w:cs="Calibri"/>
                <w:color w:val="auto"/>
                <w:sz w:val="24"/>
                <w:szCs w:val="24"/>
                <w:lang w:val="en-US" w:eastAsia="zh-CN"/>
              </w:rPr>
            </w:pPr>
            <w:r>
              <w:rPr>
                <w:rFonts w:hint="eastAsia" w:ascii="宋体" w:hAnsi="宋体" w:cs="宋体"/>
                <w:color w:val="auto"/>
                <w:sz w:val="24"/>
                <w:lang w:val="en-US" w:eastAsia="zh-CN"/>
              </w:rPr>
              <w:t>根据《环境影响评价技术导则 输变电》（HJ24-2020），架空输变电线路声环境评价范围为边导线地面投影外两侧各30m。</w:t>
            </w:r>
            <w:r>
              <w:rPr>
                <w:rFonts w:hint="eastAsia" w:ascii="Calibri" w:hAnsi="Calibri" w:cs="Calibri"/>
                <w:color w:val="auto"/>
                <w:sz w:val="24"/>
                <w:szCs w:val="24"/>
                <w:lang w:val="en-US" w:eastAsia="zh-CN"/>
              </w:rPr>
              <w:t xml:space="preserve"> </w:t>
            </w:r>
          </w:p>
          <w:p w14:paraId="61D227A6">
            <w:pPr>
              <w:pStyle w:val="10"/>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Calibri" w:hAnsi="Calibri" w:eastAsia="宋体" w:cs="Calibri"/>
                <w:b/>
                <w:color w:val="auto"/>
                <w:kern w:val="0"/>
                <w:sz w:val="24"/>
                <w:szCs w:val="24"/>
                <w:lang w:val="en-US" w:eastAsia="zh-CN"/>
              </w:rPr>
            </w:pPr>
            <w:r>
              <w:rPr>
                <w:rFonts w:hint="default" w:ascii="Calibri" w:hAnsi="Calibri" w:eastAsia="宋体" w:cs="Calibri"/>
                <w:b/>
                <w:color w:val="auto"/>
                <w:kern w:val="0"/>
                <w:sz w:val="24"/>
                <w:szCs w:val="24"/>
                <w:lang w:val="en-US" w:eastAsia="zh-CN" w:bidi="ar-SA"/>
              </w:rPr>
              <w:t>四、</w:t>
            </w:r>
            <w:r>
              <w:rPr>
                <w:rFonts w:hint="default" w:ascii="Calibri" w:hAnsi="Calibri" w:eastAsia="宋体" w:cs="Calibri"/>
                <w:b/>
                <w:color w:val="auto"/>
                <w:kern w:val="0"/>
                <w:sz w:val="24"/>
                <w:szCs w:val="24"/>
                <w:lang w:val="en-US" w:eastAsia="zh-CN"/>
              </w:rPr>
              <w:t>水环境保护目标</w:t>
            </w:r>
          </w:p>
          <w:p w14:paraId="6513EEBC">
            <w:pPr>
              <w:pStyle w:val="10"/>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eastAsia="宋体" w:cs="Calibri"/>
                <w:color w:val="auto"/>
                <w:sz w:val="24"/>
                <w:szCs w:val="24"/>
                <w:lang w:val="en-US" w:eastAsia="zh-CN"/>
              </w:rPr>
            </w:pPr>
            <w:r>
              <w:rPr>
                <w:rFonts w:hint="default" w:ascii="Calibri" w:hAnsi="Calibri" w:cs="Calibri"/>
                <w:color w:val="auto"/>
                <w:kern w:val="0"/>
                <w:sz w:val="24"/>
                <w:szCs w:val="24"/>
                <w:lang w:val="en-US" w:eastAsia="zh-CN"/>
              </w:rPr>
              <w:t>根据《环境影响评价技术导则 地表水环境》（</w:t>
            </w:r>
            <w:r>
              <w:rPr>
                <w:rFonts w:hint="eastAsia" w:ascii="Calibri" w:hAnsi="Calibri" w:cs="Calibri"/>
                <w:color w:val="auto"/>
                <w:kern w:val="0"/>
                <w:sz w:val="24"/>
                <w:szCs w:val="24"/>
                <w:lang w:val="en-US" w:eastAsia="zh-CN"/>
              </w:rPr>
              <w:t>（</w:t>
            </w:r>
            <w:r>
              <w:rPr>
                <w:rFonts w:hint="default" w:ascii="Calibri" w:hAnsi="Calibri" w:cs="Calibri"/>
                <w:color w:val="auto"/>
                <w:kern w:val="0"/>
                <w:sz w:val="24"/>
                <w:szCs w:val="24"/>
                <w:lang w:val="en-US" w:eastAsia="zh-CN"/>
              </w:rPr>
              <w:t>HJ 2.3—2018），水环境保护目标是指饮用水水源保护区、饮用水取水口，涉水的自然保护区、风景名胜区，重要湿地、重点保护与珍稀水生生物的栖息地、重要水生生物的自然产卵场及索饵场、越冬场和洄游通道，天然渔场等渔业水体以及水产种质资源保护区等。本项目无水环境保护目标。</w:t>
            </w:r>
          </w:p>
          <w:p w14:paraId="270BDDCE">
            <w:pPr>
              <w:pStyle w:val="10"/>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Calibri" w:hAnsi="Calibri" w:eastAsia="宋体" w:cs="Calibri"/>
                <w:b/>
                <w:color w:val="auto"/>
                <w:kern w:val="0"/>
                <w:sz w:val="24"/>
                <w:szCs w:val="24"/>
                <w:lang w:val="en-US" w:eastAsia="zh-CN"/>
              </w:rPr>
            </w:pPr>
            <w:r>
              <w:rPr>
                <w:rFonts w:hint="default" w:ascii="Calibri" w:hAnsi="Calibri" w:cs="Calibri"/>
                <w:b/>
                <w:color w:val="auto"/>
                <w:kern w:val="0"/>
                <w:sz w:val="24"/>
                <w:szCs w:val="24"/>
                <w:lang w:val="en-US" w:eastAsia="zh-CN" w:bidi="ar-SA"/>
              </w:rPr>
              <w:t>五</w:t>
            </w:r>
            <w:r>
              <w:rPr>
                <w:rFonts w:hint="default" w:ascii="Calibri" w:hAnsi="Calibri" w:eastAsia="宋体" w:cs="Calibri"/>
                <w:b/>
                <w:color w:val="auto"/>
                <w:kern w:val="0"/>
                <w:sz w:val="24"/>
                <w:szCs w:val="24"/>
                <w:lang w:val="en-US" w:eastAsia="zh-CN" w:bidi="ar-SA"/>
              </w:rPr>
              <w:t>、</w:t>
            </w:r>
            <w:r>
              <w:rPr>
                <w:rFonts w:hint="default" w:ascii="Calibri" w:hAnsi="Calibri" w:cs="Calibri"/>
                <w:b/>
                <w:color w:val="auto"/>
                <w:kern w:val="0"/>
                <w:sz w:val="24"/>
                <w:szCs w:val="24"/>
                <w:lang w:val="en-US" w:eastAsia="zh-CN"/>
              </w:rPr>
              <w:t>电磁环境</w:t>
            </w:r>
            <w:r>
              <w:rPr>
                <w:rFonts w:hint="default" w:ascii="Calibri" w:hAnsi="Calibri" w:eastAsia="宋体" w:cs="Calibri"/>
                <w:b/>
                <w:color w:val="auto"/>
                <w:kern w:val="0"/>
                <w:sz w:val="24"/>
                <w:szCs w:val="24"/>
                <w:lang w:val="en-US" w:eastAsia="zh-CN"/>
              </w:rPr>
              <w:t>敏感目标</w:t>
            </w:r>
          </w:p>
          <w:p w14:paraId="7A30F7CA">
            <w:pPr>
              <w:pStyle w:val="10"/>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Calibri" w:hAnsi="Calibri" w:eastAsia="宋体" w:cs="Calibri"/>
                <w:i w:val="0"/>
                <w:iCs w:val="0"/>
                <w:caps w:val="0"/>
                <w:color w:val="auto"/>
                <w:spacing w:val="0"/>
                <w:kern w:val="0"/>
                <w:sz w:val="24"/>
                <w:szCs w:val="24"/>
                <w:shd w:val="clear"/>
                <w:lang w:val="en-US" w:eastAsia="zh-CN"/>
              </w:rPr>
            </w:pPr>
            <w:r>
              <w:rPr>
                <w:rFonts w:hint="default" w:ascii="Calibri" w:hAnsi="Calibri" w:eastAsia="宋体" w:cs="Calibri"/>
                <w:i w:val="0"/>
                <w:iCs w:val="0"/>
                <w:caps w:val="0"/>
                <w:color w:val="auto"/>
                <w:spacing w:val="0"/>
                <w:kern w:val="0"/>
                <w:sz w:val="24"/>
                <w:szCs w:val="24"/>
                <w:shd w:val="clear" w:fill="auto"/>
                <w:lang w:val="en-US" w:eastAsia="zh-CN"/>
              </w:rPr>
              <w:t>根据《环境影响评价技术导则 输变电》（HJ24-2020）</w:t>
            </w:r>
            <w:r>
              <w:rPr>
                <w:rFonts w:hint="default" w:ascii="Calibri" w:hAnsi="Calibri" w:eastAsia="宋体" w:cs="Calibri"/>
                <w:i w:val="0"/>
                <w:iCs w:val="0"/>
                <w:caps w:val="0"/>
                <w:color w:val="auto"/>
                <w:spacing w:val="0"/>
                <w:kern w:val="0"/>
                <w:sz w:val="24"/>
                <w:szCs w:val="24"/>
                <w:shd w:val="clear"/>
                <w:lang w:val="en-US" w:eastAsia="zh-CN"/>
              </w:rPr>
              <w:t>，电磁环境敏感目标是指</w:t>
            </w:r>
            <w:r>
              <w:rPr>
                <w:rFonts w:hint="default" w:ascii="Calibri" w:hAnsi="Calibri" w:eastAsia="宋体" w:cs="Calibri"/>
                <w:i w:val="0"/>
                <w:iCs w:val="0"/>
                <w:caps w:val="0"/>
                <w:color w:val="auto"/>
                <w:spacing w:val="0"/>
                <w:kern w:val="0"/>
                <w:sz w:val="24"/>
                <w:szCs w:val="24"/>
                <w:shd w:val="clear" w:fill="auto"/>
              </w:rPr>
              <w:t>电磁环境影响评价与监测需重点关注的对象</w:t>
            </w:r>
            <w:r>
              <w:rPr>
                <w:rFonts w:hint="default" w:ascii="Calibri" w:hAnsi="Calibri" w:eastAsia="宋体" w:cs="Calibri"/>
                <w:i w:val="0"/>
                <w:iCs w:val="0"/>
                <w:caps w:val="0"/>
                <w:color w:val="auto"/>
                <w:spacing w:val="0"/>
                <w:kern w:val="0"/>
                <w:sz w:val="24"/>
                <w:szCs w:val="24"/>
                <w:shd w:val="clear"/>
                <w:lang w:eastAsia="zh-CN"/>
              </w:rPr>
              <w:t>，</w:t>
            </w:r>
            <w:r>
              <w:rPr>
                <w:rFonts w:hint="default" w:ascii="Calibri" w:hAnsi="Calibri" w:eastAsia="宋体" w:cs="Calibri"/>
                <w:i w:val="0"/>
                <w:iCs w:val="0"/>
                <w:caps w:val="0"/>
                <w:color w:val="auto"/>
                <w:spacing w:val="0"/>
                <w:kern w:val="0"/>
                <w:sz w:val="24"/>
                <w:szCs w:val="24"/>
                <w:shd w:val="clear" w:fill="auto"/>
              </w:rPr>
              <w:t>包括住宅、学校、医院、办公楼、工厂等有公众居住、工作或学习的建筑物。</w:t>
            </w:r>
            <w:r>
              <w:rPr>
                <w:rFonts w:hint="default" w:ascii="Calibri" w:hAnsi="Calibri" w:eastAsia="宋体" w:cs="Calibri"/>
                <w:i w:val="0"/>
                <w:iCs w:val="0"/>
                <w:caps w:val="0"/>
                <w:color w:val="auto"/>
                <w:spacing w:val="0"/>
                <w:kern w:val="0"/>
                <w:sz w:val="24"/>
                <w:szCs w:val="24"/>
                <w:shd w:val="clear"/>
                <w:lang w:val="en-US" w:eastAsia="zh-CN"/>
              </w:rPr>
              <w:t>本项目评价范围内无电磁环境敏感目标。</w:t>
            </w:r>
            <w:r>
              <w:rPr>
                <w:rFonts w:hint="eastAsia"/>
                <w:color w:val="auto"/>
                <w:lang w:val="en-US" w:eastAsia="zh-CN"/>
              </w:rPr>
              <w:t>按照《环境影响评价技术导则 输变电》（HJ24-2020），架空输电线路电磁环境影响评价范围为</w:t>
            </w:r>
            <w:r>
              <w:rPr>
                <w:rFonts w:hint="eastAsia" w:ascii="宋体" w:hAnsi="宋体" w:cs="宋体"/>
                <w:color w:val="auto"/>
                <w:lang w:val="en-US" w:eastAsia="zh-CN"/>
              </w:rPr>
              <w:t>边导线地面投影外两侧各30m，变电站</w:t>
            </w:r>
            <w:r>
              <w:rPr>
                <w:rFonts w:hint="eastAsia"/>
                <w:color w:val="auto"/>
                <w:lang w:val="en-US" w:eastAsia="zh-CN"/>
              </w:rPr>
              <w:t>电磁环境影响评价范围为站界外30m。</w:t>
            </w:r>
          </w:p>
          <w:p w14:paraId="5390F80B">
            <w:pPr>
              <w:pStyle w:val="10"/>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jc w:val="left"/>
              <w:textAlignment w:val="auto"/>
              <w:rPr>
                <w:rFonts w:hint="default" w:ascii="Calibri" w:hAnsi="Calibri" w:eastAsia="宋体" w:cs="Calibri"/>
                <w:b/>
                <w:bCs/>
                <w:i w:val="0"/>
                <w:iCs w:val="0"/>
                <w:caps w:val="0"/>
                <w:color w:val="auto"/>
                <w:spacing w:val="0"/>
                <w:kern w:val="0"/>
                <w:sz w:val="24"/>
                <w:szCs w:val="24"/>
                <w:shd w:val="clear"/>
                <w:lang w:val="en-US" w:eastAsia="zh-CN"/>
              </w:rPr>
            </w:pPr>
            <w:r>
              <w:rPr>
                <w:rFonts w:hint="default" w:ascii="Calibri" w:hAnsi="Calibri" w:eastAsia="宋体" w:cs="Calibri"/>
                <w:b/>
                <w:bCs/>
                <w:i w:val="0"/>
                <w:iCs w:val="0"/>
                <w:caps w:val="0"/>
                <w:color w:val="auto"/>
                <w:spacing w:val="0"/>
                <w:kern w:val="0"/>
                <w:sz w:val="24"/>
                <w:szCs w:val="24"/>
                <w:shd w:val="clear"/>
                <w:lang w:val="en-US" w:eastAsia="zh-CN"/>
              </w:rPr>
              <w:t>六、土壤环境敏感目标</w:t>
            </w:r>
          </w:p>
          <w:p w14:paraId="4904D688">
            <w:pPr>
              <w:pStyle w:val="10"/>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Calibri" w:hAnsi="Calibri" w:eastAsia="宋体" w:cs="Calibri"/>
                <w:b/>
                <w:bCs/>
                <w:i w:val="0"/>
                <w:iCs w:val="0"/>
                <w:caps w:val="0"/>
                <w:color w:val="auto"/>
                <w:spacing w:val="0"/>
                <w:kern w:val="0"/>
                <w:sz w:val="24"/>
                <w:szCs w:val="24"/>
                <w:shd w:val="clear"/>
                <w:lang w:val="en-US" w:eastAsia="zh-CN"/>
              </w:rPr>
            </w:pPr>
            <w:r>
              <w:rPr>
                <w:rFonts w:hint="default" w:ascii="Calibri" w:hAnsi="Calibri" w:eastAsia="宋体" w:cs="Calibri"/>
                <w:i w:val="0"/>
                <w:iCs w:val="0"/>
                <w:caps w:val="0"/>
                <w:color w:val="auto"/>
                <w:spacing w:val="0"/>
                <w:kern w:val="0"/>
                <w:sz w:val="24"/>
                <w:szCs w:val="24"/>
                <w:shd w:val="clear" w:fill="auto"/>
                <w:lang w:val="en-US" w:eastAsia="zh-CN"/>
              </w:rPr>
              <w:t>根据《环境影响评价技术导则 土壤环境（试行）》（HJ 964—2018）土壤环境敏感目标</w:t>
            </w:r>
            <w:r>
              <w:rPr>
                <w:rFonts w:hint="default" w:ascii="Calibri" w:hAnsi="Calibri" w:eastAsia="宋体" w:cs="Calibri"/>
                <w:i w:val="0"/>
                <w:iCs w:val="0"/>
                <w:caps w:val="0"/>
                <w:color w:val="auto"/>
                <w:spacing w:val="0"/>
                <w:kern w:val="0"/>
                <w:sz w:val="24"/>
                <w:szCs w:val="24"/>
                <w:shd w:val="clear" w:fill="auto"/>
              </w:rPr>
              <w:t>是指可能受人为活动影响的、与土壤环境相关的敏感区或对象。</w:t>
            </w:r>
            <w:r>
              <w:rPr>
                <w:rFonts w:hint="default" w:ascii="Calibri" w:hAnsi="Calibri" w:eastAsia="宋体" w:cs="Calibri"/>
                <w:i w:val="0"/>
                <w:iCs w:val="0"/>
                <w:caps w:val="0"/>
                <w:color w:val="auto"/>
                <w:spacing w:val="0"/>
                <w:kern w:val="0"/>
                <w:sz w:val="24"/>
                <w:szCs w:val="24"/>
                <w:shd w:val="clear"/>
                <w:lang w:val="en-US" w:eastAsia="zh-CN"/>
              </w:rPr>
              <w:t>本项目土壤敏感目标为变电站站址的土壤。</w:t>
            </w:r>
          </w:p>
          <w:p w14:paraId="435BAFF3">
            <w:pPr>
              <w:pStyle w:val="10"/>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Calibri" w:hAnsi="Calibri" w:eastAsia="宋体" w:cs="Calibri"/>
                <w:b/>
                <w:color w:val="auto"/>
                <w:kern w:val="0"/>
                <w:sz w:val="24"/>
                <w:szCs w:val="24"/>
                <w:lang w:val="en-US" w:eastAsia="zh-CN"/>
              </w:rPr>
            </w:pPr>
            <w:r>
              <w:rPr>
                <w:rFonts w:hint="default" w:ascii="Calibri" w:hAnsi="Calibri" w:cs="Calibri"/>
                <w:b/>
                <w:bCs/>
                <w:color w:val="auto"/>
                <w:kern w:val="0"/>
                <w:sz w:val="24"/>
                <w:szCs w:val="24"/>
                <w:lang w:val="en-US" w:eastAsia="zh-CN"/>
              </w:rPr>
              <w:t>七</w:t>
            </w:r>
            <w:r>
              <w:rPr>
                <w:rFonts w:hint="default" w:ascii="Calibri" w:hAnsi="Calibri" w:eastAsia="宋体" w:cs="Calibri"/>
                <w:b/>
                <w:bCs/>
                <w:i w:val="0"/>
                <w:iCs w:val="0"/>
                <w:caps w:val="0"/>
                <w:color w:val="auto"/>
                <w:spacing w:val="0"/>
                <w:kern w:val="0"/>
                <w:sz w:val="24"/>
                <w:szCs w:val="24"/>
                <w:shd w:val="clear"/>
                <w:lang w:val="en-US" w:eastAsia="zh-CN"/>
              </w:rPr>
              <w:t>、</w:t>
            </w:r>
            <w:r>
              <w:rPr>
                <w:rFonts w:hint="default" w:ascii="Calibri" w:hAnsi="Calibri" w:cs="Calibri"/>
                <w:b/>
                <w:bCs/>
                <w:i w:val="0"/>
                <w:iCs w:val="0"/>
                <w:caps w:val="0"/>
                <w:color w:val="auto"/>
                <w:spacing w:val="0"/>
                <w:kern w:val="0"/>
                <w:sz w:val="24"/>
                <w:szCs w:val="24"/>
                <w:shd w:val="clear"/>
                <w:lang w:val="en-US" w:eastAsia="zh-CN"/>
              </w:rPr>
              <w:t>环境敏感区</w:t>
            </w:r>
          </w:p>
          <w:p w14:paraId="11EF9300">
            <w:pPr>
              <w:pStyle w:val="10"/>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宋体" w:hAnsi="宋体" w:eastAsia="宋体" w:cs="宋体"/>
                <w:color w:val="auto"/>
                <w:kern w:val="0"/>
                <w:sz w:val="24"/>
                <w:szCs w:val="24"/>
                <w:lang w:val="en-US" w:eastAsia="zh-CN"/>
              </w:rPr>
            </w:pPr>
            <w:r>
              <w:rPr>
                <w:rFonts w:hint="default" w:ascii="Calibri" w:hAnsi="Calibri" w:cs="Calibri"/>
                <w:b w:val="0"/>
                <w:color w:val="auto"/>
                <w:kern w:val="0"/>
                <w:sz w:val="24"/>
                <w:szCs w:val="24"/>
                <w:shd w:val="clear" w:fill="auto"/>
                <w:lang w:val="en-US" w:eastAsia="zh-CN"/>
              </w:rPr>
              <w:t>根据《建设项目环境影响评价分类管理名录</w:t>
            </w:r>
            <w:r>
              <w:rPr>
                <w:rFonts w:hint="eastAsia" w:ascii="Calibri" w:hAnsi="Calibri" w:cs="Calibri"/>
                <w:b w:val="0"/>
                <w:color w:val="auto"/>
                <w:kern w:val="0"/>
                <w:sz w:val="24"/>
                <w:szCs w:val="24"/>
                <w:shd w:val="clear" w:fill="auto"/>
                <w:lang w:val="en-US" w:eastAsia="zh-CN"/>
              </w:rPr>
              <w:t>（</w:t>
            </w:r>
            <w:r>
              <w:rPr>
                <w:rFonts w:hint="default" w:ascii="Calibri" w:hAnsi="Calibri" w:cs="Calibri"/>
                <w:b w:val="0"/>
                <w:color w:val="auto"/>
                <w:kern w:val="0"/>
                <w:sz w:val="24"/>
                <w:szCs w:val="24"/>
                <w:shd w:val="clear" w:fill="auto"/>
                <w:lang w:val="en-US" w:eastAsia="zh-CN"/>
              </w:rPr>
              <w:t>2021年版</w:t>
            </w:r>
            <w:r>
              <w:rPr>
                <w:rFonts w:hint="eastAsia" w:ascii="Calibri" w:hAnsi="Calibri" w:cs="Calibri"/>
                <w:b w:val="0"/>
                <w:color w:val="auto"/>
                <w:kern w:val="0"/>
                <w:sz w:val="24"/>
                <w:szCs w:val="24"/>
                <w:shd w:val="clear" w:fill="auto"/>
                <w:lang w:val="en-US" w:eastAsia="zh-CN"/>
              </w:rPr>
              <w:t>）</w:t>
            </w:r>
            <w:r>
              <w:rPr>
                <w:rFonts w:hint="default" w:ascii="Calibri" w:hAnsi="Calibri" w:cs="Calibri"/>
                <w:b w:val="0"/>
                <w:color w:val="auto"/>
                <w:kern w:val="0"/>
                <w:sz w:val="24"/>
                <w:szCs w:val="24"/>
                <w:shd w:val="clear" w:fill="auto"/>
                <w:lang w:val="en-US" w:eastAsia="zh-CN"/>
              </w:rPr>
              <w:t>》，环境敏感区为</w:t>
            </w:r>
            <w:r>
              <w:rPr>
                <w:rFonts w:hint="default" w:ascii="Calibri" w:hAnsi="Calibri" w:eastAsia="宋体" w:cs="Calibri"/>
                <w:b w:val="0"/>
                <w:color w:val="auto"/>
                <w:kern w:val="0"/>
                <w:sz w:val="24"/>
                <w:szCs w:val="24"/>
                <w:shd w:val="clear" w:fill="auto"/>
                <w:lang w:val="en-US" w:eastAsia="zh-CN"/>
              </w:rPr>
              <w:t>国家公园、自然保护区、风景名胜区、世界文化和自然遗产地、海洋特别保护区、饮用水水源保护区</w:t>
            </w:r>
            <w:r>
              <w:rPr>
                <w:rFonts w:hint="default" w:ascii="Calibri" w:hAnsi="Calibri" w:cs="Calibri"/>
                <w:b w:val="0"/>
                <w:color w:val="auto"/>
                <w:kern w:val="0"/>
                <w:sz w:val="24"/>
                <w:szCs w:val="24"/>
                <w:shd w:val="clear" w:fill="auto"/>
                <w:lang w:val="en-US" w:eastAsia="zh-CN"/>
              </w:rPr>
              <w:t>；以居住、医疗卫生、文化教育、科研、行政办公为主要功能的区域以及文物保护单位。经过现场踏勘，本项目占地范围内无环境敏感区。</w:t>
            </w:r>
          </w:p>
        </w:tc>
      </w:tr>
      <w:tr w14:paraId="1E006B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7" w:hRule="atLeast"/>
          <w:jc w:val="center"/>
        </w:trPr>
        <w:tc>
          <w:tcPr>
            <w:tcW w:w="904" w:type="dxa"/>
            <w:noWrap w:val="0"/>
            <w:vAlign w:val="center"/>
          </w:tcPr>
          <w:p w14:paraId="337F6376">
            <w:pPr>
              <w:adjustRightInd w:val="0"/>
              <w:snapToGrid w:val="0"/>
              <w:jc w:val="center"/>
              <w:rPr>
                <w:rFonts w:hint="eastAsia" w:ascii="宋体" w:hAnsi="宋体" w:cs="宋体"/>
                <w:color w:val="auto"/>
                <w:kern w:val="0"/>
                <w:sz w:val="24"/>
                <w:szCs w:val="24"/>
              </w:rPr>
            </w:pPr>
            <w:r>
              <w:rPr>
                <w:rFonts w:hint="eastAsia" w:ascii="宋体" w:hAnsi="宋体" w:cs="宋体"/>
                <w:color w:val="auto"/>
                <w:kern w:val="0"/>
                <w:sz w:val="24"/>
                <w:szCs w:val="24"/>
              </w:rPr>
              <w:t>评价</w:t>
            </w:r>
          </w:p>
          <w:p w14:paraId="171D4D6C">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标准</w:t>
            </w:r>
          </w:p>
        </w:tc>
        <w:tc>
          <w:tcPr>
            <w:tcW w:w="8253" w:type="dxa"/>
            <w:noWrap w:val="0"/>
            <w:vAlign w:val="center"/>
          </w:tcPr>
          <w:p w14:paraId="6B191A53">
            <w:pPr>
              <w:pStyle w:val="36"/>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firstLine="482" w:firstLineChars="200"/>
              <w:textAlignment w:val="auto"/>
              <w:rPr>
                <w:rFonts w:hint="eastAsia" w:ascii="宋体" w:hAnsi="宋体" w:eastAsia="宋体" w:cs="宋体"/>
                <w:color w:val="auto"/>
                <w:lang w:val="en-US" w:eastAsia="zh-CN"/>
              </w:rPr>
            </w:pPr>
            <w:r>
              <w:rPr>
                <w:rFonts w:hint="eastAsia" w:cs="宋体"/>
                <w:b/>
                <w:color w:val="auto"/>
                <w:kern w:val="0"/>
                <w:sz w:val="24"/>
                <w:szCs w:val="21"/>
                <w:lang w:val="en-US" w:eastAsia="zh-CN" w:bidi="ar-SA"/>
              </w:rPr>
              <w:t>1.</w:t>
            </w:r>
            <w:r>
              <w:rPr>
                <w:rFonts w:hint="eastAsia" w:ascii="宋体" w:hAnsi="宋体" w:eastAsia="宋体" w:cs="宋体"/>
                <w:color w:val="auto"/>
                <w:lang w:val="en-US" w:eastAsia="zh-CN"/>
              </w:rPr>
              <w:t>环境质量标准</w:t>
            </w:r>
          </w:p>
          <w:p w14:paraId="5F216684">
            <w:pPr>
              <w:pStyle w:val="10"/>
              <w:keepNext w:val="0"/>
              <w:keepLines w:val="0"/>
              <w:pageBreakBefore w:val="0"/>
              <w:widowControl w:val="0"/>
              <w:numPr>
                <w:ilvl w:val="0"/>
                <w:numId w:val="0"/>
              </w:numPr>
              <w:kinsoku/>
              <w:wordWrap/>
              <w:overflowPunct/>
              <w:topLinePunct w:val="0"/>
              <w:bidi w:val="0"/>
              <w:spacing w:line="480" w:lineRule="exact"/>
              <w:ind w:left="0" w:leftChars="0" w:firstLine="480" w:firstLineChars="200"/>
              <w:textAlignment w:val="auto"/>
              <w:rPr>
                <w:rFonts w:hint="default" w:ascii="Calibri" w:hAnsi="Calibri" w:eastAsia="宋体" w:cs="Calibri"/>
                <w:color w:val="auto"/>
                <w:lang w:val="en-US" w:eastAsia="zh-CN"/>
              </w:rPr>
            </w:pPr>
            <w:r>
              <w:rPr>
                <w:rFonts w:hint="default" w:ascii="Calibri" w:hAnsi="Calibri" w:eastAsia="宋体" w:cs="Calibri"/>
                <w:color w:val="auto"/>
                <w:kern w:val="2"/>
                <w:sz w:val="24"/>
                <w:szCs w:val="24"/>
                <w:lang w:val="en-US" w:eastAsia="zh-CN" w:bidi="ar-SA"/>
              </w:rPr>
              <w:t>（1）</w:t>
            </w:r>
            <w:r>
              <w:rPr>
                <w:rFonts w:hint="default" w:ascii="Calibri" w:hAnsi="Calibri" w:eastAsia="宋体" w:cs="Calibri"/>
                <w:color w:val="auto"/>
                <w:lang w:val="en-US" w:eastAsia="zh-CN"/>
              </w:rPr>
              <w:t>环境空气</w:t>
            </w:r>
          </w:p>
          <w:p w14:paraId="1155DCB2">
            <w:pPr>
              <w:pStyle w:val="10"/>
              <w:keepNext w:val="0"/>
              <w:keepLines w:val="0"/>
              <w:pageBreakBefore w:val="0"/>
              <w:widowControl w:val="0"/>
              <w:kinsoku/>
              <w:wordWrap/>
              <w:overflowPunct/>
              <w:topLinePunct w:val="0"/>
              <w:bidi w:val="0"/>
              <w:spacing w:line="480" w:lineRule="exact"/>
              <w:textAlignment w:val="auto"/>
              <w:rPr>
                <w:rFonts w:hint="default" w:ascii="Calibri" w:hAnsi="Calibri" w:eastAsia="宋体" w:cs="Calibri"/>
                <w:color w:val="auto"/>
                <w:lang w:val="en-US" w:eastAsia="zh-CN"/>
              </w:rPr>
            </w:pPr>
            <w:r>
              <w:rPr>
                <w:rFonts w:hint="default" w:ascii="Calibri" w:hAnsi="Calibri" w:eastAsia="宋体" w:cs="Calibri"/>
                <w:color w:val="auto"/>
                <w:lang w:val="en-US" w:eastAsia="zh-CN"/>
              </w:rPr>
              <w:t>项目所在区域环境空气执行《环境空气质量标准》（GB3095-2012）及其2018年修改单（生态环境部公告2018年第29号）中的二级标准。</w:t>
            </w:r>
          </w:p>
          <w:p w14:paraId="05BCE208">
            <w:pPr>
              <w:pStyle w:val="10"/>
              <w:keepNext w:val="0"/>
              <w:keepLines w:val="0"/>
              <w:pageBreakBefore w:val="0"/>
              <w:widowControl w:val="0"/>
              <w:numPr>
                <w:ilvl w:val="0"/>
                <w:numId w:val="0"/>
              </w:numPr>
              <w:kinsoku/>
              <w:wordWrap/>
              <w:overflowPunct/>
              <w:topLinePunct w:val="0"/>
              <w:bidi w:val="0"/>
              <w:spacing w:line="480" w:lineRule="exact"/>
              <w:ind w:left="0" w:leftChars="0" w:firstLine="480" w:firstLineChars="200"/>
              <w:textAlignment w:val="auto"/>
              <w:rPr>
                <w:rFonts w:hint="default" w:ascii="Calibri" w:hAnsi="Calibri" w:eastAsia="宋体" w:cs="Calibri"/>
                <w:color w:val="auto"/>
                <w:lang w:val="en-US" w:eastAsia="zh-CN"/>
              </w:rPr>
            </w:pPr>
            <w:r>
              <w:rPr>
                <w:rFonts w:hint="default" w:ascii="Calibri" w:hAnsi="Calibri" w:eastAsia="宋体" w:cs="Calibri"/>
                <w:color w:val="auto"/>
                <w:kern w:val="2"/>
                <w:sz w:val="24"/>
                <w:szCs w:val="24"/>
                <w:lang w:val="en-US" w:eastAsia="zh-CN" w:bidi="ar-SA"/>
              </w:rPr>
              <w:t>（2）</w:t>
            </w:r>
            <w:r>
              <w:rPr>
                <w:rFonts w:hint="default" w:ascii="Calibri" w:hAnsi="Calibri" w:eastAsia="宋体" w:cs="Calibri"/>
                <w:color w:val="auto"/>
                <w:lang w:val="en-US" w:eastAsia="zh-CN"/>
              </w:rPr>
              <w:t>声环境质量标准</w:t>
            </w:r>
          </w:p>
          <w:p w14:paraId="04C2B0FF">
            <w:pPr>
              <w:pStyle w:val="10"/>
              <w:keepNext w:val="0"/>
              <w:keepLines w:val="0"/>
              <w:pageBreakBefore w:val="0"/>
              <w:widowControl w:val="0"/>
              <w:kinsoku/>
              <w:wordWrap/>
              <w:overflowPunct/>
              <w:topLinePunct w:val="0"/>
              <w:bidi w:val="0"/>
              <w:spacing w:line="480" w:lineRule="exact"/>
              <w:textAlignment w:val="auto"/>
              <w:rPr>
                <w:rFonts w:hint="default" w:ascii="Calibri" w:hAnsi="Calibri" w:eastAsia="宋体" w:cs="Calibri"/>
                <w:color w:val="auto"/>
                <w:lang w:val="en-US" w:eastAsia="zh-CN"/>
              </w:rPr>
            </w:pPr>
            <w:r>
              <w:rPr>
                <w:rFonts w:hint="default" w:ascii="Calibri" w:hAnsi="Calibri" w:eastAsia="宋体" w:cs="Calibri"/>
                <w:color w:val="auto"/>
                <w:lang w:val="en-US" w:eastAsia="zh-CN"/>
              </w:rPr>
              <w:t>根据《声环境功能区划分技术规范》</w:t>
            </w:r>
            <w:r>
              <w:rPr>
                <w:rFonts w:hint="eastAsia" w:ascii="Calibri" w:hAnsi="Calibri" w:cs="Calibri"/>
                <w:color w:val="auto"/>
                <w:lang w:val="en-US" w:eastAsia="zh-CN"/>
              </w:rPr>
              <w:t>（</w:t>
            </w:r>
            <w:r>
              <w:rPr>
                <w:rFonts w:hint="default" w:ascii="Calibri" w:hAnsi="Calibri" w:eastAsia="宋体" w:cs="Calibri"/>
                <w:color w:val="auto"/>
                <w:lang w:val="en-US" w:eastAsia="zh-CN"/>
              </w:rPr>
              <w:t>GB/T 15190–2014</w:t>
            </w:r>
            <w:r>
              <w:rPr>
                <w:rFonts w:hint="eastAsia" w:ascii="Calibri" w:hAnsi="Calibri" w:cs="Calibri"/>
                <w:color w:val="auto"/>
                <w:lang w:val="en-US" w:eastAsia="zh-CN"/>
              </w:rPr>
              <w:t>）</w:t>
            </w:r>
            <w:r>
              <w:rPr>
                <w:rFonts w:hint="default" w:ascii="Calibri" w:hAnsi="Calibri" w:eastAsia="宋体" w:cs="Calibri"/>
                <w:color w:val="auto"/>
                <w:lang w:val="en-US" w:eastAsia="zh-CN"/>
              </w:rPr>
              <w:t>，本项目所在区域声环境功能区为2类，</w:t>
            </w:r>
            <w:r>
              <w:rPr>
                <w:rFonts w:hint="default" w:ascii="Calibri" w:hAnsi="Calibri" w:cs="Calibri"/>
                <w:color w:val="auto"/>
                <w:lang w:val="en-US" w:eastAsia="zh-CN"/>
              </w:rPr>
              <w:t>输变电线路、变电站</w:t>
            </w:r>
            <w:r>
              <w:rPr>
                <w:rFonts w:hint="eastAsia" w:ascii="Calibri" w:hAnsi="Calibri" w:cs="Calibri"/>
                <w:color w:val="auto"/>
                <w:lang w:val="en-US" w:eastAsia="zh-CN"/>
              </w:rPr>
              <w:t>声环境</w:t>
            </w:r>
            <w:r>
              <w:rPr>
                <w:rFonts w:hint="default" w:ascii="Calibri" w:hAnsi="Calibri" w:eastAsia="宋体" w:cs="Calibri"/>
                <w:color w:val="auto"/>
                <w:lang w:val="en-US" w:eastAsia="zh-CN"/>
              </w:rPr>
              <w:t>执行《声环境质量标准》（GB3096-2008）2类标准，即昼间≤60dB（A），夜间≤50dB（A）。</w:t>
            </w:r>
          </w:p>
          <w:p w14:paraId="1F2FB4DB">
            <w:pPr>
              <w:pStyle w:val="10"/>
              <w:keepNext w:val="0"/>
              <w:keepLines w:val="0"/>
              <w:pageBreakBefore w:val="0"/>
              <w:widowControl w:val="0"/>
              <w:numPr>
                <w:ilvl w:val="0"/>
                <w:numId w:val="0"/>
              </w:numPr>
              <w:kinsoku/>
              <w:wordWrap/>
              <w:overflowPunct/>
              <w:topLinePunct w:val="0"/>
              <w:bidi w:val="0"/>
              <w:spacing w:line="480" w:lineRule="exact"/>
              <w:ind w:left="0" w:leftChars="0" w:firstLine="480" w:firstLineChars="200"/>
              <w:textAlignment w:val="auto"/>
              <w:rPr>
                <w:rFonts w:hint="default" w:ascii="Calibri" w:hAnsi="Calibri" w:eastAsia="宋体" w:cs="Calibri"/>
                <w:color w:val="auto"/>
                <w:lang w:val="en-US" w:eastAsia="zh-CN"/>
              </w:rPr>
            </w:pPr>
            <w:r>
              <w:rPr>
                <w:rFonts w:hint="default" w:ascii="Calibri" w:hAnsi="Calibri" w:eastAsia="宋体" w:cs="Calibri"/>
                <w:color w:val="auto"/>
                <w:kern w:val="2"/>
                <w:sz w:val="24"/>
                <w:szCs w:val="24"/>
                <w:lang w:val="en-US" w:eastAsia="zh-CN" w:bidi="ar-SA"/>
              </w:rPr>
              <w:t>（3）</w:t>
            </w:r>
            <w:r>
              <w:rPr>
                <w:rFonts w:hint="default" w:ascii="Calibri" w:hAnsi="Calibri" w:eastAsia="宋体" w:cs="Calibri"/>
                <w:color w:val="auto"/>
                <w:lang w:val="en-US" w:eastAsia="zh-CN"/>
              </w:rPr>
              <w:t>电磁环境</w:t>
            </w:r>
          </w:p>
          <w:p w14:paraId="575AF85A">
            <w:pPr>
              <w:pStyle w:val="10"/>
              <w:keepNext w:val="0"/>
              <w:keepLines w:val="0"/>
              <w:pageBreakBefore w:val="0"/>
              <w:widowControl w:val="0"/>
              <w:shd w:val="clear"/>
              <w:kinsoku/>
              <w:wordWrap/>
              <w:overflowPunct/>
              <w:topLinePunct w:val="0"/>
              <w:bidi w:val="0"/>
              <w:spacing w:line="480" w:lineRule="exact"/>
              <w:textAlignment w:val="auto"/>
              <w:rPr>
                <w:rFonts w:hint="default" w:ascii="Calibri" w:hAnsi="Calibri" w:eastAsia="宋体" w:cs="Calibri"/>
                <w:color w:val="auto"/>
                <w:sz w:val="24"/>
                <w:highlight w:val="none"/>
              </w:rPr>
            </w:pPr>
            <w:r>
              <w:rPr>
                <w:rFonts w:hint="default" w:ascii="Calibri" w:hAnsi="Calibri" w:eastAsia="宋体" w:cs="Calibri"/>
                <w:color w:val="auto"/>
                <w:lang w:val="en-US" w:eastAsia="zh-CN"/>
              </w:rPr>
              <w:t>根据《电磁环境控制限值》（GB8702-2014），50Hz频率下，环境中工频电场强度的公众曝露控制限值为4kV/m，工频磁感应强度的公众曝露控制限值为100μT</w:t>
            </w:r>
            <w:r>
              <w:rPr>
                <w:rFonts w:hint="default" w:ascii="Calibri" w:hAnsi="Calibri" w:cs="Calibri"/>
                <w:color w:val="auto"/>
                <w:lang w:val="en-US" w:eastAsia="zh-CN"/>
              </w:rPr>
              <w:t>，磁场强度80A/m</w:t>
            </w:r>
            <w:r>
              <w:rPr>
                <w:rFonts w:hint="default" w:ascii="Calibri" w:hAnsi="Calibri" w:eastAsia="宋体" w:cs="Calibri"/>
                <w:color w:val="auto"/>
                <w:lang w:val="en-US" w:eastAsia="zh-CN"/>
              </w:rPr>
              <w:t>；架空输电线路线下的耕地、园地、牧草地、畜禽饲养地、养殖水面、道路等场所，其频率50Hz的电场强度控制限值为10kV/m，且应给出警示和防护指示标志。</w:t>
            </w:r>
          </w:p>
          <w:p w14:paraId="1D1258A4">
            <w:pPr>
              <w:pStyle w:val="36"/>
              <w:keepNext w:val="0"/>
              <w:keepLines w:val="0"/>
              <w:pageBreakBefore w:val="0"/>
              <w:widowControl w:val="0"/>
              <w:numPr>
                <w:ilvl w:val="0"/>
                <w:numId w:val="0"/>
              </w:numPr>
              <w:kinsoku/>
              <w:wordWrap/>
              <w:overflowPunct/>
              <w:topLinePunct w:val="0"/>
              <w:autoSpaceDE w:val="0"/>
              <w:autoSpaceDN w:val="0"/>
              <w:bidi w:val="0"/>
              <w:adjustRightInd w:val="0"/>
              <w:snapToGrid w:val="0"/>
              <w:spacing w:line="480" w:lineRule="exact"/>
              <w:ind w:firstLine="482" w:firstLineChars="200"/>
              <w:textAlignment w:val="auto"/>
              <w:rPr>
                <w:rFonts w:hint="default" w:ascii="Calibri" w:hAnsi="Calibri" w:eastAsia="宋体" w:cs="Calibri"/>
                <w:color w:val="auto"/>
                <w:lang w:val="en-US" w:eastAsia="zh-CN"/>
              </w:rPr>
            </w:pPr>
            <w:r>
              <w:rPr>
                <w:rFonts w:hint="eastAsia" w:ascii="Calibri" w:hAnsi="Calibri" w:cs="Calibri"/>
                <w:b/>
                <w:color w:val="auto"/>
                <w:kern w:val="0"/>
                <w:sz w:val="24"/>
                <w:szCs w:val="21"/>
                <w:lang w:val="en-US" w:eastAsia="zh-CN" w:bidi="ar-SA"/>
              </w:rPr>
              <w:t>2、</w:t>
            </w:r>
            <w:r>
              <w:rPr>
                <w:rFonts w:hint="default" w:ascii="Calibri" w:hAnsi="Calibri" w:eastAsia="宋体" w:cs="Calibri"/>
                <w:color w:val="auto"/>
                <w:lang w:val="en-US" w:eastAsia="zh-CN"/>
              </w:rPr>
              <w:t>污染物排放控制标准</w:t>
            </w:r>
          </w:p>
          <w:p w14:paraId="766CDA1F">
            <w:pPr>
              <w:pStyle w:val="10"/>
              <w:keepNext w:val="0"/>
              <w:keepLines w:val="0"/>
              <w:pageBreakBefore w:val="0"/>
              <w:widowControl w:val="0"/>
              <w:numPr>
                <w:ilvl w:val="0"/>
                <w:numId w:val="0"/>
              </w:numPr>
              <w:kinsoku/>
              <w:wordWrap/>
              <w:overflowPunct/>
              <w:topLinePunct w:val="0"/>
              <w:bidi w:val="0"/>
              <w:spacing w:line="480" w:lineRule="exact"/>
              <w:ind w:left="0" w:leftChars="0" w:firstLine="480" w:firstLineChars="200"/>
              <w:textAlignment w:val="auto"/>
              <w:rPr>
                <w:rFonts w:hint="default" w:ascii="Calibri" w:hAnsi="Calibri" w:eastAsia="宋体" w:cs="Calibri"/>
                <w:color w:val="auto"/>
                <w:lang w:val="en-US" w:eastAsia="zh-CN"/>
              </w:rPr>
            </w:pPr>
            <w:r>
              <w:rPr>
                <w:rFonts w:hint="default" w:ascii="Calibri" w:hAnsi="Calibri" w:eastAsia="宋体" w:cs="Calibri"/>
                <w:color w:val="auto"/>
                <w:kern w:val="2"/>
                <w:sz w:val="24"/>
                <w:szCs w:val="24"/>
                <w:lang w:val="en-US" w:eastAsia="zh-CN" w:bidi="ar-SA"/>
              </w:rPr>
              <w:t>（1）</w:t>
            </w:r>
            <w:r>
              <w:rPr>
                <w:rFonts w:hint="default" w:ascii="Calibri" w:hAnsi="Calibri" w:eastAsia="宋体" w:cs="Calibri"/>
                <w:color w:val="auto"/>
                <w:lang w:val="en-US" w:eastAsia="zh-CN"/>
              </w:rPr>
              <w:t>废气：建设项目施工期施工废气排放执行《大气污染物综合排放标准》（GB16297-1996）无组织排放监控浓度限值。</w:t>
            </w:r>
          </w:p>
          <w:p w14:paraId="0336DB7E">
            <w:pPr>
              <w:pStyle w:val="10"/>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Calibri" w:hAnsi="Calibri" w:eastAsia="宋体" w:cs="Calibri"/>
                <w:b w:val="0"/>
                <w:bCs w:val="0"/>
                <w:color w:val="auto"/>
                <w:lang w:val="en-US" w:eastAsia="zh-CN"/>
              </w:rPr>
            </w:pPr>
            <w:r>
              <w:rPr>
                <w:rFonts w:hint="default" w:ascii="Calibri" w:hAnsi="Calibri" w:eastAsia="宋体" w:cs="Calibri"/>
                <w:b/>
                <w:bCs/>
                <w:color w:val="auto"/>
                <w:lang w:val="en-US" w:eastAsia="zh-CN"/>
              </w:rPr>
              <w:t>表3-</w:t>
            </w:r>
            <w:r>
              <w:rPr>
                <w:rFonts w:hint="eastAsia" w:ascii="Calibri" w:hAnsi="Calibri" w:cs="Calibri"/>
                <w:b/>
                <w:bCs/>
                <w:color w:val="auto"/>
                <w:lang w:val="en-US" w:eastAsia="zh-CN"/>
              </w:rPr>
              <w:t>7</w:t>
            </w:r>
            <w:r>
              <w:rPr>
                <w:rFonts w:hint="default" w:ascii="Calibri" w:hAnsi="Calibri" w:eastAsia="宋体" w:cs="Calibri"/>
                <w:b/>
                <w:bCs/>
                <w:color w:val="auto"/>
                <w:lang w:val="en-US" w:eastAsia="zh-CN"/>
              </w:rPr>
              <w:t xml:space="preserve">      施工期无组织废气执行标准</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4"/>
              <w:gridCol w:w="1435"/>
              <w:gridCol w:w="5196"/>
            </w:tblGrid>
            <w:tr w14:paraId="6E9E3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9" w:hRule="atLeast"/>
                <w:jc w:val="center"/>
              </w:trPr>
              <w:tc>
                <w:tcPr>
                  <w:tcW w:w="909" w:type="pct"/>
                  <w:noWrap w:val="0"/>
                  <w:vAlign w:val="center"/>
                </w:tcPr>
                <w:p w14:paraId="40A8BF4B">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default" w:ascii="Calibri" w:hAnsi="Calibri" w:eastAsia="宋体" w:cs="Calibri"/>
                      <w:color w:val="auto"/>
                      <w:sz w:val="21"/>
                      <w:szCs w:val="21"/>
                    </w:rPr>
                  </w:pPr>
                  <w:r>
                    <w:rPr>
                      <w:rFonts w:hint="default" w:ascii="Calibri" w:hAnsi="Calibri" w:eastAsia="宋体" w:cs="Calibri"/>
                      <w:color w:val="auto"/>
                      <w:sz w:val="21"/>
                      <w:szCs w:val="21"/>
                    </w:rPr>
                    <w:t>污染物</w:t>
                  </w:r>
                </w:p>
              </w:tc>
              <w:tc>
                <w:tcPr>
                  <w:tcW w:w="885" w:type="pct"/>
                  <w:noWrap w:val="0"/>
                  <w:vAlign w:val="center"/>
                </w:tcPr>
                <w:p w14:paraId="3645EB53">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default" w:ascii="Calibri" w:hAnsi="Calibri" w:eastAsia="宋体" w:cs="Calibri"/>
                      <w:color w:val="auto"/>
                      <w:sz w:val="21"/>
                      <w:szCs w:val="21"/>
                    </w:rPr>
                  </w:pPr>
                  <w:r>
                    <w:rPr>
                      <w:rFonts w:hint="default" w:ascii="Calibri" w:hAnsi="Calibri" w:eastAsia="宋体" w:cs="Calibri"/>
                      <w:color w:val="auto"/>
                      <w:sz w:val="21"/>
                      <w:szCs w:val="21"/>
                    </w:rPr>
                    <w:t>限值</w:t>
                  </w:r>
                </w:p>
              </w:tc>
              <w:tc>
                <w:tcPr>
                  <w:tcW w:w="3204" w:type="pct"/>
                  <w:noWrap w:val="0"/>
                  <w:vAlign w:val="center"/>
                </w:tcPr>
                <w:p w14:paraId="3E3CD2A8">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default" w:ascii="Calibri" w:hAnsi="Calibri" w:eastAsia="宋体" w:cs="Calibri"/>
                      <w:color w:val="auto"/>
                      <w:sz w:val="21"/>
                      <w:szCs w:val="21"/>
                    </w:rPr>
                  </w:pPr>
                  <w:r>
                    <w:rPr>
                      <w:rFonts w:hint="default" w:ascii="Calibri" w:hAnsi="Calibri" w:eastAsia="宋体" w:cs="Calibri"/>
                      <w:color w:val="auto"/>
                      <w:sz w:val="21"/>
                      <w:szCs w:val="21"/>
                    </w:rPr>
                    <w:t>执行标准</w:t>
                  </w:r>
                </w:p>
              </w:tc>
            </w:tr>
            <w:tr w14:paraId="6061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9" w:type="pct"/>
                  <w:noWrap w:val="0"/>
                  <w:vAlign w:val="center"/>
                </w:tcPr>
                <w:p w14:paraId="05CACB57">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default" w:ascii="Calibri" w:hAnsi="Calibri" w:eastAsia="宋体" w:cs="Calibri"/>
                      <w:color w:val="auto"/>
                      <w:sz w:val="21"/>
                      <w:szCs w:val="21"/>
                    </w:rPr>
                  </w:pPr>
                  <w:r>
                    <w:rPr>
                      <w:rFonts w:hint="default" w:ascii="Calibri" w:hAnsi="Calibri" w:eastAsia="宋体" w:cs="Calibri"/>
                      <w:color w:val="auto"/>
                      <w:sz w:val="21"/>
                      <w:szCs w:val="21"/>
                    </w:rPr>
                    <w:t>颗粒物</w:t>
                  </w:r>
                </w:p>
              </w:tc>
              <w:tc>
                <w:tcPr>
                  <w:tcW w:w="885" w:type="pct"/>
                  <w:noWrap w:val="0"/>
                  <w:vAlign w:val="center"/>
                </w:tcPr>
                <w:p w14:paraId="63F8E81C">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1mg/</w:t>
                  </w:r>
                  <w:r>
                    <w:rPr>
                      <w:rFonts w:hint="default" w:ascii="Calibri" w:hAnsi="Calibri" w:cs="Calibri"/>
                      <w:color w:val="auto"/>
                      <w:sz w:val="21"/>
                      <w:szCs w:val="21"/>
                      <w:lang w:eastAsia="zh-CN"/>
                    </w:rPr>
                    <w:t>m³</w:t>
                  </w:r>
                </w:p>
              </w:tc>
              <w:tc>
                <w:tcPr>
                  <w:tcW w:w="3204" w:type="pct"/>
                  <w:noWrap w:val="0"/>
                  <w:vAlign w:val="center"/>
                </w:tcPr>
                <w:p w14:paraId="1284261F">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rPr>
                    <w:t>《大气污染物综合排放标准》（GB16297-1996）中表2</w:t>
                  </w:r>
                  <w:r>
                    <w:rPr>
                      <w:rFonts w:hint="default" w:ascii="Calibri" w:hAnsi="Calibri" w:cs="Calibri"/>
                      <w:color w:val="auto"/>
                      <w:sz w:val="21"/>
                      <w:szCs w:val="21"/>
                      <w:lang w:val="en-US" w:eastAsia="zh-CN"/>
                    </w:rPr>
                    <w:t>限值要求</w:t>
                  </w:r>
                </w:p>
              </w:tc>
            </w:tr>
          </w:tbl>
          <w:p w14:paraId="785D3106">
            <w:pPr>
              <w:pStyle w:val="10"/>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textAlignment w:val="auto"/>
              <w:rPr>
                <w:rFonts w:hint="default" w:ascii="Calibri" w:hAnsi="Calibri" w:cs="Calibri"/>
                <w:color w:val="auto"/>
                <w:lang w:val="en-US" w:eastAsia="zh-CN"/>
              </w:rPr>
            </w:pPr>
            <w:r>
              <w:rPr>
                <w:rFonts w:hint="default" w:ascii="Calibri" w:hAnsi="Calibri" w:eastAsia="宋体" w:cs="Calibri"/>
                <w:color w:val="auto"/>
                <w:kern w:val="2"/>
                <w:sz w:val="24"/>
                <w:szCs w:val="24"/>
                <w:lang w:val="en-US" w:eastAsia="zh-CN" w:bidi="ar-SA"/>
              </w:rPr>
              <w:t>（2）</w:t>
            </w:r>
            <w:r>
              <w:rPr>
                <w:rFonts w:hint="default" w:ascii="Calibri" w:hAnsi="Calibri" w:cs="Calibri"/>
                <w:color w:val="auto"/>
                <w:lang w:val="en-US" w:eastAsia="zh-CN"/>
              </w:rPr>
              <w:t>废水：施工期生活污水执行《农村生活污水处理排放标准》</w:t>
            </w:r>
            <w:r>
              <w:rPr>
                <w:rFonts w:hint="eastAsia" w:ascii="Calibri" w:hAnsi="Calibri" w:cs="Calibri"/>
                <w:color w:val="auto"/>
                <w:lang w:val="en-US" w:eastAsia="zh-CN"/>
              </w:rPr>
              <w:t>（</w:t>
            </w:r>
            <w:r>
              <w:rPr>
                <w:rFonts w:hint="default" w:ascii="Calibri" w:hAnsi="Calibri" w:cs="Calibri"/>
                <w:color w:val="auto"/>
                <w:lang w:val="en-US" w:eastAsia="zh-CN"/>
              </w:rPr>
              <w:t>DB654275-2019)C类标准；运营期无废水产生。</w:t>
            </w:r>
          </w:p>
          <w:p w14:paraId="79267C80">
            <w:pPr>
              <w:pStyle w:val="10"/>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textAlignment w:val="auto"/>
              <w:rPr>
                <w:rFonts w:hint="default" w:ascii="Calibri" w:hAnsi="Calibri" w:eastAsia="宋体" w:cs="Calibri"/>
                <w:color w:val="auto"/>
                <w:lang w:val="en-US" w:eastAsia="zh-CN"/>
              </w:rPr>
            </w:pPr>
            <w:r>
              <w:rPr>
                <w:rFonts w:hint="default" w:ascii="Calibri" w:hAnsi="Calibri" w:eastAsia="宋体" w:cs="Calibri"/>
                <w:color w:val="auto"/>
                <w:kern w:val="2"/>
                <w:sz w:val="24"/>
                <w:szCs w:val="24"/>
                <w:lang w:val="en-US" w:eastAsia="zh-CN" w:bidi="ar-SA"/>
              </w:rPr>
              <w:t>（3）</w:t>
            </w:r>
            <w:r>
              <w:rPr>
                <w:rFonts w:hint="default" w:ascii="Calibri" w:hAnsi="Calibri" w:eastAsia="宋体" w:cs="Calibri"/>
                <w:color w:val="auto"/>
                <w:lang w:val="en-US" w:eastAsia="zh-CN"/>
              </w:rPr>
              <w:t>噪声：施工期噪声执行《建筑施工场界环境噪声排放标准》（GB12523-2011）。</w:t>
            </w:r>
          </w:p>
          <w:p w14:paraId="728F083D">
            <w:pPr>
              <w:pStyle w:val="10"/>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textAlignment w:val="auto"/>
              <w:rPr>
                <w:rFonts w:hint="default" w:ascii="Calibri" w:hAnsi="Calibri" w:eastAsia="宋体" w:cs="Calibri"/>
                <w:color w:val="auto"/>
                <w:lang w:val="en-US" w:eastAsia="zh-CN"/>
              </w:rPr>
            </w:pPr>
            <w:r>
              <w:rPr>
                <w:rFonts w:hint="default" w:ascii="Calibri" w:hAnsi="Calibri" w:cs="Calibri"/>
                <w:color w:val="auto"/>
                <w:lang w:val="en-US" w:eastAsia="zh-CN"/>
              </w:rPr>
              <w:t>运营期输变电线路</w:t>
            </w:r>
            <w:r>
              <w:rPr>
                <w:rFonts w:hint="eastAsia" w:ascii="Calibri" w:hAnsi="Calibri" w:cs="Calibri"/>
                <w:color w:val="auto"/>
                <w:lang w:val="en-US" w:eastAsia="zh-CN"/>
              </w:rPr>
              <w:t>噪声执行《声环境质量标准》（GB3096-2008）</w:t>
            </w:r>
            <w:r>
              <w:rPr>
                <w:rFonts w:hint="default" w:ascii="Calibri" w:hAnsi="Calibri" w:eastAsia="宋体" w:cs="Calibri"/>
                <w:color w:val="auto"/>
                <w:lang w:val="en-US" w:eastAsia="zh-CN"/>
              </w:rPr>
              <w:t>2类标准</w:t>
            </w:r>
            <w:r>
              <w:rPr>
                <w:rFonts w:hint="eastAsia" w:ascii="Calibri" w:hAnsi="Calibri" w:cs="Calibri"/>
                <w:color w:val="auto"/>
                <w:lang w:val="en-US" w:eastAsia="zh-CN"/>
              </w:rPr>
              <w:t>（</w:t>
            </w:r>
            <w:r>
              <w:rPr>
                <w:rFonts w:hint="default" w:ascii="Calibri" w:hAnsi="Calibri" w:cs="Calibri"/>
                <w:color w:val="auto"/>
                <w:lang w:val="en-US" w:eastAsia="zh-CN"/>
              </w:rPr>
              <w:t>昼间：60dB(A)</w:t>
            </w:r>
            <w:r>
              <w:rPr>
                <w:rFonts w:hint="eastAsia" w:ascii="Calibri" w:hAnsi="Calibri" w:cs="Calibri"/>
                <w:color w:val="auto"/>
                <w:lang w:val="en-US" w:eastAsia="zh-CN"/>
              </w:rPr>
              <w:t>，</w:t>
            </w:r>
            <w:r>
              <w:rPr>
                <w:rFonts w:hint="default" w:ascii="Calibri" w:hAnsi="Calibri" w:cs="Calibri"/>
                <w:color w:val="auto"/>
                <w:lang w:val="en-US" w:eastAsia="zh-CN"/>
              </w:rPr>
              <w:t>夜间50dB(A)</w:t>
            </w:r>
            <w:r>
              <w:rPr>
                <w:rFonts w:hint="eastAsia" w:ascii="Calibri" w:hAnsi="Calibri" w:cs="Calibri"/>
                <w:color w:val="auto"/>
                <w:lang w:val="en-US" w:eastAsia="zh-CN"/>
              </w:rPr>
              <w:t>），</w:t>
            </w:r>
            <w:r>
              <w:rPr>
                <w:rFonts w:hint="default" w:ascii="Calibri" w:hAnsi="Calibri" w:cs="Calibri"/>
                <w:color w:val="auto"/>
                <w:lang w:val="en-US" w:eastAsia="zh-CN"/>
              </w:rPr>
              <w:t>变电站</w:t>
            </w:r>
            <w:r>
              <w:rPr>
                <w:rFonts w:hint="eastAsia" w:ascii="Calibri" w:hAnsi="Calibri" w:cs="Calibri"/>
                <w:color w:val="auto"/>
                <w:lang w:val="en-US" w:eastAsia="zh-CN"/>
              </w:rPr>
              <w:t>噪声</w:t>
            </w:r>
            <w:r>
              <w:rPr>
                <w:rFonts w:hint="default" w:ascii="Calibri" w:hAnsi="Calibri" w:cs="Calibri"/>
                <w:color w:val="auto"/>
                <w:lang w:val="en-US" w:eastAsia="zh-CN"/>
              </w:rPr>
              <w:t>执行《工业企业厂界环境噪声排放标准》（GB</w:t>
            </w:r>
            <w:r>
              <w:rPr>
                <w:rFonts w:hint="eastAsia" w:ascii="Calibri" w:hAnsi="Calibri" w:cs="Calibri"/>
                <w:color w:val="auto"/>
                <w:lang w:val="en-US" w:eastAsia="zh-CN"/>
              </w:rPr>
              <w:t>12348</w:t>
            </w:r>
            <w:r>
              <w:rPr>
                <w:rFonts w:hint="default" w:ascii="Calibri" w:hAnsi="Calibri" w:cs="Calibri"/>
                <w:color w:val="auto"/>
                <w:lang w:val="en-US" w:eastAsia="zh-CN"/>
              </w:rPr>
              <w:t>-2008）</w:t>
            </w:r>
            <w:r>
              <w:rPr>
                <w:rFonts w:hint="eastAsia" w:ascii="Calibri" w:hAnsi="Calibri" w:cs="Calibri"/>
                <w:color w:val="auto"/>
                <w:lang w:val="en-US" w:eastAsia="zh-CN"/>
              </w:rPr>
              <w:t>中</w:t>
            </w:r>
            <w:r>
              <w:rPr>
                <w:rFonts w:hint="default" w:ascii="Calibri" w:hAnsi="Calibri" w:cs="Calibri"/>
                <w:color w:val="auto"/>
                <w:lang w:val="en-US" w:eastAsia="zh-CN"/>
              </w:rPr>
              <w:t>2类标准</w:t>
            </w:r>
            <w:r>
              <w:rPr>
                <w:rFonts w:hint="eastAsia" w:ascii="Calibri" w:hAnsi="Calibri" w:cs="Calibri"/>
                <w:color w:val="auto"/>
                <w:lang w:val="en-US" w:eastAsia="zh-CN"/>
              </w:rPr>
              <w:t>（</w:t>
            </w:r>
            <w:r>
              <w:rPr>
                <w:rFonts w:hint="default" w:ascii="Calibri" w:hAnsi="Calibri" w:cs="Calibri"/>
                <w:color w:val="auto"/>
                <w:lang w:val="en-US" w:eastAsia="zh-CN"/>
              </w:rPr>
              <w:t>昼间：60dB(A)</w:t>
            </w:r>
            <w:r>
              <w:rPr>
                <w:rFonts w:hint="eastAsia" w:ascii="Calibri" w:hAnsi="Calibri" w:cs="Calibri"/>
                <w:color w:val="auto"/>
                <w:lang w:val="en-US" w:eastAsia="zh-CN"/>
              </w:rPr>
              <w:t>，</w:t>
            </w:r>
            <w:r>
              <w:rPr>
                <w:rFonts w:hint="default" w:ascii="Calibri" w:hAnsi="Calibri" w:cs="Calibri"/>
                <w:color w:val="auto"/>
                <w:lang w:val="en-US" w:eastAsia="zh-CN"/>
              </w:rPr>
              <w:t>夜间50dB(A)</w:t>
            </w:r>
            <w:r>
              <w:rPr>
                <w:rFonts w:hint="eastAsia" w:ascii="Calibri" w:hAnsi="Calibri" w:cs="Calibri"/>
                <w:color w:val="auto"/>
                <w:lang w:val="en-US" w:eastAsia="zh-CN"/>
              </w:rPr>
              <w:t>）</w:t>
            </w:r>
            <w:r>
              <w:rPr>
                <w:rFonts w:hint="default" w:ascii="Calibri" w:hAnsi="Calibri" w:cs="Calibri"/>
                <w:color w:val="auto"/>
                <w:lang w:val="en-US" w:eastAsia="zh-CN"/>
              </w:rPr>
              <w:t>。</w:t>
            </w:r>
          </w:p>
          <w:p w14:paraId="742602F3">
            <w:pPr>
              <w:pStyle w:val="10"/>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0" w:firstLineChars="200"/>
              <w:textAlignment w:val="auto"/>
              <w:rPr>
                <w:rFonts w:hint="eastAsia" w:ascii="宋体" w:hAnsi="宋体" w:eastAsia="宋体" w:cs="宋体"/>
                <w:color w:val="auto"/>
                <w:lang w:val="en-US" w:eastAsia="zh-CN"/>
              </w:rPr>
            </w:pPr>
            <w:r>
              <w:rPr>
                <w:rFonts w:hint="default" w:ascii="Calibri" w:hAnsi="Calibri" w:eastAsia="宋体" w:cs="Calibri"/>
                <w:color w:val="auto"/>
                <w:kern w:val="2"/>
                <w:sz w:val="24"/>
                <w:szCs w:val="24"/>
                <w:lang w:val="en-US" w:eastAsia="zh-CN" w:bidi="ar-SA"/>
              </w:rPr>
              <w:t>（4）</w:t>
            </w:r>
            <w:r>
              <w:rPr>
                <w:rFonts w:hint="default" w:ascii="Calibri" w:hAnsi="Calibri" w:eastAsia="宋体" w:cs="Calibri"/>
                <w:color w:val="auto"/>
                <w:lang w:val="en-US" w:eastAsia="zh-CN"/>
              </w:rPr>
              <w:t>固体废物：一般工业固废执行《中华人民共和国固体废物污染环境防治法》</w:t>
            </w:r>
            <w:r>
              <w:rPr>
                <w:rFonts w:hint="default" w:ascii="Calibri" w:hAnsi="Calibri" w:cs="Calibri"/>
                <w:color w:val="auto"/>
                <w:lang w:val="en-US" w:eastAsia="zh-CN"/>
              </w:rPr>
              <w:t>，</w:t>
            </w:r>
            <w:r>
              <w:rPr>
                <w:rFonts w:hint="default" w:ascii="Calibri" w:hAnsi="Calibri" w:eastAsia="宋体" w:cs="Calibri"/>
                <w:color w:val="auto"/>
                <w:lang w:val="en-US" w:eastAsia="zh-CN"/>
              </w:rPr>
              <w:t>在暂存过程中应按照简单防渗区要求做好防渗漏、防雨淋、防扬尘等环境保护要求。项目运营期产生的危险</w:t>
            </w:r>
            <w:r>
              <w:rPr>
                <w:rFonts w:hint="default" w:ascii="Calibri" w:hAnsi="Calibri" w:cs="Calibri"/>
                <w:color w:val="auto"/>
                <w:lang w:val="en-US" w:eastAsia="zh-CN"/>
              </w:rPr>
              <w:t>废物</w:t>
            </w:r>
            <w:r>
              <w:rPr>
                <w:rFonts w:hint="default" w:ascii="Calibri" w:hAnsi="Calibri" w:eastAsia="宋体" w:cs="Calibri"/>
                <w:color w:val="auto"/>
                <w:lang w:val="en-US" w:eastAsia="zh-CN"/>
              </w:rPr>
              <w:t>主要为事故废油、废旧蓄电池，</w:t>
            </w:r>
            <w:r>
              <w:rPr>
                <w:rFonts w:hint="default" w:ascii="Calibri" w:hAnsi="Calibri" w:cs="Calibri"/>
                <w:color w:val="auto"/>
                <w:lang w:val="en-US" w:eastAsia="zh-CN"/>
              </w:rPr>
              <w:t>危险废物贮存标准执行《危险废物贮存污染控制标准》（GB 18597—2023）</w:t>
            </w:r>
            <w:r>
              <w:rPr>
                <w:rFonts w:hint="default" w:ascii="Calibri" w:hAnsi="Calibri" w:eastAsia="宋体" w:cs="Calibri"/>
                <w:color w:val="auto"/>
                <w:lang w:val="en-US" w:eastAsia="zh-CN"/>
              </w:rPr>
              <w:t>。</w:t>
            </w:r>
          </w:p>
          <w:p w14:paraId="3FE9F06C">
            <w:pPr>
              <w:pStyle w:val="10"/>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ascii="宋体" w:hAnsi="宋体" w:cs="宋体"/>
                <w:color w:val="auto"/>
                <w:kern w:val="0"/>
                <w:sz w:val="24"/>
                <w:szCs w:val="24"/>
              </w:rPr>
            </w:pPr>
          </w:p>
        </w:tc>
      </w:tr>
      <w:tr w14:paraId="5F828B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42" w:hRule="atLeast"/>
          <w:jc w:val="center"/>
        </w:trPr>
        <w:tc>
          <w:tcPr>
            <w:tcW w:w="904" w:type="dxa"/>
            <w:noWrap w:val="0"/>
            <w:vAlign w:val="center"/>
          </w:tcPr>
          <w:p w14:paraId="59F57C42">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其他</w:t>
            </w:r>
          </w:p>
        </w:tc>
        <w:tc>
          <w:tcPr>
            <w:tcW w:w="8253" w:type="dxa"/>
            <w:noWrap w:val="0"/>
            <w:vAlign w:val="center"/>
          </w:tcPr>
          <w:p w14:paraId="72309286">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无总量控制指标要求</w:t>
            </w:r>
            <w:r>
              <w:rPr>
                <w:rFonts w:hint="eastAsia" w:ascii="宋体" w:hAnsi="宋体" w:cs="宋体"/>
                <w:color w:val="auto"/>
                <w:kern w:val="0"/>
                <w:sz w:val="24"/>
                <w:szCs w:val="24"/>
                <w:lang w:val="en-US" w:eastAsia="zh-CN"/>
              </w:rPr>
              <w:t xml:space="preserve"> </w:t>
            </w:r>
          </w:p>
        </w:tc>
      </w:tr>
    </w:tbl>
    <w:p w14:paraId="0374FF81">
      <w:pPr>
        <w:pStyle w:val="20"/>
        <w:adjustRightInd w:val="0"/>
        <w:snapToGrid w:val="0"/>
        <w:spacing w:before="0" w:beforeAutospacing="0" w:after="0" w:afterAutospacing="0" w:line="14" w:lineRule="auto"/>
        <w:jc w:val="center"/>
        <w:outlineLvl w:val="0"/>
        <w:rPr>
          <w:rFonts w:ascii="黑体" w:hAnsi="黑体" w:eastAsia="黑体"/>
          <w:snapToGrid w:val="0"/>
          <w:color w:val="auto"/>
          <w:kern w:val="2"/>
          <w:sz w:val="36"/>
          <w:szCs w:val="36"/>
        </w:rPr>
      </w:pPr>
    </w:p>
    <w:p w14:paraId="5F07006F">
      <w:pPr>
        <w:pStyle w:val="20"/>
        <w:jc w:val="center"/>
        <w:outlineLvl w:val="0"/>
        <w:rPr>
          <w:rFonts w:ascii="黑体" w:hAnsi="黑体" w:eastAsia="黑体"/>
          <w:snapToGrid w:val="0"/>
          <w:color w:val="auto"/>
          <w:sz w:val="30"/>
          <w:szCs w:val="30"/>
        </w:rPr>
      </w:pPr>
      <w:r>
        <w:rPr>
          <w:rFonts w:ascii="黑体" w:hAnsi="黑体" w:eastAsia="黑体"/>
          <w:snapToGrid w:val="0"/>
          <w:color w:val="auto"/>
          <w:kern w:val="2"/>
          <w:sz w:val="36"/>
          <w:szCs w:val="36"/>
        </w:rPr>
        <w:br w:type="page"/>
      </w:r>
      <w:bookmarkStart w:id="17" w:name="_Toc26317"/>
      <w:bookmarkStart w:id="18" w:name="_Toc16059"/>
      <w:r>
        <w:rPr>
          <w:rFonts w:hint="eastAsia" w:ascii="黑体" w:hAnsi="黑体" w:eastAsia="黑体"/>
          <w:snapToGrid w:val="0"/>
          <w:color w:val="auto"/>
          <w:sz w:val="30"/>
          <w:szCs w:val="30"/>
        </w:rPr>
        <w:t>四、生态环境影响分析</w:t>
      </w:r>
      <w:bookmarkEnd w:id="17"/>
      <w:bookmarkEnd w:id="18"/>
    </w:p>
    <w:tbl>
      <w:tblPr>
        <w:tblStyle w:val="22"/>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9"/>
        <w:gridCol w:w="8363"/>
      </w:tblGrid>
      <w:tr w14:paraId="45FEE6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879" w:type="dxa"/>
            <w:noWrap w:val="0"/>
            <w:tcMar>
              <w:left w:w="28" w:type="dxa"/>
              <w:right w:w="28" w:type="dxa"/>
            </w:tcMar>
            <w:vAlign w:val="center"/>
          </w:tcPr>
          <w:p w14:paraId="65DF31E9">
            <w:pPr>
              <w:pStyle w:val="20"/>
              <w:adjustRightInd w:val="0"/>
              <w:snapToGrid w:val="0"/>
              <w:spacing w:before="0" w:beforeAutospacing="0" w:after="0" w:afterAutospacing="0"/>
              <w:jc w:val="center"/>
              <w:rPr>
                <w:rFonts w:cs="宋体"/>
                <w:bCs/>
                <w:color w:val="auto"/>
                <w:kern w:val="2"/>
                <w:sz w:val="24"/>
                <w:szCs w:val="24"/>
              </w:rPr>
            </w:pPr>
            <w:bookmarkStart w:id="19" w:name="_Hlk49796138"/>
            <w:r>
              <w:rPr>
                <w:rFonts w:hint="eastAsia" w:cs="宋体"/>
                <w:bCs/>
                <w:color w:val="auto"/>
                <w:spacing w:val="10"/>
                <w:kern w:val="2"/>
                <w:sz w:val="24"/>
                <w:szCs w:val="24"/>
              </w:rPr>
              <w:t>施工期生态环境影响分析</w:t>
            </w:r>
            <w:bookmarkEnd w:id="19"/>
          </w:p>
        </w:tc>
        <w:tc>
          <w:tcPr>
            <w:tcW w:w="8363" w:type="dxa"/>
            <w:noWrap w:val="0"/>
            <w:vAlign w:val="top"/>
          </w:tcPr>
          <w:p w14:paraId="3F8BA2C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宋体" w:hAnsi="宋体" w:cs="宋体"/>
                <w:bCs/>
                <w:color w:val="auto"/>
                <w:sz w:val="24"/>
                <w:szCs w:val="24"/>
              </w:rPr>
            </w:pPr>
            <w:r>
              <w:rPr>
                <w:rFonts w:hint="eastAsia" w:ascii="宋体" w:hAnsi="宋体" w:cs="宋体"/>
                <w:bCs/>
                <w:color w:val="auto"/>
                <w:sz w:val="24"/>
                <w:szCs w:val="24"/>
                <w:lang w:val="en-US" w:eastAsia="zh-CN"/>
              </w:rPr>
              <w:t>本项目</w:t>
            </w:r>
            <w:r>
              <w:rPr>
                <w:rFonts w:ascii="宋体" w:hAnsi="宋体" w:cs="宋体"/>
                <w:bCs/>
                <w:color w:val="auto"/>
                <w:sz w:val="24"/>
                <w:szCs w:val="24"/>
                <w:lang w:val="en-US" w:eastAsia="zh-CN"/>
              </w:rPr>
              <w:t>施工期对环境的直接影响是占用土地、破坏植被，施工现场</w:t>
            </w:r>
            <w:r>
              <w:rPr>
                <w:rFonts w:hint="default" w:ascii="宋体" w:hAnsi="宋体" w:cs="宋体"/>
                <w:bCs/>
                <w:color w:val="auto"/>
                <w:sz w:val="24"/>
                <w:szCs w:val="24"/>
                <w:lang w:val="en-US" w:eastAsia="zh-CN"/>
              </w:rPr>
              <w:t>噪声、扬尘及固体废弃物的污染，对原有自然系统的破坏，还有施工队和施工机械进驻造成的对该地区动植物的干扰和破坏等。</w:t>
            </w:r>
          </w:p>
          <w:p w14:paraId="29222A1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cs="宋体"/>
                <w:bCs/>
                <w:color w:val="auto"/>
                <w:sz w:val="24"/>
                <w:szCs w:val="24"/>
                <w:lang w:val="en-US" w:eastAsia="zh-CN"/>
              </w:rPr>
            </w:pPr>
            <w:r>
              <w:rPr>
                <w:rFonts w:ascii="宋体" w:hAnsi="宋体" w:cs="宋体"/>
                <w:bCs/>
                <w:color w:val="auto"/>
                <w:sz w:val="24"/>
                <w:szCs w:val="24"/>
                <w:lang w:val="en-US" w:eastAsia="zh-CN"/>
              </w:rPr>
              <w:t>施工期对环境的影响具有范围较小、时间短暂的特点。</w:t>
            </w:r>
            <w:r>
              <w:rPr>
                <w:rFonts w:hint="default" w:ascii="宋体" w:hAnsi="宋体" w:cs="宋体"/>
                <w:bCs/>
                <w:color w:val="auto"/>
                <w:sz w:val="24"/>
                <w:szCs w:val="24"/>
                <w:lang w:val="en-US" w:eastAsia="zh-CN"/>
              </w:rPr>
              <w:t>输电线路施工期也较短</w:t>
            </w:r>
            <w:r>
              <w:rPr>
                <w:rFonts w:hint="eastAsia" w:ascii="宋体" w:hAnsi="宋体" w:cs="宋体"/>
                <w:bCs/>
                <w:color w:val="auto"/>
                <w:sz w:val="24"/>
                <w:szCs w:val="24"/>
                <w:lang w:val="en-US" w:eastAsia="zh-CN"/>
              </w:rPr>
              <w:t>，</w:t>
            </w:r>
            <w:r>
              <w:rPr>
                <w:rFonts w:ascii="宋体" w:hAnsi="宋体" w:cs="宋体"/>
                <w:bCs/>
                <w:color w:val="auto"/>
                <w:sz w:val="24"/>
                <w:szCs w:val="24"/>
                <w:lang w:val="en-US" w:eastAsia="zh-CN"/>
              </w:rPr>
              <w:t>随着施工</w:t>
            </w:r>
            <w:r>
              <w:rPr>
                <w:rFonts w:hint="default" w:ascii="宋体" w:hAnsi="宋体" w:cs="宋体"/>
                <w:bCs/>
                <w:color w:val="auto"/>
                <w:sz w:val="24"/>
                <w:szCs w:val="24"/>
                <w:lang w:val="en-US" w:eastAsia="zh-CN"/>
              </w:rPr>
              <w:t>期的结束，对环境的影响也逐步减小。</w:t>
            </w:r>
          </w:p>
          <w:p w14:paraId="320CD47D">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宋体" w:hAnsi="宋体" w:cs="宋体"/>
                <w:b/>
                <w:bCs w:val="0"/>
                <w:color w:val="auto"/>
                <w:sz w:val="24"/>
                <w:szCs w:val="24"/>
                <w:lang w:val="en-US" w:eastAsia="zh-CN"/>
              </w:rPr>
            </w:pPr>
            <w:r>
              <w:rPr>
                <w:rFonts w:hint="eastAsia" w:ascii="宋体" w:hAnsi="宋体" w:cs="宋体"/>
                <w:b/>
                <w:bCs w:val="0"/>
                <w:color w:val="auto"/>
                <w:sz w:val="24"/>
                <w:szCs w:val="24"/>
                <w:lang w:val="en-US" w:eastAsia="zh-CN"/>
              </w:rPr>
              <w:t>1 施工期生态环境影响分析</w:t>
            </w:r>
          </w:p>
          <w:p w14:paraId="0B5277AD">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eastAsia" w:ascii="宋体" w:hAnsi="宋体" w:cs="宋体"/>
                <w:bCs/>
                <w:color w:val="auto"/>
                <w:sz w:val="24"/>
                <w:szCs w:val="24"/>
                <w:lang w:val="en-US" w:eastAsia="zh-CN"/>
              </w:rPr>
            </w:pPr>
            <w:r>
              <w:rPr>
                <w:rFonts w:hint="eastAsia" w:ascii="宋体" w:hAnsi="宋体" w:cs="宋体"/>
                <w:b/>
                <w:bCs w:val="0"/>
                <w:color w:val="auto"/>
                <w:sz w:val="24"/>
                <w:szCs w:val="24"/>
                <w:lang w:val="en-US" w:eastAsia="zh-CN"/>
              </w:rPr>
              <w:t>1.1 占地影响分析</w:t>
            </w:r>
          </w:p>
          <w:p w14:paraId="1343244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cs="宋体"/>
                <w:bCs/>
                <w:color w:val="auto"/>
                <w:sz w:val="24"/>
                <w:szCs w:val="24"/>
                <w:lang w:val="en-US" w:eastAsia="zh-CN"/>
              </w:rPr>
            </w:pPr>
            <w:r>
              <w:rPr>
                <w:rFonts w:hint="eastAsia" w:ascii="宋体" w:hAnsi="宋体" w:cs="宋体"/>
                <w:bCs/>
                <w:color w:val="auto"/>
                <w:sz w:val="24"/>
                <w:szCs w:val="24"/>
                <w:lang w:val="en-US" w:eastAsia="zh-CN"/>
              </w:rPr>
              <w:t>本项目建设过程会使评价范围内的各种土地现状面积发生变化，对区域内土地利用结构产生一定影响。输电线路区域为裸岩石砾地和其他草地，占地将减少地表植被，对生态环境有一定影响，由于输电线路属点状征地，对线路沿线的生态环境影响在可接受范围内。</w:t>
            </w:r>
          </w:p>
          <w:p w14:paraId="55B25A3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变电站永久占地区域将使裸岩石砾地变为建设用地，站址区域原有生态系统被彻底清除，转变为建设用地，导致该地块生态功能永久丧失，变电站场地平整、基础建设会彻底改变原地形地貌，形成永久性硬化地面，破坏土壤稳定性。</w:t>
            </w:r>
          </w:p>
          <w:p w14:paraId="24C70E69">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宋体" w:hAnsi="宋体" w:eastAsia="宋体" w:cs="宋体"/>
                <w:b/>
                <w:bCs w:val="0"/>
                <w:color w:val="auto"/>
                <w:sz w:val="24"/>
                <w:szCs w:val="24"/>
                <w:lang w:val="en-US" w:eastAsia="zh-CN"/>
              </w:rPr>
            </w:pPr>
            <w:r>
              <w:rPr>
                <w:rFonts w:hint="eastAsia" w:ascii="宋体" w:hAnsi="宋体" w:cs="宋体"/>
                <w:b/>
                <w:bCs w:val="0"/>
                <w:color w:val="auto"/>
                <w:sz w:val="24"/>
                <w:szCs w:val="24"/>
                <w:lang w:val="en-US" w:eastAsia="zh-CN"/>
              </w:rPr>
              <w:t>表4-1         土地利用情况一览表</w:t>
            </w:r>
          </w:p>
          <w:tbl>
            <w:tblPr>
              <w:tblStyle w:val="23"/>
              <w:tblW w:w="0" w:type="auto"/>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5"/>
              <w:gridCol w:w="2716"/>
              <w:gridCol w:w="2716"/>
            </w:tblGrid>
            <w:tr w14:paraId="2D7D6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5" w:type="dxa"/>
                  <w:vAlign w:val="center"/>
                </w:tcPr>
                <w:p w14:paraId="71C97F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Calibri"/>
                      <w:bCs/>
                      <w:color w:val="auto"/>
                      <w:sz w:val="21"/>
                      <w:szCs w:val="21"/>
                      <w:vertAlign w:val="baseline"/>
                      <w:lang w:val="en-US" w:eastAsia="zh-CN"/>
                    </w:rPr>
                  </w:pPr>
                  <w:r>
                    <w:rPr>
                      <w:rFonts w:hint="default" w:ascii="Calibri" w:hAnsi="Calibri" w:eastAsia="宋体" w:cs="Calibri"/>
                      <w:bCs/>
                      <w:color w:val="auto"/>
                      <w:sz w:val="21"/>
                      <w:szCs w:val="21"/>
                      <w:vertAlign w:val="baseline"/>
                      <w:lang w:val="en-US" w:eastAsia="zh-CN"/>
                    </w:rPr>
                    <w:t>占地类型</w:t>
                  </w:r>
                </w:p>
              </w:tc>
              <w:tc>
                <w:tcPr>
                  <w:tcW w:w="2716" w:type="dxa"/>
                  <w:vAlign w:val="center"/>
                </w:tcPr>
                <w:p w14:paraId="0F48C7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Calibri"/>
                      <w:bCs/>
                      <w:color w:val="auto"/>
                      <w:sz w:val="21"/>
                      <w:szCs w:val="21"/>
                      <w:vertAlign w:val="baseline"/>
                      <w:lang w:val="en-US" w:eastAsia="zh-CN"/>
                    </w:rPr>
                  </w:pPr>
                  <w:r>
                    <w:rPr>
                      <w:rFonts w:hint="default" w:ascii="Calibri" w:hAnsi="Calibri" w:eastAsia="宋体" w:cs="Calibri"/>
                      <w:bCs/>
                      <w:color w:val="auto"/>
                      <w:sz w:val="21"/>
                      <w:szCs w:val="21"/>
                      <w:vertAlign w:val="baseline"/>
                      <w:lang w:val="en-US" w:eastAsia="zh-CN"/>
                    </w:rPr>
                    <w:t>面积（m</w:t>
                  </w:r>
                  <w:r>
                    <w:rPr>
                      <w:rFonts w:hint="default" w:ascii="Calibri" w:hAnsi="Calibri" w:eastAsia="宋体" w:cs="Calibri"/>
                      <w:bCs/>
                      <w:color w:val="auto"/>
                      <w:sz w:val="21"/>
                      <w:szCs w:val="21"/>
                      <w:vertAlign w:val="superscript"/>
                      <w:lang w:val="en-US" w:eastAsia="zh-CN"/>
                    </w:rPr>
                    <w:t>2</w:t>
                  </w:r>
                  <w:r>
                    <w:rPr>
                      <w:rFonts w:hint="default" w:ascii="Calibri" w:hAnsi="Calibri" w:eastAsia="宋体" w:cs="Calibri"/>
                      <w:bCs/>
                      <w:color w:val="auto"/>
                      <w:sz w:val="21"/>
                      <w:szCs w:val="21"/>
                      <w:vertAlign w:val="baseline"/>
                      <w:lang w:val="en-US" w:eastAsia="zh-CN"/>
                    </w:rPr>
                    <w:t>）</w:t>
                  </w:r>
                </w:p>
              </w:tc>
              <w:tc>
                <w:tcPr>
                  <w:tcW w:w="2716" w:type="dxa"/>
                  <w:vAlign w:val="center"/>
                </w:tcPr>
                <w:p w14:paraId="554B3B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Calibri"/>
                      <w:bCs/>
                      <w:color w:val="auto"/>
                      <w:sz w:val="21"/>
                      <w:szCs w:val="21"/>
                      <w:vertAlign w:val="baseline"/>
                      <w:lang w:val="en-US" w:eastAsia="zh-CN"/>
                    </w:rPr>
                  </w:pPr>
                  <w:r>
                    <w:rPr>
                      <w:rFonts w:hint="default" w:ascii="Calibri" w:hAnsi="Calibri" w:eastAsia="宋体" w:cs="Calibri"/>
                      <w:bCs/>
                      <w:color w:val="auto"/>
                      <w:sz w:val="21"/>
                      <w:szCs w:val="21"/>
                      <w:vertAlign w:val="baseline"/>
                      <w:lang w:val="en-US" w:eastAsia="zh-CN"/>
                    </w:rPr>
                    <w:t>用地类型</w:t>
                  </w:r>
                </w:p>
              </w:tc>
            </w:tr>
            <w:tr w14:paraId="31A44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5" w:type="dxa"/>
                  <w:vAlign w:val="center"/>
                </w:tcPr>
                <w:p w14:paraId="0B97DC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Calibri"/>
                      <w:bCs/>
                      <w:color w:val="auto"/>
                      <w:sz w:val="21"/>
                      <w:szCs w:val="21"/>
                      <w:vertAlign w:val="baseline"/>
                      <w:lang w:val="en-US" w:eastAsia="zh-CN"/>
                    </w:rPr>
                  </w:pPr>
                  <w:r>
                    <w:rPr>
                      <w:rFonts w:hint="default" w:ascii="Calibri" w:hAnsi="Calibri" w:eastAsia="宋体" w:cs="Calibri"/>
                      <w:bCs/>
                      <w:color w:val="auto"/>
                      <w:sz w:val="21"/>
                      <w:szCs w:val="21"/>
                      <w:vertAlign w:val="baseline"/>
                      <w:lang w:val="en-US" w:eastAsia="zh-CN"/>
                    </w:rPr>
                    <w:t>永久占地</w:t>
                  </w:r>
                </w:p>
              </w:tc>
              <w:tc>
                <w:tcPr>
                  <w:tcW w:w="2716" w:type="dxa"/>
                  <w:vAlign w:val="center"/>
                </w:tcPr>
                <w:p w14:paraId="53B2FF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Calibri"/>
                      <w:bCs/>
                      <w:color w:val="auto"/>
                      <w:sz w:val="21"/>
                      <w:szCs w:val="21"/>
                      <w:vertAlign w:val="baseline"/>
                      <w:lang w:val="en-US" w:eastAsia="zh-CN"/>
                    </w:rPr>
                  </w:pPr>
                  <w:r>
                    <w:rPr>
                      <w:rFonts w:hint="eastAsia" w:ascii="Calibri" w:hAnsi="Calibri" w:cs="Calibri"/>
                      <w:bCs/>
                      <w:color w:val="auto"/>
                      <w:sz w:val="21"/>
                      <w:szCs w:val="21"/>
                      <w:vertAlign w:val="baseline"/>
                      <w:lang w:val="en-US" w:eastAsia="zh-CN"/>
                    </w:rPr>
                    <w:t>12221</w:t>
                  </w:r>
                </w:p>
              </w:tc>
              <w:tc>
                <w:tcPr>
                  <w:tcW w:w="2716" w:type="dxa"/>
                  <w:vAlign w:val="center"/>
                </w:tcPr>
                <w:p w14:paraId="28BE7C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Calibri"/>
                      <w:bCs/>
                      <w:color w:val="auto"/>
                      <w:sz w:val="21"/>
                      <w:szCs w:val="21"/>
                      <w:vertAlign w:val="baseline"/>
                      <w:lang w:val="en-US" w:eastAsia="zh-CN"/>
                    </w:rPr>
                  </w:pPr>
                  <w:r>
                    <w:rPr>
                      <w:rFonts w:hint="default" w:ascii="Calibri" w:hAnsi="Calibri" w:eastAsia="宋体" w:cs="Calibri"/>
                      <w:color w:val="auto"/>
                      <w:sz w:val="21"/>
                      <w:szCs w:val="21"/>
                      <w:highlight w:val="none"/>
                      <w:lang w:val="en-US" w:eastAsia="zh-CN"/>
                    </w:rPr>
                    <w:t>裸岩石砾地</w:t>
                  </w:r>
                  <w:r>
                    <w:rPr>
                      <w:rFonts w:hint="eastAsia" w:ascii="Calibri" w:hAnsi="Calibri" w:cs="Calibri"/>
                      <w:color w:val="auto"/>
                      <w:sz w:val="21"/>
                      <w:szCs w:val="21"/>
                      <w:highlight w:val="none"/>
                      <w:lang w:val="en-US" w:eastAsia="zh-CN"/>
                    </w:rPr>
                    <w:t>、其他草地</w:t>
                  </w:r>
                </w:p>
              </w:tc>
            </w:tr>
            <w:tr w14:paraId="0184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5" w:type="dxa"/>
                  <w:vAlign w:val="center"/>
                </w:tcPr>
                <w:p w14:paraId="78B70F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Calibri"/>
                      <w:bCs/>
                      <w:color w:val="auto"/>
                      <w:sz w:val="21"/>
                      <w:szCs w:val="21"/>
                      <w:vertAlign w:val="baseline"/>
                      <w:lang w:val="en-US" w:eastAsia="zh-CN"/>
                    </w:rPr>
                  </w:pPr>
                  <w:r>
                    <w:rPr>
                      <w:rFonts w:hint="default" w:ascii="Calibri" w:hAnsi="Calibri" w:eastAsia="宋体" w:cs="Calibri"/>
                      <w:bCs/>
                      <w:color w:val="auto"/>
                      <w:sz w:val="21"/>
                      <w:szCs w:val="21"/>
                      <w:vertAlign w:val="baseline"/>
                      <w:lang w:val="en-US" w:eastAsia="zh-CN"/>
                    </w:rPr>
                    <w:t>临时占地</w:t>
                  </w:r>
                </w:p>
              </w:tc>
              <w:tc>
                <w:tcPr>
                  <w:tcW w:w="2716" w:type="dxa"/>
                  <w:vAlign w:val="center"/>
                </w:tcPr>
                <w:p w14:paraId="77D8AD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Calibri"/>
                      <w:bCs/>
                      <w:color w:val="auto"/>
                      <w:sz w:val="21"/>
                      <w:szCs w:val="21"/>
                      <w:vertAlign w:val="baseline"/>
                      <w:lang w:val="en-US" w:eastAsia="zh-CN"/>
                    </w:rPr>
                  </w:pPr>
                  <w:r>
                    <w:rPr>
                      <w:rFonts w:hint="default" w:ascii="Calibri" w:hAnsi="Calibri" w:cs="Calibri"/>
                      <w:bCs/>
                      <w:color w:val="auto"/>
                      <w:sz w:val="21"/>
                      <w:szCs w:val="21"/>
                      <w:vertAlign w:val="baseline"/>
                      <w:lang w:val="en-US" w:eastAsia="zh-CN"/>
                    </w:rPr>
                    <w:t>224500</w:t>
                  </w:r>
                </w:p>
              </w:tc>
              <w:tc>
                <w:tcPr>
                  <w:tcW w:w="2716" w:type="dxa"/>
                  <w:vAlign w:val="center"/>
                </w:tcPr>
                <w:p w14:paraId="3C8E8D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Calibri" w:hAnsi="Calibri" w:eastAsia="宋体" w:cs="Calibri"/>
                      <w:bCs/>
                      <w:color w:val="auto"/>
                      <w:sz w:val="21"/>
                      <w:szCs w:val="21"/>
                      <w:vertAlign w:val="baseline"/>
                      <w:lang w:val="en-US" w:eastAsia="zh-CN"/>
                    </w:rPr>
                  </w:pPr>
                  <w:r>
                    <w:rPr>
                      <w:rFonts w:hint="default" w:ascii="Calibri" w:hAnsi="Calibri" w:eastAsia="宋体" w:cs="Calibri"/>
                      <w:color w:val="auto"/>
                      <w:sz w:val="21"/>
                      <w:szCs w:val="21"/>
                      <w:highlight w:val="none"/>
                      <w:lang w:val="en-US" w:eastAsia="zh-CN"/>
                    </w:rPr>
                    <w:t>裸岩石砾地</w:t>
                  </w:r>
                </w:p>
              </w:tc>
            </w:tr>
          </w:tbl>
          <w:p w14:paraId="734D8382">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1.2生物量损失</w:t>
            </w:r>
          </w:p>
          <w:p w14:paraId="6B304EA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根据对项目占地生态环境现状的调查，包括植被生长情况，对照有关资料（主要参考新疆当地有关部门所做的生态损失调查研究成果，结合项目所在区域实际进行测算）和经验公式分析计算。临时占地各植被群落类型生物量损失，见表4.6。</w:t>
            </w:r>
          </w:p>
          <w:p w14:paraId="15A6F5A5">
            <w:pPr>
              <w:pStyle w:val="6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表4.6  永久占地各植被群落类型生物量损失</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1740"/>
              <w:gridCol w:w="1448"/>
              <w:gridCol w:w="2194"/>
              <w:gridCol w:w="1631"/>
            </w:tblGrid>
            <w:tr w14:paraId="42D0C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pct"/>
                  <w:tcBorders>
                    <w:tl2br w:val="nil"/>
                    <w:tr2bl w:val="nil"/>
                  </w:tcBorders>
                  <w:noWrap w:val="0"/>
                  <w:vAlign w:val="center"/>
                </w:tcPr>
                <w:p w14:paraId="7CCD7640">
                  <w:pPr>
                    <w:pStyle w:val="63"/>
                    <w:bidi w:val="0"/>
                    <w:rPr>
                      <w:color w:val="auto"/>
                    </w:rPr>
                  </w:pPr>
                  <w:r>
                    <w:rPr>
                      <w:rFonts w:hint="eastAsia"/>
                      <w:color w:val="auto"/>
                    </w:rPr>
                    <w:t>占地分类</w:t>
                  </w:r>
                </w:p>
              </w:tc>
              <w:tc>
                <w:tcPr>
                  <w:tcW w:w="1069" w:type="pct"/>
                  <w:tcBorders>
                    <w:tl2br w:val="nil"/>
                    <w:tr2bl w:val="nil"/>
                  </w:tcBorders>
                  <w:noWrap w:val="0"/>
                  <w:vAlign w:val="center"/>
                </w:tcPr>
                <w:p w14:paraId="67ADDCA1">
                  <w:pPr>
                    <w:pStyle w:val="63"/>
                    <w:bidi w:val="0"/>
                    <w:rPr>
                      <w:color w:val="auto"/>
                    </w:rPr>
                  </w:pPr>
                  <w:r>
                    <w:rPr>
                      <w:color w:val="auto"/>
                    </w:rPr>
                    <w:t>群落类型</w:t>
                  </w:r>
                </w:p>
              </w:tc>
              <w:tc>
                <w:tcPr>
                  <w:tcW w:w="889" w:type="pct"/>
                  <w:tcBorders>
                    <w:tl2br w:val="nil"/>
                    <w:tr2bl w:val="nil"/>
                  </w:tcBorders>
                  <w:noWrap w:val="0"/>
                  <w:vAlign w:val="top"/>
                </w:tcPr>
                <w:p w14:paraId="7800A18D">
                  <w:pPr>
                    <w:pStyle w:val="63"/>
                    <w:bidi w:val="0"/>
                    <w:rPr>
                      <w:color w:val="auto"/>
                    </w:rPr>
                  </w:pPr>
                  <w:r>
                    <w:rPr>
                      <w:color w:val="auto"/>
                    </w:rPr>
                    <w:t>面积（m</w:t>
                  </w:r>
                  <w:r>
                    <w:rPr>
                      <w:color w:val="auto"/>
                      <w:vertAlign w:val="superscript"/>
                    </w:rPr>
                    <w:t>2</w:t>
                  </w:r>
                  <w:r>
                    <w:rPr>
                      <w:color w:val="auto"/>
                    </w:rPr>
                    <w:t>）</w:t>
                  </w:r>
                </w:p>
              </w:tc>
              <w:tc>
                <w:tcPr>
                  <w:tcW w:w="1347" w:type="pct"/>
                  <w:tcBorders>
                    <w:tl2br w:val="nil"/>
                    <w:tr2bl w:val="nil"/>
                  </w:tcBorders>
                  <w:noWrap w:val="0"/>
                  <w:vAlign w:val="top"/>
                </w:tcPr>
                <w:p w14:paraId="729BE66B">
                  <w:pPr>
                    <w:pStyle w:val="63"/>
                    <w:bidi w:val="0"/>
                    <w:rPr>
                      <w:color w:val="auto"/>
                    </w:rPr>
                  </w:pPr>
                  <w:r>
                    <w:rPr>
                      <w:color w:val="auto"/>
                    </w:rPr>
                    <w:t>平均生物量（</w:t>
                  </w:r>
                  <w:r>
                    <w:rPr>
                      <w:color w:val="auto"/>
                      <w:lang w:val="en-US" w:eastAsia="zh-CN"/>
                    </w:rPr>
                    <w:t>kg/m</w:t>
                  </w:r>
                  <w:r>
                    <w:rPr>
                      <w:rFonts w:hint="eastAsia"/>
                      <w:color w:val="auto"/>
                      <w:vertAlign w:val="superscript"/>
                      <w:lang w:val="en-US" w:eastAsia="zh-CN"/>
                    </w:rPr>
                    <w:t>2</w:t>
                  </w:r>
                  <w:r>
                    <w:rPr>
                      <w:color w:val="auto"/>
                    </w:rPr>
                    <w:t>）</w:t>
                  </w:r>
                </w:p>
              </w:tc>
              <w:tc>
                <w:tcPr>
                  <w:tcW w:w="1002" w:type="pct"/>
                  <w:tcBorders>
                    <w:tl2br w:val="nil"/>
                    <w:tr2bl w:val="nil"/>
                  </w:tcBorders>
                  <w:noWrap w:val="0"/>
                  <w:vAlign w:val="top"/>
                </w:tcPr>
                <w:p w14:paraId="2516F9C4">
                  <w:pPr>
                    <w:pStyle w:val="63"/>
                    <w:bidi w:val="0"/>
                    <w:rPr>
                      <w:color w:val="auto"/>
                    </w:rPr>
                  </w:pPr>
                  <w:r>
                    <w:rPr>
                      <w:color w:val="auto"/>
                    </w:rPr>
                    <w:t>生物损失量（</w:t>
                  </w:r>
                  <w:r>
                    <w:rPr>
                      <w:rFonts w:hint="eastAsia"/>
                      <w:color w:val="auto"/>
                      <w:lang w:val="en-US" w:eastAsia="zh-CN"/>
                    </w:rPr>
                    <w:t>kg</w:t>
                  </w:r>
                  <w:r>
                    <w:rPr>
                      <w:color w:val="auto"/>
                    </w:rPr>
                    <w:t>）</w:t>
                  </w:r>
                </w:p>
              </w:tc>
            </w:tr>
            <w:tr w14:paraId="1C0A9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pct"/>
                  <w:vMerge w:val="restart"/>
                  <w:tcBorders>
                    <w:tl2br w:val="nil"/>
                    <w:tr2bl w:val="nil"/>
                  </w:tcBorders>
                  <w:noWrap w:val="0"/>
                  <w:vAlign w:val="center"/>
                </w:tcPr>
                <w:p w14:paraId="0AEE5ACC">
                  <w:pPr>
                    <w:pStyle w:val="63"/>
                    <w:bidi w:val="0"/>
                    <w:rPr>
                      <w:color w:val="auto"/>
                    </w:rPr>
                  </w:pPr>
                  <w:r>
                    <w:rPr>
                      <w:rFonts w:hint="eastAsia"/>
                      <w:color w:val="auto"/>
                      <w:lang w:val="en-US" w:eastAsia="zh-CN"/>
                    </w:rPr>
                    <w:t>临时</w:t>
                  </w:r>
                  <w:r>
                    <w:rPr>
                      <w:rFonts w:hint="eastAsia"/>
                      <w:color w:val="auto"/>
                    </w:rPr>
                    <w:t>占地</w:t>
                  </w:r>
                </w:p>
              </w:tc>
              <w:tc>
                <w:tcPr>
                  <w:tcW w:w="1069" w:type="pct"/>
                  <w:tcBorders>
                    <w:tl2br w:val="nil"/>
                    <w:tr2bl w:val="nil"/>
                  </w:tcBorders>
                  <w:noWrap w:val="0"/>
                  <w:vAlign w:val="center"/>
                </w:tcPr>
                <w:p w14:paraId="71914DFE">
                  <w:pPr>
                    <w:pStyle w:val="63"/>
                    <w:bidi w:val="0"/>
                    <w:rPr>
                      <w:rFonts w:hint="eastAsia" w:eastAsia="宋体"/>
                      <w:color w:val="auto"/>
                      <w:lang w:val="en-US" w:eastAsia="zh-CN"/>
                    </w:rPr>
                  </w:pPr>
                  <w:r>
                    <w:rPr>
                      <w:rFonts w:hint="eastAsia"/>
                      <w:color w:val="auto"/>
                      <w:lang w:val="en-US" w:eastAsia="zh-CN"/>
                    </w:rPr>
                    <w:t>裸岩石砾地</w:t>
                  </w:r>
                </w:p>
              </w:tc>
              <w:tc>
                <w:tcPr>
                  <w:tcW w:w="889" w:type="pct"/>
                  <w:tcBorders>
                    <w:tl2br w:val="nil"/>
                    <w:tr2bl w:val="nil"/>
                  </w:tcBorders>
                  <w:noWrap w:val="0"/>
                  <w:vAlign w:val="center"/>
                </w:tcPr>
                <w:p w14:paraId="7C513514">
                  <w:pPr>
                    <w:pStyle w:val="63"/>
                    <w:bidi w:val="0"/>
                    <w:rPr>
                      <w:rFonts w:hint="default"/>
                      <w:color w:val="auto"/>
                      <w:lang w:val="en-US" w:eastAsia="zh-CN"/>
                    </w:rPr>
                  </w:pPr>
                  <w:r>
                    <w:rPr>
                      <w:rFonts w:hint="eastAsia"/>
                      <w:color w:val="auto"/>
                      <w:lang w:val="en-US" w:eastAsia="zh-CN"/>
                    </w:rPr>
                    <w:t>11812</w:t>
                  </w:r>
                </w:p>
              </w:tc>
              <w:tc>
                <w:tcPr>
                  <w:tcW w:w="1347" w:type="pct"/>
                  <w:tcBorders>
                    <w:tl2br w:val="nil"/>
                    <w:tr2bl w:val="nil"/>
                  </w:tcBorders>
                  <w:noWrap w:val="0"/>
                  <w:vAlign w:val="center"/>
                </w:tcPr>
                <w:p w14:paraId="51D3EED8">
                  <w:pPr>
                    <w:pStyle w:val="63"/>
                    <w:bidi w:val="0"/>
                    <w:rPr>
                      <w:rFonts w:hint="eastAsia"/>
                      <w:color w:val="auto"/>
                      <w:lang w:val="en-US" w:eastAsia="zh-CN"/>
                    </w:rPr>
                  </w:pPr>
                  <w:r>
                    <w:rPr>
                      <w:rFonts w:hint="eastAsia"/>
                      <w:color w:val="auto"/>
                      <w:lang w:val="en-US" w:eastAsia="zh-CN"/>
                    </w:rPr>
                    <w:t>0.07</w:t>
                  </w:r>
                </w:p>
              </w:tc>
              <w:tc>
                <w:tcPr>
                  <w:tcW w:w="1002" w:type="pct"/>
                  <w:tcBorders>
                    <w:tl2br w:val="nil"/>
                    <w:tr2bl w:val="nil"/>
                  </w:tcBorders>
                  <w:noWrap w:val="0"/>
                  <w:vAlign w:val="center"/>
                </w:tcPr>
                <w:p w14:paraId="585EC8B1">
                  <w:pPr>
                    <w:pStyle w:val="63"/>
                    <w:bidi w:val="0"/>
                    <w:rPr>
                      <w:rFonts w:hint="default"/>
                      <w:color w:val="auto"/>
                      <w:lang w:val="en-US" w:eastAsia="zh-CN"/>
                    </w:rPr>
                  </w:pPr>
                  <w:r>
                    <w:rPr>
                      <w:rFonts w:hint="eastAsia"/>
                      <w:color w:val="auto"/>
                      <w:lang w:val="en-US" w:eastAsia="zh-CN"/>
                    </w:rPr>
                    <w:t>827</w:t>
                  </w:r>
                </w:p>
              </w:tc>
            </w:tr>
            <w:tr w14:paraId="63751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pct"/>
                  <w:vMerge w:val="continue"/>
                  <w:tcBorders>
                    <w:tl2br w:val="nil"/>
                    <w:tr2bl w:val="nil"/>
                  </w:tcBorders>
                  <w:noWrap w:val="0"/>
                  <w:vAlign w:val="center"/>
                </w:tcPr>
                <w:p w14:paraId="39C5B450">
                  <w:pPr>
                    <w:pStyle w:val="63"/>
                    <w:bidi w:val="0"/>
                    <w:rPr>
                      <w:color w:val="auto"/>
                    </w:rPr>
                  </w:pPr>
                </w:p>
              </w:tc>
              <w:tc>
                <w:tcPr>
                  <w:tcW w:w="1069" w:type="pct"/>
                  <w:tcBorders>
                    <w:tl2br w:val="nil"/>
                    <w:tr2bl w:val="nil"/>
                  </w:tcBorders>
                  <w:noWrap w:val="0"/>
                  <w:vAlign w:val="center"/>
                </w:tcPr>
                <w:p w14:paraId="78BEC399">
                  <w:pPr>
                    <w:pStyle w:val="63"/>
                    <w:bidi w:val="0"/>
                    <w:rPr>
                      <w:rFonts w:hint="eastAsia"/>
                      <w:color w:val="auto"/>
                      <w:lang w:val="en-US" w:eastAsia="zh-CN"/>
                    </w:rPr>
                  </w:pPr>
                  <w:r>
                    <w:rPr>
                      <w:rFonts w:hint="eastAsia"/>
                      <w:color w:val="auto"/>
                      <w:lang w:val="en-US" w:eastAsia="zh-CN"/>
                    </w:rPr>
                    <w:t>其他草地</w:t>
                  </w:r>
                </w:p>
              </w:tc>
              <w:tc>
                <w:tcPr>
                  <w:tcW w:w="889" w:type="pct"/>
                  <w:tcBorders>
                    <w:tl2br w:val="nil"/>
                    <w:tr2bl w:val="nil"/>
                  </w:tcBorders>
                  <w:noWrap w:val="0"/>
                  <w:vAlign w:val="center"/>
                </w:tcPr>
                <w:p w14:paraId="77B2D28E">
                  <w:pPr>
                    <w:pStyle w:val="63"/>
                    <w:bidi w:val="0"/>
                    <w:rPr>
                      <w:rFonts w:hint="default"/>
                      <w:color w:val="auto"/>
                      <w:lang w:val="en-US" w:eastAsia="zh-CN"/>
                    </w:rPr>
                  </w:pPr>
                  <w:r>
                    <w:rPr>
                      <w:rFonts w:hint="eastAsia"/>
                      <w:color w:val="auto"/>
                      <w:lang w:val="en-US" w:eastAsia="zh-CN"/>
                    </w:rPr>
                    <w:t>409</w:t>
                  </w:r>
                </w:p>
              </w:tc>
              <w:tc>
                <w:tcPr>
                  <w:tcW w:w="1347" w:type="pct"/>
                  <w:tcBorders>
                    <w:tl2br w:val="nil"/>
                    <w:tr2bl w:val="nil"/>
                  </w:tcBorders>
                  <w:noWrap w:val="0"/>
                  <w:vAlign w:val="center"/>
                </w:tcPr>
                <w:p w14:paraId="4C6974E4">
                  <w:pPr>
                    <w:pStyle w:val="63"/>
                    <w:bidi w:val="0"/>
                    <w:rPr>
                      <w:rFonts w:hint="default"/>
                      <w:color w:val="auto"/>
                      <w:lang w:val="en-US" w:eastAsia="zh-CN"/>
                    </w:rPr>
                  </w:pPr>
                  <w:r>
                    <w:rPr>
                      <w:rFonts w:hint="eastAsia"/>
                      <w:color w:val="auto"/>
                      <w:lang w:val="en-US" w:eastAsia="zh-CN"/>
                    </w:rPr>
                    <w:t>0.67</w:t>
                  </w:r>
                </w:p>
              </w:tc>
              <w:tc>
                <w:tcPr>
                  <w:tcW w:w="1002" w:type="pct"/>
                  <w:tcBorders>
                    <w:tl2br w:val="nil"/>
                    <w:tr2bl w:val="nil"/>
                  </w:tcBorders>
                  <w:noWrap w:val="0"/>
                  <w:vAlign w:val="center"/>
                </w:tcPr>
                <w:p w14:paraId="41219A50">
                  <w:pPr>
                    <w:pStyle w:val="63"/>
                    <w:bidi w:val="0"/>
                    <w:rPr>
                      <w:rFonts w:hint="default"/>
                      <w:color w:val="auto"/>
                      <w:lang w:val="en-US" w:eastAsia="zh-CN"/>
                    </w:rPr>
                  </w:pPr>
                  <w:r>
                    <w:rPr>
                      <w:rFonts w:hint="eastAsia"/>
                      <w:color w:val="auto"/>
                      <w:lang w:val="en-US" w:eastAsia="zh-CN"/>
                    </w:rPr>
                    <w:t>274</w:t>
                  </w:r>
                </w:p>
              </w:tc>
            </w:tr>
            <w:tr w14:paraId="179E5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7" w:type="pct"/>
                  <w:gridSpan w:val="4"/>
                  <w:tcBorders>
                    <w:tl2br w:val="nil"/>
                    <w:tr2bl w:val="nil"/>
                  </w:tcBorders>
                  <w:noWrap w:val="0"/>
                  <w:vAlign w:val="center"/>
                </w:tcPr>
                <w:p w14:paraId="11E5AAAC">
                  <w:pPr>
                    <w:pStyle w:val="63"/>
                    <w:bidi w:val="0"/>
                    <w:rPr>
                      <w:color w:val="auto"/>
                    </w:rPr>
                  </w:pPr>
                  <w:r>
                    <w:rPr>
                      <w:rFonts w:hint="eastAsia"/>
                      <w:color w:val="auto"/>
                    </w:rPr>
                    <w:t>小计</w:t>
                  </w:r>
                </w:p>
              </w:tc>
              <w:tc>
                <w:tcPr>
                  <w:tcW w:w="1002" w:type="pct"/>
                  <w:tcBorders>
                    <w:tl2br w:val="nil"/>
                    <w:tr2bl w:val="nil"/>
                  </w:tcBorders>
                  <w:noWrap w:val="0"/>
                  <w:vAlign w:val="center"/>
                </w:tcPr>
                <w:p w14:paraId="112B19EB">
                  <w:pPr>
                    <w:pStyle w:val="63"/>
                    <w:bidi w:val="0"/>
                    <w:jc w:val="center"/>
                    <w:rPr>
                      <w:rFonts w:hint="default"/>
                      <w:color w:val="auto"/>
                      <w:lang w:val="en-US" w:eastAsia="zh-CN"/>
                    </w:rPr>
                  </w:pPr>
                  <w:r>
                    <w:rPr>
                      <w:rFonts w:hint="eastAsia"/>
                      <w:color w:val="auto"/>
                      <w:lang w:val="en-US" w:eastAsia="zh-CN"/>
                    </w:rPr>
                    <w:t>1101</w:t>
                  </w:r>
                </w:p>
              </w:tc>
            </w:tr>
          </w:tbl>
          <w:p w14:paraId="48CAFF51">
            <w:pPr>
              <w:keepNext w:val="0"/>
              <w:keepLines w:val="0"/>
              <w:pageBreakBefore w:val="0"/>
              <w:widowControl w:val="0"/>
              <w:kinsoku/>
              <w:wordWrap/>
              <w:overflowPunct/>
              <w:topLinePunct w:val="0"/>
              <w:autoSpaceDE/>
              <w:autoSpaceDN/>
              <w:bidi w:val="0"/>
              <w:adjustRightInd w:val="0"/>
              <w:snapToGrid w:val="0"/>
              <w:spacing w:line="480" w:lineRule="exact"/>
              <w:ind w:firstLine="420" w:firstLineChars="200"/>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注：表中自然植被的平均生物量参照方精云等《我国森林植被的生物量和净生产量》（生态学报，</w:t>
            </w:r>
            <w:r>
              <w:rPr>
                <w:rFonts w:hint="default" w:ascii="宋体" w:hAnsi="宋体" w:eastAsia="宋体" w:cs="宋体"/>
                <w:bCs/>
                <w:color w:val="auto"/>
                <w:sz w:val="21"/>
                <w:szCs w:val="21"/>
                <w:lang w:val="en-US" w:eastAsia="zh-CN"/>
              </w:rPr>
              <w:t>16</w:t>
            </w:r>
            <w:r>
              <w:rPr>
                <w:rFonts w:hint="eastAsia" w:ascii="宋体" w:hAnsi="宋体" w:eastAsia="宋体" w:cs="宋体"/>
                <w:bCs/>
                <w:color w:val="auto"/>
                <w:sz w:val="21"/>
                <w:szCs w:val="21"/>
                <w:lang w:val="en-US" w:eastAsia="zh-CN"/>
              </w:rPr>
              <w:t>（</w:t>
            </w:r>
            <w:r>
              <w:rPr>
                <w:rFonts w:hint="default" w:ascii="宋体" w:hAnsi="宋体" w:eastAsia="宋体" w:cs="宋体"/>
                <w:bCs/>
                <w:color w:val="auto"/>
                <w:sz w:val="21"/>
                <w:szCs w:val="21"/>
                <w:lang w:val="en-US" w:eastAsia="zh-CN"/>
              </w:rPr>
              <w:t>5</w:t>
            </w:r>
            <w:r>
              <w:rPr>
                <w:rFonts w:hint="eastAsia" w:ascii="宋体" w:hAnsi="宋体" w:eastAsia="宋体" w:cs="宋体"/>
                <w:bCs/>
                <w:color w:val="auto"/>
                <w:sz w:val="21"/>
                <w:szCs w:val="21"/>
                <w:lang w:val="en-US" w:eastAsia="zh-CN"/>
              </w:rPr>
              <w:t>）：</w:t>
            </w:r>
            <w:r>
              <w:rPr>
                <w:rFonts w:hint="default" w:ascii="宋体" w:hAnsi="宋体" w:eastAsia="宋体" w:cs="宋体"/>
                <w:bCs/>
                <w:color w:val="auto"/>
                <w:sz w:val="21"/>
                <w:szCs w:val="21"/>
                <w:lang w:val="en-US" w:eastAsia="zh-CN"/>
              </w:rPr>
              <w:t>497-508</w:t>
            </w:r>
            <w:r>
              <w:rPr>
                <w:rFonts w:hint="eastAsia" w:ascii="宋体" w:hAnsi="宋体" w:eastAsia="宋体" w:cs="宋体"/>
                <w:bCs/>
                <w:color w:val="auto"/>
                <w:sz w:val="21"/>
                <w:szCs w:val="21"/>
                <w:lang w:val="en-US" w:eastAsia="zh-CN"/>
              </w:rPr>
              <w:t>）、黄玫</w:t>
            </w:r>
            <w:r>
              <w:rPr>
                <w:rFonts w:hint="eastAsia" w:ascii="宋体" w:hAnsi="宋体" w:cs="宋体"/>
                <w:bCs/>
                <w:color w:val="auto"/>
                <w:sz w:val="21"/>
                <w:szCs w:val="21"/>
                <w:lang w:val="en-US" w:eastAsia="zh-CN"/>
              </w:rPr>
              <w:t>，</w:t>
            </w:r>
            <w:r>
              <w:rPr>
                <w:rFonts w:hint="eastAsia" w:ascii="宋体" w:hAnsi="宋体" w:eastAsia="宋体" w:cs="宋体"/>
                <w:bCs/>
                <w:color w:val="auto"/>
                <w:sz w:val="21"/>
                <w:szCs w:val="21"/>
                <w:lang w:val="en-US" w:eastAsia="zh-CN"/>
              </w:rPr>
              <w:t>季劲钧</w:t>
            </w:r>
            <w:r>
              <w:rPr>
                <w:rFonts w:hint="eastAsia" w:ascii="宋体" w:hAnsi="宋体" w:cs="宋体"/>
                <w:bCs/>
                <w:color w:val="auto"/>
                <w:sz w:val="21"/>
                <w:szCs w:val="21"/>
                <w:lang w:val="en-US" w:eastAsia="zh-CN"/>
              </w:rPr>
              <w:t>，</w:t>
            </w:r>
            <w:r>
              <w:rPr>
                <w:rFonts w:hint="eastAsia" w:ascii="宋体" w:hAnsi="宋体" w:eastAsia="宋体" w:cs="宋体"/>
                <w:bCs/>
                <w:color w:val="auto"/>
                <w:sz w:val="21"/>
                <w:szCs w:val="21"/>
                <w:lang w:val="en-US" w:eastAsia="zh-CN"/>
              </w:rPr>
              <w:t>曹明奎</w:t>
            </w:r>
            <w:r>
              <w:rPr>
                <w:rFonts w:hint="eastAsia" w:ascii="宋体" w:hAnsi="宋体" w:cs="宋体"/>
                <w:bCs/>
                <w:color w:val="auto"/>
                <w:sz w:val="21"/>
                <w:szCs w:val="21"/>
                <w:lang w:val="en-US" w:eastAsia="zh-CN"/>
              </w:rPr>
              <w:t>，</w:t>
            </w:r>
            <w:r>
              <w:rPr>
                <w:rFonts w:hint="eastAsia" w:ascii="宋体" w:hAnsi="宋体" w:eastAsia="宋体" w:cs="宋体"/>
                <w:bCs/>
                <w:color w:val="auto"/>
                <w:sz w:val="21"/>
                <w:szCs w:val="21"/>
                <w:lang w:val="en-US" w:eastAsia="zh-CN"/>
              </w:rPr>
              <w:t>等</w:t>
            </w:r>
            <w:r>
              <w:rPr>
                <w:rFonts w:hint="eastAsia" w:ascii="宋体" w:hAnsi="宋体" w:cs="宋体"/>
                <w:bCs/>
                <w:color w:val="auto"/>
                <w:sz w:val="21"/>
                <w:szCs w:val="21"/>
                <w:lang w:val="en-US" w:eastAsia="zh-CN"/>
              </w:rPr>
              <w:t>。</w:t>
            </w:r>
            <w:r>
              <w:rPr>
                <w:rFonts w:hint="eastAsia" w:ascii="宋体" w:hAnsi="宋体" w:eastAsia="宋体" w:cs="宋体"/>
                <w:bCs/>
                <w:color w:val="auto"/>
                <w:sz w:val="21"/>
                <w:szCs w:val="21"/>
                <w:lang w:val="en-US" w:eastAsia="zh-CN"/>
              </w:rPr>
              <w:t>2006.等《中国区域植被地上与地下生物量模拟》（生态学报，</w:t>
            </w:r>
            <w:r>
              <w:rPr>
                <w:rFonts w:hint="default" w:ascii="宋体" w:hAnsi="宋体" w:eastAsia="宋体" w:cs="宋体"/>
                <w:bCs/>
                <w:color w:val="auto"/>
                <w:sz w:val="21"/>
                <w:szCs w:val="21"/>
                <w:lang w:val="en-US" w:eastAsia="zh-CN"/>
              </w:rPr>
              <w:t>2016</w:t>
            </w:r>
            <w:r>
              <w:rPr>
                <w:rFonts w:hint="eastAsia" w:ascii="宋体" w:hAnsi="宋体" w:eastAsia="宋体" w:cs="宋体"/>
                <w:bCs/>
                <w:color w:val="auto"/>
                <w:sz w:val="21"/>
                <w:szCs w:val="21"/>
                <w:lang w:val="en-US" w:eastAsia="zh-CN"/>
              </w:rPr>
              <w:t>（</w:t>
            </w:r>
            <w:r>
              <w:rPr>
                <w:rFonts w:hint="default" w:ascii="宋体" w:hAnsi="宋体" w:eastAsia="宋体" w:cs="宋体"/>
                <w:bCs/>
                <w:color w:val="auto"/>
                <w:sz w:val="21"/>
                <w:szCs w:val="21"/>
                <w:lang w:val="en-US" w:eastAsia="zh-CN"/>
              </w:rPr>
              <w:t>12</w:t>
            </w:r>
            <w:r>
              <w:rPr>
                <w:rFonts w:hint="eastAsia" w:ascii="宋体" w:hAnsi="宋体" w:eastAsia="宋体" w:cs="宋体"/>
                <w:bCs/>
                <w:color w:val="auto"/>
                <w:sz w:val="21"/>
                <w:szCs w:val="21"/>
                <w:lang w:val="en-US" w:eastAsia="zh-CN"/>
              </w:rPr>
              <w:t>）：</w:t>
            </w:r>
            <w:r>
              <w:rPr>
                <w:rFonts w:hint="default" w:ascii="宋体" w:hAnsi="宋体" w:eastAsia="宋体" w:cs="宋体"/>
                <w:bCs/>
                <w:color w:val="auto"/>
                <w:sz w:val="21"/>
                <w:szCs w:val="21"/>
                <w:lang w:val="en-US" w:eastAsia="zh-CN"/>
              </w:rPr>
              <w:t>4156-4163</w:t>
            </w:r>
            <w:r>
              <w:rPr>
                <w:rFonts w:hint="eastAsia" w:ascii="宋体" w:hAnsi="宋体" w:eastAsia="宋体" w:cs="宋体"/>
                <w:bCs/>
                <w:color w:val="auto"/>
                <w:sz w:val="21"/>
                <w:szCs w:val="21"/>
                <w:lang w:val="en-US" w:eastAsia="zh-CN"/>
              </w:rPr>
              <w:t xml:space="preserve">）中有关数据。 </w:t>
            </w:r>
          </w:p>
          <w:p w14:paraId="4FCCB36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 xml:space="preserve">根据上表分析，项目永久占地将造成评价范围内植被生物量损失约为1101kg。项目破坏植被对评价范围内的生物量有一定的影响。施工期由于机械碾压、人员踩踏等，人员施工作业周围的植被将遭到破坏，但施工期影响是短期的、可恢复的。 </w:t>
            </w:r>
          </w:p>
          <w:p w14:paraId="78FA7DE6">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Calibri" w:hAnsi="Calibri" w:cs="Calibri"/>
                <w:b/>
                <w:bCs w:val="0"/>
                <w:color w:val="auto"/>
                <w:sz w:val="24"/>
                <w:szCs w:val="24"/>
                <w:lang w:val="en-US" w:eastAsia="zh-CN"/>
              </w:rPr>
            </w:pPr>
            <w:r>
              <w:rPr>
                <w:rFonts w:hint="default" w:ascii="Calibri" w:hAnsi="Calibri" w:cs="Calibri"/>
                <w:b/>
                <w:bCs w:val="0"/>
                <w:color w:val="auto"/>
                <w:sz w:val="24"/>
                <w:szCs w:val="24"/>
                <w:lang w:val="en-US" w:eastAsia="zh-CN"/>
              </w:rPr>
              <w:t>1.</w:t>
            </w:r>
            <w:r>
              <w:rPr>
                <w:rFonts w:hint="eastAsia" w:ascii="Calibri" w:hAnsi="Calibri" w:cs="Calibri"/>
                <w:b/>
                <w:bCs w:val="0"/>
                <w:color w:val="auto"/>
                <w:sz w:val="24"/>
                <w:szCs w:val="24"/>
                <w:lang w:val="en-US" w:eastAsia="zh-CN"/>
              </w:rPr>
              <w:t>3</w:t>
            </w:r>
            <w:r>
              <w:rPr>
                <w:rFonts w:hint="default" w:ascii="Calibri" w:hAnsi="Calibri" w:cs="Calibri"/>
                <w:b/>
                <w:bCs w:val="0"/>
                <w:color w:val="auto"/>
                <w:sz w:val="24"/>
                <w:szCs w:val="24"/>
                <w:lang w:val="en-US" w:eastAsia="zh-CN"/>
              </w:rPr>
              <w:t xml:space="preserve"> 对土壤的影响</w:t>
            </w:r>
          </w:p>
          <w:p w14:paraId="199F9CC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cs="Calibri"/>
                <w:b w:val="0"/>
                <w:bCs/>
                <w:color w:val="auto"/>
                <w:sz w:val="24"/>
                <w:szCs w:val="24"/>
                <w:lang w:val="en-US" w:eastAsia="zh-CN"/>
              </w:rPr>
            </w:pPr>
            <w:r>
              <w:rPr>
                <w:rFonts w:hint="default" w:ascii="Calibri" w:hAnsi="Calibri" w:cs="Calibri"/>
                <w:b w:val="0"/>
                <w:bCs/>
                <w:color w:val="auto"/>
                <w:sz w:val="24"/>
                <w:szCs w:val="24"/>
                <w:lang w:val="en-US" w:eastAsia="zh-CN"/>
              </w:rPr>
              <w:t>施工过程中，重型机械和车辆经过会对土壤施加压力，导致土壤压实。这会使土壤孔隙度减少，导致土壤水分渗透能力下降，影响土壤通气和植物生长。施工现场裸露的土壤容易受到水流和风力的冲刷，导致土壤侵蚀加剧。土壤的有机质和养分也会因此流失，对土壤质量造成不利影响。施工过程中，土壤常常会被挖掘、填埋和调配。这些活动会改变土壤的结构和成分，进而影响土壤质量和生物多样性。</w:t>
            </w:r>
          </w:p>
          <w:p w14:paraId="2F138C65">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Calibri" w:hAnsi="Calibri" w:cs="Calibri"/>
                <w:bCs/>
                <w:color w:val="auto"/>
                <w:sz w:val="24"/>
                <w:szCs w:val="24"/>
                <w:lang w:val="en-US" w:eastAsia="zh-CN"/>
              </w:rPr>
            </w:pPr>
            <w:r>
              <w:rPr>
                <w:rFonts w:hint="default" w:ascii="Calibri" w:hAnsi="Calibri" w:cs="Calibri"/>
                <w:b/>
                <w:bCs w:val="0"/>
                <w:color w:val="auto"/>
                <w:sz w:val="24"/>
                <w:szCs w:val="24"/>
                <w:lang w:val="en-US" w:eastAsia="zh-CN"/>
              </w:rPr>
              <w:t>1.</w:t>
            </w:r>
            <w:r>
              <w:rPr>
                <w:rFonts w:hint="eastAsia" w:ascii="Calibri" w:hAnsi="Calibri" w:cs="Calibri"/>
                <w:b/>
                <w:bCs w:val="0"/>
                <w:color w:val="auto"/>
                <w:sz w:val="24"/>
                <w:szCs w:val="24"/>
                <w:lang w:val="en-US" w:eastAsia="zh-CN"/>
              </w:rPr>
              <w:t>4</w:t>
            </w:r>
            <w:r>
              <w:rPr>
                <w:rFonts w:hint="default" w:ascii="Calibri" w:hAnsi="Calibri" w:cs="Calibri"/>
                <w:b/>
                <w:bCs w:val="0"/>
                <w:color w:val="auto"/>
                <w:sz w:val="24"/>
                <w:szCs w:val="24"/>
                <w:lang w:val="en-US" w:eastAsia="zh-CN"/>
              </w:rPr>
              <w:t xml:space="preserve"> 对植被的环境影响分析</w:t>
            </w:r>
          </w:p>
          <w:p w14:paraId="594159C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eastAsia="宋体" w:cs="Calibri"/>
                <w:bCs/>
                <w:color w:val="auto"/>
                <w:spacing w:val="0"/>
                <w:kern w:val="2"/>
                <w:sz w:val="24"/>
                <w:szCs w:val="24"/>
                <w:highlight w:val="none"/>
                <w:lang w:val="en-US" w:eastAsia="zh-CN" w:bidi="ar-SA"/>
              </w:rPr>
            </w:pPr>
            <w:r>
              <w:rPr>
                <w:rFonts w:hint="default" w:ascii="Calibri" w:hAnsi="Calibri" w:cs="Calibri"/>
                <w:bCs/>
                <w:color w:val="auto"/>
                <w:spacing w:val="0"/>
                <w:kern w:val="2"/>
                <w:sz w:val="24"/>
                <w:szCs w:val="24"/>
                <w:highlight w:val="none"/>
                <w:lang w:val="en-US" w:eastAsia="zh-CN" w:bidi="ar-SA"/>
              </w:rPr>
              <w:t>永久</w:t>
            </w:r>
            <w:r>
              <w:rPr>
                <w:rFonts w:hint="default" w:ascii="Calibri" w:hAnsi="Calibri" w:eastAsia="宋体" w:cs="Calibri"/>
                <w:bCs/>
                <w:color w:val="auto"/>
                <w:spacing w:val="0"/>
                <w:kern w:val="2"/>
                <w:sz w:val="24"/>
                <w:szCs w:val="24"/>
                <w:highlight w:val="none"/>
                <w:lang w:val="en-US" w:eastAsia="zh-CN" w:bidi="ar-SA"/>
              </w:rPr>
              <w:t>占地：永久占</w:t>
            </w:r>
            <w:r>
              <w:rPr>
                <w:rFonts w:hint="default" w:ascii="Calibri" w:hAnsi="Calibri" w:cs="Calibri"/>
                <w:bCs/>
                <w:color w:val="auto"/>
                <w:spacing w:val="0"/>
                <w:kern w:val="2"/>
                <w:sz w:val="24"/>
                <w:szCs w:val="24"/>
                <w:highlight w:val="none"/>
                <w:lang w:val="en-US" w:eastAsia="zh-CN" w:bidi="ar-SA"/>
              </w:rPr>
              <w:t>地</w:t>
            </w:r>
            <w:r>
              <w:rPr>
                <w:rFonts w:hint="default" w:ascii="Calibri" w:hAnsi="Calibri" w:eastAsia="宋体" w:cs="Calibri"/>
                <w:bCs/>
                <w:color w:val="auto"/>
                <w:spacing w:val="0"/>
                <w:kern w:val="2"/>
                <w:sz w:val="24"/>
                <w:szCs w:val="24"/>
                <w:highlight w:val="none"/>
                <w:lang w:val="en-US" w:eastAsia="zh-CN" w:bidi="ar-SA"/>
              </w:rPr>
              <w:t>施工将使区域内土地利用类型发生改变，植物个体损失，植被生物量减少，上述影响是长期的、不可逆的。</w:t>
            </w:r>
          </w:p>
          <w:p w14:paraId="44F8B13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eastAsia="宋体" w:cs="Calibri"/>
                <w:bCs/>
                <w:color w:val="auto"/>
                <w:spacing w:val="0"/>
                <w:kern w:val="2"/>
                <w:sz w:val="24"/>
                <w:szCs w:val="24"/>
                <w:highlight w:val="none"/>
                <w:lang w:val="en-US" w:eastAsia="zh-CN" w:bidi="ar-SA"/>
              </w:rPr>
            </w:pPr>
            <w:r>
              <w:rPr>
                <w:rFonts w:hint="default" w:ascii="Calibri" w:hAnsi="Calibri" w:eastAsia="宋体" w:cs="Calibri"/>
                <w:bCs/>
                <w:color w:val="auto"/>
                <w:spacing w:val="0"/>
                <w:kern w:val="2"/>
                <w:sz w:val="24"/>
                <w:szCs w:val="24"/>
                <w:highlight w:val="none"/>
                <w:lang w:val="en-US" w:eastAsia="zh-CN" w:bidi="ar-SA"/>
              </w:rPr>
              <w:t>临时占地：</w:t>
            </w:r>
            <w:r>
              <w:rPr>
                <w:rFonts w:hint="default" w:ascii="Calibri" w:hAnsi="Calibri" w:cs="Calibri"/>
                <w:bCs/>
                <w:color w:val="auto"/>
                <w:spacing w:val="0"/>
                <w:kern w:val="2"/>
                <w:sz w:val="24"/>
                <w:szCs w:val="24"/>
                <w:highlight w:val="none"/>
                <w:lang w:val="en-US" w:eastAsia="zh-CN" w:bidi="ar-SA"/>
              </w:rPr>
              <w:t>表土剥离过程造成</w:t>
            </w:r>
            <w:r>
              <w:rPr>
                <w:rFonts w:hint="default" w:ascii="Calibri" w:hAnsi="Calibri" w:eastAsia="宋体" w:cs="Calibri"/>
                <w:bCs/>
                <w:color w:val="auto"/>
                <w:spacing w:val="0"/>
                <w:kern w:val="2"/>
                <w:sz w:val="24"/>
                <w:szCs w:val="24"/>
                <w:highlight w:val="none"/>
                <w:lang w:val="en-US" w:eastAsia="zh-CN" w:bidi="ar-SA"/>
              </w:rPr>
              <w:t>植物个体损失，植被生物量减少，</w:t>
            </w:r>
            <w:r>
              <w:rPr>
                <w:rFonts w:hint="default" w:ascii="Calibri" w:hAnsi="Calibri" w:cs="Calibri"/>
                <w:bCs/>
                <w:color w:val="auto"/>
                <w:spacing w:val="0"/>
                <w:kern w:val="2"/>
                <w:sz w:val="24"/>
                <w:szCs w:val="24"/>
                <w:highlight w:val="none"/>
                <w:lang w:val="en-US" w:eastAsia="zh-CN" w:bidi="ar-SA"/>
              </w:rPr>
              <w:t>该类</w:t>
            </w:r>
            <w:r>
              <w:rPr>
                <w:rFonts w:hint="default" w:ascii="Calibri" w:hAnsi="Calibri" w:eastAsia="宋体" w:cs="Calibri"/>
                <w:bCs/>
                <w:color w:val="auto"/>
                <w:spacing w:val="0"/>
                <w:kern w:val="2"/>
                <w:sz w:val="24"/>
                <w:szCs w:val="24"/>
                <w:highlight w:val="none"/>
                <w:lang w:val="en-US" w:eastAsia="zh-CN" w:bidi="ar-SA"/>
              </w:rPr>
              <w:t>影响是</w:t>
            </w:r>
            <w:r>
              <w:rPr>
                <w:rFonts w:hint="default" w:ascii="Calibri" w:hAnsi="Calibri" w:cs="Calibri"/>
                <w:bCs/>
                <w:color w:val="auto"/>
                <w:spacing w:val="0"/>
                <w:kern w:val="2"/>
                <w:sz w:val="24"/>
                <w:szCs w:val="24"/>
                <w:highlight w:val="none"/>
                <w:lang w:val="en-US" w:eastAsia="zh-CN" w:bidi="ar-SA"/>
              </w:rPr>
              <w:t>短期</w:t>
            </w:r>
            <w:r>
              <w:rPr>
                <w:rFonts w:hint="default" w:ascii="Calibri" w:hAnsi="Calibri" w:eastAsia="宋体" w:cs="Calibri"/>
                <w:bCs/>
                <w:color w:val="auto"/>
                <w:spacing w:val="0"/>
                <w:kern w:val="2"/>
                <w:sz w:val="24"/>
                <w:szCs w:val="24"/>
                <w:highlight w:val="none"/>
                <w:lang w:val="en-US" w:eastAsia="zh-CN" w:bidi="ar-SA"/>
              </w:rPr>
              <w:t>可逆的</w:t>
            </w:r>
            <w:r>
              <w:rPr>
                <w:rFonts w:hint="default" w:ascii="Calibri" w:hAnsi="Calibri" w:cs="Calibri"/>
                <w:bCs/>
                <w:color w:val="auto"/>
                <w:spacing w:val="0"/>
                <w:kern w:val="2"/>
                <w:sz w:val="24"/>
                <w:szCs w:val="24"/>
                <w:highlight w:val="none"/>
                <w:lang w:val="en-US" w:eastAsia="zh-CN" w:bidi="ar-SA"/>
              </w:rPr>
              <w:t>，随着施工期的结束而结束</w:t>
            </w:r>
            <w:r>
              <w:rPr>
                <w:rFonts w:hint="default" w:ascii="Calibri" w:hAnsi="Calibri" w:eastAsia="宋体" w:cs="Calibri"/>
                <w:bCs/>
                <w:color w:val="auto"/>
                <w:spacing w:val="0"/>
                <w:kern w:val="2"/>
                <w:sz w:val="24"/>
                <w:szCs w:val="24"/>
                <w:highlight w:val="none"/>
                <w:lang w:val="en-US" w:eastAsia="zh-CN" w:bidi="ar-SA"/>
              </w:rPr>
              <w:t>。</w:t>
            </w:r>
          </w:p>
          <w:p w14:paraId="21AFF37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cs="Calibri"/>
                <w:bCs/>
                <w:color w:val="auto"/>
                <w:sz w:val="24"/>
                <w:szCs w:val="24"/>
              </w:rPr>
            </w:pPr>
            <w:r>
              <w:rPr>
                <w:rFonts w:hint="default" w:ascii="Calibri" w:hAnsi="Calibri" w:cs="Calibri"/>
                <w:bCs/>
                <w:color w:val="auto"/>
                <w:sz w:val="24"/>
                <w:szCs w:val="24"/>
                <w:lang w:eastAsia="zh-CN"/>
              </w:rPr>
              <w:t>通过宣传教育、制作宣传片等方式，加强公众对</w:t>
            </w:r>
            <w:r>
              <w:rPr>
                <w:rFonts w:hint="default" w:ascii="Calibri" w:hAnsi="Calibri" w:eastAsia="宋体" w:cs="Calibri"/>
                <w:bCs/>
                <w:color w:val="auto"/>
                <w:kern w:val="2"/>
                <w:sz w:val="24"/>
                <w:szCs w:val="24"/>
                <w:lang w:val="en-US" w:eastAsia="zh-CN" w:bidi="ar-SA"/>
              </w:rPr>
              <w:t>荒漠生态系统</w:t>
            </w:r>
            <w:r>
              <w:rPr>
                <w:rFonts w:hint="default" w:ascii="Calibri" w:hAnsi="Calibri" w:cs="Calibri"/>
                <w:bCs/>
                <w:color w:val="auto"/>
                <w:sz w:val="24"/>
                <w:szCs w:val="24"/>
                <w:lang w:val="en-US" w:eastAsia="zh-CN"/>
              </w:rPr>
              <w:t>保护</w:t>
            </w:r>
            <w:r>
              <w:rPr>
                <w:rFonts w:hint="default" w:ascii="Calibri" w:hAnsi="Calibri" w:cs="Calibri"/>
                <w:bCs/>
                <w:color w:val="auto"/>
                <w:sz w:val="24"/>
                <w:szCs w:val="24"/>
                <w:lang w:eastAsia="zh-CN"/>
              </w:rPr>
              <w:t>的认识和意识，激发公众参与保护的积极性；通过植被恢复、水土保持等措施，加强对</w:t>
            </w:r>
            <w:r>
              <w:rPr>
                <w:rFonts w:hint="default" w:ascii="Calibri" w:hAnsi="Calibri" w:cs="Calibri"/>
                <w:bCs/>
                <w:color w:val="auto"/>
                <w:sz w:val="24"/>
                <w:szCs w:val="24"/>
                <w:lang w:val="en-US" w:eastAsia="zh-CN"/>
              </w:rPr>
              <w:t>荒漠干旱草原生态系统</w:t>
            </w:r>
            <w:r>
              <w:rPr>
                <w:rFonts w:hint="default" w:ascii="Calibri" w:hAnsi="Calibri" w:cs="Calibri"/>
                <w:bCs/>
                <w:color w:val="auto"/>
                <w:sz w:val="24"/>
                <w:szCs w:val="24"/>
                <w:lang w:eastAsia="zh-CN"/>
              </w:rPr>
              <w:t>的修复和保护。</w:t>
            </w:r>
          </w:p>
          <w:p w14:paraId="0DC82FC5">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Calibri" w:hAnsi="Calibri" w:eastAsia="宋体" w:cs="Calibri"/>
                <w:b/>
                <w:bCs w:val="0"/>
                <w:color w:val="auto"/>
                <w:sz w:val="24"/>
                <w:szCs w:val="24"/>
                <w:lang w:val="en-US" w:eastAsia="zh-CN"/>
              </w:rPr>
            </w:pPr>
            <w:r>
              <w:rPr>
                <w:rFonts w:hint="default" w:ascii="Calibri" w:hAnsi="Calibri" w:cs="Calibri"/>
                <w:b/>
                <w:bCs w:val="0"/>
                <w:color w:val="auto"/>
                <w:sz w:val="24"/>
                <w:szCs w:val="24"/>
                <w:lang w:val="en-US" w:eastAsia="zh-CN"/>
              </w:rPr>
              <w:t>1.</w:t>
            </w:r>
            <w:r>
              <w:rPr>
                <w:rFonts w:hint="eastAsia" w:ascii="Calibri" w:hAnsi="Calibri" w:cs="Calibri"/>
                <w:b/>
                <w:bCs w:val="0"/>
                <w:color w:val="auto"/>
                <w:sz w:val="24"/>
                <w:szCs w:val="24"/>
                <w:lang w:val="en-US" w:eastAsia="zh-CN"/>
              </w:rPr>
              <w:t>5</w:t>
            </w:r>
            <w:r>
              <w:rPr>
                <w:rFonts w:hint="default" w:ascii="Calibri" w:hAnsi="Calibri" w:cs="Calibri"/>
                <w:b/>
                <w:bCs w:val="0"/>
                <w:color w:val="auto"/>
                <w:sz w:val="24"/>
                <w:szCs w:val="24"/>
                <w:lang w:val="en-US" w:eastAsia="zh-CN"/>
              </w:rPr>
              <w:t xml:space="preserve"> 对动物的环境影响分析</w:t>
            </w:r>
          </w:p>
          <w:p w14:paraId="471833D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cs="Calibri"/>
                <w:bCs/>
                <w:color w:val="auto"/>
                <w:sz w:val="24"/>
                <w:szCs w:val="24"/>
              </w:rPr>
            </w:pPr>
            <w:r>
              <w:rPr>
                <w:rFonts w:hint="default" w:ascii="Calibri" w:hAnsi="Calibri" w:cs="Calibri"/>
                <w:color w:val="auto"/>
                <w:kern w:val="0"/>
                <w:sz w:val="24"/>
                <w:szCs w:val="24"/>
                <w:lang w:val="en-US" w:eastAsia="zh-CN"/>
              </w:rPr>
              <w:t>附近野生动物有鼠、蜥蜴、麻雀等</w:t>
            </w:r>
            <w:r>
              <w:rPr>
                <w:rFonts w:hint="default" w:ascii="Calibri" w:hAnsi="Calibri" w:cs="Calibri"/>
                <w:snapToGrid/>
                <w:color w:val="auto"/>
                <w:kern w:val="2"/>
                <w:sz w:val="24"/>
                <w:szCs w:val="24"/>
                <w:highlight w:val="none"/>
                <w:lang w:val="en-US" w:eastAsia="zh-CN" w:bidi="ar-SA"/>
              </w:rPr>
              <w:t>。</w:t>
            </w:r>
            <w:r>
              <w:rPr>
                <w:rFonts w:hint="default" w:ascii="Calibri" w:hAnsi="Calibri" w:cs="Calibri"/>
                <w:bCs/>
                <w:color w:val="auto"/>
                <w:sz w:val="24"/>
                <w:szCs w:val="24"/>
                <w:lang w:val="en-US" w:eastAsia="zh-CN"/>
              </w:rPr>
              <w:t>施工机械噪声和人类活动噪声是影响野生动物的主要因素，各种施工机械如运输车辆、推土机、振捣棒等均可能产生较强的噪声。</w:t>
            </w:r>
          </w:p>
          <w:p w14:paraId="2915EF51">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Calibri" w:hAnsi="Calibri" w:eastAsia="宋体" w:cs="Calibri"/>
                <w:b/>
                <w:bCs w:val="0"/>
                <w:color w:val="auto"/>
                <w:sz w:val="24"/>
                <w:szCs w:val="24"/>
                <w:lang w:val="en-US" w:eastAsia="zh-CN"/>
              </w:rPr>
            </w:pPr>
            <w:r>
              <w:rPr>
                <w:rFonts w:hint="default" w:ascii="Calibri" w:hAnsi="Calibri" w:cs="Calibri"/>
                <w:b/>
                <w:bCs w:val="0"/>
                <w:color w:val="auto"/>
                <w:sz w:val="24"/>
                <w:szCs w:val="24"/>
                <w:lang w:val="en-US" w:eastAsia="zh-CN"/>
              </w:rPr>
              <w:t>1.</w:t>
            </w:r>
            <w:r>
              <w:rPr>
                <w:rFonts w:hint="eastAsia" w:ascii="Calibri" w:hAnsi="Calibri" w:cs="Calibri"/>
                <w:b/>
                <w:bCs w:val="0"/>
                <w:color w:val="auto"/>
                <w:sz w:val="24"/>
                <w:szCs w:val="24"/>
                <w:lang w:val="en-US" w:eastAsia="zh-CN"/>
              </w:rPr>
              <w:t>6</w:t>
            </w:r>
            <w:r>
              <w:rPr>
                <w:rFonts w:hint="default" w:ascii="Calibri" w:hAnsi="Calibri" w:cs="Calibri"/>
                <w:b/>
                <w:bCs w:val="0"/>
                <w:color w:val="auto"/>
                <w:sz w:val="24"/>
                <w:szCs w:val="24"/>
                <w:lang w:val="en-US" w:eastAsia="zh-CN"/>
              </w:rPr>
              <w:t xml:space="preserve"> 对水土流失的环境影响分析</w:t>
            </w:r>
          </w:p>
          <w:p w14:paraId="6E1AEAF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cs="Calibri"/>
                <w:bCs/>
                <w:color w:val="auto"/>
                <w:sz w:val="24"/>
                <w:szCs w:val="24"/>
                <w:lang w:val="en-US" w:eastAsia="zh-CN"/>
              </w:rPr>
            </w:pPr>
            <w:r>
              <w:rPr>
                <w:rFonts w:hint="default" w:ascii="Calibri" w:hAnsi="Calibri" w:cs="Calibri"/>
                <w:bCs/>
                <w:color w:val="auto"/>
                <w:sz w:val="24"/>
                <w:szCs w:val="24"/>
                <w:lang w:val="en-US" w:eastAsia="zh-CN"/>
              </w:rPr>
              <w:t>主要产生水土流失时段为土建施工期间，</w:t>
            </w:r>
            <w:r>
              <w:rPr>
                <w:rFonts w:hint="eastAsia" w:ascii="Calibri" w:hAnsi="Calibri" w:cs="Calibri"/>
                <w:bCs/>
                <w:color w:val="auto"/>
                <w:sz w:val="24"/>
                <w:szCs w:val="24"/>
                <w:lang w:val="en-US" w:eastAsia="zh-CN"/>
              </w:rPr>
              <w:t>施工期</w:t>
            </w:r>
            <w:r>
              <w:rPr>
                <w:rFonts w:hint="default" w:ascii="Calibri" w:hAnsi="Calibri" w:cs="Calibri"/>
                <w:bCs/>
                <w:color w:val="auto"/>
                <w:sz w:val="24"/>
                <w:szCs w:val="24"/>
                <w:lang w:val="en-US" w:eastAsia="zh-CN"/>
              </w:rPr>
              <w:t>工程主要包括杆塔塔基建设、变电站建设。根据施工特点，场地平整等工程在施工过程中将造成对原地表开挖、扰动和再塑，使地表植被遭到破坏，失去原有固土和防冲能力，本项目会因施工致使地表松动、风蚀、水蚀、水土流失等生态影响。</w:t>
            </w:r>
          </w:p>
          <w:p w14:paraId="59C1742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cs="Calibri"/>
                <w:bCs/>
                <w:color w:val="auto"/>
                <w:sz w:val="24"/>
                <w:szCs w:val="24"/>
                <w:lang w:val="en-US" w:eastAsia="zh-CN"/>
              </w:rPr>
            </w:pPr>
            <w:r>
              <w:rPr>
                <w:rFonts w:hint="default" w:ascii="Calibri" w:hAnsi="Calibri" w:cs="Calibri"/>
                <w:bCs/>
                <w:color w:val="auto"/>
                <w:sz w:val="24"/>
                <w:szCs w:val="24"/>
                <w:lang w:val="en-US" w:eastAsia="zh-CN"/>
              </w:rPr>
              <w:t>水土保持工程设计、施工与主体工程同时设计，主体工程建设实施后，水土保持工程措施也将一同完成。对于采用植被恢复措施的一些工程，初期植物措施尚未完全发挥其水土保持生态效益之前，受降雨和径流冲刷，仍会有轻度的水土流失发生。但随着植物生长，植被覆盖度的增加，水土流失将会逐渐得到控制，并降低到允许水土流失范围内。</w:t>
            </w:r>
          </w:p>
          <w:p w14:paraId="031D342E">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Calibri" w:hAnsi="Calibri" w:cs="Calibri"/>
                <w:b/>
                <w:bCs w:val="0"/>
                <w:color w:val="auto"/>
                <w:sz w:val="24"/>
                <w:szCs w:val="24"/>
                <w:lang w:val="en-US" w:eastAsia="zh-CN"/>
              </w:rPr>
            </w:pPr>
            <w:r>
              <w:rPr>
                <w:rFonts w:hint="default" w:ascii="Calibri" w:hAnsi="Calibri" w:cs="Calibri"/>
                <w:b/>
                <w:bCs w:val="0"/>
                <w:color w:val="auto"/>
                <w:sz w:val="24"/>
                <w:szCs w:val="24"/>
                <w:lang w:val="en-US" w:eastAsia="zh-CN"/>
              </w:rPr>
              <w:t>1.</w:t>
            </w:r>
            <w:r>
              <w:rPr>
                <w:rFonts w:hint="eastAsia" w:ascii="Calibri" w:hAnsi="Calibri" w:cs="Calibri"/>
                <w:b/>
                <w:bCs w:val="0"/>
                <w:color w:val="auto"/>
                <w:sz w:val="24"/>
                <w:szCs w:val="24"/>
                <w:lang w:val="en-US" w:eastAsia="zh-CN"/>
              </w:rPr>
              <w:t>7</w:t>
            </w:r>
            <w:r>
              <w:rPr>
                <w:rFonts w:hint="default" w:ascii="Calibri" w:hAnsi="Calibri" w:cs="Calibri"/>
                <w:b/>
                <w:bCs w:val="0"/>
                <w:color w:val="auto"/>
                <w:sz w:val="24"/>
                <w:szCs w:val="24"/>
                <w:lang w:val="en-US" w:eastAsia="zh-CN"/>
              </w:rPr>
              <w:t xml:space="preserve"> 防沙治沙环境影响分析</w:t>
            </w:r>
          </w:p>
          <w:p w14:paraId="4E09879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eastAsia="宋体" w:cs="Calibri"/>
                <w:b w:val="0"/>
                <w:bCs/>
                <w:color w:val="auto"/>
                <w:sz w:val="24"/>
                <w:szCs w:val="24"/>
                <w:lang w:val="en-US" w:eastAsia="zh-CN"/>
              </w:rPr>
            </w:pPr>
            <w:r>
              <w:rPr>
                <w:rFonts w:hint="default" w:ascii="Calibri" w:hAnsi="Calibri" w:cs="Calibri"/>
                <w:bCs/>
                <w:color w:val="auto"/>
                <w:sz w:val="24"/>
                <w:szCs w:val="24"/>
                <w:lang w:val="en-US" w:eastAsia="zh-CN"/>
              </w:rPr>
              <w:t>项目施工期间，塔基施工等工程活动将不可避免地扰动原地貌、破坏地表植被，改变土体结构，使土壤抗蚀性降低，为风力侵蚀提供了丰富的沙源，加剧局部地段土地荒漠化发展。</w:t>
            </w:r>
          </w:p>
          <w:p w14:paraId="31B50E70">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Calibri" w:hAnsi="Calibri" w:eastAsia="宋体" w:cs="Calibri"/>
                <w:b/>
                <w:bCs w:val="0"/>
                <w:color w:val="auto"/>
                <w:sz w:val="24"/>
                <w:szCs w:val="24"/>
                <w:lang w:val="en-US" w:eastAsia="zh-CN"/>
              </w:rPr>
            </w:pPr>
            <w:r>
              <w:rPr>
                <w:rFonts w:hint="default" w:ascii="Calibri" w:hAnsi="Calibri" w:eastAsia="宋体" w:cs="Calibri"/>
                <w:b/>
                <w:bCs w:val="0"/>
                <w:color w:val="auto"/>
                <w:sz w:val="24"/>
                <w:szCs w:val="24"/>
                <w:lang w:val="en-US" w:eastAsia="zh-CN"/>
              </w:rPr>
              <w:t>1.</w:t>
            </w:r>
            <w:r>
              <w:rPr>
                <w:rFonts w:hint="eastAsia" w:ascii="Calibri" w:hAnsi="Calibri" w:cs="Calibri"/>
                <w:b/>
                <w:bCs w:val="0"/>
                <w:color w:val="auto"/>
                <w:sz w:val="24"/>
                <w:szCs w:val="24"/>
                <w:lang w:val="en-US" w:eastAsia="zh-CN"/>
              </w:rPr>
              <w:t>8</w:t>
            </w:r>
            <w:r>
              <w:rPr>
                <w:rFonts w:hint="default" w:ascii="Calibri" w:hAnsi="Calibri" w:eastAsia="宋体" w:cs="Calibri"/>
                <w:b/>
                <w:bCs w:val="0"/>
                <w:color w:val="auto"/>
                <w:sz w:val="24"/>
                <w:szCs w:val="24"/>
                <w:lang w:val="en-US" w:eastAsia="zh-CN"/>
              </w:rPr>
              <w:t>施工期对沿线水域的影响</w:t>
            </w:r>
          </w:p>
          <w:p w14:paraId="265BA4B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ascii="Calibri" w:hAnsi="Calibri" w:cs="Calibri"/>
                <w:b w:val="0"/>
                <w:bCs/>
                <w:color w:val="auto"/>
                <w:sz w:val="24"/>
                <w:szCs w:val="24"/>
                <w:lang w:val="en-US" w:eastAsia="zh-CN"/>
              </w:rPr>
            </w:pPr>
            <w:r>
              <w:rPr>
                <w:rFonts w:hint="default" w:ascii="Calibri" w:hAnsi="Calibri" w:eastAsia="宋体" w:cs="Calibri"/>
                <w:b w:val="0"/>
                <w:bCs/>
                <w:color w:val="auto"/>
                <w:kern w:val="2"/>
                <w:sz w:val="24"/>
                <w:szCs w:val="24"/>
                <w:lang w:val="en-US" w:eastAsia="zh-CN" w:bidi="ar-SA"/>
              </w:rPr>
              <w:t>本项目沿线</w:t>
            </w:r>
            <w:r>
              <w:rPr>
                <w:rFonts w:hint="default" w:ascii="Calibri" w:hAnsi="Calibri" w:cs="Calibri"/>
                <w:b w:val="0"/>
                <w:bCs/>
                <w:color w:val="auto"/>
                <w:kern w:val="2"/>
                <w:sz w:val="24"/>
                <w:szCs w:val="24"/>
                <w:lang w:val="en-US" w:eastAsia="zh-CN" w:bidi="ar-SA"/>
              </w:rPr>
              <w:t>涉及</w:t>
            </w:r>
            <w:r>
              <w:rPr>
                <w:rFonts w:hint="default" w:ascii="Calibri" w:hAnsi="Calibri" w:eastAsia="宋体" w:cs="Calibri"/>
                <w:b w:val="0"/>
                <w:bCs/>
                <w:color w:val="auto"/>
                <w:kern w:val="2"/>
                <w:sz w:val="24"/>
                <w:szCs w:val="24"/>
                <w:lang w:val="en-US" w:eastAsia="zh-CN" w:bidi="ar-SA"/>
              </w:rPr>
              <w:t>的水域主要为</w:t>
            </w:r>
            <w:r>
              <w:rPr>
                <w:rFonts w:hint="default" w:ascii="Calibri" w:hAnsi="Calibri" w:cs="Calibri"/>
                <w:b w:val="0"/>
                <w:bCs/>
                <w:color w:val="auto"/>
                <w:kern w:val="2"/>
                <w:sz w:val="24"/>
                <w:szCs w:val="24"/>
                <w:lang w:val="en-US" w:eastAsia="zh-CN" w:bidi="ar-SA"/>
              </w:rPr>
              <w:t>若羌</w:t>
            </w:r>
            <w:r>
              <w:rPr>
                <w:rFonts w:hint="default" w:ascii="Calibri" w:hAnsi="Calibri" w:eastAsia="宋体" w:cs="Calibri"/>
                <w:b w:val="0"/>
                <w:bCs/>
                <w:color w:val="auto"/>
                <w:kern w:val="2"/>
                <w:sz w:val="24"/>
                <w:szCs w:val="24"/>
                <w:lang w:val="en-US" w:eastAsia="zh-CN" w:bidi="ar-SA"/>
              </w:rPr>
              <w:t>河。</w:t>
            </w:r>
            <w:r>
              <w:rPr>
                <w:rFonts w:hint="default" w:ascii="Calibri" w:hAnsi="Calibri" w:cs="Calibri"/>
                <w:b w:val="0"/>
                <w:bCs/>
                <w:color w:val="auto"/>
                <w:kern w:val="2"/>
                <w:sz w:val="24"/>
                <w:szCs w:val="24"/>
                <w:lang w:val="en-US" w:eastAsia="zh-CN" w:bidi="ar-SA"/>
              </w:rPr>
              <w:t>若羌</w:t>
            </w:r>
            <w:r>
              <w:rPr>
                <w:rFonts w:hint="default" w:ascii="Calibri" w:hAnsi="Calibri" w:eastAsia="宋体" w:cs="Calibri"/>
                <w:b w:val="0"/>
                <w:bCs/>
                <w:color w:val="auto"/>
                <w:kern w:val="2"/>
                <w:sz w:val="24"/>
                <w:szCs w:val="24"/>
                <w:lang w:val="en-US" w:eastAsia="zh-CN" w:bidi="ar-SA"/>
              </w:rPr>
              <w:t>河流向由南向北流，根据《新疆水环境功能区划》（2003版），</w:t>
            </w:r>
            <w:r>
              <w:rPr>
                <w:rFonts w:hint="default" w:ascii="Calibri" w:hAnsi="Calibri" w:cs="Calibri"/>
                <w:b w:val="0"/>
                <w:bCs/>
                <w:color w:val="auto"/>
                <w:kern w:val="2"/>
                <w:sz w:val="24"/>
                <w:szCs w:val="24"/>
                <w:lang w:val="en-US" w:eastAsia="zh-CN" w:bidi="ar-SA"/>
              </w:rPr>
              <w:t>若羌</w:t>
            </w:r>
            <w:r>
              <w:rPr>
                <w:rFonts w:hint="default" w:ascii="Calibri" w:hAnsi="Calibri" w:eastAsia="宋体" w:cs="Calibri"/>
                <w:b w:val="0"/>
                <w:bCs/>
                <w:color w:val="auto"/>
                <w:kern w:val="2"/>
                <w:sz w:val="24"/>
                <w:szCs w:val="24"/>
                <w:lang w:val="en-US" w:eastAsia="zh-CN" w:bidi="ar-SA"/>
              </w:rPr>
              <w:t>河属于I类水体。本项目跨越</w:t>
            </w:r>
            <w:r>
              <w:rPr>
                <w:rFonts w:hint="default" w:ascii="Calibri" w:hAnsi="Calibri" w:cs="Calibri"/>
                <w:b w:val="0"/>
                <w:bCs/>
                <w:color w:val="auto"/>
                <w:kern w:val="2"/>
                <w:sz w:val="24"/>
                <w:szCs w:val="24"/>
                <w:lang w:val="en-US" w:eastAsia="zh-CN" w:bidi="ar-SA"/>
              </w:rPr>
              <w:t>若羌河</w:t>
            </w:r>
            <w:r>
              <w:rPr>
                <w:rFonts w:hint="eastAsia" w:ascii="Calibri" w:hAnsi="Calibri" w:cs="Calibri"/>
                <w:b w:val="0"/>
                <w:bCs/>
                <w:color w:val="auto"/>
                <w:kern w:val="2"/>
                <w:sz w:val="24"/>
                <w:szCs w:val="24"/>
                <w:lang w:val="en-US" w:eastAsia="zh-CN" w:bidi="ar-SA"/>
              </w:rPr>
              <w:t>18</w:t>
            </w:r>
            <w:r>
              <w:rPr>
                <w:rFonts w:hint="default" w:ascii="Calibri" w:hAnsi="Calibri" w:eastAsia="宋体" w:cs="Calibri"/>
                <w:b w:val="0"/>
                <w:bCs/>
                <w:color w:val="auto"/>
                <w:kern w:val="2"/>
                <w:sz w:val="24"/>
                <w:szCs w:val="24"/>
                <w:lang w:val="en-US" w:eastAsia="zh-CN" w:bidi="ar-SA"/>
              </w:rPr>
              <w:t>次，跨越处100年一遇洪水位约2980m</w:t>
            </w:r>
            <w:r>
              <w:rPr>
                <w:rFonts w:hint="default" w:ascii="Calibri" w:hAnsi="Calibri" w:eastAsia="宋体" w:cs="Calibri"/>
                <w:b w:val="0"/>
                <w:bCs/>
                <w:color w:val="auto"/>
                <w:sz w:val="24"/>
                <w:szCs w:val="24"/>
                <w:lang w:eastAsia="zh-CN"/>
              </w:rPr>
              <w:t>，</w:t>
            </w:r>
            <w:r>
              <w:rPr>
                <w:rFonts w:hint="default" w:ascii="Calibri" w:hAnsi="Calibri" w:eastAsia="宋体" w:cs="Calibri"/>
                <w:bCs/>
                <w:color w:val="auto"/>
                <w:sz w:val="24"/>
                <w:szCs w:val="24"/>
                <w:lang w:val="en-US" w:eastAsia="zh-CN"/>
              </w:rPr>
              <w:t>本项目施工期不涉及河道或者河流内的基座施工</w:t>
            </w:r>
            <w:r>
              <w:rPr>
                <w:rFonts w:hint="default" w:ascii="Calibri" w:hAnsi="Calibri" w:eastAsia="宋体" w:cs="Calibri"/>
                <w:b w:val="0"/>
                <w:bCs/>
                <w:color w:val="auto"/>
                <w:sz w:val="24"/>
                <w:szCs w:val="24"/>
                <w:lang w:val="en-US" w:eastAsia="zh-CN"/>
              </w:rPr>
              <w:t>，</w:t>
            </w:r>
            <w:r>
              <w:rPr>
                <w:rFonts w:hint="default" w:ascii="Calibri" w:hAnsi="Calibri" w:cs="Calibri"/>
                <w:b w:val="0"/>
                <w:bCs/>
                <w:color w:val="auto"/>
                <w:sz w:val="24"/>
                <w:szCs w:val="24"/>
                <w:lang w:val="en-US" w:eastAsia="zh-CN"/>
              </w:rPr>
              <w:t>施工过程</w:t>
            </w:r>
            <w:r>
              <w:rPr>
                <w:rFonts w:hint="default" w:ascii="Calibri" w:hAnsi="Calibri" w:eastAsia="宋体" w:cs="Calibri"/>
                <w:b w:val="0"/>
                <w:bCs/>
                <w:color w:val="auto"/>
                <w:sz w:val="24"/>
                <w:szCs w:val="24"/>
                <w:lang w:val="en-US" w:eastAsia="zh-CN"/>
              </w:rPr>
              <w:t>对沿线水域影响较小。</w:t>
            </w:r>
            <w:r>
              <w:rPr>
                <w:rFonts w:hint="eastAsia" w:ascii="Calibri" w:hAnsi="Calibri" w:cs="Calibri"/>
                <w:b w:val="0"/>
                <w:bCs/>
                <w:color w:val="auto"/>
                <w:sz w:val="24"/>
                <w:szCs w:val="24"/>
                <w:lang w:val="en-US" w:eastAsia="zh-CN"/>
              </w:rPr>
              <w:t>本项目18次跨越若羌河 均采用“一档跨越”方式，塔基均没建设在若羌河的河道管理范围内。</w:t>
            </w:r>
          </w:p>
          <w:p w14:paraId="29D2F060">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Calibri" w:hAnsi="Calibri" w:cs="Calibri"/>
                <w:b/>
                <w:bCs w:val="0"/>
                <w:color w:val="auto"/>
                <w:sz w:val="24"/>
                <w:szCs w:val="24"/>
                <w:lang w:val="en-US" w:eastAsia="zh-CN"/>
              </w:rPr>
            </w:pPr>
            <w:r>
              <w:rPr>
                <w:rFonts w:hint="default" w:ascii="Calibri" w:hAnsi="Calibri" w:cs="Calibri"/>
                <w:b/>
                <w:bCs w:val="0"/>
                <w:color w:val="auto"/>
                <w:sz w:val="24"/>
                <w:szCs w:val="24"/>
                <w:lang w:val="en-US" w:eastAsia="zh-CN"/>
              </w:rPr>
              <w:t>2 施工期大气环境影响分析</w:t>
            </w:r>
          </w:p>
          <w:p w14:paraId="4082FC9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eastAsia="宋体" w:cs="Calibri"/>
                <w:bCs/>
                <w:color w:val="auto"/>
                <w:sz w:val="24"/>
                <w:szCs w:val="24"/>
                <w:lang w:val="en-US" w:eastAsia="zh-CN"/>
              </w:rPr>
            </w:pPr>
            <w:r>
              <w:rPr>
                <w:rFonts w:hint="default" w:ascii="Calibri" w:hAnsi="Calibri" w:eastAsia="宋体" w:cs="Calibri"/>
                <w:bCs/>
                <w:color w:val="auto"/>
                <w:sz w:val="24"/>
                <w:szCs w:val="24"/>
                <w:lang w:val="en-US" w:eastAsia="zh-CN"/>
              </w:rPr>
              <w:t>主要是在汽车运输材料以及</w:t>
            </w:r>
            <w:r>
              <w:rPr>
                <w:rFonts w:hint="default" w:ascii="Calibri" w:hAnsi="Calibri" w:cs="Calibri"/>
                <w:bCs/>
                <w:color w:val="auto"/>
                <w:sz w:val="24"/>
                <w:szCs w:val="24"/>
                <w:lang w:val="en-US" w:eastAsia="zh-CN"/>
              </w:rPr>
              <w:t>基坑开挖</w:t>
            </w:r>
            <w:r>
              <w:rPr>
                <w:rFonts w:hint="default" w:ascii="Calibri" w:hAnsi="Calibri" w:eastAsia="宋体" w:cs="Calibri"/>
                <w:bCs/>
                <w:color w:val="auto"/>
                <w:sz w:val="24"/>
                <w:szCs w:val="24"/>
                <w:lang w:val="en-US" w:eastAsia="zh-CN"/>
              </w:rPr>
              <w:t>过程中产生</w:t>
            </w:r>
            <w:r>
              <w:rPr>
                <w:rFonts w:hint="default" w:ascii="Calibri" w:hAnsi="Calibri" w:cs="Calibri"/>
                <w:bCs/>
                <w:color w:val="auto"/>
                <w:sz w:val="24"/>
                <w:szCs w:val="24"/>
                <w:lang w:val="en-US" w:eastAsia="zh-CN"/>
              </w:rPr>
              <w:t>的扬尘</w:t>
            </w:r>
            <w:r>
              <w:rPr>
                <w:rFonts w:hint="default" w:ascii="Calibri" w:hAnsi="Calibri" w:eastAsia="宋体" w:cs="Calibri"/>
                <w:bCs/>
                <w:color w:val="auto"/>
                <w:sz w:val="24"/>
                <w:szCs w:val="24"/>
                <w:lang w:val="en-US" w:eastAsia="zh-CN"/>
              </w:rPr>
              <w:t>。施工中的物料运输采用带篷布的汽车运输，可以减少运输途中产生的二次扬尘；架空线路塔基施工点的施工量小、分散、间距大，使得施工扬尘呈现时间短、扬尘量少及扬尘范围小的特点，只要在施工过程中贯彻文明施工的原则</w:t>
            </w:r>
            <w:r>
              <w:rPr>
                <w:rFonts w:hint="eastAsia" w:ascii="Calibri" w:hAnsi="Calibri" w:cs="Calibri"/>
                <w:bCs/>
                <w:color w:val="auto"/>
                <w:sz w:val="24"/>
                <w:szCs w:val="24"/>
                <w:lang w:val="en-US" w:eastAsia="zh-CN"/>
              </w:rPr>
              <w:t>，</w:t>
            </w:r>
            <w:r>
              <w:rPr>
                <w:rFonts w:hint="default" w:ascii="Calibri" w:hAnsi="Calibri" w:eastAsia="宋体" w:cs="Calibri"/>
                <w:bCs/>
                <w:color w:val="auto"/>
                <w:sz w:val="24"/>
                <w:szCs w:val="24"/>
                <w:lang w:val="en-US" w:eastAsia="zh-CN"/>
              </w:rPr>
              <w:t>对产生的弃土、弃渣及时就近平整，可将施工扬尘对周围环境的影响降到最小。</w:t>
            </w:r>
          </w:p>
          <w:p w14:paraId="5A228573">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Calibri" w:hAnsi="Calibri" w:eastAsia="宋体" w:cs="Calibri"/>
                <w:bCs/>
                <w:color w:val="auto"/>
                <w:sz w:val="24"/>
                <w:szCs w:val="24"/>
                <w:lang w:val="en-US" w:eastAsia="zh-CN"/>
              </w:rPr>
            </w:pPr>
            <w:r>
              <w:rPr>
                <w:rFonts w:hint="default" w:ascii="Calibri" w:hAnsi="Calibri" w:cs="Calibri"/>
                <w:b/>
                <w:bCs w:val="0"/>
                <w:color w:val="auto"/>
                <w:sz w:val="24"/>
                <w:szCs w:val="24"/>
                <w:lang w:val="en-US" w:eastAsia="zh-CN"/>
              </w:rPr>
              <w:t>3 施工期废水环境影响分析</w:t>
            </w:r>
          </w:p>
          <w:p w14:paraId="766772E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eastAsia="宋体" w:cs="Calibri"/>
                <w:color w:val="auto"/>
                <w:kern w:val="2"/>
                <w:sz w:val="24"/>
                <w:szCs w:val="24"/>
                <w:highlight w:val="none"/>
                <w:lang w:val="en-US" w:eastAsia="zh-CN" w:bidi="ar-SA"/>
              </w:rPr>
            </w:pPr>
            <w:r>
              <w:rPr>
                <w:rFonts w:hint="default" w:ascii="Calibri" w:hAnsi="Calibri" w:eastAsia="宋体" w:cs="Calibri"/>
                <w:color w:val="auto"/>
                <w:kern w:val="2"/>
                <w:sz w:val="24"/>
                <w:szCs w:val="24"/>
                <w:highlight w:val="none"/>
                <w:lang w:val="en-US" w:eastAsia="zh-CN" w:bidi="ar-SA"/>
              </w:rPr>
              <w:t>生活污水</w:t>
            </w:r>
            <w:r>
              <w:rPr>
                <w:rFonts w:hint="default" w:ascii="Calibri" w:hAnsi="Calibri" w:cs="Calibri"/>
                <w:color w:val="auto"/>
                <w:kern w:val="2"/>
                <w:sz w:val="24"/>
                <w:szCs w:val="24"/>
                <w:highlight w:val="none"/>
                <w:lang w:val="en-US" w:eastAsia="zh-CN" w:bidi="ar-SA"/>
              </w:rPr>
              <w:t>新建</w:t>
            </w:r>
            <w:r>
              <w:rPr>
                <w:rFonts w:hint="default" w:ascii="Calibri" w:hAnsi="Calibri" w:eastAsia="宋体" w:cs="Calibri"/>
                <w:color w:val="auto"/>
                <w:kern w:val="2"/>
                <w:sz w:val="24"/>
                <w:szCs w:val="24"/>
                <w:highlight w:val="none"/>
                <w:lang w:val="en-US" w:eastAsia="zh-CN" w:bidi="ar-SA"/>
              </w:rPr>
              <w:t>一体化污水处理设施</w:t>
            </w:r>
            <w:r>
              <w:rPr>
                <w:rFonts w:hint="default" w:ascii="Calibri" w:hAnsi="Calibri" w:cs="Calibri"/>
                <w:color w:val="auto"/>
                <w:kern w:val="2"/>
                <w:sz w:val="24"/>
                <w:szCs w:val="24"/>
                <w:highlight w:val="none"/>
                <w:lang w:val="en-US" w:eastAsia="zh-CN" w:bidi="ar-SA"/>
              </w:rPr>
              <w:t>（处理能力</w:t>
            </w:r>
            <w:r>
              <w:rPr>
                <w:rFonts w:hint="eastAsia" w:ascii="Calibri" w:hAnsi="Calibri" w:cs="Calibri"/>
                <w:color w:val="auto"/>
                <w:kern w:val="2"/>
                <w:sz w:val="24"/>
                <w:szCs w:val="24"/>
                <w:highlight w:val="none"/>
                <w:lang w:val="en-US" w:eastAsia="zh-CN" w:bidi="ar-SA"/>
              </w:rPr>
              <w:t>3</w:t>
            </w:r>
            <w:r>
              <w:rPr>
                <w:rFonts w:hint="default" w:ascii="Calibri" w:hAnsi="Calibri" w:cs="Calibri"/>
                <w:color w:val="auto"/>
                <w:kern w:val="2"/>
                <w:sz w:val="24"/>
                <w:szCs w:val="24"/>
                <w:highlight w:val="none"/>
                <w:lang w:val="en-US" w:eastAsia="zh-CN" w:bidi="ar-SA"/>
              </w:rPr>
              <w:t>m³/</w:t>
            </w:r>
            <w:r>
              <w:rPr>
                <w:rFonts w:hint="eastAsia" w:ascii="Calibri" w:hAnsi="Calibri" w:cs="Calibri"/>
                <w:color w:val="auto"/>
                <w:kern w:val="2"/>
                <w:sz w:val="24"/>
                <w:szCs w:val="24"/>
                <w:highlight w:val="none"/>
                <w:lang w:val="en-US" w:eastAsia="zh-CN" w:bidi="ar-SA"/>
              </w:rPr>
              <w:t>d</w:t>
            </w:r>
            <w:r>
              <w:rPr>
                <w:rFonts w:hint="default" w:ascii="Calibri" w:hAnsi="Calibri" w:cs="Calibri"/>
                <w:color w:val="auto"/>
                <w:kern w:val="2"/>
                <w:sz w:val="24"/>
                <w:szCs w:val="24"/>
                <w:highlight w:val="none"/>
                <w:lang w:val="en-US" w:eastAsia="zh-CN" w:bidi="ar-SA"/>
              </w:rPr>
              <w:t>，容积</w:t>
            </w:r>
            <w:r>
              <w:rPr>
                <w:rFonts w:hint="eastAsia" w:ascii="Calibri" w:hAnsi="Calibri" w:cs="Calibri"/>
                <w:color w:val="auto"/>
                <w:kern w:val="2"/>
                <w:sz w:val="24"/>
                <w:szCs w:val="24"/>
                <w:highlight w:val="none"/>
                <w:lang w:val="en-US" w:eastAsia="zh-CN" w:bidi="ar-SA"/>
              </w:rPr>
              <w:t>20</w:t>
            </w:r>
            <w:r>
              <w:rPr>
                <w:rFonts w:hint="default" w:ascii="Calibri" w:hAnsi="Calibri" w:cs="Calibri"/>
                <w:color w:val="auto"/>
                <w:kern w:val="2"/>
                <w:sz w:val="24"/>
                <w:szCs w:val="24"/>
                <w:highlight w:val="none"/>
                <w:lang w:val="en-US" w:eastAsia="zh-CN" w:bidi="ar-SA"/>
              </w:rPr>
              <w:t>m³），生活污水排放执行《农村生活污水处理排放标准》</w:t>
            </w:r>
            <w:r>
              <w:rPr>
                <w:rFonts w:hint="eastAsia" w:ascii="Calibri" w:hAnsi="Calibri" w:cs="Calibri"/>
                <w:color w:val="auto"/>
                <w:kern w:val="2"/>
                <w:sz w:val="24"/>
                <w:szCs w:val="24"/>
                <w:highlight w:val="none"/>
                <w:lang w:val="en-US" w:eastAsia="zh-CN" w:bidi="ar-SA"/>
              </w:rPr>
              <w:t>（</w:t>
            </w:r>
            <w:r>
              <w:rPr>
                <w:rFonts w:hint="default" w:ascii="Calibri" w:hAnsi="Calibri" w:cs="Calibri"/>
                <w:color w:val="auto"/>
                <w:kern w:val="2"/>
                <w:sz w:val="24"/>
                <w:szCs w:val="24"/>
                <w:highlight w:val="none"/>
                <w:lang w:val="en-US" w:eastAsia="zh-CN" w:bidi="ar-SA"/>
              </w:rPr>
              <w:t>DB654275-2019)C类标准。</w:t>
            </w:r>
          </w:p>
          <w:p w14:paraId="33378A0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eastAsia="宋体" w:cs="Calibri"/>
                <w:color w:val="auto"/>
                <w:sz w:val="24"/>
                <w:highlight w:val="none"/>
                <w:lang w:val="en-US" w:eastAsia="zh-CN"/>
              </w:rPr>
            </w:pPr>
            <w:r>
              <w:rPr>
                <w:rFonts w:hint="default" w:ascii="Calibri" w:hAnsi="Calibri" w:cs="Calibri"/>
                <w:bCs/>
                <w:color w:val="auto"/>
                <w:sz w:val="24"/>
                <w:szCs w:val="24"/>
                <w:lang w:val="en-US" w:eastAsia="zh-CN"/>
              </w:rPr>
              <w:t>施工期施工人员</w:t>
            </w:r>
            <w:r>
              <w:rPr>
                <w:rFonts w:hint="eastAsia" w:ascii="Calibri" w:hAnsi="Calibri" w:cs="Calibri"/>
                <w:bCs/>
                <w:color w:val="auto"/>
                <w:sz w:val="24"/>
                <w:szCs w:val="24"/>
                <w:lang w:val="en-US" w:eastAsia="zh-CN"/>
              </w:rPr>
              <w:t>129</w:t>
            </w:r>
            <w:r>
              <w:rPr>
                <w:rFonts w:hint="default" w:ascii="Calibri" w:hAnsi="Calibri" w:cs="Calibri"/>
                <w:bCs/>
                <w:color w:val="auto"/>
                <w:sz w:val="24"/>
                <w:szCs w:val="24"/>
                <w:lang w:val="en-US" w:eastAsia="zh-CN"/>
              </w:rPr>
              <w:t>人，</w:t>
            </w:r>
            <w:r>
              <w:rPr>
                <w:rFonts w:hint="default" w:ascii="Calibri" w:hAnsi="Calibri" w:eastAsia="宋体" w:cs="Calibri"/>
                <w:color w:val="auto"/>
                <w:sz w:val="24"/>
                <w:szCs w:val="24"/>
              </w:rPr>
              <w:t>参照《新疆维吾尔自治区工业和生活用水定额》（新政办发〔2007〕105号）规定，用水量按</w:t>
            </w:r>
            <w:r>
              <w:rPr>
                <w:rFonts w:hint="default" w:ascii="Calibri" w:hAnsi="Calibri" w:cs="Calibri"/>
                <w:color w:val="auto"/>
                <w:sz w:val="24"/>
                <w:szCs w:val="24"/>
                <w:lang w:val="en-US" w:eastAsia="zh-CN"/>
              </w:rPr>
              <w:t>2</w:t>
            </w:r>
            <w:r>
              <w:rPr>
                <w:rFonts w:hint="default" w:ascii="Calibri" w:hAnsi="Calibri" w:eastAsia="宋体" w:cs="Calibri"/>
                <w:color w:val="auto"/>
                <w:sz w:val="24"/>
                <w:szCs w:val="24"/>
                <w:lang w:val="en-US" w:eastAsia="zh-CN"/>
              </w:rPr>
              <w:t>0</w:t>
            </w:r>
            <w:r>
              <w:rPr>
                <w:rFonts w:hint="default" w:ascii="Calibri" w:hAnsi="Calibri" w:eastAsia="宋体" w:cs="Calibri"/>
                <w:color w:val="auto"/>
                <w:sz w:val="24"/>
                <w:szCs w:val="24"/>
              </w:rPr>
              <w:t>L/人·日计</w:t>
            </w:r>
            <w:r>
              <w:rPr>
                <w:rFonts w:hint="default" w:ascii="Calibri" w:hAnsi="Calibri" w:cs="Calibri"/>
                <w:color w:val="auto"/>
                <w:sz w:val="24"/>
                <w:szCs w:val="24"/>
                <w:lang w:eastAsia="zh-CN"/>
              </w:rPr>
              <w:t>，</w:t>
            </w:r>
            <w:r>
              <w:rPr>
                <w:rFonts w:hint="default" w:ascii="Calibri" w:hAnsi="Calibri" w:cs="Calibri"/>
                <w:color w:val="auto"/>
                <w:sz w:val="24"/>
                <w:szCs w:val="24"/>
                <w:lang w:val="en-US" w:eastAsia="zh-CN"/>
              </w:rPr>
              <w:t>施工时间150d</w:t>
            </w:r>
            <w:r>
              <w:rPr>
                <w:rFonts w:hint="default" w:ascii="Calibri" w:hAnsi="Calibri" w:eastAsia="宋体" w:cs="Calibri"/>
                <w:color w:val="auto"/>
                <w:sz w:val="24"/>
                <w:szCs w:val="24"/>
              </w:rPr>
              <w:t>，则</w:t>
            </w:r>
            <w:r>
              <w:rPr>
                <w:rFonts w:hint="default" w:ascii="Calibri" w:hAnsi="Calibri" w:cs="Calibri"/>
                <w:color w:val="auto"/>
                <w:sz w:val="24"/>
                <w:szCs w:val="24"/>
                <w:lang w:val="en-US" w:eastAsia="zh-CN"/>
              </w:rPr>
              <w:t>施工期</w:t>
            </w:r>
            <w:r>
              <w:rPr>
                <w:rFonts w:hint="default" w:ascii="Calibri" w:hAnsi="Calibri" w:eastAsia="宋体" w:cs="Calibri"/>
                <w:color w:val="auto"/>
                <w:sz w:val="24"/>
                <w:szCs w:val="24"/>
              </w:rPr>
              <w:t>用水量</w:t>
            </w:r>
            <w:r>
              <w:rPr>
                <w:rFonts w:hint="eastAsia" w:ascii="Calibri" w:hAnsi="Calibri" w:cs="Calibri"/>
                <w:color w:val="auto"/>
                <w:sz w:val="24"/>
                <w:szCs w:val="24"/>
                <w:lang w:val="en-US" w:eastAsia="zh-CN"/>
              </w:rPr>
              <w:t>2.58</w:t>
            </w:r>
            <w:r>
              <w:rPr>
                <w:rFonts w:hint="default" w:ascii="Calibri" w:hAnsi="Calibri" w:cs="Calibri"/>
                <w:color w:val="auto"/>
                <w:sz w:val="24"/>
                <w:szCs w:val="24"/>
                <w:lang w:eastAsia="zh-CN"/>
              </w:rPr>
              <w:t>m³</w:t>
            </w:r>
            <w:r>
              <w:rPr>
                <w:rFonts w:hint="default" w:ascii="Calibri" w:hAnsi="Calibri" w:eastAsia="宋体" w:cs="Calibri"/>
                <w:color w:val="auto"/>
                <w:sz w:val="24"/>
                <w:szCs w:val="24"/>
              </w:rPr>
              <w:t>/d（</w:t>
            </w:r>
            <w:r>
              <w:rPr>
                <w:rFonts w:hint="eastAsia" w:ascii="Calibri" w:hAnsi="Calibri" w:cs="Calibri"/>
                <w:color w:val="auto"/>
                <w:sz w:val="24"/>
                <w:szCs w:val="24"/>
                <w:lang w:val="en-US" w:eastAsia="zh-CN"/>
              </w:rPr>
              <w:t>387</w:t>
            </w:r>
            <w:r>
              <w:rPr>
                <w:rFonts w:hint="default" w:ascii="Calibri" w:hAnsi="Calibri" w:cs="Calibri"/>
                <w:color w:val="auto"/>
                <w:sz w:val="24"/>
                <w:szCs w:val="24"/>
                <w:lang w:val="en-US" w:eastAsia="zh-CN"/>
              </w:rPr>
              <w:t>m³</w:t>
            </w:r>
            <w:r>
              <w:rPr>
                <w:rFonts w:hint="default" w:ascii="Calibri" w:hAnsi="Calibri" w:eastAsia="宋体" w:cs="Calibri"/>
                <w:color w:val="auto"/>
                <w:sz w:val="24"/>
                <w:szCs w:val="24"/>
              </w:rPr>
              <w:t>），产污系数按0.8计，废水量</w:t>
            </w:r>
            <w:r>
              <w:rPr>
                <w:rFonts w:hint="eastAsia" w:ascii="Calibri" w:hAnsi="Calibri" w:cs="Calibri"/>
                <w:color w:val="auto"/>
                <w:sz w:val="24"/>
                <w:szCs w:val="24"/>
                <w:lang w:val="en-US" w:eastAsia="zh-CN"/>
              </w:rPr>
              <w:t>2.064</w:t>
            </w:r>
            <w:r>
              <w:rPr>
                <w:rFonts w:hint="default" w:ascii="Calibri" w:hAnsi="Calibri" w:cs="Calibri"/>
                <w:color w:val="auto"/>
                <w:sz w:val="24"/>
                <w:szCs w:val="24"/>
                <w:lang w:eastAsia="zh-CN"/>
              </w:rPr>
              <w:t>m³</w:t>
            </w:r>
            <w:r>
              <w:rPr>
                <w:rFonts w:hint="default" w:ascii="Calibri" w:hAnsi="Calibri" w:eastAsia="宋体" w:cs="Calibri"/>
                <w:color w:val="auto"/>
                <w:sz w:val="24"/>
                <w:szCs w:val="24"/>
              </w:rPr>
              <w:t>/d</w:t>
            </w:r>
            <w:r>
              <w:rPr>
                <w:rFonts w:hint="default" w:ascii="Calibri" w:hAnsi="Calibri" w:eastAsia="宋体" w:cs="Calibri"/>
                <w:color w:val="auto"/>
                <w:sz w:val="24"/>
                <w:szCs w:val="24"/>
                <w:lang w:eastAsia="zh-CN"/>
              </w:rPr>
              <w:t>（</w:t>
            </w:r>
            <w:r>
              <w:rPr>
                <w:rFonts w:hint="eastAsia" w:ascii="Calibri" w:hAnsi="Calibri" w:cs="Calibri"/>
                <w:color w:val="auto"/>
                <w:sz w:val="24"/>
                <w:szCs w:val="24"/>
                <w:lang w:val="en-US" w:eastAsia="zh-CN"/>
              </w:rPr>
              <w:t>309.6</w:t>
            </w:r>
            <w:r>
              <w:rPr>
                <w:rFonts w:hint="default" w:ascii="Calibri" w:hAnsi="Calibri" w:cs="Calibri"/>
                <w:color w:val="auto"/>
                <w:sz w:val="24"/>
                <w:szCs w:val="24"/>
                <w:lang w:eastAsia="zh-CN"/>
              </w:rPr>
              <w:t>m³</w:t>
            </w:r>
            <w:r>
              <w:rPr>
                <w:rFonts w:hint="default" w:ascii="Calibri" w:hAnsi="Calibri" w:eastAsia="宋体" w:cs="Calibri"/>
                <w:color w:val="auto"/>
                <w:sz w:val="24"/>
                <w:szCs w:val="24"/>
              </w:rPr>
              <w:t>/a</w:t>
            </w:r>
            <w:r>
              <w:rPr>
                <w:rFonts w:hint="default" w:ascii="Calibri" w:hAnsi="Calibri" w:eastAsia="宋体" w:cs="Calibri"/>
                <w:color w:val="auto"/>
                <w:sz w:val="24"/>
                <w:szCs w:val="24"/>
                <w:lang w:eastAsia="zh-CN"/>
              </w:rPr>
              <w:t>）</w:t>
            </w:r>
            <w:r>
              <w:rPr>
                <w:rFonts w:hint="default" w:ascii="Calibri" w:hAnsi="Calibri" w:eastAsia="宋体" w:cs="Calibri"/>
                <w:color w:val="auto"/>
                <w:sz w:val="24"/>
                <w:szCs w:val="24"/>
              </w:rPr>
              <w:t>，生活污水浓度</w:t>
            </w:r>
            <w:r>
              <w:rPr>
                <w:rFonts w:hint="default" w:ascii="Calibri" w:hAnsi="Calibri" w:cs="Calibri"/>
                <w:color w:val="auto"/>
                <w:sz w:val="24"/>
                <w:szCs w:val="24"/>
                <w:lang w:val="en-US" w:eastAsia="zh-CN"/>
              </w:rPr>
              <w:t>类比</w:t>
            </w:r>
            <w:r>
              <w:rPr>
                <w:rFonts w:hint="default" w:ascii="Calibri" w:hAnsi="Calibri" w:eastAsia="宋体" w:cs="Calibri"/>
                <w:color w:val="auto"/>
                <w:sz w:val="24"/>
                <w:szCs w:val="24"/>
              </w:rPr>
              <w:t>《建筑</w:t>
            </w:r>
            <w:r>
              <w:rPr>
                <w:rFonts w:hint="default" w:ascii="Calibri" w:hAnsi="Calibri" w:eastAsia="宋体" w:cs="Calibri"/>
                <w:color w:val="auto"/>
                <w:sz w:val="24"/>
                <w:szCs w:val="24"/>
                <w:lang w:val="en-US" w:eastAsia="zh-CN"/>
              </w:rPr>
              <w:t>给水排水与节水通用规范</w:t>
            </w:r>
            <w:r>
              <w:rPr>
                <w:rFonts w:hint="default" w:ascii="Calibri" w:hAnsi="Calibri" w:eastAsia="宋体" w:cs="Calibri"/>
                <w:color w:val="auto"/>
                <w:sz w:val="24"/>
                <w:szCs w:val="24"/>
              </w:rPr>
              <w:t>》（GB5</w:t>
            </w:r>
            <w:r>
              <w:rPr>
                <w:rFonts w:hint="default" w:ascii="Calibri" w:hAnsi="Calibri" w:eastAsia="宋体" w:cs="Calibri"/>
                <w:color w:val="auto"/>
                <w:sz w:val="24"/>
                <w:szCs w:val="24"/>
                <w:lang w:val="en-US" w:eastAsia="zh-CN"/>
              </w:rPr>
              <w:t>5020</w:t>
            </w:r>
            <w:r>
              <w:rPr>
                <w:rFonts w:hint="default" w:ascii="Calibri" w:hAnsi="Calibri" w:eastAsia="宋体" w:cs="Calibri"/>
                <w:color w:val="auto"/>
                <w:sz w:val="24"/>
                <w:szCs w:val="24"/>
              </w:rPr>
              <w:t>-20</w:t>
            </w:r>
            <w:r>
              <w:rPr>
                <w:rFonts w:hint="default" w:ascii="Calibri" w:hAnsi="Calibri" w:eastAsia="宋体" w:cs="Calibri"/>
                <w:color w:val="auto"/>
                <w:sz w:val="24"/>
                <w:szCs w:val="24"/>
                <w:lang w:val="en-US" w:eastAsia="zh-CN"/>
              </w:rPr>
              <w:t>21</w:t>
            </w:r>
            <w:r>
              <w:rPr>
                <w:rFonts w:hint="default" w:ascii="Calibri" w:hAnsi="Calibri" w:eastAsia="宋体" w:cs="Calibri"/>
                <w:color w:val="auto"/>
                <w:sz w:val="24"/>
                <w:szCs w:val="24"/>
              </w:rPr>
              <w:t>）中生活污水中各污染物产生浓度，生活污水污染物浓度COD</w:t>
            </w:r>
            <w:r>
              <w:rPr>
                <w:rFonts w:hint="default" w:ascii="Calibri" w:hAnsi="Calibri" w:eastAsia="宋体" w:cs="Calibri"/>
                <w:color w:val="auto"/>
                <w:sz w:val="24"/>
                <w:szCs w:val="24"/>
                <w:vertAlign w:val="subscript"/>
              </w:rPr>
              <w:t>cr</w:t>
            </w:r>
            <w:r>
              <w:rPr>
                <w:rFonts w:hint="default" w:ascii="Calibri" w:hAnsi="Calibri" w:eastAsia="宋体" w:cs="Calibri"/>
                <w:color w:val="auto"/>
                <w:sz w:val="24"/>
                <w:szCs w:val="24"/>
              </w:rPr>
              <w:t>350mg/L，BOD</w:t>
            </w:r>
            <w:r>
              <w:rPr>
                <w:rFonts w:hint="default" w:ascii="Calibri" w:hAnsi="Calibri" w:eastAsia="宋体" w:cs="Calibri"/>
                <w:color w:val="auto"/>
                <w:sz w:val="24"/>
                <w:szCs w:val="24"/>
                <w:vertAlign w:val="subscript"/>
              </w:rPr>
              <w:t>5</w:t>
            </w:r>
            <w:r>
              <w:rPr>
                <w:rFonts w:hint="default" w:ascii="Calibri" w:hAnsi="Calibri" w:eastAsia="宋体" w:cs="Calibri"/>
                <w:color w:val="auto"/>
                <w:sz w:val="24"/>
                <w:szCs w:val="24"/>
              </w:rPr>
              <w:t>250mg/L，SS200mg/L，氨氮30mg/L。</w:t>
            </w:r>
            <w:r>
              <w:rPr>
                <w:rFonts w:hint="default" w:ascii="Calibri" w:hAnsi="Calibri" w:cs="Calibri"/>
                <w:color w:val="auto"/>
                <w:sz w:val="24"/>
                <w:szCs w:val="24"/>
                <w:lang w:val="en-US" w:eastAsia="zh-CN"/>
              </w:rPr>
              <w:t>生活污水经一体化设施处理后达到《农村生活污水处理排放标准》</w:t>
            </w:r>
            <w:r>
              <w:rPr>
                <w:rFonts w:hint="eastAsia" w:ascii="Calibri" w:hAnsi="Calibri" w:cs="Calibri"/>
                <w:color w:val="auto"/>
                <w:sz w:val="24"/>
                <w:szCs w:val="24"/>
                <w:lang w:val="en-US" w:eastAsia="zh-CN"/>
              </w:rPr>
              <w:t>（</w:t>
            </w:r>
            <w:r>
              <w:rPr>
                <w:rFonts w:hint="default" w:ascii="Calibri" w:hAnsi="Calibri" w:cs="Calibri"/>
                <w:color w:val="auto"/>
                <w:sz w:val="24"/>
                <w:szCs w:val="24"/>
                <w:lang w:val="en-US" w:eastAsia="zh-CN"/>
              </w:rPr>
              <w:t>DB654275-2019)C类标准限值要求后</w:t>
            </w:r>
            <w:r>
              <w:rPr>
                <w:rFonts w:hint="default" w:ascii="Calibri" w:hAnsi="Calibri" w:eastAsia="宋体" w:cs="Calibri"/>
                <w:color w:val="auto"/>
                <w:sz w:val="24"/>
                <w:highlight w:val="none"/>
                <w:lang w:val="en-US" w:eastAsia="zh-CN"/>
              </w:rPr>
              <w:t>用于绿化、生态恢复。</w:t>
            </w:r>
          </w:p>
          <w:p w14:paraId="037C2182">
            <w:pPr>
              <w:pStyle w:val="49"/>
              <w:keepNext w:val="0"/>
              <w:keepLines w:val="0"/>
              <w:pageBreakBefore w:val="0"/>
              <w:widowControl w:val="0"/>
              <w:kinsoku/>
              <w:wordWrap/>
              <w:overflowPunct/>
              <w:topLinePunct w:val="0"/>
              <w:autoSpaceDE/>
              <w:autoSpaceDN/>
              <w:bidi w:val="0"/>
              <w:adjustRightInd/>
              <w:snapToGrid/>
              <w:spacing w:before="0" w:beforeLines="0" w:line="480" w:lineRule="exact"/>
              <w:jc w:val="center"/>
              <w:textAlignment w:val="auto"/>
              <w:rPr>
                <w:rFonts w:hint="default" w:ascii="Calibri" w:hAnsi="Calibri" w:eastAsia="宋体" w:cs="Calibri"/>
                <w:b/>
                <w:bCs w:val="0"/>
                <w:color w:val="auto"/>
                <w:sz w:val="24"/>
                <w:szCs w:val="24"/>
              </w:rPr>
            </w:pPr>
            <w:r>
              <w:rPr>
                <w:rFonts w:hint="default" w:ascii="Calibri" w:hAnsi="Calibri" w:eastAsia="宋体" w:cs="Calibri"/>
                <w:b/>
                <w:bCs w:val="0"/>
                <w:color w:val="auto"/>
                <w:sz w:val="24"/>
                <w:szCs w:val="24"/>
              </w:rPr>
              <w:t>表4-</w:t>
            </w:r>
            <w:r>
              <w:rPr>
                <w:rFonts w:hint="default" w:ascii="Calibri" w:hAnsi="Calibri" w:cs="Calibri"/>
                <w:b/>
                <w:bCs w:val="0"/>
                <w:color w:val="auto"/>
                <w:sz w:val="24"/>
                <w:szCs w:val="24"/>
                <w:lang w:val="en-US" w:eastAsia="zh-CN"/>
              </w:rPr>
              <w:t>2</w:t>
            </w:r>
            <w:r>
              <w:rPr>
                <w:rFonts w:hint="default" w:ascii="Calibri" w:hAnsi="Calibri" w:eastAsia="宋体" w:cs="Calibri"/>
                <w:b/>
                <w:bCs w:val="0"/>
                <w:color w:val="auto"/>
                <w:sz w:val="24"/>
                <w:szCs w:val="24"/>
              </w:rPr>
              <w:t xml:space="preserve"> </w:t>
            </w:r>
            <w:r>
              <w:rPr>
                <w:rFonts w:hint="default" w:ascii="Calibri" w:hAnsi="Calibri" w:eastAsia="宋体" w:cs="Calibri"/>
                <w:b/>
                <w:bCs w:val="0"/>
                <w:color w:val="auto"/>
                <w:sz w:val="24"/>
                <w:szCs w:val="24"/>
                <w:lang w:val="en-US" w:eastAsia="zh-CN"/>
              </w:rPr>
              <w:t xml:space="preserve">  </w:t>
            </w:r>
            <w:r>
              <w:rPr>
                <w:rFonts w:hint="default" w:ascii="Calibri" w:hAnsi="Calibri" w:eastAsia="宋体" w:cs="Calibri"/>
                <w:b/>
                <w:bCs w:val="0"/>
                <w:color w:val="auto"/>
                <w:sz w:val="24"/>
                <w:szCs w:val="24"/>
              </w:rPr>
              <w:t xml:space="preserve"> 废水主要污染物产生量</w:t>
            </w:r>
          </w:p>
          <w:tbl>
            <w:tblPr>
              <w:tblStyle w:val="22"/>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36"/>
              <w:gridCol w:w="812"/>
              <w:gridCol w:w="537"/>
              <w:gridCol w:w="868"/>
              <w:gridCol w:w="1158"/>
              <w:gridCol w:w="651"/>
              <w:gridCol w:w="1181"/>
              <w:gridCol w:w="1275"/>
              <w:gridCol w:w="1111"/>
            </w:tblGrid>
            <w:tr w14:paraId="690C65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29" w:type="pct"/>
                  <w:vMerge w:val="restart"/>
                  <w:noWrap w:val="0"/>
                  <w:vAlign w:val="center"/>
                </w:tcPr>
                <w:p w14:paraId="417AF939">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lang w:val="en-US" w:eastAsia="zh-CN"/>
                    </w:rPr>
                  </w:pPr>
                  <w:r>
                    <w:rPr>
                      <w:rFonts w:hint="default" w:ascii="Calibri" w:hAnsi="Calibri" w:eastAsia="宋体" w:cs="Calibri"/>
                      <w:b w:val="0"/>
                      <w:bCs w:val="0"/>
                      <w:color w:val="auto"/>
                      <w:sz w:val="21"/>
                      <w:szCs w:val="21"/>
                      <w:lang w:val="en-US" w:eastAsia="zh-CN"/>
                    </w:rPr>
                    <w:t>类别</w:t>
                  </w:r>
                </w:p>
              </w:tc>
              <w:tc>
                <w:tcPr>
                  <w:tcW w:w="499" w:type="pct"/>
                  <w:vMerge w:val="restart"/>
                  <w:noWrap w:val="0"/>
                  <w:vAlign w:val="center"/>
                </w:tcPr>
                <w:p w14:paraId="7BFC6848">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r>
                    <w:rPr>
                      <w:rFonts w:hint="default" w:ascii="Calibri" w:hAnsi="Calibri" w:eastAsia="宋体" w:cs="Calibri"/>
                      <w:b w:val="0"/>
                      <w:bCs w:val="0"/>
                      <w:color w:val="auto"/>
                      <w:sz w:val="21"/>
                      <w:szCs w:val="21"/>
                    </w:rPr>
                    <w:t>污染物</w:t>
                  </w:r>
                </w:p>
              </w:tc>
              <w:tc>
                <w:tcPr>
                  <w:tcW w:w="1576" w:type="pct"/>
                  <w:gridSpan w:val="3"/>
                  <w:noWrap w:val="0"/>
                  <w:vAlign w:val="center"/>
                </w:tcPr>
                <w:p w14:paraId="57557C7C">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r>
                    <w:rPr>
                      <w:rFonts w:hint="default" w:ascii="Calibri" w:hAnsi="Calibri" w:eastAsia="宋体" w:cs="Calibri"/>
                      <w:b w:val="0"/>
                      <w:bCs w:val="0"/>
                      <w:color w:val="auto"/>
                      <w:sz w:val="21"/>
                      <w:szCs w:val="21"/>
                    </w:rPr>
                    <w:t>污染物产生情况</w:t>
                  </w:r>
                </w:p>
              </w:tc>
              <w:tc>
                <w:tcPr>
                  <w:tcW w:w="400" w:type="pct"/>
                  <w:tcBorders>
                    <w:right w:val="single" w:color="auto" w:sz="4" w:space="0"/>
                  </w:tcBorders>
                  <w:noWrap w:val="0"/>
                  <w:vAlign w:val="center"/>
                </w:tcPr>
                <w:p w14:paraId="22BA890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Calibri" w:hAnsi="Calibri" w:eastAsia="宋体" w:cs="Calibri"/>
                      <w:b w:val="0"/>
                      <w:bCs w:val="0"/>
                      <w:color w:val="auto"/>
                      <w:sz w:val="21"/>
                      <w:szCs w:val="21"/>
                    </w:rPr>
                  </w:pPr>
                  <w:r>
                    <w:rPr>
                      <w:rFonts w:hint="default" w:ascii="Calibri" w:hAnsi="Calibri" w:eastAsia="宋体" w:cs="Calibri"/>
                      <w:b w:val="0"/>
                      <w:bCs w:val="0"/>
                      <w:color w:val="auto"/>
                      <w:kern w:val="0"/>
                      <w:sz w:val="21"/>
                      <w:szCs w:val="21"/>
                    </w:rPr>
                    <w:t>治理措施</w:t>
                  </w:r>
                </w:p>
              </w:tc>
              <w:tc>
                <w:tcPr>
                  <w:tcW w:w="1510" w:type="pct"/>
                  <w:gridSpan w:val="2"/>
                  <w:noWrap w:val="0"/>
                  <w:vAlign w:val="center"/>
                </w:tcPr>
                <w:p w14:paraId="6A92DF18">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r>
                    <w:rPr>
                      <w:rFonts w:hint="default" w:ascii="Calibri" w:hAnsi="Calibri" w:eastAsia="宋体" w:cs="Calibri"/>
                      <w:b w:val="0"/>
                      <w:bCs w:val="0"/>
                      <w:color w:val="auto"/>
                      <w:sz w:val="21"/>
                      <w:szCs w:val="21"/>
                    </w:rPr>
                    <w:t>排放</w:t>
                  </w:r>
                </w:p>
              </w:tc>
              <w:tc>
                <w:tcPr>
                  <w:tcW w:w="683" w:type="pct"/>
                  <w:vMerge w:val="restart"/>
                  <w:noWrap w:val="0"/>
                  <w:vAlign w:val="center"/>
                </w:tcPr>
                <w:p w14:paraId="3400FFD1">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lang w:eastAsia="zh-CN"/>
                    </w:rPr>
                  </w:pPr>
                  <w:r>
                    <w:rPr>
                      <w:rFonts w:hint="default" w:ascii="Calibri" w:hAnsi="Calibri" w:eastAsia="宋体" w:cs="Calibri"/>
                      <w:b w:val="0"/>
                      <w:bCs w:val="0"/>
                      <w:color w:val="auto"/>
                      <w:sz w:val="21"/>
                      <w:szCs w:val="21"/>
                      <w:lang w:eastAsia="zh-CN"/>
                    </w:rPr>
                    <w:t>最终去向</w:t>
                  </w:r>
                </w:p>
              </w:tc>
            </w:tr>
            <w:tr w14:paraId="35E6B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29" w:type="pct"/>
                  <w:vMerge w:val="continue"/>
                  <w:noWrap w:val="0"/>
                  <w:vAlign w:val="center"/>
                </w:tcPr>
                <w:p w14:paraId="58EA37DD">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p>
              </w:tc>
              <w:tc>
                <w:tcPr>
                  <w:tcW w:w="499" w:type="pct"/>
                  <w:vMerge w:val="continue"/>
                  <w:noWrap w:val="0"/>
                  <w:vAlign w:val="center"/>
                </w:tcPr>
                <w:p w14:paraId="77282234">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p>
              </w:tc>
              <w:tc>
                <w:tcPr>
                  <w:tcW w:w="330" w:type="pct"/>
                  <w:vMerge w:val="restart"/>
                  <w:noWrap w:val="0"/>
                  <w:vAlign w:val="center"/>
                </w:tcPr>
                <w:p w14:paraId="0AFAA23A">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r>
                    <w:rPr>
                      <w:rFonts w:hint="default" w:ascii="Calibri" w:hAnsi="Calibri" w:eastAsia="宋体" w:cs="Calibri"/>
                      <w:b w:val="0"/>
                      <w:bCs w:val="0"/>
                      <w:color w:val="auto"/>
                      <w:kern w:val="0"/>
                      <w:sz w:val="21"/>
                      <w:szCs w:val="21"/>
                    </w:rPr>
                    <w:t>核算方法</w:t>
                  </w:r>
                </w:p>
              </w:tc>
              <w:tc>
                <w:tcPr>
                  <w:tcW w:w="1246" w:type="pct"/>
                  <w:gridSpan w:val="2"/>
                  <w:noWrap w:val="0"/>
                  <w:vAlign w:val="center"/>
                </w:tcPr>
                <w:p w14:paraId="673F7DB3">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r>
                    <w:rPr>
                      <w:rFonts w:hint="eastAsia" w:ascii="Calibri" w:hAnsi="Calibri" w:cs="Calibri"/>
                      <w:b w:val="0"/>
                      <w:bCs w:val="0"/>
                      <w:color w:val="auto"/>
                      <w:sz w:val="21"/>
                      <w:szCs w:val="21"/>
                      <w:lang w:val="en-US" w:eastAsia="zh-CN"/>
                    </w:rPr>
                    <w:t>387</w:t>
                  </w:r>
                  <w:r>
                    <w:rPr>
                      <w:rFonts w:hint="default" w:ascii="Calibri" w:hAnsi="Calibri" w:eastAsia="宋体" w:cs="Calibri"/>
                      <w:b w:val="0"/>
                      <w:bCs w:val="0"/>
                      <w:color w:val="auto"/>
                      <w:sz w:val="21"/>
                      <w:szCs w:val="21"/>
                    </w:rPr>
                    <w:t>m</w:t>
                  </w:r>
                  <w:r>
                    <w:rPr>
                      <w:rFonts w:hint="default" w:ascii="Calibri" w:hAnsi="Calibri" w:eastAsia="宋体" w:cs="Calibri"/>
                      <w:b w:val="0"/>
                      <w:bCs w:val="0"/>
                      <w:color w:val="auto"/>
                      <w:sz w:val="21"/>
                      <w:szCs w:val="21"/>
                      <w:vertAlign w:val="superscript"/>
                    </w:rPr>
                    <w:t>3</w:t>
                  </w:r>
                  <w:r>
                    <w:rPr>
                      <w:rFonts w:hint="default" w:ascii="Calibri" w:hAnsi="Calibri" w:eastAsia="宋体" w:cs="Calibri"/>
                      <w:b w:val="0"/>
                      <w:bCs w:val="0"/>
                      <w:color w:val="auto"/>
                      <w:sz w:val="21"/>
                      <w:szCs w:val="21"/>
                    </w:rPr>
                    <w:t>/a</w:t>
                  </w:r>
                </w:p>
              </w:tc>
              <w:tc>
                <w:tcPr>
                  <w:tcW w:w="400" w:type="pct"/>
                  <w:vMerge w:val="restart"/>
                  <w:tcBorders>
                    <w:right w:val="single" w:color="auto" w:sz="4" w:space="0"/>
                  </w:tcBorders>
                  <w:noWrap w:val="0"/>
                  <w:vAlign w:val="center"/>
                </w:tcPr>
                <w:p w14:paraId="10C14B48">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Calibri" w:hAnsi="Calibri" w:eastAsia="宋体" w:cs="Calibri"/>
                      <w:b w:val="0"/>
                      <w:bCs w:val="0"/>
                      <w:color w:val="auto"/>
                      <w:sz w:val="21"/>
                      <w:szCs w:val="21"/>
                    </w:rPr>
                  </w:pPr>
                  <w:r>
                    <w:rPr>
                      <w:rFonts w:hint="default" w:ascii="Calibri" w:hAnsi="Calibri" w:eastAsia="宋体" w:cs="Calibri"/>
                      <w:b w:val="0"/>
                      <w:bCs w:val="0"/>
                      <w:color w:val="auto"/>
                      <w:kern w:val="0"/>
                      <w:sz w:val="21"/>
                      <w:szCs w:val="21"/>
                    </w:rPr>
                    <w:t>工艺</w:t>
                  </w:r>
                </w:p>
              </w:tc>
              <w:tc>
                <w:tcPr>
                  <w:tcW w:w="1510" w:type="pct"/>
                  <w:gridSpan w:val="2"/>
                  <w:noWrap w:val="0"/>
                  <w:vAlign w:val="center"/>
                </w:tcPr>
                <w:p w14:paraId="220C588C">
                  <w:pPr>
                    <w:pStyle w:val="50"/>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rPr>
                      <w:rFonts w:hint="default" w:ascii="Calibri" w:hAnsi="Calibri" w:eastAsia="宋体" w:cs="Calibri"/>
                      <w:b w:val="0"/>
                      <w:bCs w:val="0"/>
                      <w:color w:val="auto"/>
                      <w:sz w:val="21"/>
                      <w:szCs w:val="21"/>
                      <w:lang w:val="en-US" w:eastAsia="zh-CN"/>
                    </w:rPr>
                  </w:pPr>
                  <w:r>
                    <w:rPr>
                      <w:rFonts w:hint="eastAsia" w:ascii="Calibri" w:hAnsi="Calibri" w:eastAsia="宋体" w:cs="Calibri"/>
                      <w:b w:val="0"/>
                      <w:bCs w:val="0"/>
                      <w:color w:val="auto"/>
                      <w:sz w:val="21"/>
                      <w:szCs w:val="21"/>
                      <w:lang w:val="en-US" w:eastAsia="zh-CN"/>
                    </w:rPr>
                    <w:t>309.6m</w:t>
                  </w:r>
                  <w:r>
                    <w:rPr>
                      <w:rFonts w:hint="eastAsia" w:ascii="Calibri" w:hAnsi="Calibri" w:eastAsia="宋体" w:cs="Calibri"/>
                      <w:b w:val="0"/>
                      <w:bCs w:val="0"/>
                      <w:color w:val="auto"/>
                      <w:sz w:val="21"/>
                      <w:szCs w:val="21"/>
                      <w:vertAlign w:val="superscript"/>
                      <w:lang w:val="en-US" w:eastAsia="zh-CN"/>
                    </w:rPr>
                    <w:t>3</w:t>
                  </w:r>
                  <w:r>
                    <w:rPr>
                      <w:rFonts w:hint="eastAsia" w:ascii="Calibri" w:hAnsi="Calibri" w:eastAsia="宋体" w:cs="Calibri"/>
                      <w:b w:val="0"/>
                      <w:bCs w:val="0"/>
                      <w:color w:val="auto"/>
                      <w:sz w:val="21"/>
                      <w:szCs w:val="21"/>
                      <w:lang w:val="en-US" w:eastAsia="zh-CN"/>
                    </w:rPr>
                    <w:t>/a</w:t>
                  </w:r>
                </w:p>
              </w:tc>
              <w:tc>
                <w:tcPr>
                  <w:tcW w:w="683" w:type="pct"/>
                  <w:vMerge w:val="continue"/>
                  <w:noWrap w:val="0"/>
                  <w:vAlign w:val="center"/>
                </w:tcPr>
                <w:p w14:paraId="5D980532">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p>
              </w:tc>
            </w:tr>
            <w:tr w14:paraId="5B1E97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29" w:type="pct"/>
                  <w:vMerge w:val="continue"/>
                  <w:noWrap w:val="0"/>
                  <w:vAlign w:val="center"/>
                </w:tcPr>
                <w:p w14:paraId="4BADEBD9">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p>
              </w:tc>
              <w:tc>
                <w:tcPr>
                  <w:tcW w:w="499" w:type="pct"/>
                  <w:vMerge w:val="continue"/>
                  <w:noWrap w:val="0"/>
                  <w:vAlign w:val="center"/>
                </w:tcPr>
                <w:p w14:paraId="1CE67B58">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p>
              </w:tc>
              <w:tc>
                <w:tcPr>
                  <w:tcW w:w="330" w:type="pct"/>
                  <w:vMerge w:val="continue"/>
                  <w:noWrap w:val="0"/>
                  <w:vAlign w:val="center"/>
                </w:tcPr>
                <w:p w14:paraId="591BDE79">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p>
              </w:tc>
              <w:tc>
                <w:tcPr>
                  <w:tcW w:w="533" w:type="pct"/>
                  <w:noWrap w:val="0"/>
                  <w:vAlign w:val="center"/>
                </w:tcPr>
                <w:p w14:paraId="70CE99DC">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r>
                    <w:rPr>
                      <w:rFonts w:hint="default" w:ascii="Calibri" w:hAnsi="Calibri" w:eastAsia="宋体" w:cs="Calibri"/>
                      <w:b w:val="0"/>
                      <w:bCs w:val="0"/>
                      <w:color w:val="auto"/>
                      <w:sz w:val="21"/>
                      <w:szCs w:val="21"/>
                    </w:rPr>
                    <w:t>产生浓度mg/L</w:t>
                  </w:r>
                </w:p>
              </w:tc>
              <w:tc>
                <w:tcPr>
                  <w:tcW w:w="712" w:type="pct"/>
                  <w:noWrap w:val="0"/>
                  <w:vAlign w:val="center"/>
                </w:tcPr>
                <w:p w14:paraId="20B03790">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r>
                    <w:rPr>
                      <w:rFonts w:hint="default" w:ascii="Calibri" w:hAnsi="Calibri" w:eastAsia="宋体" w:cs="Calibri"/>
                      <w:b w:val="0"/>
                      <w:bCs w:val="0"/>
                      <w:color w:val="auto"/>
                      <w:kern w:val="0"/>
                      <w:sz w:val="21"/>
                      <w:szCs w:val="21"/>
                    </w:rPr>
                    <w:t>产生量t/a</w:t>
                  </w:r>
                </w:p>
              </w:tc>
              <w:tc>
                <w:tcPr>
                  <w:tcW w:w="400" w:type="pct"/>
                  <w:vMerge w:val="continue"/>
                  <w:noWrap w:val="0"/>
                  <w:vAlign w:val="center"/>
                </w:tcPr>
                <w:p w14:paraId="08AAE830">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p>
              </w:tc>
              <w:tc>
                <w:tcPr>
                  <w:tcW w:w="726" w:type="pct"/>
                  <w:noWrap w:val="0"/>
                  <w:vAlign w:val="center"/>
                </w:tcPr>
                <w:p w14:paraId="0526E2ED">
                  <w:pPr>
                    <w:pStyle w:val="50"/>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rPr>
                      <w:rFonts w:hint="default" w:ascii="Calibri" w:hAnsi="Calibri" w:eastAsia="宋体" w:cs="Calibri"/>
                      <w:b w:val="0"/>
                      <w:bCs w:val="0"/>
                      <w:color w:val="auto"/>
                      <w:sz w:val="21"/>
                      <w:szCs w:val="21"/>
                    </w:rPr>
                  </w:pPr>
                  <w:r>
                    <w:rPr>
                      <w:rFonts w:hint="default" w:ascii="Calibri" w:hAnsi="Calibri" w:eastAsia="宋体" w:cs="Calibri"/>
                      <w:b w:val="0"/>
                      <w:bCs w:val="0"/>
                      <w:color w:val="auto"/>
                      <w:sz w:val="21"/>
                      <w:szCs w:val="21"/>
                    </w:rPr>
                    <w:t>浓度（mg/L）</w:t>
                  </w:r>
                </w:p>
              </w:tc>
              <w:tc>
                <w:tcPr>
                  <w:tcW w:w="784" w:type="pct"/>
                  <w:noWrap w:val="0"/>
                  <w:vAlign w:val="center"/>
                </w:tcPr>
                <w:p w14:paraId="2C6D01EE">
                  <w:pPr>
                    <w:pStyle w:val="50"/>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rPr>
                      <w:rFonts w:hint="default" w:ascii="Calibri" w:hAnsi="Calibri" w:eastAsia="宋体" w:cs="Calibri"/>
                      <w:b w:val="0"/>
                      <w:bCs w:val="0"/>
                      <w:color w:val="auto"/>
                      <w:sz w:val="21"/>
                      <w:szCs w:val="21"/>
                    </w:rPr>
                  </w:pPr>
                  <w:r>
                    <w:rPr>
                      <w:rFonts w:hint="default" w:ascii="Calibri" w:hAnsi="Calibri" w:eastAsia="宋体" w:cs="Calibri"/>
                      <w:b w:val="0"/>
                      <w:bCs w:val="0"/>
                      <w:color w:val="auto"/>
                      <w:sz w:val="21"/>
                      <w:szCs w:val="21"/>
                      <w:lang w:val="en-US" w:eastAsia="zh-CN"/>
                    </w:rPr>
                    <w:t>排放</w:t>
                  </w:r>
                  <w:r>
                    <w:rPr>
                      <w:rFonts w:hint="default" w:ascii="Calibri" w:hAnsi="Calibri" w:eastAsia="宋体" w:cs="Calibri"/>
                      <w:b w:val="0"/>
                      <w:bCs w:val="0"/>
                      <w:color w:val="auto"/>
                      <w:sz w:val="21"/>
                      <w:szCs w:val="21"/>
                    </w:rPr>
                    <w:t>量（t/a）</w:t>
                  </w:r>
                </w:p>
              </w:tc>
              <w:tc>
                <w:tcPr>
                  <w:tcW w:w="683" w:type="pct"/>
                  <w:vMerge w:val="continue"/>
                  <w:noWrap w:val="0"/>
                  <w:vAlign w:val="center"/>
                </w:tcPr>
                <w:p w14:paraId="2F7DF963">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p>
              </w:tc>
            </w:tr>
            <w:tr w14:paraId="2B8A7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29" w:type="pct"/>
                  <w:vMerge w:val="restart"/>
                  <w:noWrap w:val="0"/>
                  <w:vAlign w:val="center"/>
                </w:tcPr>
                <w:p w14:paraId="136586E9">
                  <w:pPr>
                    <w:pStyle w:val="50"/>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rPr>
                      <w:rFonts w:hint="default" w:ascii="Calibri" w:hAnsi="Calibri" w:eastAsia="宋体" w:cs="Calibri"/>
                      <w:b w:val="0"/>
                      <w:bCs w:val="0"/>
                      <w:color w:val="auto"/>
                      <w:sz w:val="21"/>
                      <w:szCs w:val="21"/>
                    </w:rPr>
                  </w:pPr>
                  <w:r>
                    <w:rPr>
                      <w:rFonts w:hint="default" w:ascii="Calibri" w:hAnsi="Calibri" w:eastAsia="宋体" w:cs="Calibri"/>
                      <w:b w:val="0"/>
                      <w:bCs w:val="0"/>
                      <w:color w:val="auto"/>
                      <w:sz w:val="21"/>
                      <w:szCs w:val="21"/>
                    </w:rPr>
                    <w:t>生活污水</w:t>
                  </w:r>
                </w:p>
              </w:tc>
              <w:tc>
                <w:tcPr>
                  <w:tcW w:w="499" w:type="pct"/>
                  <w:noWrap w:val="0"/>
                  <w:vAlign w:val="center"/>
                </w:tcPr>
                <w:p w14:paraId="6ADC9836">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lang w:val="en-US" w:eastAsia="zh-CN"/>
                    </w:rPr>
                  </w:pPr>
                  <w:r>
                    <w:rPr>
                      <w:rFonts w:hint="default" w:ascii="Calibri" w:hAnsi="Calibri" w:eastAsia="宋体" w:cs="Calibri"/>
                      <w:b w:val="0"/>
                      <w:bCs w:val="0"/>
                      <w:color w:val="auto"/>
                      <w:sz w:val="21"/>
                      <w:szCs w:val="21"/>
                    </w:rPr>
                    <w:t>COD</w:t>
                  </w:r>
                  <w:r>
                    <w:rPr>
                      <w:rFonts w:hint="default" w:ascii="Calibri" w:hAnsi="Calibri" w:eastAsia="宋体" w:cs="Calibri"/>
                      <w:b w:val="0"/>
                      <w:bCs w:val="0"/>
                      <w:color w:val="auto"/>
                      <w:sz w:val="21"/>
                      <w:szCs w:val="21"/>
                      <w:lang w:val="en-US" w:eastAsia="zh-CN"/>
                    </w:rPr>
                    <w:t>cr</w:t>
                  </w:r>
                </w:p>
              </w:tc>
              <w:tc>
                <w:tcPr>
                  <w:tcW w:w="330" w:type="pct"/>
                  <w:vMerge w:val="restart"/>
                  <w:noWrap w:val="0"/>
                  <w:vAlign w:val="center"/>
                </w:tcPr>
                <w:p w14:paraId="29355285">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r>
                    <w:rPr>
                      <w:rFonts w:hint="default" w:ascii="Calibri" w:hAnsi="Calibri" w:eastAsia="宋体" w:cs="Calibri"/>
                      <w:b w:val="0"/>
                      <w:bCs w:val="0"/>
                      <w:color w:val="auto"/>
                      <w:sz w:val="21"/>
                      <w:szCs w:val="21"/>
                      <w:lang w:val="en-US" w:eastAsia="zh-CN"/>
                    </w:rPr>
                    <w:t>类比法</w:t>
                  </w:r>
                </w:p>
              </w:tc>
              <w:tc>
                <w:tcPr>
                  <w:tcW w:w="533" w:type="pct"/>
                  <w:noWrap w:val="0"/>
                  <w:vAlign w:val="center"/>
                </w:tcPr>
                <w:p w14:paraId="5FECE54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Calibri" w:hAnsi="Calibri" w:eastAsia="宋体" w:cs="Calibri"/>
                      <w:b w:val="0"/>
                      <w:bCs w:val="0"/>
                      <w:color w:val="auto"/>
                      <w:sz w:val="21"/>
                      <w:szCs w:val="21"/>
                      <w:lang w:val="en-US" w:eastAsia="zh-CN"/>
                    </w:rPr>
                  </w:pPr>
                  <w:r>
                    <w:rPr>
                      <w:rFonts w:hint="eastAsia" w:ascii="Calibri" w:hAnsi="Calibri" w:cs="Calibri"/>
                      <w:b w:val="0"/>
                      <w:bCs w:val="0"/>
                      <w:color w:val="auto"/>
                      <w:sz w:val="21"/>
                      <w:szCs w:val="21"/>
                      <w:lang w:val="en-US" w:eastAsia="zh-CN"/>
                    </w:rPr>
                    <w:t>300</w:t>
                  </w:r>
                </w:p>
              </w:tc>
              <w:tc>
                <w:tcPr>
                  <w:tcW w:w="712" w:type="pct"/>
                  <w:noWrap w:val="0"/>
                  <w:vAlign w:val="center"/>
                </w:tcPr>
                <w:p w14:paraId="3B02C8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Calibri" w:hAnsi="Calibri" w:eastAsia="宋体" w:cs="Calibri"/>
                      <w:b w:val="0"/>
                      <w:bCs w:val="0"/>
                      <w:color w:val="auto"/>
                      <w:kern w:val="0"/>
                      <w:sz w:val="21"/>
                      <w:szCs w:val="21"/>
                      <w:lang w:val="en-US" w:eastAsia="zh-CN"/>
                    </w:rPr>
                  </w:pPr>
                  <w:r>
                    <w:rPr>
                      <w:rFonts w:hint="eastAsia" w:ascii="Calibri" w:hAnsi="Calibri" w:cs="Calibri"/>
                      <w:b w:val="0"/>
                      <w:bCs w:val="0"/>
                      <w:color w:val="auto"/>
                      <w:kern w:val="0"/>
                      <w:sz w:val="21"/>
                      <w:szCs w:val="21"/>
                      <w:lang w:val="en-US" w:eastAsia="zh-CN"/>
                    </w:rPr>
                    <w:t>0.116</w:t>
                  </w:r>
                </w:p>
              </w:tc>
              <w:tc>
                <w:tcPr>
                  <w:tcW w:w="400" w:type="pct"/>
                  <w:vMerge w:val="restart"/>
                  <w:noWrap w:val="0"/>
                  <w:vAlign w:val="center"/>
                </w:tcPr>
                <w:p w14:paraId="7A8AA42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Calibri" w:hAnsi="Calibri" w:eastAsia="宋体" w:cs="Calibri"/>
                      <w:b w:val="0"/>
                      <w:bCs w:val="0"/>
                      <w:color w:val="auto"/>
                      <w:sz w:val="21"/>
                      <w:szCs w:val="21"/>
                      <w:lang w:val="en-US" w:eastAsia="zh-CN"/>
                    </w:rPr>
                  </w:pPr>
                  <w:r>
                    <w:rPr>
                      <w:rFonts w:hint="default" w:ascii="Calibri" w:hAnsi="Calibri" w:eastAsia="宋体" w:cs="Calibri"/>
                      <w:color w:val="auto"/>
                      <w:sz w:val="21"/>
                      <w:szCs w:val="21"/>
                      <w:lang w:val="en-US" w:eastAsia="zh-CN"/>
                    </w:rPr>
                    <w:t>AO</w:t>
                  </w:r>
                </w:p>
              </w:tc>
              <w:tc>
                <w:tcPr>
                  <w:tcW w:w="726" w:type="pct"/>
                  <w:noWrap w:val="0"/>
                  <w:vAlign w:val="center"/>
                </w:tcPr>
                <w:p w14:paraId="1F7B8E06">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Calibri" w:hAnsi="Calibri" w:eastAsia="宋体" w:cs="Calibri"/>
                      <w:b w:val="0"/>
                      <w:bCs w:val="0"/>
                      <w:color w:val="auto"/>
                      <w:sz w:val="21"/>
                      <w:szCs w:val="21"/>
                      <w:lang w:val="en-US" w:eastAsia="zh-CN"/>
                    </w:rPr>
                  </w:pPr>
                  <w:r>
                    <w:rPr>
                      <w:rFonts w:hint="default" w:ascii="Calibri" w:hAnsi="Calibri" w:cs="Calibri"/>
                      <w:b w:val="0"/>
                      <w:bCs w:val="0"/>
                      <w:color w:val="auto"/>
                      <w:sz w:val="21"/>
                      <w:szCs w:val="21"/>
                      <w:lang w:val="en-US" w:eastAsia="zh-CN"/>
                    </w:rPr>
                    <w:t>100</w:t>
                  </w:r>
                </w:p>
              </w:tc>
              <w:tc>
                <w:tcPr>
                  <w:tcW w:w="784" w:type="pct"/>
                  <w:noWrap w:val="0"/>
                  <w:vAlign w:val="center"/>
                </w:tcPr>
                <w:p w14:paraId="5458E7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Calibri" w:hAnsi="Calibri" w:eastAsia="宋体" w:cs="Calibri"/>
                      <w:b w:val="0"/>
                      <w:bCs w:val="0"/>
                      <w:color w:val="auto"/>
                      <w:kern w:val="0"/>
                      <w:sz w:val="21"/>
                      <w:szCs w:val="21"/>
                      <w:u w:val="none"/>
                      <w:lang w:val="en-US" w:eastAsia="zh-CN" w:bidi="ar"/>
                    </w:rPr>
                  </w:pPr>
                  <w:r>
                    <w:rPr>
                      <w:rFonts w:hint="eastAsia" w:ascii="Calibri" w:hAnsi="Calibri" w:cs="Calibri"/>
                      <w:b w:val="0"/>
                      <w:bCs w:val="0"/>
                      <w:color w:val="auto"/>
                      <w:kern w:val="0"/>
                      <w:sz w:val="21"/>
                      <w:szCs w:val="21"/>
                      <w:u w:val="none"/>
                      <w:lang w:val="en-US" w:eastAsia="zh-CN" w:bidi="ar"/>
                    </w:rPr>
                    <w:t>0.031</w:t>
                  </w:r>
                </w:p>
              </w:tc>
              <w:tc>
                <w:tcPr>
                  <w:tcW w:w="683" w:type="pct"/>
                  <w:vMerge w:val="restart"/>
                  <w:noWrap w:val="0"/>
                  <w:vAlign w:val="center"/>
                </w:tcPr>
                <w:p w14:paraId="1D35D2F2">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r>
                    <w:rPr>
                      <w:rFonts w:hint="default" w:ascii="Calibri" w:hAnsi="Calibri" w:eastAsia="宋体" w:cs="Calibri"/>
                      <w:b w:val="0"/>
                      <w:bCs w:val="0"/>
                      <w:color w:val="auto"/>
                      <w:sz w:val="21"/>
                      <w:szCs w:val="21"/>
                      <w:lang w:val="en-US" w:eastAsia="zh-CN"/>
                    </w:rPr>
                    <w:t>洒水绿化、生态恢复</w:t>
                  </w:r>
                </w:p>
              </w:tc>
            </w:tr>
            <w:tr w14:paraId="5C9D10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29" w:type="pct"/>
                  <w:vMerge w:val="continue"/>
                  <w:noWrap w:val="0"/>
                  <w:vAlign w:val="center"/>
                </w:tcPr>
                <w:p w14:paraId="67FDFC3B">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p>
              </w:tc>
              <w:tc>
                <w:tcPr>
                  <w:tcW w:w="499" w:type="pct"/>
                  <w:noWrap w:val="0"/>
                  <w:vAlign w:val="center"/>
                </w:tcPr>
                <w:p w14:paraId="02EA3692">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r>
                    <w:rPr>
                      <w:rFonts w:hint="default" w:ascii="Calibri" w:hAnsi="Calibri" w:eastAsia="宋体" w:cs="Calibri"/>
                      <w:b w:val="0"/>
                      <w:bCs w:val="0"/>
                      <w:color w:val="auto"/>
                      <w:sz w:val="21"/>
                      <w:szCs w:val="21"/>
                    </w:rPr>
                    <w:t>SS</w:t>
                  </w:r>
                </w:p>
              </w:tc>
              <w:tc>
                <w:tcPr>
                  <w:tcW w:w="330" w:type="pct"/>
                  <w:vMerge w:val="continue"/>
                  <w:noWrap w:val="0"/>
                  <w:vAlign w:val="center"/>
                </w:tcPr>
                <w:p w14:paraId="1CC71C94">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p>
              </w:tc>
              <w:tc>
                <w:tcPr>
                  <w:tcW w:w="533" w:type="pct"/>
                  <w:noWrap w:val="0"/>
                  <w:vAlign w:val="center"/>
                </w:tcPr>
                <w:p w14:paraId="2399F63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Calibri" w:hAnsi="Calibri" w:eastAsia="宋体" w:cs="Calibri"/>
                      <w:b w:val="0"/>
                      <w:bCs w:val="0"/>
                      <w:color w:val="auto"/>
                      <w:sz w:val="21"/>
                      <w:szCs w:val="21"/>
                      <w:lang w:val="en-US" w:eastAsia="zh-CN"/>
                    </w:rPr>
                  </w:pPr>
                  <w:r>
                    <w:rPr>
                      <w:rFonts w:hint="default" w:ascii="Calibri" w:hAnsi="Calibri" w:eastAsia="宋体" w:cs="Calibri"/>
                      <w:b w:val="0"/>
                      <w:bCs w:val="0"/>
                      <w:color w:val="auto"/>
                      <w:sz w:val="21"/>
                      <w:szCs w:val="21"/>
                      <w:lang w:val="en-US" w:eastAsia="zh-CN"/>
                    </w:rPr>
                    <w:t>200</w:t>
                  </w:r>
                </w:p>
              </w:tc>
              <w:tc>
                <w:tcPr>
                  <w:tcW w:w="712" w:type="pct"/>
                  <w:noWrap w:val="0"/>
                  <w:vAlign w:val="center"/>
                </w:tcPr>
                <w:p w14:paraId="6A915B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Calibri" w:hAnsi="Calibri" w:eastAsia="宋体" w:cs="Calibri"/>
                      <w:b w:val="0"/>
                      <w:bCs w:val="0"/>
                      <w:color w:val="auto"/>
                      <w:kern w:val="0"/>
                      <w:sz w:val="21"/>
                      <w:szCs w:val="21"/>
                      <w:lang w:val="en-US" w:eastAsia="zh-CN"/>
                    </w:rPr>
                  </w:pPr>
                  <w:r>
                    <w:rPr>
                      <w:rFonts w:hint="eastAsia" w:ascii="Calibri" w:hAnsi="Calibri" w:cs="Calibri"/>
                      <w:b w:val="0"/>
                      <w:bCs w:val="0"/>
                      <w:color w:val="auto"/>
                      <w:kern w:val="0"/>
                      <w:sz w:val="21"/>
                      <w:szCs w:val="21"/>
                      <w:lang w:val="en-US" w:eastAsia="zh-CN"/>
                    </w:rPr>
                    <w:t>0.077</w:t>
                  </w:r>
                </w:p>
              </w:tc>
              <w:tc>
                <w:tcPr>
                  <w:tcW w:w="400" w:type="pct"/>
                  <w:vMerge w:val="continue"/>
                  <w:noWrap w:val="0"/>
                  <w:vAlign w:val="center"/>
                </w:tcPr>
                <w:p w14:paraId="3192626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Calibri" w:hAnsi="Calibri" w:eastAsia="宋体" w:cs="Calibri"/>
                      <w:b w:val="0"/>
                      <w:bCs w:val="0"/>
                      <w:color w:val="auto"/>
                      <w:sz w:val="21"/>
                      <w:szCs w:val="21"/>
                    </w:rPr>
                  </w:pPr>
                </w:p>
              </w:tc>
              <w:tc>
                <w:tcPr>
                  <w:tcW w:w="726" w:type="pct"/>
                  <w:noWrap w:val="0"/>
                  <w:vAlign w:val="center"/>
                </w:tcPr>
                <w:p w14:paraId="7027969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Calibri" w:hAnsi="Calibri" w:eastAsia="宋体" w:cs="Calibri"/>
                      <w:b w:val="0"/>
                      <w:bCs w:val="0"/>
                      <w:color w:val="auto"/>
                      <w:sz w:val="21"/>
                      <w:szCs w:val="21"/>
                      <w:lang w:val="en-US" w:eastAsia="zh-CN"/>
                    </w:rPr>
                  </w:pPr>
                  <w:r>
                    <w:rPr>
                      <w:rFonts w:hint="default" w:ascii="Calibri" w:hAnsi="Calibri" w:cs="Calibri"/>
                      <w:b w:val="0"/>
                      <w:bCs w:val="0"/>
                      <w:color w:val="auto"/>
                      <w:sz w:val="21"/>
                      <w:szCs w:val="21"/>
                      <w:lang w:val="en-US" w:eastAsia="zh-CN"/>
                    </w:rPr>
                    <w:t>30</w:t>
                  </w:r>
                </w:p>
              </w:tc>
              <w:tc>
                <w:tcPr>
                  <w:tcW w:w="784" w:type="pct"/>
                  <w:noWrap w:val="0"/>
                  <w:vAlign w:val="center"/>
                </w:tcPr>
                <w:p w14:paraId="01D5D3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Calibri" w:hAnsi="Calibri" w:eastAsia="宋体" w:cs="Calibri"/>
                      <w:b w:val="0"/>
                      <w:bCs w:val="0"/>
                      <w:color w:val="auto"/>
                      <w:kern w:val="0"/>
                      <w:sz w:val="21"/>
                      <w:szCs w:val="21"/>
                      <w:u w:val="none"/>
                      <w:lang w:val="en-US" w:eastAsia="zh-CN" w:bidi="ar"/>
                    </w:rPr>
                  </w:pPr>
                  <w:r>
                    <w:rPr>
                      <w:rFonts w:hint="eastAsia" w:ascii="Calibri" w:hAnsi="Calibri" w:cs="Calibri"/>
                      <w:b w:val="0"/>
                      <w:bCs w:val="0"/>
                      <w:color w:val="auto"/>
                      <w:kern w:val="0"/>
                      <w:sz w:val="21"/>
                      <w:szCs w:val="21"/>
                      <w:u w:val="none"/>
                      <w:lang w:val="en-US" w:eastAsia="zh-CN" w:bidi="ar"/>
                    </w:rPr>
                    <w:t>0.009</w:t>
                  </w:r>
                </w:p>
              </w:tc>
              <w:tc>
                <w:tcPr>
                  <w:tcW w:w="683" w:type="pct"/>
                  <w:vMerge w:val="continue"/>
                  <w:noWrap w:val="0"/>
                  <w:vAlign w:val="center"/>
                </w:tcPr>
                <w:p w14:paraId="05C44C57">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p>
              </w:tc>
            </w:tr>
            <w:tr w14:paraId="62449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29" w:type="pct"/>
                  <w:vMerge w:val="continue"/>
                  <w:noWrap w:val="0"/>
                  <w:vAlign w:val="center"/>
                </w:tcPr>
                <w:p w14:paraId="32D79697">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p>
              </w:tc>
              <w:tc>
                <w:tcPr>
                  <w:tcW w:w="499" w:type="pct"/>
                  <w:noWrap w:val="0"/>
                  <w:vAlign w:val="center"/>
                </w:tcPr>
                <w:p w14:paraId="0EEA5810">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r>
                    <w:rPr>
                      <w:rFonts w:hint="default" w:ascii="Calibri" w:hAnsi="Calibri" w:eastAsia="宋体" w:cs="Calibri"/>
                      <w:b w:val="0"/>
                      <w:bCs w:val="0"/>
                      <w:color w:val="auto"/>
                      <w:sz w:val="21"/>
                      <w:szCs w:val="21"/>
                    </w:rPr>
                    <w:t>氨氮</w:t>
                  </w:r>
                </w:p>
              </w:tc>
              <w:tc>
                <w:tcPr>
                  <w:tcW w:w="330" w:type="pct"/>
                  <w:vMerge w:val="continue"/>
                  <w:noWrap w:val="0"/>
                  <w:vAlign w:val="center"/>
                </w:tcPr>
                <w:p w14:paraId="18C66B01">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p>
              </w:tc>
              <w:tc>
                <w:tcPr>
                  <w:tcW w:w="533" w:type="pct"/>
                  <w:noWrap w:val="0"/>
                  <w:vAlign w:val="center"/>
                </w:tcPr>
                <w:p w14:paraId="1919794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Calibri" w:hAnsi="Calibri" w:eastAsia="宋体" w:cs="Calibri"/>
                      <w:b w:val="0"/>
                      <w:bCs w:val="0"/>
                      <w:color w:val="auto"/>
                      <w:sz w:val="21"/>
                      <w:szCs w:val="21"/>
                      <w:lang w:val="en-US" w:eastAsia="zh-CN"/>
                    </w:rPr>
                  </w:pPr>
                  <w:r>
                    <w:rPr>
                      <w:rFonts w:hint="default" w:ascii="Calibri" w:hAnsi="Calibri" w:eastAsia="宋体" w:cs="Calibri"/>
                      <w:b w:val="0"/>
                      <w:bCs w:val="0"/>
                      <w:color w:val="auto"/>
                      <w:sz w:val="21"/>
                      <w:szCs w:val="21"/>
                      <w:lang w:val="en-US" w:eastAsia="zh-CN"/>
                    </w:rPr>
                    <w:t>30</w:t>
                  </w:r>
                </w:p>
              </w:tc>
              <w:tc>
                <w:tcPr>
                  <w:tcW w:w="712" w:type="pct"/>
                  <w:noWrap w:val="0"/>
                  <w:vAlign w:val="center"/>
                </w:tcPr>
                <w:p w14:paraId="1494D3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Calibri" w:hAnsi="Calibri" w:eastAsia="宋体" w:cs="Calibri"/>
                      <w:b w:val="0"/>
                      <w:bCs w:val="0"/>
                      <w:color w:val="auto"/>
                      <w:kern w:val="0"/>
                      <w:sz w:val="21"/>
                      <w:szCs w:val="21"/>
                      <w:lang w:val="en-US" w:eastAsia="zh-CN"/>
                    </w:rPr>
                  </w:pPr>
                  <w:r>
                    <w:rPr>
                      <w:rFonts w:hint="eastAsia" w:ascii="Calibri" w:hAnsi="Calibri" w:cs="Calibri"/>
                      <w:b w:val="0"/>
                      <w:bCs w:val="0"/>
                      <w:color w:val="auto"/>
                      <w:kern w:val="0"/>
                      <w:sz w:val="21"/>
                      <w:szCs w:val="21"/>
                      <w:lang w:val="en-US" w:eastAsia="zh-CN"/>
                    </w:rPr>
                    <w:t>0.012</w:t>
                  </w:r>
                </w:p>
              </w:tc>
              <w:tc>
                <w:tcPr>
                  <w:tcW w:w="400" w:type="pct"/>
                  <w:vMerge w:val="continue"/>
                  <w:noWrap w:val="0"/>
                  <w:vAlign w:val="center"/>
                </w:tcPr>
                <w:p w14:paraId="1356180E">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Calibri" w:hAnsi="Calibri" w:eastAsia="宋体" w:cs="Calibri"/>
                      <w:b w:val="0"/>
                      <w:bCs w:val="0"/>
                      <w:color w:val="auto"/>
                      <w:sz w:val="21"/>
                      <w:szCs w:val="21"/>
                    </w:rPr>
                  </w:pPr>
                </w:p>
              </w:tc>
              <w:tc>
                <w:tcPr>
                  <w:tcW w:w="726" w:type="pct"/>
                  <w:noWrap w:val="0"/>
                  <w:vAlign w:val="center"/>
                </w:tcPr>
                <w:p w14:paraId="4B836A9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Calibri" w:hAnsi="Calibri" w:eastAsia="宋体" w:cs="Calibri"/>
                      <w:b w:val="0"/>
                      <w:bCs w:val="0"/>
                      <w:color w:val="auto"/>
                      <w:sz w:val="21"/>
                      <w:szCs w:val="21"/>
                      <w:lang w:val="en-US" w:eastAsia="zh-CN"/>
                    </w:rPr>
                  </w:pPr>
                  <w:r>
                    <w:rPr>
                      <w:rFonts w:hint="default" w:ascii="Calibri" w:hAnsi="Calibri" w:cs="Calibri"/>
                      <w:b w:val="0"/>
                      <w:bCs w:val="0"/>
                      <w:color w:val="auto"/>
                      <w:sz w:val="21"/>
                      <w:szCs w:val="21"/>
                      <w:lang w:val="en-US" w:eastAsia="zh-CN"/>
                    </w:rPr>
                    <w:t>25</w:t>
                  </w:r>
                </w:p>
              </w:tc>
              <w:tc>
                <w:tcPr>
                  <w:tcW w:w="784" w:type="pct"/>
                  <w:noWrap w:val="0"/>
                  <w:vAlign w:val="center"/>
                </w:tcPr>
                <w:p w14:paraId="30BA77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Calibri" w:hAnsi="Calibri" w:eastAsia="宋体" w:cs="Calibri"/>
                      <w:b w:val="0"/>
                      <w:bCs w:val="0"/>
                      <w:color w:val="auto"/>
                      <w:kern w:val="0"/>
                      <w:sz w:val="21"/>
                      <w:szCs w:val="21"/>
                      <w:u w:val="none"/>
                      <w:lang w:val="en-US" w:eastAsia="zh-CN" w:bidi="ar"/>
                    </w:rPr>
                  </w:pPr>
                  <w:r>
                    <w:rPr>
                      <w:rFonts w:hint="eastAsia" w:ascii="Calibri" w:hAnsi="Calibri" w:cs="Calibri"/>
                      <w:b w:val="0"/>
                      <w:bCs w:val="0"/>
                      <w:color w:val="auto"/>
                      <w:kern w:val="0"/>
                      <w:sz w:val="21"/>
                      <w:szCs w:val="21"/>
                      <w:u w:val="none"/>
                      <w:lang w:val="en-US" w:eastAsia="zh-CN" w:bidi="ar"/>
                    </w:rPr>
                    <w:t>0.008</w:t>
                  </w:r>
                </w:p>
              </w:tc>
              <w:tc>
                <w:tcPr>
                  <w:tcW w:w="683" w:type="pct"/>
                  <w:vMerge w:val="continue"/>
                  <w:noWrap w:val="0"/>
                  <w:vAlign w:val="center"/>
                </w:tcPr>
                <w:p w14:paraId="3D6547A6">
                  <w:pPr>
                    <w:keepNext w:val="0"/>
                    <w:keepLines w:val="0"/>
                    <w:pageBreakBefore w:val="0"/>
                    <w:kinsoku/>
                    <w:wordWrap/>
                    <w:overflowPunct/>
                    <w:topLinePunct w:val="0"/>
                    <w:autoSpaceDE/>
                    <w:autoSpaceDN/>
                    <w:bidi w:val="0"/>
                    <w:adjustRightInd/>
                    <w:snapToGrid/>
                    <w:spacing w:line="240" w:lineRule="auto"/>
                    <w:jc w:val="center"/>
                    <w:rPr>
                      <w:rFonts w:hint="default" w:ascii="Calibri" w:hAnsi="Calibri" w:eastAsia="宋体" w:cs="Calibri"/>
                      <w:b w:val="0"/>
                      <w:bCs w:val="0"/>
                      <w:color w:val="auto"/>
                      <w:sz w:val="21"/>
                      <w:szCs w:val="21"/>
                    </w:rPr>
                  </w:pPr>
                </w:p>
              </w:tc>
            </w:tr>
          </w:tbl>
          <w:p w14:paraId="6B7CE4C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cs="宋体"/>
                <w:bCs/>
                <w:color w:val="auto"/>
                <w:sz w:val="24"/>
                <w:szCs w:val="24"/>
                <w:lang w:val="en-US" w:eastAsia="zh-CN"/>
              </w:rPr>
            </w:pPr>
            <w:r>
              <w:rPr>
                <w:rFonts w:hint="eastAsia" w:ascii="宋体" w:hAnsi="宋体" w:cs="宋体"/>
                <w:color w:val="auto"/>
                <w:sz w:val="24"/>
                <w:szCs w:val="24"/>
                <w:highlight w:val="none"/>
                <w:shd w:val="clear" w:fill="FFFFFF" w:themeFill="background1"/>
                <w:lang w:val="en-US" w:eastAsia="zh-CN"/>
              </w:rPr>
              <w:t>经生活污水一体化设施处理后污水排放浓度可以满足</w:t>
            </w:r>
            <w:r>
              <w:rPr>
                <w:rFonts w:hint="eastAsia" w:cs="Times New Roman"/>
                <w:color w:val="auto"/>
                <w:sz w:val="24"/>
                <w:szCs w:val="24"/>
                <w:lang w:val="en-US" w:eastAsia="zh-CN"/>
              </w:rPr>
              <w:t>《农村生活污水处理排放标准》（DB654275-2019)C类限值。</w:t>
            </w:r>
          </w:p>
          <w:p w14:paraId="08A1C18E">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宋体" w:hAnsi="宋体" w:eastAsia="宋体" w:cs="宋体"/>
                <w:bCs/>
                <w:color w:val="auto"/>
                <w:sz w:val="24"/>
                <w:szCs w:val="24"/>
                <w:lang w:val="en-US" w:eastAsia="zh-CN"/>
              </w:rPr>
            </w:pPr>
            <w:r>
              <w:rPr>
                <w:rFonts w:hint="eastAsia" w:ascii="宋体" w:hAnsi="宋体" w:cs="宋体"/>
                <w:b/>
                <w:bCs w:val="0"/>
                <w:color w:val="auto"/>
                <w:sz w:val="24"/>
                <w:szCs w:val="24"/>
                <w:lang w:val="en-US" w:eastAsia="zh-CN"/>
              </w:rPr>
              <w:t>4 施工期噪声环境影响分析</w:t>
            </w:r>
          </w:p>
          <w:p w14:paraId="5518048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宋体" w:hAnsi="宋体" w:cs="宋体"/>
                <w:bCs/>
                <w:color w:val="auto"/>
                <w:sz w:val="24"/>
                <w:szCs w:val="24"/>
              </w:rPr>
            </w:pPr>
            <w:r>
              <w:rPr>
                <w:rFonts w:hint="default" w:ascii="Times New Roman" w:hAnsi="Times New Roman" w:cs="Times New Roman"/>
                <w:bCs/>
                <w:color w:val="auto"/>
                <w:sz w:val="24"/>
                <w:szCs w:val="24"/>
              </w:rPr>
              <w:t>施工噪声主要为挖掘机等设备和运输车辆以及机械等在运行过程中产生的噪声，该部分设备</w:t>
            </w:r>
            <w:r>
              <w:rPr>
                <w:rFonts w:hint="eastAsia" w:cs="Times New Roman"/>
                <w:bCs/>
                <w:color w:val="auto"/>
                <w:sz w:val="24"/>
                <w:szCs w:val="24"/>
                <w:lang w:eastAsia="zh-CN"/>
              </w:rPr>
              <w:t>产</w:t>
            </w:r>
            <w:r>
              <w:rPr>
                <w:rFonts w:hint="default" w:ascii="Times New Roman" w:hAnsi="Times New Roman" w:cs="Times New Roman"/>
                <w:bCs/>
                <w:color w:val="auto"/>
                <w:sz w:val="24"/>
                <w:szCs w:val="24"/>
              </w:rPr>
              <w:t>噪声级为70dB(A)～114dB(A</w:t>
            </w:r>
            <w:r>
              <w:rPr>
                <w:rFonts w:hint="eastAsia" w:cs="Times New Roman"/>
                <w:bCs/>
                <w:color w:val="auto"/>
                <w:sz w:val="24"/>
                <w:szCs w:val="24"/>
                <w:lang w:eastAsia="zh-CN"/>
              </w:rPr>
              <w:t>）</w:t>
            </w:r>
            <w:r>
              <w:rPr>
                <w:rFonts w:hint="default" w:ascii="Times New Roman" w:hAnsi="Times New Roman" w:cs="Times New Roman"/>
                <w:bCs/>
                <w:color w:val="auto"/>
                <w:sz w:val="24"/>
                <w:szCs w:val="24"/>
              </w:rPr>
              <w:t>。</w:t>
            </w:r>
          </w:p>
          <w:p w14:paraId="02663D1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宋体" w:hAnsi="宋体" w:cs="宋体"/>
                <w:bCs/>
                <w:color w:val="auto"/>
                <w:sz w:val="24"/>
                <w:szCs w:val="24"/>
              </w:rPr>
            </w:pPr>
            <w:r>
              <w:rPr>
                <w:rFonts w:hint="default" w:ascii="Times New Roman" w:hAnsi="Times New Roman" w:cs="Times New Roman"/>
                <w:bCs/>
                <w:color w:val="auto"/>
                <w:sz w:val="24"/>
                <w:szCs w:val="24"/>
              </w:rPr>
              <w:t>施工</w:t>
            </w:r>
            <w:r>
              <w:rPr>
                <w:rFonts w:hint="eastAsia" w:ascii="Times New Roman" w:hAnsi="Times New Roman" w:cs="Times New Roman"/>
                <w:bCs/>
                <w:color w:val="auto"/>
                <w:sz w:val="24"/>
                <w:szCs w:val="24"/>
                <w:lang w:val="en-US" w:eastAsia="zh-CN"/>
              </w:rPr>
              <w:t>期间</w:t>
            </w:r>
            <w:r>
              <w:rPr>
                <w:rFonts w:hint="eastAsia" w:ascii="宋体" w:hAnsi="宋体" w:cs="宋体"/>
                <w:bCs/>
                <w:color w:val="auto"/>
                <w:sz w:val="24"/>
                <w:szCs w:val="24"/>
                <w:lang w:val="en-US" w:eastAsia="zh-CN"/>
              </w:rPr>
              <w:t>合理安排施工时间；合理布置施工现场，尽量避免安排大量的高噪声设备，在噪声传播过程中降低噪声影响。本项目通过采取以上措施后，可最大限度避免本项目施工对周边区域声环境产生影响。随着施工期的结束，施工噪声影响将消除。</w:t>
            </w:r>
          </w:p>
          <w:p w14:paraId="462DDFC5">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宋体" w:hAnsi="宋体" w:eastAsia="宋体" w:cs="宋体"/>
                <w:bCs/>
                <w:color w:val="auto"/>
                <w:sz w:val="24"/>
                <w:szCs w:val="24"/>
                <w:lang w:val="en-US" w:eastAsia="zh-CN"/>
              </w:rPr>
            </w:pPr>
            <w:r>
              <w:rPr>
                <w:rFonts w:hint="eastAsia" w:ascii="宋体" w:hAnsi="宋体" w:cs="宋体"/>
                <w:b/>
                <w:bCs w:val="0"/>
                <w:color w:val="auto"/>
                <w:sz w:val="24"/>
                <w:szCs w:val="24"/>
                <w:lang w:val="en-US" w:eastAsia="zh-CN"/>
              </w:rPr>
              <w:t>5 施工期固废环境影响分析</w:t>
            </w:r>
          </w:p>
          <w:p w14:paraId="2298155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cs="Calibri"/>
                <w:bCs/>
                <w:color w:val="auto"/>
                <w:sz w:val="24"/>
                <w:szCs w:val="24"/>
                <w:lang w:val="en-US" w:eastAsia="zh-CN"/>
              </w:rPr>
            </w:pPr>
            <w:r>
              <w:rPr>
                <w:rFonts w:hint="default" w:ascii="Calibri" w:hAnsi="Calibri" w:cs="Calibri"/>
                <w:bCs/>
                <w:color w:val="auto"/>
                <w:sz w:val="24"/>
                <w:szCs w:val="24"/>
              </w:rPr>
              <w:t>施工过程中产生的土石方、建筑垃圾应分类集中收集，项目施工期产生弃土方</w:t>
            </w:r>
            <w:r>
              <w:rPr>
                <w:rFonts w:hint="default" w:ascii="Calibri" w:hAnsi="Calibri" w:cs="Calibri"/>
                <w:bCs/>
                <w:color w:val="auto"/>
                <w:sz w:val="24"/>
                <w:szCs w:val="24"/>
                <w:lang w:eastAsia="zh-CN"/>
              </w:rPr>
              <w:t>，</w:t>
            </w:r>
            <w:r>
              <w:rPr>
                <w:rFonts w:hint="default" w:ascii="Calibri" w:hAnsi="Calibri" w:cs="Calibri"/>
                <w:bCs/>
                <w:color w:val="auto"/>
                <w:sz w:val="24"/>
                <w:szCs w:val="24"/>
              </w:rPr>
              <w:t>可用于周边</w:t>
            </w:r>
            <w:r>
              <w:rPr>
                <w:rFonts w:hint="default" w:ascii="Calibri" w:hAnsi="Calibri" w:cs="Calibri"/>
                <w:bCs/>
                <w:color w:val="auto"/>
                <w:sz w:val="24"/>
                <w:szCs w:val="24"/>
                <w:lang w:val="en-US" w:eastAsia="zh-CN"/>
              </w:rPr>
              <w:t>塔杆</w:t>
            </w:r>
            <w:r>
              <w:rPr>
                <w:rFonts w:hint="default" w:ascii="Calibri" w:hAnsi="Calibri" w:cs="Calibri"/>
                <w:bCs/>
                <w:color w:val="auto"/>
                <w:sz w:val="24"/>
                <w:szCs w:val="24"/>
              </w:rPr>
              <w:t>场地平整，不设置弃土场。</w:t>
            </w:r>
            <w:r>
              <w:rPr>
                <w:rFonts w:hint="default" w:ascii="Calibri" w:hAnsi="Calibri" w:cs="Calibri"/>
                <w:bCs/>
                <w:color w:val="auto"/>
                <w:sz w:val="24"/>
                <w:szCs w:val="24"/>
                <w:lang w:val="en-US" w:eastAsia="zh-CN"/>
              </w:rPr>
              <w:t>可回收利用的全部回收利用，不能回收利用的按建筑垃圾统一收集后拉运至建筑垃圾填埋场填埋处理。</w:t>
            </w:r>
          </w:p>
          <w:p w14:paraId="3579330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宋体" w:hAnsi="宋体" w:cs="宋体"/>
                <w:bCs/>
                <w:color w:val="auto"/>
                <w:sz w:val="24"/>
                <w:szCs w:val="24"/>
                <w:lang w:val="en-US"/>
              </w:rPr>
            </w:pPr>
            <w:r>
              <w:rPr>
                <w:rFonts w:hint="default" w:ascii="Calibri" w:hAnsi="Calibri" w:cs="Calibri"/>
                <w:bCs/>
                <w:color w:val="auto"/>
                <w:sz w:val="24"/>
                <w:szCs w:val="24"/>
                <w:lang w:val="en-US" w:eastAsia="zh-CN"/>
              </w:rPr>
              <w:t>施工期施工人员</w:t>
            </w:r>
            <w:r>
              <w:rPr>
                <w:rFonts w:hint="eastAsia" w:ascii="Calibri" w:hAnsi="Calibri" w:cs="Calibri"/>
                <w:bCs/>
                <w:color w:val="auto"/>
                <w:sz w:val="24"/>
                <w:szCs w:val="24"/>
                <w:lang w:val="en-US" w:eastAsia="zh-CN"/>
              </w:rPr>
              <w:t>129</w:t>
            </w:r>
            <w:r>
              <w:rPr>
                <w:rFonts w:hint="default" w:ascii="Calibri" w:hAnsi="Calibri" w:cs="Calibri"/>
                <w:bCs/>
                <w:color w:val="auto"/>
                <w:sz w:val="24"/>
                <w:szCs w:val="24"/>
                <w:lang w:val="en-US" w:eastAsia="zh-CN"/>
              </w:rPr>
              <w:t>人，</w:t>
            </w:r>
            <w:r>
              <w:rPr>
                <w:rFonts w:hint="default" w:ascii="Calibri" w:hAnsi="Calibri" w:eastAsia="宋体" w:cs="Calibri"/>
                <w:b w:val="0"/>
                <w:bCs/>
                <w:color w:val="auto"/>
                <w:kern w:val="0"/>
                <w:sz w:val="24"/>
                <w:szCs w:val="24"/>
                <w:lang w:val="en-US" w:eastAsia="zh-CN" w:bidi="ar"/>
              </w:rPr>
              <w:t>垃圾0.5kg</w:t>
            </w:r>
            <w:r>
              <w:rPr>
                <w:rFonts w:hint="default" w:ascii="Calibri" w:hAnsi="Calibri" w:cs="Calibri"/>
                <w:b w:val="0"/>
                <w:bCs/>
                <w:color w:val="auto"/>
                <w:kern w:val="0"/>
                <w:sz w:val="24"/>
                <w:szCs w:val="24"/>
                <w:lang w:val="en-US" w:eastAsia="zh-CN" w:bidi="ar"/>
              </w:rPr>
              <w:t>/人·天</w:t>
            </w:r>
            <w:r>
              <w:rPr>
                <w:rFonts w:hint="default" w:ascii="Calibri" w:hAnsi="Calibri" w:eastAsia="宋体" w:cs="Calibri"/>
                <w:b w:val="0"/>
                <w:bCs/>
                <w:color w:val="auto"/>
                <w:kern w:val="0"/>
                <w:sz w:val="24"/>
                <w:szCs w:val="24"/>
                <w:lang w:val="en-US" w:eastAsia="zh-CN" w:bidi="ar"/>
              </w:rPr>
              <w:t>计</w:t>
            </w:r>
            <w:r>
              <w:rPr>
                <w:rFonts w:hint="default" w:ascii="Calibri" w:hAnsi="Calibri" w:cs="Calibri"/>
                <w:b w:val="0"/>
                <w:bCs/>
                <w:color w:val="auto"/>
                <w:kern w:val="0"/>
                <w:sz w:val="24"/>
                <w:szCs w:val="24"/>
                <w:lang w:val="en-US" w:eastAsia="zh-CN" w:bidi="ar"/>
              </w:rPr>
              <w:t>，施工150d，施工期合计产生</w:t>
            </w:r>
            <w:r>
              <w:rPr>
                <w:rFonts w:hint="eastAsia" w:ascii="Calibri" w:hAnsi="Calibri" w:cs="Calibri"/>
                <w:b w:val="0"/>
                <w:bCs/>
                <w:color w:val="auto"/>
                <w:kern w:val="0"/>
                <w:sz w:val="24"/>
                <w:szCs w:val="24"/>
                <w:lang w:val="en-US" w:eastAsia="zh-CN" w:bidi="ar"/>
              </w:rPr>
              <w:t>9.675</w:t>
            </w:r>
            <w:r>
              <w:rPr>
                <w:rFonts w:hint="default" w:ascii="Calibri" w:hAnsi="Calibri" w:cs="Calibri"/>
                <w:b w:val="0"/>
                <w:bCs/>
                <w:color w:val="auto"/>
                <w:kern w:val="0"/>
                <w:sz w:val="24"/>
                <w:szCs w:val="24"/>
                <w:lang w:val="en-US" w:eastAsia="zh-CN" w:bidi="ar"/>
              </w:rPr>
              <w:t>t生活垃圾。临时生活区暂存，施工期结束拉运至若羌县生活垃圾填埋场。</w:t>
            </w:r>
          </w:p>
        </w:tc>
      </w:tr>
      <w:tr w14:paraId="740428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879" w:type="dxa"/>
            <w:noWrap w:val="0"/>
            <w:tcMar>
              <w:left w:w="28" w:type="dxa"/>
              <w:right w:w="28" w:type="dxa"/>
            </w:tcMar>
            <w:vAlign w:val="center"/>
          </w:tcPr>
          <w:p w14:paraId="517A963E">
            <w:pPr>
              <w:pStyle w:val="20"/>
              <w:adjustRightInd w:val="0"/>
              <w:snapToGrid w:val="0"/>
              <w:spacing w:before="0" w:beforeAutospacing="0" w:after="0" w:afterAutospacing="0"/>
              <w:jc w:val="center"/>
              <w:rPr>
                <w:rFonts w:cs="宋体"/>
                <w:bCs/>
                <w:color w:val="auto"/>
                <w:kern w:val="2"/>
                <w:sz w:val="24"/>
                <w:szCs w:val="24"/>
              </w:rPr>
            </w:pPr>
            <w:r>
              <w:rPr>
                <w:rFonts w:hint="eastAsia" w:cs="宋体"/>
                <w:bCs/>
                <w:color w:val="auto"/>
                <w:spacing w:val="10"/>
                <w:kern w:val="2"/>
                <w:sz w:val="24"/>
                <w:szCs w:val="24"/>
              </w:rPr>
              <w:t>运营期生态环境影响分析</w:t>
            </w:r>
          </w:p>
        </w:tc>
        <w:tc>
          <w:tcPr>
            <w:tcW w:w="8363" w:type="dxa"/>
            <w:noWrap w:val="0"/>
            <w:vAlign w:val="top"/>
          </w:tcPr>
          <w:p w14:paraId="0303D2AB">
            <w:pPr>
              <w:pStyle w:val="45"/>
              <w:keepNext w:val="0"/>
              <w:keepLines w:val="0"/>
              <w:pageBreakBefore w:val="0"/>
              <w:widowControl w:val="0"/>
              <w:kinsoku/>
              <w:wordWrap/>
              <w:overflowPunct/>
              <w:topLinePunct w:val="0"/>
              <w:autoSpaceDE/>
              <w:autoSpaceDN/>
              <w:bidi w:val="0"/>
              <w:adjustRightInd/>
              <w:snapToGrid/>
              <w:spacing w:line="480" w:lineRule="exact"/>
              <w:ind w:left="0" w:leftChars="0" w:firstLine="482" w:firstLineChars="200"/>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1 生态环境影响</w:t>
            </w:r>
          </w:p>
          <w:p w14:paraId="3AA0F716">
            <w:pPr>
              <w:pStyle w:val="45"/>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Calibri" w:hAnsi="Calibri" w:eastAsia="宋体" w:cs="Calibri"/>
                <w:bCs/>
                <w:color w:val="auto"/>
                <w:kern w:val="2"/>
                <w:sz w:val="24"/>
                <w:szCs w:val="24"/>
                <w:lang w:val="en-US" w:eastAsia="zh-CN" w:bidi="ar-SA"/>
              </w:rPr>
            </w:pPr>
            <w:r>
              <w:rPr>
                <w:rFonts w:hint="default" w:ascii="Calibri" w:hAnsi="Calibri" w:eastAsia="宋体" w:cs="Calibri"/>
                <w:bCs/>
                <w:color w:val="auto"/>
                <w:kern w:val="2"/>
                <w:sz w:val="24"/>
                <w:szCs w:val="24"/>
                <w:lang w:val="en-US" w:eastAsia="zh-CN" w:bidi="ar-SA"/>
              </w:rPr>
              <w:t>本项目变电站为无人值守智能变电站，运营期对生态环境基本无</w:t>
            </w:r>
            <w:r>
              <w:rPr>
                <w:rFonts w:hint="default" w:ascii="Calibri" w:hAnsi="Calibri" w:cs="Calibri"/>
                <w:bCs/>
                <w:color w:val="auto"/>
                <w:kern w:val="2"/>
                <w:sz w:val="24"/>
                <w:szCs w:val="24"/>
                <w:lang w:val="en-US" w:eastAsia="zh-CN" w:bidi="ar-SA"/>
              </w:rPr>
              <w:t>影响</w:t>
            </w:r>
            <w:r>
              <w:rPr>
                <w:rFonts w:hint="default" w:ascii="Calibri" w:hAnsi="Calibri" w:eastAsia="宋体" w:cs="Calibri"/>
                <w:bCs/>
                <w:color w:val="auto"/>
                <w:kern w:val="2"/>
                <w:sz w:val="24"/>
                <w:szCs w:val="24"/>
                <w:lang w:val="en-US" w:eastAsia="zh-CN" w:bidi="ar-SA"/>
              </w:rPr>
              <w:t>。</w:t>
            </w:r>
          </w:p>
          <w:p w14:paraId="00826A16">
            <w:pPr>
              <w:pStyle w:val="45"/>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Calibri" w:hAnsi="Calibri" w:eastAsia="宋体" w:cs="Calibri"/>
                <w:bCs/>
                <w:color w:val="auto"/>
                <w:kern w:val="2"/>
                <w:sz w:val="24"/>
                <w:szCs w:val="24"/>
                <w:lang w:val="en-US" w:eastAsia="zh-CN" w:bidi="ar-SA"/>
              </w:rPr>
            </w:pPr>
            <w:r>
              <w:rPr>
                <w:rFonts w:hint="default" w:ascii="Calibri" w:hAnsi="Calibri" w:eastAsia="宋体" w:cs="Calibri"/>
                <w:bCs/>
                <w:color w:val="auto"/>
                <w:kern w:val="2"/>
                <w:sz w:val="24"/>
                <w:szCs w:val="24"/>
                <w:lang w:val="en-US" w:eastAsia="zh-CN" w:bidi="ar-SA"/>
              </w:rPr>
              <w:t>架空线路投运后需对线路进行定期巡检，由于施工临时便道在工程完工后会恢复原有地貌，巡检通行可依托周边已有道路作为输电线路巡检道路，对于无法通行路段特别是环境敏感区域可采用人工巡线或无人机巡线，运行期线路巡检对区域生态环境影响很小。</w:t>
            </w:r>
          </w:p>
          <w:p w14:paraId="2DAB192D">
            <w:pPr>
              <w:pStyle w:val="45"/>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Calibri" w:hAnsi="Calibri" w:eastAsia="宋体" w:cs="Calibri"/>
                <w:bCs/>
                <w:color w:val="auto"/>
                <w:kern w:val="2"/>
                <w:sz w:val="24"/>
                <w:szCs w:val="24"/>
                <w:lang w:val="en-US" w:eastAsia="zh-CN" w:bidi="ar-SA"/>
              </w:rPr>
            </w:pPr>
            <w:r>
              <w:rPr>
                <w:rFonts w:hint="default" w:ascii="Calibri" w:hAnsi="Calibri" w:eastAsia="宋体" w:cs="Calibri"/>
                <w:bCs/>
                <w:color w:val="auto"/>
                <w:kern w:val="2"/>
                <w:sz w:val="24"/>
                <w:szCs w:val="24"/>
                <w:lang w:val="en-US" w:eastAsia="zh-CN" w:bidi="ar-SA"/>
              </w:rPr>
              <w:t>参照《国网新疆电力公司架空输电线路防鸟害装置技术导则》，本项目输电线路全线安装防鸟装置，防鸟装置能有效防止体型较大鸟类在横担上筑巢和长时间停留，减少因在输电线路区域活动而产生的伤害事件。</w:t>
            </w:r>
          </w:p>
          <w:p w14:paraId="1BB56998">
            <w:pPr>
              <w:pStyle w:val="45"/>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Calibri" w:hAnsi="Calibri" w:eastAsia="宋体" w:cs="Calibri"/>
                <w:bCs/>
                <w:color w:val="auto"/>
                <w:kern w:val="2"/>
                <w:sz w:val="24"/>
                <w:szCs w:val="24"/>
                <w:lang w:val="en-US" w:eastAsia="zh-CN" w:bidi="ar-SA"/>
              </w:rPr>
            </w:pPr>
            <w:r>
              <w:rPr>
                <w:rFonts w:hint="default" w:ascii="Calibri" w:hAnsi="Calibri" w:eastAsia="宋体" w:cs="Calibri"/>
                <w:bCs/>
                <w:color w:val="auto"/>
                <w:kern w:val="2"/>
                <w:sz w:val="24"/>
                <w:szCs w:val="24"/>
                <w:lang w:val="en-US" w:eastAsia="zh-CN" w:bidi="ar-SA"/>
              </w:rPr>
              <w:t>本项目建设投运对原生态景观具有一定的改变，主要表现在杆塔及输电线路的架设。本项目线路为架空方式敷设，导线最大弧</w:t>
            </w:r>
            <w:r>
              <w:rPr>
                <w:rFonts w:hint="eastAsia" w:ascii="Calibri" w:hAnsi="Calibri" w:cs="Calibri"/>
                <w:bCs/>
                <w:color w:val="auto"/>
                <w:kern w:val="2"/>
                <w:sz w:val="24"/>
                <w:szCs w:val="24"/>
                <w:lang w:val="en-US" w:eastAsia="zh-CN" w:bidi="ar-SA"/>
              </w:rPr>
              <w:t>垂线</w:t>
            </w:r>
            <w:r>
              <w:rPr>
                <w:rFonts w:hint="default" w:ascii="Calibri" w:hAnsi="Calibri" w:eastAsia="宋体" w:cs="Calibri"/>
                <w:bCs/>
                <w:color w:val="auto"/>
                <w:kern w:val="2"/>
                <w:sz w:val="24"/>
                <w:szCs w:val="24"/>
                <w:lang w:val="en-US" w:eastAsia="zh-CN" w:bidi="ar-SA"/>
              </w:rPr>
              <w:t>与地面之间的垂直距离为6m以上，因此，在水平视角并不会对原生态景观形成空间分割。</w:t>
            </w:r>
          </w:p>
          <w:p w14:paraId="663618D3">
            <w:pPr>
              <w:pStyle w:val="45"/>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Calibri" w:hAnsi="Calibri" w:eastAsia="宋体" w:cs="Calibri"/>
                <w:bCs/>
                <w:color w:val="auto"/>
                <w:kern w:val="2"/>
                <w:sz w:val="24"/>
                <w:szCs w:val="24"/>
                <w:lang w:val="en-US" w:eastAsia="zh-CN" w:bidi="ar-SA"/>
              </w:rPr>
            </w:pPr>
            <w:r>
              <w:rPr>
                <w:rFonts w:hint="default" w:ascii="Calibri" w:hAnsi="Calibri" w:eastAsia="宋体" w:cs="Calibri"/>
                <w:bCs/>
                <w:color w:val="auto"/>
                <w:kern w:val="2"/>
                <w:sz w:val="24"/>
                <w:szCs w:val="24"/>
                <w:lang w:val="en-US" w:eastAsia="zh-CN" w:bidi="ar-SA"/>
              </w:rPr>
              <w:t>由于输电线路杆塔占地面积较小，对原有自然背景景观元素影响较小。目前，架空线路所用杆塔基本为银灰色，与周围环境对比不明显，经实际对比，在一定距离后，线路设施不易引起人们的视觉注意。在较为晴朗的天气情况下，观察距离大于1.5km后，线路在肉眼观察下较难发现，已不构成景观影响。</w:t>
            </w:r>
          </w:p>
          <w:p w14:paraId="04549EB6">
            <w:pPr>
              <w:pStyle w:val="45"/>
              <w:keepNext w:val="0"/>
              <w:keepLines w:val="0"/>
              <w:pageBreakBefore w:val="0"/>
              <w:widowControl w:val="0"/>
              <w:kinsoku/>
              <w:wordWrap/>
              <w:overflowPunct/>
              <w:topLinePunct w:val="0"/>
              <w:autoSpaceDE/>
              <w:autoSpaceDN/>
              <w:bidi w:val="0"/>
              <w:adjustRightInd/>
              <w:snapToGrid/>
              <w:spacing w:line="480" w:lineRule="exact"/>
              <w:ind w:left="0" w:leftChars="0" w:firstLine="482" w:firstLineChars="200"/>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lang w:val="en-US" w:eastAsia="zh-CN"/>
              </w:rPr>
              <w:t xml:space="preserve">2 </w:t>
            </w:r>
            <w:r>
              <w:rPr>
                <w:rFonts w:hint="eastAsia" w:ascii="宋体" w:hAnsi="宋体" w:eastAsia="宋体" w:cs="宋体"/>
                <w:b/>
                <w:bCs w:val="0"/>
                <w:color w:val="auto"/>
                <w:sz w:val="24"/>
                <w:szCs w:val="24"/>
              </w:rPr>
              <w:t>电磁环境影响预测与分析</w:t>
            </w:r>
          </w:p>
          <w:p w14:paraId="7CB2B3E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Calibri" w:hAnsi="Calibri" w:eastAsia="宋体" w:cs="Calibri"/>
                <w:b w:val="0"/>
                <w:bCs w:val="0"/>
                <w:color w:val="auto"/>
                <w:kern w:val="2"/>
                <w:sz w:val="24"/>
                <w:szCs w:val="24"/>
                <w:lang w:val="en-US" w:eastAsia="zh-CN" w:bidi="ar-SA"/>
              </w:rPr>
            </w:pPr>
            <w:r>
              <w:rPr>
                <w:rFonts w:hint="default" w:ascii="Calibri" w:hAnsi="Calibri" w:eastAsia="宋体" w:cs="Calibri"/>
                <w:b w:val="0"/>
                <w:bCs w:val="0"/>
                <w:color w:val="auto"/>
                <w:kern w:val="2"/>
                <w:sz w:val="24"/>
                <w:szCs w:val="24"/>
                <w:lang w:val="en-US" w:eastAsia="zh-CN" w:bidi="ar-SA"/>
              </w:rPr>
              <w:t>本项目建成运行后对评价范围内的工频电场、工频磁场环境影响能满足《电磁环境控制限值》</w:t>
            </w:r>
            <w:r>
              <w:rPr>
                <w:rFonts w:hint="eastAsia" w:ascii="Calibri" w:hAnsi="Calibri" w:cs="Calibri"/>
                <w:b w:val="0"/>
                <w:bCs w:val="0"/>
                <w:color w:val="auto"/>
                <w:kern w:val="2"/>
                <w:sz w:val="24"/>
                <w:szCs w:val="24"/>
                <w:lang w:val="en-US" w:eastAsia="zh-CN" w:bidi="ar-SA"/>
              </w:rPr>
              <w:t>（</w:t>
            </w:r>
            <w:r>
              <w:rPr>
                <w:rFonts w:hint="default" w:ascii="Calibri" w:hAnsi="Calibri" w:eastAsia="宋体" w:cs="Calibri"/>
                <w:b w:val="0"/>
                <w:bCs w:val="0"/>
                <w:color w:val="auto"/>
                <w:kern w:val="2"/>
                <w:sz w:val="24"/>
                <w:szCs w:val="24"/>
                <w:lang w:val="en-US" w:eastAsia="zh-CN" w:bidi="ar-SA"/>
              </w:rPr>
              <w:t>GB8702-2014</w:t>
            </w:r>
            <w:r>
              <w:rPr>
                <w:rFonts w:hint="eastAsia" w:ascii="Calibri" w:hAnsi="Calibri" w:cs="Calibri"/>
                <w:b w:val="0"/>
                <w:bCs w:val="0"/>
                <w:color w:val="auto"/>
                <w:kern w:val="2"/>
                <w:sz w:val="24"/>
                <w:szCs w:val="24"/>
                <w:lang w:val="en-US" w:eastAsia="zh-CN" w:bidi="ar-SA"/>
              </w:rPr>
              <w:t>）</w:t>
            </w:r>
            <w:r>
              <w:rPr>
                <w:rFonts w:hint="default" w:ascii="Calibri" w:hAnsi="Calibri" w:eastAsia="宋体" w:cs="Calibri"/>
                <w:b w:val="0"/>
                <w:bCs w:val="0"/>
                <w:color w:val="auto"/>
                <w:kern w:val="2"/>
                <w:sz w:val="24"/>
                <w:szCs w:val="24"/>
                <w:lang w:val="en-US" w:eastAsia="zh-CN" w:bidi="ar-SA"/>
              </w:rPr>
              <w:t>控制限值要求，项目对周边的电磁环境影响较小。</w:t>
            </w:r>
          </w:p>
          <w:p w14:paraId="1A531A6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 w:val="0"/>
                <w:bCs w:val="0"/>
                <w:color w:val="auto"/>
                <w:kern w:val="2"/>
                <w:sz w:val="24"/>
                <w:szCs w:val="24"/>
                <w:lang w:val="en-US" w:eastAsia="zh-CN" w:bidi="ar-SA"/>
              </w:rPr>
              <w:t>电磁环境影响分析详见“附录电磁环境影响专题评价”</w:t>
            </w:r>
            <w:r>
              <w:rPr>
                <w:rFonts w:hint="eastAsia" w:ascii="宋体" w:hAnsi="宋体" w:eastAsia="宋体" w:cs="宋体"/>
                <w:bCs/>
                <w:color w:val="auto"/>
                <w:sz w:val="24"/>
                <w:szCs w:val="24"/>
              </w:rPr>
              <w:t>评价详细内容。</w:t>
            </w:r>
          </w:p>
          <w:p w14:paraId="55DD51E4">
            <w:pPr>
              <w:pStyle w:val="45"/>
              <w:keepNext w:val="0"/>
              <w:keepLines w:val="0"/>
              <w:pageBreakBefore w:val="0"/>
              <w:widowControl w:val="0"/>
              <w:kinsoku/>
              <w:wordWrap/>
              <w:overflowPunct/>
              <w:topLinePunct w:val="0"/>
              <w:autoSpaceDE/>
              <w:autoSpaceDN/>
              <w:bidi w:val="0"/>
              <w:adjustRightInd/>
              <w:snapToGrid/>
              <w:spacing w:line="480" w:lineRule="exact"/>
              <w:ind w:left="0" w:leftChars="0" w:firstLine="482" w:firstLineChars="200"/>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3 声环境影响预测与分析</w:t>
            </w:r>
          </w:p>
          <w:p w14:paraId="61964C67">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eastAsia" w:ascii="宋体" w:hAnsi="宋体" w:cs="宋体"/>
                <w:b/>
                <w:bCs w:val="0"/>
                <w:color w:val="auto"/>
                <w:kern w:val="2"/>
                <w:sz w:val="24"/>
                <w:szCs w:val="24"/>
                <w:lang w:val="en-US" w:eastAsia="zh-CN" w:bidi="ar-SA"/>
              </w:rPr>
              <w:t>3.1 输变电线路</w:t>
            </w:r>
          </w:p>
          <w:p w14:paraId="049031C2">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cs="Times New Roman"/>
                <w:b/>
                <w:bCs/>
                <w:color w:val="auto"/>
                <w:kern w:val="2"/>
                <w:sz w:val="24"/>
                <w:szCs w:val="24"/>
                <w:lang w:val="en-US" w:eastAsia="zh-CN" w:bidi="ar-SA"/>
              </w:rPr>
            </w:pPr>
            <w:r>
              <w:rPr>
                <w:rFonts w:hint="eastAsia" w:ascii="宋体" w:hAnsi="宋体" w:cs="宋体"/>
                <w:b/>
                <w:bCs w:val="0"/>
                <w:color w:val="auto"/>
                <w:kern w:val="2"/>
                <w:sz w:val="24"/>
                <w:szCs w:val="24"/>
                <w:lang w:val="en-US" w:eastAsia="zh-CN" w:bidi="ar-SA"/>
              </w:rPr>
              <w:t xml:space="preserve">3.1.1 </w:t>
            </w:r>
            <w:r>
              <w:rPr>
                <w:rFonts w:hint="eastAsia" w:ascii="宋体" w:hAnsi="宋体" w:eastAsia="宋体" w:cs="宋体"/>
                <w:b/>
                <w:bCs w:val="0"/>
                <w:color w:val="auto"/>
                <w:kern w:val="2"/>
                <w:sz w:val="24"/>
                <w:szCs w:val="24"/>
                <w:lang w:val="en-US" w:eastAsia="zh-CN" w:bidi="ar-SA"/>
              </w:rPr>
              <w:t>类比分析</w:t>
            </w:r>
          </w:p>
          <w:p w14:paraId="25C0484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本次评价架空线路声环境影响采用已运行的浦类海巴里坤三塘湖风电场一期49.5MW项目配套110kV送出工程进行类比分析。类比线路与本项目线路主要技术参数对照，见表4-</w:t>
            </w:r>
            <w:r>
              <w:rPr>
                <w:rFonts w:hint="eastAsia" w:cs="Times New Roman"/>
                <w:b w:val="0"/>
                <w:bCs w:val="0"/>
                <w:color w:val="auto"/>
                <w:kern w:val="2"/>
                <w:sz w:val="24"/>
                <w:szCs w:val="24"/>
                <w:lang w:val="en-US" w:eastAsia="zh-CN" w:bidi="ar-SA"/>
              </w:rPr>
              <w:t>3</w:t>
            </w:r>
            <w:r>
              <w:rPr>
                <w:rFonts w:hint="eastAsia" w:ascii="Times New Roman" w:hAnsi="Times New Roman" w:eastAsia="宋体" w:cs="Times New Roman"/>
                <w:b w:val="0"/>
                <w:bCs w:val="0"/>
                <w:color w:val="auto"/>
                <w:kern w:val="2"/>
                <w:sz w:val="24"/>
                <w:szCs w:val="24"/>
                <w:lang w:val="en-US" w:eastAsia="zh-CN" w:bidi="ar-SA"/>
              </w:rPr>
              <w:t>。</w:t>
            </w:r>
          </w:p>
          <w:p w14:paraId="04703DD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表4-</w:t>
            </w:r>
            <w:r>
              <w:rPr>
                <w:rFonts w:hint="eastAsia" w:cs="Times New Roman"/>
                <w:b/>
                <w:bCs/>
                <w:color w:val="auto"/>
                <w:kern w:val="2"/>
                <w:sz w:val="24"/>
                <w:szCs w:val="24"/>
                <w:lang w:val="en-US" w:eastAsia="zh-CN" w:bidi="ar-SA"/>
              </w:rPr>
              <w:t>3</w:t>
            </w:r>
            <w:r>
              <w:rPr>
                <w:rFonts w:hint="eastAsia" w:ascii="Times New Roman" w:hAnsi="Times New Roman" w:eastAsia="宋体" w:cs="Times New Roman"/>
                <w:b/>
                <w:bCs/>
                <w:color w:val="auto"/>
                <w:kern w:val="2"/>
                <w:sz w:val="24"/>
                <w:szCs w:val="24"/>
                <w:lang w:val="en-US" w:eastAsia="zh-CN" w:bidi="ar-SA"/>
              </w:rPr>
              <w:t xml:space="preserve">          主要技术指标对照表</w:t>
            </w:r>
          </w:p>
          <w:tbl>
            <w:tblPr>
              <w:tblStyle w:val="22"/>
              <w:tblW w:w="4993"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95"/>
              <w:gridCol w:w="3314"/>
              <w:gridCol w:w="3512"/>
            </w:tblGrid>
            <w:tr w14:paraId="7DFEB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7" w:type="pct"/>
                  <w:tcBorders>
                    <w:tl2br w:val="nil"/>
                    <w:tr2bl w:val="nil"/>
                  </w:tcBorders>
                  <w:noWrap w:val="0"/>
                  <w:vAlign w:val="center"/>
                </w:tcPr>
                <w:p w14:paraId="26D40BBC">
                  <w:pPr>
                    <w:jc w:val="center"/>
                    <w:rPr>
                      <w:rFonts w:hint="default" w:eastAsia="宋体"/>
                      <w:color w:val="auto"/>
                      <w:sz w:val="21"/>
                      <w:szCs w:val="21"/>
                      <w:lang w:val="en-US" w:eastAsia="zh-CN"/>
                    </w:rPr>
                  </w:pPr>
                  <w:r>
                    <w:rPr>
                      <w:rFonts w:hint="eastAsia"/>
                      <w:color w:val="auto"/>
                      <w:sz w:val="21"/>
                      <w:szCs w:val="21"/>
                      <w:lang w:val="en-US" w:eastAsia="zh-CN"/>
                    </w:rPr>
                    <w:t>对比项目</w:t>
                  </w:r>
                </w:p>
              </w:tc>
              <w:tc>
                <w:tcPr>
                  <w:tcW w:w="2040" w:type="pct"/>
                  <w:tcBorders>
                    <w:tl2br w:val="nil"/>
                    <w:tr2bl w:val="nil"/>
                  </w:tcBorders>
                  <w:noWrap w:val="0"/>
                  <w:vAlign w:val="center"/>
                </w:tcPr>
                <w:p w14:paraId="618A764A">
                  <w:pPr>
                    <w:jc w:val="center"/>
                    <w:rPr>
                      <w:rFonts w:hint="default" w:eastAsia="宋体"/>
                      <w:color w:val="auto"/>
                      <w:sz w:val="21"/>
                      <w:szCs w:val="21"/>
                      <w:lang w:val="en-US" w:eastAsia="zh-CN"/>
                    </w:rPr>
                  </w:pPr>
                  <w:r>
                    <w:rPr>
                      <w:rFonts w:hint="eastAsia"/>
                      <w:color w:val="auto"/>
                      <w:sz w:val="21"/>
                      <w:szCs w:val="21"/>
                      <w:lang w:val="en-US" w:eastAsia="zh-CN"/>
                    </w:rPr>
                    <w:t>类比项目</w:t>
                  </w:r>
                </w:p>
              </w:tc>
              <w:tc>
                <w:tcPr>
                  <w:tcW w:w="2162" w:type="pct"/>
                  <w:tcBorders>
                    <w:tl2br w:val="nil"/>
                    <w:tr2bl w:val="nil"/>
                  </w:tcBorders>
                  <w:noWrap w:val="0"/>
                  <w:vAlign w:val="center"/>
                </w:tcPr>
                <w:p w14:paraId="4B30F575">
                  <w:pPr>
                    <w:jc w:val="center"/>
                    <w:rPr>
                      <w:rFonts w:hint="eastAsia" w:eastAsia="宋体"/>
                      <w:color w:val="auto"/>
                      <w:sz w:val="21"/>
                      <w:szCs w:val="21"/>
                      <w:lang w:val="en-US" w:eastAsia="zh-CN"/>
                    </w:rPr>
                  </w:pPr>
                  <w:r>
                    <w:rPr>
                      <w:rFonts w:hint="eastAsia"/>
                      <w:color w:val="auto"/>
                      <w:sz w:val="21"/>
                      <w:szCs w:val="21"/>
                      <w:lang w:val="en-US" w:eastAsia="zh-CN"/>
                    </w:rPr>
                    <w:t>本项目</w:t>
                  </w:r>
                </w:p>
              </w:tc>
            </w:tr>
            <w:tr w14:paraId="60F4B9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7" w:type="pct"/>
                  <w:tcBorders>
                    <w:tl2br w:val="nil"/>
                    <w:tr2bl w:val="nil"/>
                  </w:tcBorders>
                  <w:noWrap w:val="0"/>
                  <w:vAlign w:val="center"/>
                </w:tcPr>
                <w:p w14:paraId="56466ADE">
                  <w:pPr>
                    <w:jc w:val="center"/>
                    <w:rPr>
                      <w:rFonts w:hint="eastAsia"/>
                      <w:color w:val="auto"/>
                      <w:sz w:val="21"/>
                      <w:szCs w:val="21"/>
                    </w:rPr>
                  </w:pPr>
                  <w:r>
                    <w:rPr>
                      <w:rFonts w:hint="eastAsia"/>
                      <w:color w:val="auto"/>
                      <w:sz w:val="21"/>
                      <w:szCs w:val="21"/>
                    </w:rPr>
                    <w:t>主要指标</w:t>
                  </w:r>
                </w:p>
              </w:tc>
              <w:tc>
                <w:tcPr>
                  <w:tcW w:w="2040" w:type="pct"/>
                  <w:tcBorders>
                    <w:tl2br w:val="nil"/>
                    <w:tr2bl w:val="nil"/>
                  </w:tcBorders>
                  <w:noWrap w:val="0"/>
                  <w:vAlign w:val="center"/>
                </w:tcPr>
                <w:p w14:paraId="07F75AFD">
                  <w:pPr>
                    <w:jc w:val="center"/>
                    <w:rPr>
                      <w:rFonts w:hint="eastAsia"/>
                      <w:color w:val="auto"/>
                      <w:sz w:val="21"/>
                      <w:szCs w:val="21"/>
                    </w:rPr>
                  </w:pPr>
                  <w:r>
                    <w:rPr>
                      <w:rFonts w:hint="eastAsia"/>
                      <w:color w:val="auto"/>
                      <w:sz w:val="21"/>
                      <w:szCs w:val="21"/>
                      <w:lang w:val="en-US" w:eastAsia="zh-CN"/>
                    </w:rPr>
                    <w:t>新建1条</w:t>
                  </w:r>
                  <w:r>
                    <w:rPr>
                      <w:rFonts w:hint="eastAsia"/>
                      <w:color w:val="auto"/>
                      <w:sz w:val="21"/>
                      <w:szCs w:val="21"/>
                    </w:rPr>
                    <w:t>110kV输电线路</w:t>
                  </w:r>
                  <w:r>
                    <w:rPr>
                      <w:rFonts w:hint="eastAsia"/>
                      <w:color w:val="auto"/>
                      <w:sz w:val="21"/>
                      <w:szCs w:val="21"/>
                      <w:lang w:eastAsia="zh-CN"/>
                    </w:rPr>
                    <w:t>，</w:t>
                  </w:r>
                  <w:r>
                    <w:rPr>
                      <w:rFonts w:hint="eastAsia"/>
                      <w:color w:val="auto"/>
                      <w:sz w:val="21"/>
                      <w:szCs w:val="21"/>
                      <w:lang w:val="en-US" w:eastAsia="zh-CN"/>
                    </w:rPr>
                    <w:t>全线以单回路架设</w:t>
                  </w:r>
                </w:p>
              </w:tc>
              <w:tc>
                <w:tcPr>
                  <w:tcW w:w="2162" w:type="pct"/>
                  <w:tcBorders>
                    <w:tl2br w:val="nil"/>
                    <w:tr2bl w:val="nil"/>
                  </w:tcBorders>
                  <w:noWrap w:val="0"/>
                  <w:vAlign w:val="center"/>
                </w:tcPr>
                <w:p w14:paraId="081805E1">
                  <w:pPr>
                    <w:jc w:val="center"/>
                    <w:rPr>
                      <w:rFonts w:hint="default" w:eastAsia="宋体"/>
                      <w:color w:val="auto"/>
                      <w:sz w:val="21"/>
                      <w:szCs w:val="21"/>
                      <w:lang w:val="en-US" w:eastAsia="zh-CN"/>
                    </w:rPr>
                  </w:pPr>
                  <w:r>
                    <w:rPr>
                      <w:rFonts w:hint="eastAsia"/>
                      <w:color w:val="auto"/>
                      <w:sz w:val="21"/>
                      <w:szCs w:val="21"/>
                      <w:lang w:val="en-US" w:eastAsia="zh-CN"/>
                    </w:rPr>
                    <w:t>新建2条</w:t>
                  </w:r>
                  <w:r>
                    <w:rPr>
                      <w:rFonts w:hint="eastAsia"/>
                      <w:color w:val="auto"/>
                      <w:sz w:val="21"/>
                      <w:szCs w:val="21"/>
                    </w:rPr>
                    <w:t>110kV线路</w:t>
                  </w:r>
                  <w:r>
                    <w:rPr>
                      <w:rFonts w:hint="eastAsia"/>
                      <w:color w:val="auto"/>
                      <w:sz w:val="21"/>
                      <w:szCs w:val="21"/>
                      <w:lang w:eastAsia="zh-CN"/>
                    </w:rPr>
                    <w:t>，</w:t>
                  </w:r>
                  <w:r>
                    <w:rPr>
                      <w:rFonts w:hint="eastAsia"/>
                      <w:color w:val="auto"/>
                      <w:sz w:val="21"/>
                      <w:szCs w:val="21"/>
                      <w:lang w:val="en-US" w:eastAsia="zh-CN"/>
                    </w:rPr>
                    <w:t>1条同塔双回路、1条单回路架设</w:t>
                  </w:r>
                </w:p>
              </w:tc>
            </w:tr>
            <w:tr w14:paraId="7D6C7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7" w:type="pct"/>
                  <w:tcBorders>
                    <w:tl2br w:val="nil"/>
                    <w:tr2bl w:val="nil"/>
                  </w:tcBorders>
                  <w:noWrap w:val="0"/>
                  <w:vAlign w:val="center"/>
                </w:tcPr>
                <w:p w14:paraId="0B3AD959">
                  <w:pPr>
                    <w:jc w:val="center"/>
                    <w:rPr>
                      <w:rFonts w:hint="eastAsia"/>
                      <w:color w:val="auto"/>
                      <w:sz w:val="21"/>
                      <w:szCs w:val="21"/>
                    </w:rPr>
                  </w:pPr>
                  <w:r>
                    <w:rPr>
                      <w:rFonts w:hint="eastAsia"/>
                      <w:color w:val="auto"/>
                      <w:sz w:val="21"/>
                      <w:szCs w:val="21"/>
                    </w:rPr>
                    <w:t>电压等级</w:t>
                  </w:r>
                </w:p>
              </w:tc>
              <w:tc>
                <w:tcPr>
                  <w:tcW w:w="2040" w:type="pct"/>
                  <w:tcBorders>
                    <w:tl2br w:val="nil"/>
                    <w:tr2bl w:val="nil"/>
                  </w:tcBorders>
                  <w:noWrap w:val="0"/>
                  <w:vAlign w:val="center"/>
                </w:tcPr>
                <w:p w14:paraId="6251BF14">
                  <w:pPr>
                    <w:jc w:val="center"/>
                    <w:rPr>
                      <w:rFonts w:hint="eastAsia"/>
                      <w:color w:val="auto"/>
                      <w:sz w:val="21"/>
                      <w:szCs w:val="21"/>
                    </w:rPr>
                  </w:pPr>
                  <w:r>
                    <w:rPr>
                      <w:rFonts w:hint="eastAsia"/>
                      <w:color w:val="auto"/>
                      <w:sz w:val="21"/>
                      <w:szCs w:val="21"/>
                    </w:rPr>
                    <w:t>110kV</w:t>
                  </w:r>
                </w:p>
              </w:tc>
              <w:tc>
                <w:tcPr>
                  <w:tcW w:w="2162" w:type="pct"/>
                  <w:tcBorders>
                    <w:tl2br w:val="nil"/>
                    <w:tr2bl w:val="nil"/>
                  </w:tcBorders>
                  <w:noWrap w:val="0"/>
                  <w:vAlign w:val="center"/>
                </w:tcPr>
                <w:p w14:paraId="4879193C">
                  <w:pPr>
                    <w:jc w:val="center"/>
                    <w:rPr>
                      <w:rFonts w:hint="eastAsia"/>
                      <w:color w:val="auto"/>
                      <w:sz w:val="21"/>
                      <w:szCs w:val="21"/>
                    </w:rPr>
                  </w:pPr>
                  <w:r>
                    <w:rPr>
                      <w:rFonts w:hint="eastAsia"/>
                      <w:color w:val="auto"/>
                      <w:sz w:val="21"/>
                      <w:szCs w:val="21"/>
                    </w:rPr>
                    <w:t>110kV</w:t>
                  </w:r>
                </w:p>
              </w:tc>
            </w:tr>
            <w:tr w14:paraId="58E80A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7" w:type="pct"/>
                  <w:tcBorders>
                    <w:tl2br w:val="nil"/>
                    <w:tr2bl w:val="nil"/>
                  </w:tcBorders>
                  <w:noWrap w:val="0"/>
                  <w:vAlign w:val="center"/>
                </w:tcPr>
                <w:p w14:paraId="5D214429">
                  <w:pPr>
                    <w:jc w:val="center"/>
                    <w:rPr>
                      <w:rFonts w:hint="eastAsia" w:eastAsia="宋体"/>
                      <w:color w:val="auto"/>
                      <w:sz w:val="21"/>
                      <w:szCs w:val="21"/>
                      <w:lang w:eastAsia="zh-CN"/>
                    </w:rPr>
                  </w:pPr>
                  <w:r>
                    <w:rPr>
                      <w:rFonts w:hint="eastAsia"/>
                      <w:color w:val="auto"/>
                      <w:sz w:val="21"/>
                      <w:szCs w:val="21"/>
                      <w:lang w:val="en-US" w:eastAsia="zh-CN"/>
                    </w:rPr>
                    <w:t>架线型式</w:t>
                  </w:r>
                </w:p>
              </w:tc>
              <w:tc>
                <w:tcPr>
                  <w:tcW w:w="2040" w:type="pct"/>
                  <w:tcBorders>
                    <w:tl2br w:val="nil"/>
                    <w:tr2bl w:val="nil"/>
                  </w:tcBorders>
                  <w:noWrap w:val="0"/>
                  <w:vAlign w:val="center"/>
                </w:tcPr>
                <w:p w14:paraId="6886AACD">
                  <w:pPr>
                    <w:jc w:val="center"/>
                    <w:rPr>
                      <w:rFonts w:hint="eastAsia"/>
                      <w:color w:val="auto"/>
                      <w:sz w:val="21"/>
                      <w:szCs w:val="21"/>
                    </w:rPr>
                  </w:pPr>
                  <w:r>
                    <w:rPr>
                      <w:rFonts w:hint="eastAsia"/>
                      <w:color w:val="auto"/>
                      <w:sz w:val="21"/>
                      <w:szCs w:val="21"/>
                    </w:rPr>
                    <w:t>架空/</w:t>
                  </w:r>
                  <w:r>
                    <w:rPr>
                      <w:rFonts w:hint="eastAsia"/>
                      <w:color w:val="auto"/>
                      <w:sz w:val="21"/>
                      <w:szCs w:val="21"/>
                      <w:lang w:val="en-US" w:eastAsia="zh-CN"/>
                    </w:rPr>
                    <w:t>垂直、水平</w:t>
                  </w:r>
                  <w:r>
                    <w:rPr>
                      <w:rFonts w:hint="eastAsia"/>
                      <w:color w:val="auto"/>
                      <w:sz w:val="21"/>
                      <w:szCs w:val="21"/>
                    </w:rPr>
                    <w:t>排列</w:t>
                  </w:r>
                </w:p>
              </w:tc>
              <w:tc>
                <w:tcPr>
                  <w:tcW w:w="2162" w:type="pct"/>
                  <w:tcBorders>
                    <w:tl2br w:val="nil"/>
                    <w:tr2bl w:val="nil"/>
                  </w:tcBorders>
                  <w:noWrap w:val="0"/>
                  <w:vAlign w:val="center"/>
                </w:tcPr>
                <w:p w14:paraId="2FB8DEE6">
                  <w:pPr>
                    <w:jc w:val="center"/>
                    <w:rPr>
                      <w:rFonts w:hint="eastAsia"/>
                      <w:color w:val="auto"/>
                      <w:sz w:val="21"/>
                      <w:szCs w:val="21"/>
                    </w:rPr>
                  </w:pPr>
                  <w:r>
                    <w:rPr>
                      <w:rFonts w:hint="eastAsia"/>
                      <w:color w:val="auto"/>
                      <w:sz w:val="21"/>
                      <w:szCs w:val="21"/>
                    </w:rPr>
                    <w:t>架空/</w:t>
                  </w:r>
                  <w:r>
                    <w:rPr>
                      <w:rFonts w:hint="eastAsia"/>
                      <w:color w:val="auto"/>
                      <w:sz w:val="21"/>
                      <w:szCs w:val="21"/>
                      <w:lang w:val="en-US" w:eastAsia="zh-CN"/>
                    </w:rPr>
                    <w:t>垂直、水平</w:t>
                  </w:r>
                  <w:r>
                    <w:rPr>
                      <w:rFonts w:hint="eastAsia"/>
                      <w:color w:val="auto"/>
                      <w:sz w:val="21"/>
                      <w:szCs w:val="21"/>
                    </w:rPr>
                    <w:t>排列</w:t>
                  </w:r>
                </w:p>
              </w:tc>
            </w:tr>
            <w:tr w14:paraId="7CC13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7" w:type="pct"/>
                  <w:tcBorders>
                    <w:tl2br w:val="nil"/>
                    <w:tr2bl w:val="nil"/>
                  </w:tcBorders>
                  <w:noWrap w:val="0"/>
                  <w:vAlign w:val="center"/>
                </w:tcPr>
                <w:p w14:paraId="671F3558">
                  <w:pPr>
                    <w:jc w:val="center"/>
                    <w:rPr>
                      <w:rFonts w:hint="eastAsia"/>
                      <w:color w:val="auto"/>
                      <w:sz w:val="21"/>
                      <w:szCs w:val="21"/>
                    </w:rPr>
                  </w:pPr>
                  <w:r>
                    <w:rPr>
                      <w:rFonts w:hint="eastAsia"/>
                      <w:color w:val="auto"/>
                      <w:sz w:val="21"/>
                      <w:szCs w:val="21"/>
                    </w:rPr>
                    <w:t>导线型号</w:t>
                  </w:r>
                </w:p>
              </w:tc>
              <w:tc>
                <w:tcPr>
                  <w:tcW w:w="2040" w:type="pct"/>
                  <w:tcBorders>
                    <w:tl2br w:val="nil"/>
                    <w:tr2bl w:val="nil"/>
                  </w:tcBorders>
                  <w:noWrap w:val="0"/>
                  <w:vAlign w:val="center"/>
                </w:tcPr>
                <w:p w14:paraId="7C3767EE">
                  <w:pPr>
                    <w:jc w:val="center"/>
                    <w:rPr>
                      <w:rFonts w:hint="eastAsia"/>
                      <w:color w:val="auto"/>
                      <w:sz w:val="21"/>
                      <w:szCs w:val="21"/>
                    </w:rPr>
                  </w:pPr>
                  <w:r>
                    <w:rPr>
                      <w:rFonts w:hint="eastAsia"/>
                      <w:color w:val="auto"/>
                      <w:sz w:val="21"/>
                      <w:szCs w:val="21"/>
                      <w:lang w:val="en-US" w:eastAsia="zh-CN"/>
                    </w:rPr>
                    <w:t>JL/G1A-240/30型</w:t>
                  </w:r>
                </w:p>
              </w:tc>
              <w:tc>
                <w:tcPr>
                  <w:tcW w:w="2162" w:type="pct"/>
                  <w:tcBorders>
                    <w:tl2br w:val="nil"/>
                    <w:tr2bl w:val="nil"/>
                  </w:tcBorders>
                  <w:noWrap w:val="0"/>
                  <w:vAlign w:val="center"/>
                </w:tcPr>
                <w:p w14:paraId="6F5BC89E">
                  <w:pPr>
                    <w:jc w:val="center"/>
                    <w:rPr>
                      <w:rFonts w:hint="eastAsia"/>
                      <w:color w:val="auto"/>
                      <w:sz w:val="21"/>
                      <w:szCs w:val="21"/>
                    </w:rPr>
                  </w:pPr>
                  <w:r>
                    <w:rPr>
                      <w:rFonts w:hint="eastAsia"/>
                      <w:color w:val="auto"/>
                      <w:sz w:val="21"/>
                      <w:szCs w:val="21"/>
                      <w:lang w:val="en-US" w:eastAsia="zh-CN"/>
                    </w:rPr>
                    <w:t>JL/G1A-240/40型</w:t>
                  </w:r>
                </w:p>
              </w:tc>
            </w:tr>
            <w:tr w14:paraId="33AD7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7" w:type="pct"/>
                  <w:tcBorders>
                    <w:tl2br w:val="nil"/>
                    <w:tr2bl w:val="nil"/>
                  </w:tcBorders>
                  <w:noWrap w:val="0"/>
                  <w:vAlign w:val="center"/>
                </w:tcPr>
                <w:p w14:paraId="0B7909CE">
                  <w:pPr>
                    <w:jc w:val="center"/>
                    <w:rPr>
                      <w:rFonts w:hint="eastAsia"/>
                      <w:color w:val="auto"/>
                      <w:sz w:val="21"/>
                      <w:szCs w:val="21"/>
                    </w:rPr>
                  </w:pPr>
                  <w:r>
                    <w:rPr>
                      <w:rFonts w:hint="eastAsia"/>
                      <w:color w:val="auto"/>
                      <w:sz w:val="21"/>
                      <w:szCs w:val="21"/>
                    </w:rPr>
                    <w:t>导线直径</w:t>
                  </w:r>
                </w:p>
              </w:tc>
              <w:tc>
                <w:tcPr>
                  <w:tcW w:w="2040" w:type="pct"/>
                  <w:tcBorders>
                    <w:tl2br w:val="nil"/>
                    <w:tr2bl w:val="nil"/>
                  </w:tcBorders>
                  <w:noWrap w:val="0"/>
                  <w:vAlign w:val="center"/>
                </w:tcPr>
                <w:p w14:paraId="3C5870EC">
                  <w:pPr>
                    <w:jc w:val="center"/>
                    <w:rPr>
                      <w:rFonts w:hint="eastAsia"/>
                      <w:color w:val="auto"/>
                      <w:sz w:val="21"/>
                      <w:szCs w:val="21"/>
                    </w:rPr>
                  </w:pPr>
                  <w:r>
                    <w:rPr>
                      <w:rFonts w:hint="eastAsia"/>
                      <w:color w:val="auto"/>
                      <w:sz w:val="21"/>
                      <w:szCs w:val="21"/>
                    </w:rPr>
                    <w:t>铝线的截面积为</w:t>
                  </w:r>
                  <w:r>
                    <w:rPr>
                      <w:rFonts w:hint="eastAsia"/>
                      <w:color w:val="auto"/>
                      <w:sz w:val="21"/>
                      <w:szCs w:val="21"/>
                      <w:lang w:val="en-US" w:eastAsia="zh-CN"/>
                    </w:rPr>
                    <w:t>240</w:t>
                  </w:r>
                  <w:r>
                    <w:rPr>
                      <w:rFonts w:hint="eastAsia"/>
                      <w:color w:val="auto"/>
                      <w:sz w:val="21"/>
                      <w:szCs w:val="21"/>
                    </w:rPr>
                    <w:t>平方毫米，钢线的截面积为</w:t>
                  </w:r>
                  <w:r>
                    <w:rPr>
                      <w:rFonts w:hint="eastAsia"/>
                      <w:color w:val="auto"/>
                      <w:sz w:val="21"/>
                      <w:szCs w:val="21"/>
                      <w:lang w:val="en-US" w:eastAsia="zh-CN"/>
                    </w:rPr>
                    <w:t>30</w:t>
                  </w:r>
                  <w:r>
                    <w:rPr>
                      <w:rFonts w:hint="eastAsia"/>
                      <w:color w:val="auto"/>
                      <w:sz w:val="21"/>
                      <w:szCs w:val="21"/>
                    </w:rPr>
                    <w:t>平方毫米。</w:t>
                  </w:r>
                </w:p>
              </w:tc>
              <w:tc>
                <w:tcPr>
                  <w:tcW w:w="2162" w:type="pct"/>
                  <w:tcBorders>
                    <w:tl2br w:val="nil"/>
                    <w:tr2bl w:val="nil"/>
                  </w:tcBorders>
                  <w:noWrap w:val="0"/>
                  <w:vAlign w:val="center"/>
                </w:tcPr>
                <w:p w14:paraId="6FDB2DA4">
                  <w:pPr>
                    <w:jc w:val="center"/>
                    <w:rPr>
                      <w:rFonts w:hint="eastAsia"/>
                      <w:color w:val="auto"/>
                      <w:sz w:val="21"/>
                      <w:szCs w:val="21"/>
                    </w:rPr>
                  </w:pPr>
                  <w:r>
                    <w:rPr>
                      <w:rFonts w:hint="eastAsia"/>
                      <w:color w:val="auto"/>
                      <w:sz w:val="21"/>
                      <w:szCs w:val="21"/>
                    </w:rPr>
                    <w:t>铝线的截面积为240平方毫米，钢线的截面积为</w:t>
                  </w:r>
                  <w:r>
                    <w:rPr>
                      <w:rFonts w:hint="eastAsia"/>
                      <w:color w:val="auto"/>
                      <w:sz w:val="21"/>
                      <w:szCs w:val="21"/>
                      <w:lang w:val="en-US" w:eastAsia="zh-CN"/>
                    </w:rPr>
                    <w:t>40</w:t>
                  </w:r>
                  <w:r>
                    <w:rPr>
                      <w:rFonts w:hint="eastAsia"/>
                      <w:color w:val="auto"/>
                      <w:sz w:val="21"/>
                      <w:szCs w:val="21"/>
                    </w:rPr>
                    <w:t>平方毫米。</w:t>
                  </w:r>
                </w:p>
              </w:tc>
            </w:tr>
            <w:tr w14:paraId="126330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7" w:type="pct"/>
                  <w:tcBorders>
                    <w:tl2br w:val="nil"/>
                    <w:tr2bl w:val="nil"/>
                  </w:tcBorders>
                  <w:noWrap w:val="0"/>
                  <w:vAlign w:val="center"/>
                </w:tcPr>
                <w:p w14:paraId="7852AA86">
                  <w:pPr>
                    <w:jc w:val="center"/>
                    <w:rPr>
                      <w:rFonts w:hint="eastAsia"/>
                      <w:color w:val="auto"/>
                      <w:sz w:val="21"/>
                      <w:szCs w:val="21"/>
                    </w:rPr>
                  </w:pPr>
                  <w:r>
                    <w:rPr>
                      <w:rFonts w:hint="eastAsia"/>
                      <w:color w:val="auto"/>
                      <w:sz w:val="21"/>
                      <w:szCs w:val="21"/>
                    </w:rPr>
                    <w:t>线高</w:t>
                  </w:r>
                </w:p>
              </w:tc>
              <w:tc>
                <w:tcPr>
                  <w:tcW w:w="2040" w:type="pct"/>
                  <w:tcBorders>
                    <w:tl2br w:val="nil"/>
                    <w:tr2bl w:val="nil"/>
                  </w:tcBorders>
                  <w:noWrap w:val="0"/>
                  <w:vAlign w:val="center"/>
                </w:tcPr>
                <w:p w14:paraId="7D66F972">
                  <w:pPr>
                    <w:jc w:val="center"/>
                    <w:rPr>
                      <w:rFonts w:hint="eastAsia" w:eastAsia="宋体"/>
                      <w:color w:val="auto"/>
                      <w:sz w:val="21"/>
                      <w:szCs w:val="21"/>
                      <w:lang w:eastAsia="zh-CN"/>
                    </w:rPr>
                  </w:pPr>
                  <w:r>
                    <w:rPr>
                      <w:rFonts w:hint="eastAsia"/>
                      <w:color w:val="auto"/>
                      <w:sz w:val="21"/>
                      <w:szCs w:val="21"/>
                      <w:lang w:val="en-US" w:eastAsia="zh-CN"/>
                    </w:rPr>
                    <w:t>15</w:t>
                  </w:r>
                  <w:r>
                    <w:rPr>
                      <w:rFonts w:hint="eastAsia"/>
                      <w:color w:val="auto"/>
                      <w:sz w:val="21"/>
                      <w:szCs w:val="21"/>
                    </w:rPr>
                    <w:t>m</w:t>
                  </w:r>
                </w:p>
              </w:tc>
              <w:tc>
                <w:tcPr>
                  <w:tcW w:w="2162" w:type="pct"/>
                  <w:tcBorders>
                    <w:tl2br w:val="nil"/>
                    <w:tr2bl w:val="nil"/>
                  </w:tcBorders>
                  <w:noWrap w:val="0"/>
                  <w:vAlign w:val="center"/>
                </w:tcPr>
                <w:p w14:paraId="598FEF5A">
                  <w:pPr>
                    <w:jc w:val="center"/>
                    <w:rPr>
                      <w:rFonts w:hint="eastAsia"/>
                      <w:color w:val="auto"/>
                      <w:sz w:val="21"/>
                      <w:szCs w:val="21"/>
                    </w:rPr>
                  </w:pPr>
                  <w:r>
                    <w:rPr>
                      <w:rFonts w:hint="eastAsia"/>
                      <w:color w:val="auto"/>
                      <w:sz w:val="21"/>
                      <w:szCs w:val="21"/>
                      <w:lang w:val="en-US" w:eastAsia="zh-CN"/>
                    </w:rPr>
                    <w:t>18</w:t>
                  </w:r>
                  <w:r>
                    <w:rPr>
                      <w:rFonts w:hint="eastAsia"/>
                      <w:color w:val="auto"/>
                      <w:sz w:val="21"/>
                      <w:szCs w:val="21"/>
                    </w:rPr>
                    <w:t>m</w:t>
                  </w:r>
                </w:p>
              </w:tc>
            </w:tr>
            <w:tr w14:paraId="1F23B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7" w:type="pct"/>
                  <w:tcBorders>
                    <w:tl2br w:val="nil"/>
                    <w:tr2bl w:val="nil"/>
                  </w:tcBorders>
                  <w:noWrap w:val="0"/>
                  <w:vAlign w:val="center"/>
                </w:tcPr>
                <w:p w14:paraId="3DA0F729">
                  <w:pPr>
                    <w:jc w:val="center"/>
                    <w:rPr>
                      <w:rFonts w:hint="eastAsia"/>
                      <w:color w:val="auto"/>
                      <w:sz w:val="21"/>
                      <w:szCs w:val="21"/>
                    </w:rPr>
                  </w:pPr>
                  <w:r>
                    <w:rPr>
                      <w:rFonts w:hint="eastAsia"/>
                      <w:color w:val="auto"/>
                      <w:sz w:val="21"/>
                      <w:szCs w:val="21"/>
                    </w:rPr>
                    <w:t>回路</w:t>
                  </w:r>
                </w:p>
              </w:tc>
              <w:tc>
                <w:tcPr>
                  <w:tcW w:w="2040" w:type="pct"/>
                  <w:tcBorders>
                    <w:tl2br w:val="nil"/>
                    <w:tr2bl w:val="nil"/>
                  </w:tcBorders>
                  <w:noWrap w:val="0"/>
                  <w:vAlign w:val="center"/>
                </w:tcPr>
                <w:p w14:paraId="014D9D3E">
                  <w:pPr>
                    <w:jc w:val="center"/>
                    <w:rPr>
                      <w:rFonts w:hint="eastAsia"/>
                      <w:color w:val="auto"/>
                      <w:sz w:val="21"/>
                      <w:szCs w:val="21"/>
                    </w:rPr>
                  </w:pPr>
                  <w:r>
                    <w:rPr>
                      <w:rFonts w:hint="eastAsia"/>
                      <w:color w:val="auto"/>
                      <w:sz w:val="21"/>
                      <w:szCs w:val="21"/>
                      <w:lang w:val="en-US" w:eastAsia="zh-CN"/>
                    </w:rPr>
                    <w:t>同塔双回路、单回路架设</w:t>
                  </w:r>
                </w:p>
              </w:tc>
              <w:tc>
                <w:tcPr>
                  <w:tcW w:w="2162" w:type="pct"/>
                  <w:tcBorders>
                    <w:tl2br w:val="nil"/>
                    <w:tr2bl w:val="nil"/>
                  </w:tcBorders>
                  <w:noWrap w:val="0"/>
                  <w:vAlign w:val="center"/>
                </w:tcPr>
                <w:p w14:paraId="0551C4D8">
                  <w:pPr>
                    <w:jc w:val="center"/>
                    <w:rPr>
                      <w:rFonts w:hint="eastAsia"/>
                      <w:color w:val="auto"/>
                      <w:sz w:val="21"/>
                      <w:szCs w:val="21"/>
                    </w:rPr>
                  </w:pPr>
                  <w:r>
                    <w:rPr>
                      <w:rFonts w:hint="eastAsia"/>
                      <w:color w:val="auto"/>
                      <w:sz w:val="21"/>
                      <w:szCs w:val="21"/>
                      <w:lang w:val="en-US" w:eastAsia="zh-CN"/>
                    </w:rPr>
                    <w:t>同塔双回路、单回路架设</w:t>
                  </w:r>
                </w:p>
              </w:tc>
            </w:tr>
            <w:tr w14:paraId="2CC72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7" w:type="pct"/>
                  <w:tcBorders>
                    <w:tl2br w:val="nil"/>
                    <w:tr2bl w:val="nil"/>
                  </w:tcBorders>
                  <w:noWrap w:val="0"/>
                  <w:vAlign w:val="center"/>
                </w:tcPr>
                <w:p w14:paraId="61ACD85D">
                  <w:pPr>
                    <w:jc w:val="center"/>
                    <w:rPr>
                      <w:rFonts w:hint="eastAsia"/>
                      <w:color w:val="auto"/>
                      <w:sz w:val="21"/>
                      <w:szCs w:val="21"/>
                    </w:rPr>
                  </w:pPr>
                  <w:r>
                    <w:rPr>
                      <w:rFonts w:hint="eastAsia"/>
                      <w:color w:val="auto"/>
                      <w:sz w:val="21"/>
                      <w:szCs w:val="21"/>
                    </w:rPr>
                    <w:t>环境条件</w:t>
                  </w:r>
                </w:p>
              </w:tc>
              <w:tc>
                <w:tcPr>
                  <w:tcW w:w="2040" w:type="pct"/>
                  <w:tcBorders>
                    <w:tl2br w:val="nil"/>
                    <w:tr2bl w:val="nil"/>
                  </w:tcBorders>
                  <w:noWrap w:val="0"/>
                  <w:vAlign w:val="center"/>
                </w:tcPr>
                <w:p w14:paraId="51A639D5">
                  <w:pPr>
                    <w:jc w:val="center"/>
                    <w:rPr>
                      <w:rFonts w:hint="eastAsia" w:eastAsia="宋体"/>
                      <w:color w:val="auto"/>
                      <w:sz w:val="21"/>
                      <w:szCs w:val="21"/>
                      <w:lang w:val="en-US" w:eastAsia="zh-CN"/>
                    </w:rPr>
                  </w:pPr>
                  <w:r>
                    <w:rPr>
                      <w:rFonts w:hint="eastAsia"/>
                      <w:color w:val="auto"/>
                      <w:sz w:val="21"/>
                      <w:szCs w:val="21"/>
                      <w:lang w:val="en-US" w:eastAsia="zh-CN"/>
                    </w:rPr>
                    <w:t>新疆、哈密、平原</w:t>
                  </w:r>
                </w:p>
              </w:tc>
              <w:tc>
                <w:tcPr>
                  <w:tcW w:w="2162" w:type="pct"/>
                  <w:tcBorders>
                    <w:tl2br w:val="nil"/>
                    <w:tr2bl w:val="nil"/>
                  </w:tcBorders>
                  <w:noWrap w:val="0"/>
                  <w:vAlign w:val="center"/>
                </w:tcPr>
                <w:p w14:paraId="14686828">
                  <w:pPr>
                    <w:jc w:val="center"/>
                    <w:rPr>
                      <w:rFonts w:hint="eastAsia" w:eastAsia="宋体"/>
                      <w:color w:val="auto"/>
                      <w:sz w:val="21"/>
                      <w:szCs w:val="21"/>
                      <w:lang w:eastAsia="zh-CN"/>
                    </w:rPr>
                  </w:pPr>
                  <w:r>
                    <w:rPr>
                      <w:rFonts w:hint="eastAsia"/>
                      <w:color w:val="auto"/>
                      <w:sz w:val="21"/>
                      <w:szCs w:val="21"/>
                      <w:lang w:val="en-US" w:eastAsia="zh-CN"/>
                    </w:rPr>
                    <w:t>新疆、巴州、山区</w:t>
                  </w:r>
                </w:p>
              </w:tc>
            </w:tr>
            <w:tr w14:paraId="0DBB29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97" w:type="pct"/>
                  <w:tcBorders>
                    <w:tl2br w:val="nil"/>
                    <w:tr2bl w:val="nil"/>
                  </w:tcBorders>
                  <w:noWrap w:val="0"/>
                  <w:vAlign w:val="center"/>
                </w:tcPr>
                <w:p w14:paraId="4D02B178">
                  <w:pPr>
                    <w:jc w:val="center"/>
                    <w:rPr>
                      <w:rFonts w:hint="eastAsia"/>
                      <w:color w:val="auto"/>
                      <w:sz w:val="21"/>
                      <w:szCs w:val="21"/>
                    </w:rPr>
                  </w:pPr>
                  <w:r>
                    <w:rPr>
                      <w:rFonts w:hint="eastAsia"/>
                      <w:color w:val="auto"/>
                      <w:sz w:val="21"/>
                      <w:szCs w:val="21"/>
                    </w:rPr>
                    <w:t>运行工况</w:t>
                  </w:r>
                </w:p>
              </w:tc>
              <w:tc>
                <w:tcPr>
                  <w:tcW w:w="2040" w:type="pct"/>
                  <w:tcBorders>
                    <w:tl2br w:val="nil"/>
                    <w:tr2bl w:val="nil"/>
                  </w:tcBorders>
                  <w:noWrap w:val="0"/>
                  <w:vAlign w:val="center"/>
                </w:tcPr>
                <w:p w14:paraId="0743D6A3">
                  <w:pPr>
                    <w:jc w:val="center"/>
                    <w:rPr>
                      <w:rFonts w:hint="default" w:eastAsia="宋体"/>
                      <w:color w:val="auto"/>
                      <w:sz w:val="21"/>
                      <w:szCs w:val="21"/>
                      <w:lang w:val="en-US" w:eastAsia="zh-CN"/>
                    </w:rPr>
                  </w:pPr>
                  <w:r>
                    <w:rPr>
                      <w:rFonts w:hint="eastAsia"/>
                      <w:color w:val="auto"/>
                      <w:sz w:val="21"/>
                      <w:szCs w:val="21"/>
                    </w:rPr>
                    <w:t>运行电压等级110kV</w:t>
                  </w:r>
                </w:p>
              </w:tc>
              <w:tc>
                <w:tcPr>
                  <w:tcW w:w="2162" w:type="pct"/>
                  <w:tcBorders>
                    <w:tl2br w:val="nil"/>
                    <w:tr2bl w:val="nil"/>
                  </w:tcBorders>
                  <w:noWrap w:val="0"/>
                  <w:vAlign w:val="center"/>
                </w:tcPr>
                <w:p w14:paraId="52CCE255">
                  <w:pPr>
                    <w:jc w:val="center"/>
                    <w:rPr>
                      <w:rFonts w:hint="eastAsia"/>
                      <w:color w:val="auto"/>
                      <w:sz w:val="21"/>
                      <w:szCs w:val="21"/>
                    </w:rPr>
                  </w:pPr>
                  <w:r>
                    <w:rPr>
                      <w:rFonts w:hint="eastAsia"/>
                      <w:color w:val="auto"/>
                      <w:sz w:val="21"/>
                      <w:szCs w:val="21"/>
                    </w:rPr>
                    <w:t>运行电压等级110kV</w:t>
                  </w:r>
                </w:p>
              </w:tc>
            </w:tr>
          </w:tbl>
          <w:p w14:paraId="60B0AA9E">
            <w:pPr>
              <w:keepNext w:val="0"/>
              <w:keepLines w:val="0"/>
              <w:pageBreakBefore w:val="0"/>
              <w:widowControl w:val="0"/>
              <w:tabs>
                <w:tab w:val="left" w:pos="8814"/>
              </w:tabs>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由表4-</w:t>
            </w:r>
            <w:r>
              <w:rPr>
                <w:rFonts w:hint="eastAsia" w:cs="Times New Roman"/>
                <w:bCs/>
                <w:color w:val="auto"/>
                <w:kern w:val="2"/>
                <w:sz w:val="24"/>
                <w:szCs w:val="24"/>
                <w:lang w:val="en-US" w:eastAsia="zh-CN" w:bidi="ar-SA"/>
              </w:rPr>
              <w:t>2</w:t>
            </w:r>
            <w:r>
              <w:rPr>
                <w:rFonts w:hint="eastAsia" w:ascii="Times New Roman" w:hAnsi="Times New Roman" w:eastAsia="宋体" w:cs="Times New Roman"/>
                <w:bCs/>
                <w:color w:val="auto"/>
                <w:kern w:val="2"/>
                <w:sz w:val="24"/>
                <w:szCs w:val="24"/>
                <w:lang w:val="en-US" w:eastAsia="zh-CN" w:bidi="ar-SA"/>
              </w:rPr>
              <w:t>对比分析，选取的类比线路电压等级、</w:t>
            </w:r>
            <w:r>
              <w:rPr>
                <w:rFonts w:hint="eastAsia" w:cs="Times New Roman"/>
                <w:bCs/>
                <w:color w:val="auto"/>
                <w:kern w:val="2"/>
                <w:sz w:val="24"/>
                <w:szCs w:val="24"/>
                <w:lang w:val="en-US" w:eastAsia="zh-CN" w:bidi="ar-SA"/>
              </w:rPr>
              <w:t>排列方式、架设</w:t>
            </w:r>
            <w:r>
              <w:rPr>
                <w:rFonts w:hint="eastAsia" w:ascii="Times New Roman" w:hAnsi="Times New Roman" w:eastAsia="宋体" w:cs="Times New Roman"/>
                <w:bCs/>
                <w:color w:val="auto"/>
                <w:kern w:val="2"/>
                <w:sz w:val="24"/>
                <w:szCs w:val="24"/>
                <w:lang w:val="en-US" w:eastAsia="zh-CN" w:bidi="ar-SA"/>
              </w:rPr>
              <w:t>方式等与本项目线路基本一致，监测期间类比线路运行正常，故本次环评浦类海巴里坤三塘湖风电场一期49.5MW项目配套110kV送出工程作为线路类比对象是可行的。</w:t>
            </w:r>
          </w:p>
          <w:p w14:paraId="3E634519">
            <w:pPr>
              <w:keepNext w:val="0"/>
              <w:keepLines w:val="0"/>
              <w:pageBreakBefore w:val="0"/>
              <w:widowControl w:val="0"/>
              <w:tabs>
                <w:tab w:val="left" w:pos="8814"/>
              </w:tabs>
              <w:kinsoku/>
              <w:wordWrap/>
              <w:overflowPunct/>
              <w:topLinePunct w:val="0"/>
              <w:autoSpaceDE/>
              <w:autoSpaceDN/>
              <w:bidi w:val="0"/>
              <w:adjustRightInd/>
              <w:snapToGrid/>
              <w:spacing w:line="480" w:lineRule="exact"/>
              <w:ind w:firstLine="482" w:firstLineChars="200"/>
              <w:textAlignment w:val="auto"/>
              <w:rPr>
                <w:rFonts w:hint="eastAsia" w:ascii="Times New Roman" w:hAnsi="Times New Roman" w:eastAsia="宋体"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3.1.2</w:t>
            </w:r>
            <w:r>
              <w:rPr>
                <w:rFonts w:hint="eastAsia" w:ascii="Times New Roman" w:hAnsi="Times New Roman" w:eastAsia="宋体" w:cs="Times New Roman"/>
                <w:b/>
                <w:bCs w:val="0"/>
                <w:color w:val="auto"/>
                <w:kern w:val="2"/>
                <w:sz w:val="24"/>
                <w:szCs w:val="24"/>
                <w:lang w:val="en-US" w:eastAsia="zh-CN" w:bidi="ar-SA"/>
              </w:rPr>
              <w:t xml:space="preserve"> 监测结果</w:t>
            </w:r>
          </w:p>
          <w:p w14:paraId="3F460D72">
            <w:pPr>
              <w:keepNext w:val="0"/>
              <w:keepLines w:val="0"/>
              <w:pageBreakBefore w:val="0"/>
              <w:widowControl w:val="0"/>
              <w:tabs>
                <w:tab w:val="left" w:pos="8814"/>
              </w:tabs>
              <w:kinsoku/>
              <w:wordWrap/>
              <w:overflowPunct/>
              <w:topLinePunct w:val="0"/>
              <w:autoSpaceDE/>
              <w:autoSpaceDN/>
              <w:bidi w:val="0"/>
              <w:adjustRightInd/>
              <w:snapToGrid/>
              <w:spacing w:line="480" w:lineRule="exact"/>
              <w:ind w:firstLine="480" w:firstLineChars="200"/>
              <w:textAlignment w:val="auto"/>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浦类海巴里坤三塘湖风电场一期49.5MW项目配套110kV送出工程</w:t>
            </w:r>
            <w:r>
              <w:rPr>
                <w:rFonts w:hint="eastAsia" w:ascii="Times New Roman" w:hAnsi="Times New Roman" w:eastAsia="宋体" w:cs="Times New Roman"/>
                <w:bCs/>
                <w:color w:val="auto"/>
                <w:kern w:val="2"/>
                <w:sz w:val="24"/>
                <w:szCs w:val="24"/>
                <w:lang w:val="en-US" w:eastAsia="zh-CN" w:bidi="ar-SA"/>
              </w:rPr>
              <w:t>噪声测试结果见表4-</w:t>
            </w:r>
            <w:r>
              <w:rPr>
                <w:rFonts w:hint="eastAsia" w:cs="Times New Roman"/>
                <w:bCs/>
                <w:color w:val="auto"/>
                <w:kern w:val="2"/>
                <w:sz w:val="24"/>
                <w:szCs w:val="24"/>
                <w:lang w:val="en-US" w:eastAsia="zh-CN" w:bidi="ar-SA"/>
              </w:rPr>
              <w:t>4</w:t>
            </w:r>
            <w:r>
              <w:rPr>
                <w:rFonts w:hint="eastAsia" w:ascii="Times New Roman" w:hAnsi="Times New Roman" w:eastAsia="宋体" w:cs="Times New Roman"/>
                <w:bCs/>
                <w:color w:val="auto"/>
                <w:kern w:val="2"/>
                <w:sz w:val="24"/>
                <w:szCs w:val="24"/>
                <w:lang w:val="en-US" w:eastAsia="zh-CN" w:bidi="ar-SA"/>
              </w:rPr>
              <w:t>。</w:t>
            </w:r>
          </w:p>
          <w:p w14:paraId="1B6EB8B9">
            <w:pPr>
              <w:keepNext w:val="0"/>
              <w:keepLines w:val="0"/>
              <w:pageBreakBefore w:val="0"/>
              <w:widowControl w:val="0"/>
              <w:tabs>
                <w:tab w:val="left" w:pos="8814"/>
              </w:tabs>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val="0"/>
                <w:color w:val="auto"/>
                <w:kern w:val="2"/>
                <w:sz w:val="24"/>
                <w:szCs w:val="24"/>
                <w:lang w:val="en-US" w:eastAsia="zh-CN" w:bidi="ar-SA"/>
              </w:rPr>
            </w:pPr>
            <w:r>
              <w:rPr>
                <w:rFonts w:hint="eastAsia" w:ascii="Times New Roman" w:hAnsi="Times New Roman" w:eastAsia="宋体" w:cs="Times New Roman"/>
                <w:b/>
                <w:bCs w:val="0"/>
                <w:color w:val="auto"/>
                <w:kern w:val="2"/>
                <w:sz w:val="24"/>
                <w:szCs w:val="24"/>
                <w:lang w:val="en-US" w:eastAsia="zh-CN" w:bidi="ar-SA"/>
              </w:rPr>
              <w:t>表4-</w:t>
            </w:r>
            <w:r>
              <w:rPr>
                <w:rFonts w:hint="eastAsia" w:cs="Times New Roman"/>
                <w:b/>
                <w:bCs w:val="0"/>
                <w:color w:val="auto"/>
                <w:kern w:val="2"/>
                <w:sz w:val="24"/>
                <w:szCs w:val="24"/>
                <w:lang w:val="en-US" w:eastAsia="zh-CN" w:bidi="ar-SA"/>
              </w:rPr>
              <w:t>4</w:t>
            </w:r>
            <w:r>
              <w:rPr>
                <w:rFonts w:hint="eastAsia" w:ascii="Times New Roman" w:hAnsi="Times New Roman" w:eastAsia="宋体" w:cs="Times New Roman"/>
                <w:b/>
                <w:bCs w:val="0"/>
                <w:color w:val="auto"/>
                <w:kern w:val="2"/>
                <w:sz w:val="24"/>
                <w:szCs w:val="24"/>
                <w:lang w:val="en-US" w:eastAsia="zh-CN" w:bidi="ar-SA"/>
              </w:rPr>
              <w:t xml:space="preserve">     </w:t>
            </w:r>
            <w:r>
              <w:rPr>
                <w:rFonts w:hint="eastAsia" w:cs="Times New Roman"/>
                <w:b/>
                <w:bCs w:val="0"/>
                <w:color w:val="auto"/>
                <w:kern w:val="2"/>
                <w:sz w:val="24"/>
                <w:szCs w:val="24"/>
                <w:lang w:val="en-US" w:eastAsia="zh-CN" w:bidi="ar-SA"/>
              </w:rPr>
              <w:t>线路断面</w:t>
            </w:r>
            <w:r>
              <w:rPr>
                <w:rFonts w:hint="eastAsia" w:ascii="Times New Roman" w:hAnsi="Times New Roman" w:eastAsia="宋体" w:cs="Times New Roman"/>
                <w:b/>
                <w:bCs w:val="0"/>
                <w:color w:val="auto"/>
                <w:kern w:val="2"/>
                <w:sz w:val="24"/>
                <w:szCs w:val="24"/>
                <w:lang w:val="en-US" w:eastAsia="zh-CN" w:bidi="ar-SA"/>
              </w:rPr>
              <w:t>噪声监测结果</w:t>
            </w:r>
            <w:r>
              <w:rPr>
                <w:rFonts w:hint="eastAsia" w:cs="Times New Roman"/>
                <w:b/>
                <w:bCs w:val="0"/>
                <w:color w:val="auto"/>
                <w:kern w:val="2"/>
                <w:sz w:val="24"/>
                <w:szCs w:val="24"/>
                <w:lang w:val="en-US" w:eastAsia="zh-CN" w:bidi="ar-SA"/>
              </w:rPr>
              <w:t>一览表</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909"/>
              <w:gridCol w:w="1226"/>
              <w:gridCol w:w="1673"/>
              <w:gridCol w:w="1318"/>
              <w:gridCol w:w="909"/>
              <w:gridCol w:w="910"/>
            </w:tblGrid>
            <w:tr w14:paraId="199E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pct"/>
                  <w:vMerge w:val="restart"/>
                  <w:noWrap w:val="0"/>
                  <w:vAlign w:val="center"/>
                </w:tcPr>
                <w:p w14:paraId="10A9B514">
                  <w:pPr>
                    <w:pStyle w:val="35"/>
                    <w:bidi w:val="0"/>
                    <w:jc w:val="center"/>
                    <w:rPr>
                      <w:rFonts w:hint="default"/>
                      <w:lang w:val="en-US" w:eastAsia="zh-CN"/>
                    </w:rPr>
                  </w:pPr>
                  <w:r>
                    <w:rPr>
                      <w:rFonts w:hint="eastAsia"/>
                      <w:lang w:val="en-US" w:eastAsia="zh-CN"/>
                    </w:rPr>
                    <w:t>名称</w:t>
                  </w:r>
                </w:p>
              </w:tc>
              <w:tc>
                <w:tcPr>
                  <w:tcW w:w="558" w:type="pct"/>
                  <w:vMerge w:val="restart"/>
                  <w:noWrap w:val="0"/>
                  <w:vAlign w:val="center"/>
                </w:tcPr>
                <w:p w14:paraId="1BEA74A6">
                  <w:pPr>
                    <w:pStyle w:val="35"/>
                    <w:bidi w:val="0"/>
                    <w:jc w:val="center"/>
                    <w:rPr>
                      <w:rFonts w:hint="default"/>
                      <w:lang w:val="en-US" w:eastAsia="zh-CN"/>
                    </w:rPr>
                  </w:pPr>
                  <w:r>
                    <w:rPr>
                      <w:rFonts w:hint="eastAsia"/>
                      <w:lang w:val="en-US" w:eastAsia="zh-CN"/>
                    </w:rPr>
                    <w:t>监测点名称</w:t>
                  </w:r>
                </w:p>
              </w:tc>
              <w:tc>
                <w:tcPr>
                  <w:tcW w:w="753" w:type="pct"/>
                  <w:vMerge w:val="restart"/>
                  <w:noWrap w:val="0"/>
                  <w:vAlign w:val="center"/>
                </w:tcPr>
                <w:p w14:paraId="744014EA">
                  <w:pPr>
                    <w:pStyle w:val="35"/>
                    <w:bidi w:val="0"/>
                    <w:jc w:val="center"/>
                    <w:rPr>
                      <w:rFonts w:hint="default"/>
                      <w:lang w:val="en-US" w:eastAsia="zh-CN"/>
                    </w:rPr>
                  </w:pPr>
                  <w:r>
                    <w:rPr>
                      <w:rFonts w:hint="eastAsia"/>
                      <w:lang w:val="en-US" w:eastAsia="zh-CN"/>
                    </w:rPr>
                    <w:t>杆塔号</w:t>
                  </w:r>
                </w:p>
              </w:tc>
              <w:tc>
                <w:tcPr>
                  <w:tcW w:w="1028" w:type="pct"/>
                  <w:vMerge w:val="restart"/>
                  <w:noWrap w:val="0"/>
                  <w:vAlign w:val="center"/>
                </w:tcPr>
                <w:p w14:paraId="3B56944D">
                  <w:pPr>
                    <w:pStyle w:val="35"/>
                    <w:bidi w:val="0"/>
                    <w:jc w:val="center"/>
                    <w:rPr>
                      <w:rFonts w:hint="default"/>
                      <w:lang w:val="en-US" w:eastAsia="zh-CN"/>
                    </w:rPr>
                  </w:pPr>
                  <w:r>
                    <w:rPr>
                      <w:rFonts w:hint="eastAsia"/>
                      <w:lang w:val="en-US" w:eastAsia="zh-CN"/>
                    </w:rPr>
                    <w:t>导线至监测点距离</w:t>
                  </w:r>
                </w:p>
              </w:tc>
              <w:tc>
                <w:tcPr>
                  <w:tcW w:w="809" w:type="pct"/>
                  <w:vMerge w:val="restart"/>
                  <w:noWrap w:val="0"/>
                  <w:vAlign w:val="center"/>
                </w:tcPr>
                <w:p w14:paraId="21970A5A">
                  <w:pPr>
                    <w:pStyle w:val="35"/>
                    <w:bidi w:val="0"/>
                    <w:jc w:val="center"/>
                    <w:rPr>
                      <w:rFonts w:hint="default"/>
                      <w:lang w:val="en-US" w:eastAsia="zh-CN"/>
                    </w:rPr>
                  </w:pPr>
                  <w:r>
                    <w:rPr>
                      <w:rFonts w:hint="eastAsia"/>
                      <w:lang w:val="en-US" w:eastAsia="zh-CN"/>
                    </w:rPr>
                    <w:t>测量高度（m）</w:t>
                  </w:r>
                </w:p>
              </w:tc>
              <w:tc>
                <w:tcPr>
                  <w:tcW w:w="1117" w:type="pct"/>
                  <w:gridSpan w:val="2"/>
                  <w:noWrap w:val="0"/>
                  <w:vAlign w:val="center"/>
                </w:tcPr>
                <w:p w14:paraId="123D6C3A">
                  <w:pPr>
                    <w:pStyle w:val="35"/>
                    <w:bidi w:val="0"/>
                    <w:jc w:val="center"/>
                    <w:rPr>
                      <w:rFonts w:hint="default"/>
                      <w:lang w:val="en-US" w:eastAsia="zh-CN"/>
                    </w:rPr>
                  </w:pPr>
                  <w:r>
                    <w:rPr>
                      <w:rFonts w:hint="eastAsia"/>
                      <w:lang w:val="en-US" w:eastAsia="zh-CN"/>
                    </w:rPr>
                    <w:t>现状值（LAeq：dB）</w:t>
                  </w:r>
                </w:p>
              </w:tc>
            </w:tr>
            <w:tr w14:paraId="10FC0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pct"/>
                  <w:vMerge w:val="continue"/>
                  <w:noWrap w:val="0"/>
                  <w:vAlign w:val="center"/>
                </w:tcPr>
                <w:p w14:paraId="09E010A1">
                  <w:pPr>
                    <w:pStyle w:val="35"/>
                    <w:bidi w:val="0"/>
                    <w:jc w:val="center"/>
                    <w:rPr>
                      <w:rFonts w:hint="default"/>
                      <w:lang w:val="en-US" w:eastAsia="zh-CN"/>
                    </w:rPr>
                  </w:pPr>
                </w:p>
              </w:tc>
              <w:tc>
                <w:tcPr>
                  <w:tcW w:w="558" w:type="pct"/>
                  <w:vMerge w:val="continue"/>
                  <w:noWrap w:val="0"/>
                  <w:vAlign w:val="center"/>
                </w:tcPr>
                <w:p w14:paraId="64B9B4AD">
                  <w:pPr>
                    <w:pStyle w:val="35"/>
                    <w:bidi w:val="0"/>
                    <w:jc w:val="center"/>
                    <w:rPr>
                      <w:rFonts w:hint="default"/>
                      <w:lang w:val="en-US" w:eastAsia="zh-CN"/>
                    </w:rPr>
                  </w:pPr>
                </w:p>
              </w:tc>
              <w:tc>
                <w:tcPr>
                  <w:tcW w:w="753" w:type="pct"/>
                  <w:vMerge w:val="continue"/>
                  <w:noWrap w:val="0"/>
                  <w:vAlign w:val="center"/>
                </w:tcPr>
                <w:p w14:paraId="189BF964">
                  <w:pPr>
                    <w:pStyle w:val="35"/>
                    <w:bidi w:val="0"/>
                    <w:jc w:val="center"/>
                    <w:rPr>
                      <w:rFonts w:hint="default"/>
                      <w:lang w:val="en-US" w:eastAsia="zh-CN"/>
                    </w:rPr>
                  </w:pPr>
                </w:p>
              </w:tc>
              <w:tc>
                <w:tcPr>
                  <w:tcW w:w="1028" w:type="pct"/>
                  <w:vMerge w:val="continue"/>
                  <w:noWrap w:val="0"/>
                  <w:vAlign w:val="center"/>
                </w:tcPr>
                <w:p w14:paraId="187AFBBC">
                  <w:pPr>
                    <w:pStyle w:val="35"/>
                    <w:bidi w:val="0"/>
                    <w:jc w:val="center"/>
                    <w:rPr>
                      <w:rFonts w:hint="default"/>
                      <w:lang w:val="en-US" w:eastAsia="zh-CN"/>
                    </w:rPr>
                  </w:pPr>
                </w:p>
              </w:tc>
              <w:tc>
                <w:tcPr>
                  <w:tcW w:w="809" w:type="pct"/>
                  <w:vMerge w:val="continue"/>
                  <w:noWrap w:val="0"/>
                  <w:vAlign w:val="center"/>
                </w:tcPr>
                <w:p w14:paraId="1827C11E">
                  <w:pPr>
                    <w:pStyle w:val="35"/>
                    <w:bidi w:val="0"/>
                    <w:jc w:val="center"/>
                    <w:rPr>
                      <w:rFonts w:hint="default"/>
                      <w:lang w:val="en-US" w:eastAsia="zh-CN"/>
                    </w:rPr>
                  </w:pPr>
                </w:p>
              </w:tc>
              <w:tc>
                <w:tcPr>
                  <w:tcW w:w="558" w:type="pct"/>
                  <w:noWrap w:val="0"/>
                  <w:vAlign w:val="center"/>
                </w:tcPr>
                <w:p w14:paraId="11A642AC">
                  <w:pPr>
                    <w:pStyle w:val="35"/>
                    <w:bidi w:val="0"/>
                    <w:jc w:val="center"/>
                    <w:rPr>
                      <w:rFonts w:hint="default"/>
                      <w:lang w:val="en-US" w:eastAsia="zh-CN"/>
                    </w:rPr>
                  </w:pPr>
                  <w:r>
                    <w:rPr>
                      <w:rFonts w:hint="eastAsia"/>
                      <w:lang w:val="en-US" w:eastAsia="zh-CN"/>
                    </w:rPr>
                    <w:t>昼间</w:t>
                  </w:r>
                </w:p>
              </w:tc>
              <w:tc>
                <w:tcPr>
                  <w:tcW w:w="559" w:type="pct"/>
                  <w:noWrap w:val="0"/>
                  <w:vAlign w:val="center"/>
                </w:tcPr>
                <w:p w14:paraId="485ADBEB">
                  <w:pPr>
                    <w:pStyle w:val="35"/>
                    <w:bidi w:val="0"/>
                    <w:jc w:val="center"/>
                    <w:rPr>
                      <w:rFonts w:hint="default"/>
                      <w:lang w:val="en-US" w:eastAsia="zh-CN"/>
                    </w:rPr>
                  </w:pPr>
                  <w:r>
                    <w:rPr>
                      <w:rFonts w:hint="eastAsia"/>
                      <w:lang w:val="en-US" w:eastAsia="zh-CN"/>
                    </w:rPr>
                    <w:t>夜间</w:t>
                  </w:r>
                </w:p>
              </w:tc>
            </w:tr>
            <w:tr w14:paraId="720A4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pct"/>
                  <w:vMerge w:val="restart"/>
                  <w:noWrap w:val="0"/>
                  <w:vAlign w:val="center"/>
                </w:tcPr>
                <w:p w14:paraId="0C3920CD">
                  <w:pPr>
                    <w:pStyle w:val="35"/>
                    <w:bidi w:val="0"/>
                    <w:jc w:val="center"/>
                    <w:rPr>
                      <w:rFonts w:hint="default"/>
                      <w:lang w:val="en-US" w:eastAsia="zh-CN"/>
                    </w:rPr>
                  </w:pPr>
                  <w:r>
                    <w:rPr>
                      <w:rFonts w:hint="default"/>
                      <w:lang w:val="en-US" w:eastAsia="zh-CN"/>
                    </w:rPr>
                    <w:t>蒲麻风一线</w:t>
                  </w:r>
                </w:p>
              </w:tc>
              <w:tc>
                <w:tcPr>
                  <w:tcW w:w="558" w:type="pct"/>
                  <w:vMerge w:val="restart"/>
                  <w:noWrap w:val="0"/>
                  <w:vAlign w:val="center"/>
                </w:tcPr>
                <w:p w14:paraId="6CAB056E">
                  <w:pPr>
                    <w:pStyle w:val="35"/>
                    <w:bidi w:val="0"/>
                    <w:jc w:val="center"/>
                    <w:rPr>
                      <w:rFonts w:hint="default"/>
                      <w:lang w:val="en-US" w:eastAsia="zh-CN"/>
                    </w:rPr>
                  </w:pPr>
                  <w:r>
                    <w:rPr>
                      <w:rFonts w:hint="eastAsia"/>
                      <w:lang w:val="en-US" w:eastAsia="zh-CN"/>
                    </w:rPr>
                    <w:t>断面</w:t>
                  </w:r>
                </w:p>
              </w:tc>
              <w:tc>
                <w:tcPr>
                  <w:tcW w:w="753" w:type="pct"/>
                  <w:vMerge w:val="restart"/>
                  <w:noWrap w:val="0"/>
                  <w:vAlign w:val="center"/>
                </w:tcPr>
                <w:p w14:paraId="1AE5449D">
                  <w:pPr>
                    <w:pStyle w:val="35"/>
                    <w:bidi w:val="0"/>
                    <w:jc w:val="center"/>
                    <w:rPr>
                      <w:rFonts w:hint="default"/>
                      <w:lang w:val="en-US" w:eastAsia="zh-CN"/>
                    </w:rPr>
                  </w:pPr>
                  <w:r>
                    <w:rPr>
                      <w:rFonts w:hint="eastAsia"/>
                      <w:lang w:val="en-US" w:eastAsia="zh-CN"/>
                    </w:rPr>
                    <w:t>7#-8#杆塔</w:t>
                  </w:r>
                </w:p>
              </w:tc>
              <w:tc>
                <w:tcPr>
                  <w:tcW w:w="1028" w:type="pct"/>
                  <w:noWrap w:val="0"/>
                  <w:vAlign w:val="center"/>
                </w:tcPr>
                <w:p w14:paraId="44B1B985">
                  <w:pPr>
                    <w:pStyle w:val="35"/>
                    <w:bidi w:val="0"/>
                    <w:jc w:val="center"/>
                    <w:rPr>
                      <w:rFonts w:hint="default"/>
                      <w:lang w:val="en-US" w:eastAsia="zh-CN"/>
                    </w:rPr>
                  </w:pPr>
                  <w:r>
                    <w:rPr>
                      <w:rFonts w:hint="eastAsia"/>
                      <w:lang w:val="en-US" w:eastAsia="zh-CN"/>
                    </w:rPr>
                    <w:t>中相导线正下方投影处</w:t>
                  </w:r>
                </w:p>
              </w:tc>
              <w:tc>
                <w:tcPr>
                  <w:tcW w:w="809" w:type="pct"/>
                  <w:noWrap w:val="0"/>
                  <w:vAlign w:val="center"/>
                </w:tcPr>
                <w:p w14:paraId="0DF096A2">
                  <w:pPr>
                    <w:pStyle w:val="35"/>
                    <w:bidi w:val="0"/>
                    <w:jc w:val="center"/>
                    <w:rPr>
                      <w:rFonts w:hint="default"/>
                      <w:lang w:val="en-US" w:eastAsia="zh-CN"/>
                    </w:rPr>
                  </w:pPr>
                  <w:r>
                    <w:rPr>
                      <w:rFonts w:hint="eastAsia"/>
                      <w:lang w:val="en-US" w:eastAsia="zh-CN"/>
                    </w:rPr>
                    <w:t>1.5</w:t>
                  </w:r>
                </w:p>
              </w:tc>
              <w:tc>
                <w:tcPr>
                  <w:tcW w:w="558" w:type="pct"/>
                  <w:noWrap w:val="0"/>
                  <w:vAlign w:val="center"/>
                </w:tcPr>
                <w:p w14:paraId="6B1EE14A">
                  <w:pPr>
                    <w:bidi w:val="0"/>
                    <w:jc w:val="center"/>
                    <w:rPr>
                      <w:rFonts w:hint="default"/>
                      <w:lang w:val="en-US" w:eastAsia="zh-CN"/>
                    </w:rPr>
                  </w:pPr>
                  <w:r>
                    <w:rPr>
                      <w:rFonts w:hint="eastAsia"/>
                    </w:rPr>
                    <w:t>39.0</w:t>
                  </w:r>
                </w:p>
              </w:tc>
              <w:tc>
                <w:tcPr>
                  <w:tcW w:w="559" w:type="pct"/>
                  <w:noWrap w:val="0"/>
                  <w:vAlign w:val="center"/>
                </w:tcPr>
                <w:p w14:paraId="7BEC88AC">
                  <w:pPr>
                    <w:bidi w:val="0"/>
                    <w:jc w:val="center"/>
                    <w:rPr>
                      <w:rFonts w:hint="default"/>
                      <w:lang w:val="en-US" w:eastAsia="zh-CN"/>
                    </w:rPr>
                  </w:pPr>
                  <w:r>
                    <w:rPr>
                      <w:rFonts w:hint="eastAsia"/>
                    </w:rPr>
                    <w:t>37.3</w:t>
                  </w:r>
                </w:p>
              </w:tc>
            </w:tr>
            <w:tr w14:paraId="3E9E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pct"/>
                  <w:vMerge w:val="continue"/>
                  <w:noWrap w:val="0"/>
                  <w:vAlign w:val="center"/>
                </w:tcPr>
                <w:p w14:paraId="1083C1E8">
                  <w:pPr>
                    <w:pStyle w:val="35"/>
                    <w:bidi w:val="0"/>
                    <w:jc w:val="center"/>
                    <w:rPr>
                      <w:rFonts w:hint="default"/>
                      <w:lang w:val="en-US" w:eastAsia="zh-CN"/>
                    </w:rPr>
                  </w:pPr>
                </w:p>
              </w:tc>
              <w:tc>
                <w:tcPr>
                  <w:tcW w:w="558" w:type="pct"/>
                  <w:vMerge w:val="continue"/>
                  <w:noWrap w:val="0"/>
                  <w:vAlign w:val="center"/>
                </w:tcPr>
                <w:p w14:paraId="63241BC9">
                  <w:pPr>
                    <w:pStyle w:val="35"/>
                    <w:bidi w:val="0"/>
                    <w:jc w:val="center"/>
                    <w:rPr>
                      <w:rFonts w:hint="eastAsia"/>
                      <w:lang w:val="en-US" w:eastAsia="zh-CN"/>
                    </w:rPr>
                  </w:pPr>
                </w:p>
              </w:tc>
              <w:tc>
                <w:tcPr>
                  <w:tcW w:w="753" w:type="pct"/>
                  <w:vMerge w:val="continue"/>
                  <w:noWrap w:val="0"/>
                  <w:vAlign w:val="center"/>
                </w:tcPr>
                <w:p w14:paraId="63D3BCED">
                  <w:pPr>
                    <w:pStyle w:val="35"/>
                    <w:bidi w:val="0"/>
                    <w:jc w:val="center"/>
                    <w:rPr>
                      <w:rFonts w:hint="eastAsia"/>
                      <w:lang w:val="en-US" w:eastAsia="zh-CN"/>
                    </w:rPr>
                  </w:pPr>
                </w:p>
              </w:tc>
              <w:tc>
                <w:tcPr>
                  <w:tcW w:w="1028" w:type="pct"/>
                  <w:noWrap w:val="0"/>
                  <w:vAlign w:val="center"/>
                </w:tcPr>
                <w:p w14:paraId="63F21638">
                  <w:pPr>
                    <w:pStyle w:val="35"/>
                    <w:bidi w:val="0"/>
                    <w:jc w:val="center"/>
                    <w:rPr>
                      <w:rFonts w:hint="default"/>
                      <w:lang w:val="en-US" w:eastAsia="zh-CN"/>
                    </w:rPr>
                  </w:pPr>
                  <w:r>
                    <w:rPr>
                      <w:rFonts w:hint="eastAsia"/>
                      <w:lang w:val="en-US" w:eastAsia="zh-CN"/>
                    </w:rPr>
                    <w:t>边导线对地投影点处</w:t>
                  </w:r>
                </w:p>
              </w:tc>
              <w:tc>
                <w:tcPr>
                  <w:tcW w:w="809" w:type="pct"/>
                  <w:noWrap w:val="0"/>
                  <w:vAlign w:val="center"/>
                </w:tcPr>
                <w:p w14:paraId="2A4541A8">
                  <w:pPr>
                    <w:pStyle w:val="35"/>
                    <w:bidi w:val="0"/>
                    <w:jc w:val="center"/>
                    <w:rPr>
                      <w:rFonts w:hint="default"/>
                      <w:lang w:val="en-US" w:eastAsia="zh-CN"/>
                    </w:rPr>
                  </w:pPr>
                  <w:r>
                    <w:rPr>
                      <w:rFonts w:hint="eastAsia"/>
                      <w:lang w:val="en-US" w:eastAsia="zh-CN"/>
                    </w:rPr>
                    <w:t>1.5</w:t>
                  </w:r>
                </w:p>
              </w:tc>
              <w:tc>
                <w:tcPr>
                  <w:tcW w:w="558" w:type="pct"/>
                  <w:noWrap w:val="0"/>
                  <w:vAlign w:val="center"/>
                </w:tcPr>
                <w:p w14:paraId="5B7086EE">
                  <w:pPr>
                    <w:bidi w:val="0"/>
                    <w:jc w:val="center"/>
                    <w:rPr>
                      <w:rFonts w:hint="eastAsia"/>
                    </w:rPr>
                  </w:pPr>
                  <w:r>
                    <w:rPr>
                      <w:rFonts w:hint="eastAsia"/>
                    </w:rPr>
                    <w:t>38.5</w:t>
                  </w:r>
                </w:p>
              </w:tc>
              <w:tc>
                <w:tcPr>
                  <w:tcW w:w="559" w:type="pct"/>
                  <w:noWrap w:val="0"/>
                  <w:vAlign w:val="center"/>
                </w:tcPr>
                <w:p w14:paraId="47211069">
                  <w:pPr>
                    <w:bidi w:val="0"/>
                    <w:jc w:val="center"/>
                    <w:rPr>
                      <w:rFonts w:hint="eastAsia"/>
                      <w:lang w:val="en-US" w:eastAsia="zh-CN"/>
                    </w:rPr>
                  </w:pPr>
                  <w:r>
                    <w:rPr>
                      <w:rFonts w:hint="eastAsia"/>
                    </w:rPr>
                    <w:t>37.5</w:t>
                  </w:r>
                </w:p>
              </w:tc>
            </w:tr>
            <w:tr w14:paraId="11FC6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pct"/>
                  <w:vMerge w:val="continue"/>
                  <w:noWrap w:val="0"/>
                  <w:vAlign w:val="center"/>
                </w:tcPr>
                <w:p w14:paraId="7515D864">
                  <w:pPr>
                    <w:pStyle w:val="35"/>
                    <w:bidi w:val="0"/>
                    <w:jc w:val="center"/>
                    <w:rPr>
                      <w:rFonts w:hint="default"/>
                      <w:lang w:val="en-US" w:eastAsia="zh-CN"/>
                    </w:rPr>
                  </w:pPr>
                </w:p>
              </w:tc>
              <w:tc>
                <w:tcPr>
                  <w:tcW w:w="558" w:type="pct"/>
                  <w:vMerge w:val="continue"/>
                  <w:noWrap w:val="0"/>
                  <w:vAlign w:val="center"/>
                </w:tcPr>
                <w:p w14:paraId="7C36D0DD">
                  <w:pPr>
                    <w:pStyle w:val="35"/>
                    <w:bidi w:val="0"/>
                    <w:jc w:val="center"/>
                    <w:rPr>
                      <w:rFonts w:hint="default"/>
                      <w:lang w:val="en-US" w:eastAsia="zh-CN"/>
                    </w:rPr>
                  </w:pPr>
                </w:p>
              </w:tc>
              <w:tc>
                <w:tcPr>
                  <w:tcW w:w="753" w:type="pct"/>
                  <w:vMerge w:val="continue"/>
                  <w:noWrap w:val="0"/>
                  <w:vAlign w:val="center"/>
                </w:tcPr>
                <w:p w14:paraId="27647280">
                  <w:pPr>
                    <w:pStyle w:val="35"/>
                    <w:bidi w:val="0"/>
                    <w:jc w:val="center"/>
                    <w:rPr>
                      <w:rFonts w:hint="default"/>
                      <w:lang w:val="en-US" w:eastAsia="zh-CN"/>
                    </w:rPr>
                  </w:pPr>
                </w:p>
              </w:tc>
              <w:tc>
                <w:tcPr>
                  <w:tcW w:w="1028" w:type="pct"/>
                  <w:noWrap w:val="0"/>
                  <w:vAlign w:val="center"/>
                </w:tcPr>
                <w:p w14:paraId="0F47F273">
                  <w:pPr>
                    <w:pStyle w:val="35"/>
                    <w:bidi w:val="0"/>
                    <w:jc w:val="center"/>
                    <w:rPr>
                      <w:rFonts w:hint="default"/>
                      <w:lang w:val="en-US" w:eastAsia="zh-CN"/>
                    </w:rPr>
                  </w:pPr>
                  <w:r>
                    <w:rPr>
                      <w:rFonts w:hint="eastAsia"/>
                      <w:lang w:val="en-US" w:eastAsia="zh-CN"/>
                    </w:rPr>
                    <w:t>边导线正下方投影外1m</w:t>
                  </w:r>
                </w:p>
              </w:tc>
              <w:tc>
                <w:tcPr>
                  <w:tcW w:w="809" w:type="pct"/>
                  <w:noWrap w:val="0"/>
                  <w:vAlign w:val="center"/>
                </w:tcPr>
                <w:p w14:paraId="7F11481D">
                  <w:pPr>
                    <w:pStyle w:val="35"/>
                    <w:bidi w:val="0"/>
                    <w:jc w:val="center"/>
                    <w:rPr>
                      <w:rFonts w:hint="default"/>
                      <w:lang w:val="en-US" w:eastAsia="zh-CN"/>
                    </w:rPr>
                  </w:pPr>
                  <w:r>
                    <w:rPr>
                      <w:rFonts w:hint="eastAsia"/>
                      <w:lang w:val="en-US" w:eastAsia="zh-CN"/>
                    </w:rPr>
                    <w:t>1.5</w:t>
                  </w:r>
                </w:p>
              </w:tc>
              <w:tc>
                <w:tcPr>
                  <w:tcW w:w="558" w:type="pct"/>
                  <w:noWrap w:val="0"/>
                  <w:vAlign w:val="center"/>
                </w:tcPr>
                <w:p w14:paraId="4A7FEE8D">
                  <w:pPr>
                    <w:bidi w:val="0"/>
                    <w:jc w:val="center"/>
                    <w:rPr>
                      <w:rFonts w:hint="default"/>
                      <w:lang w:val="en-US" w:eastAsia="zh-CN"/>
                    </w:rPr>
                  </w:pPr>
                  <w:r>
                    <w:rPr>
                      <w:rFonts w:hint="eastAsia"/>
                    </w:rPr>
                    <w:t>38.9</w:t>
                  </w:r>
                </w:p>
              </w:tc>
              <w:tc>
                <w:tcPr>
                  <w:tcW w:w="559" w:type="pct"/>
                  <w:noWrap w:val="0"/>
                  <w:vAlign w:val="center"/>
                </w:tcPr>
                <w:p w14:paraId="5ABB3CB6">
                  <w:pPr>
                    <w:bidi w:val="0"/>
                    <w:jc w:val="center"/>
                    <w:rPr>
                      <w:rFonts w:hint="default"/>
                      <w:lang w:val="en-US" w:eastAsia="zh-CN"/>
                    </w:rPr>
                  </w:pPr>
                  <w:r>
                    <w:rPr>
                      <w:rFonts w:hint="eastAsia"/>
                    </w:rPr>
                    <w:t>38.5</w:t>
                  </w:r>
                </w:p>
              </w:tc>
            </w:tr>
            <w:tr w14:paraId="12C48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pct"/>
                  <w:vMerge w:val="continue"/>
                  <w:noWrap w:val="0"/>
                  <w:vAlign w:val="center"/>
                </w:tcPr>
                <w:p w14:paraId="61104347">
                  <w:pPr>
                    <w:pStyle w:val="35"/>
                    <w:bidi w:val="0"/>
                    <w:jc w:val="center"/>
                    <w:rPr>
                      <w:rFonts w:hint="default"/>
                      <w:lang w:val="en-US" w:eastAsia="zh-CN"/>
                    </w:rPr>
                  </w:pPr>
                </w:p>
              </w:tc>
              <w:tc>
                <w:tcPr>
                  <w:tcW w:w="558" w:type="pct"/>
                  <w:vMerge w:val="continue"/>
                  <w:noWrap w:val="0"/>
                  <w:vAlign w:val="center"/>
                </w:tcPr>
                <w:p w14:paraId="47EA9596">
                  <w:pPr>
                    <w:pStyle w:val="35"/>
                    <w:bidi w:val="0"/>
                    <w:jc w:val="center"/>
                    <w:rPr>
                      <w:rFonts w:hint="default"/>
                      <w:lang w:val="en-US" w:eastAsia="zh-CN"/>
                    </w:rPr>
                  </w:pPr>
                </w:p>
              </w:tc>
              <w:tc>
                <w:tcPr>
                  <w:tcW w:w="753" w:type="pct"/>
                  <w:vMerge w:val="continue"/>
                  <w:noWrap w:val="0"/>
                  <w:vAlign w:val="center"/>
                </w:tcPr>
                <w:p w14:paraId="21B1CE17">
                  <w:pPr>
                    <w:pStyle w:val="35"/>
                    <w:bidi w:val="0"/>
                    <w:jc w:val="center"/>
                    <w:rPr>
                      <w:rFonts w:hint="default"/>
                      <w:lang w:val="en-US" w:eastAsia="zh-CN"/>
                    </w:rPr>
                  </w:pPr>
                </w:p>
              </w:tc>
              <w:tc>
                <w:tcPr>
                  <w:tcW w:w="1028" w:type="pct"/>
                  <w:noWrap w:val="0"/>
                  <w:vAlign w:val="center"/>
                </w:tcPr>
                <w:p w14:paraId="625F0008">
                  <w:pPr>
                    <w:bidi w:val="0"/>
                    <w:jc w:val="center"/>
                    <w:rPr>
                      <w:rFonts w:hint="default"/>
                      <w:lang w:val="en-US" w:eastAsia="zh-CN"/>
                    </w:rPr>
                  </w:pPr>
                  <w:r>
                    <w:rPr>
                      <w:rFonts w:hint="eastAsia"/>
                      <w:lang w:val="en-US" w:eastAsia="zh-CN"/>
                    </w:rPr>
                    <w:t>边导线正下方投影外2m</w:t>
                  </w:r>
                </w:p>
              </w:tc>
              <w:tc>
                <w:tcPr>
                  <w:tcW w:w="809" w:type="pct"/>
                  <w:noWrap w:val="0"/>
                  <w:vAlign w:val="center"/>
                </w:tcPr>
                <w:p w14:paraId="3AF6AD0B">
                  <w:pPr>
                    <w:bidi w:val="0"/>
                    <w:jc w:val="center"/>
                    <w:rPr>
                      <w:rFonts w:hint="default"/>
                      <w:lang w:val="en-US" w:eastAsia="zh-CN"/>
                    </w:rPr>
                  </w:pPr>
                  <w:r>
                    <w:rPr>
                      <w:rFonts w:hint="eastAsia"/>
                      <w:lang w:val="en-US" w:eastAsia="zh-CN"/>
                    </w:rPr>
                    <w:t>1.5</w:t>
                  </w:r>
                </w:p>
              </w:tc>
              <w:tc>
                <w:tcPr>
                  <w:tcW w:w="558" w:type="pct"/>
                  <w:noWrap w:val="0"/>
                  <w:vAlign w:val="center"/>
                </w:tcPr>
                <w:p w14:paraId="13258EB2">
                  <w:pPr>
                    <w:bidi w:val="0"/>
                    <w:jc w:val="center"/>
                    <w:rPr>
                      <w:rFonts w:hint="default"/>
                      <w:lang w:val="en-US" w:eastAsia="zh-CN"/>
                    </w:rPr>
                  </w:pPr>
                  <w:r>
                    <w:rPr>
                      <w:rFonts w:hint="eastAsia"/>
                    </w:rPr>
                    <w:t>38.7</w:t>
                  </w:r>
                </w:p>
              </w:tc>
              <w:tc>
                <w:tcPr>
                  <w:tcW w:w="559" w:type="pct"/>
                  <w:noWrap w:val="0"/>
                  <w:vAlign w:val="center"/>
                </w:tcPr>
                <w:p w14:paraId="431FA951">
                  <w:pPr>
                    <w:bidi w:val="0"/>
                    <w:jc w:val="center"/>
                    <w:rPr>
                      <w:rFonts w:hint="default"/>
                      <w:lang w:val="en-US" w:eastAsia="zh-CN"/>
                    </w:rPr>
                  </w:pPr>
                  <w:r>
                    <w:rPr>
                      <w:rFonts w:hint="eastAsia"/>
                    </w:rPr>
                    <w:t>38.2</w:t>
                  </w:r>
                </w:p>
              </w:tc>
            </w:tr>
            <w:tr w14:paraId="0C19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pct"/>
                  <w:vMerge w:val="continue"/>
                  <w:noWrap w:val="0"/>
                  <w:vAlign w:val="center"/>
                </w:tcPr>
                <w:p w14:paraId="1F8C9E23">
                  <w:pPr>
                    <w:pStyle w:val="35"/>
                    <w:bidi w:val="0"/>
                    <w:jc w:val="center"/>
                    <w:rPr>
                      <w:rFonts w:hint="default"/>
                      <w:lang w:val="en-US" w:eastAsia="zh-CN"/>
                    </w:rPr>
                  </w:pPr>
                </w:p>
              </w:tc>
              <w:tc>
                <w:tcPr>
                  <w:tcW w:w="558" w:type="pct"/>
                  <w:vMerge w:val="continue"/>
                  <w:noWrap w:val="0"/>
                  <w:vAlign w:val="center"/>
                </w:tcPr>
                <w:p w14:paraId="4E29130F">
                  <w:pPr>
                    <w:pStyle w:val="35"/>
                    <w:bidi w:val="0"/>
                    <w:jc w:val="center"/>
                    <w:rPr>
                      <w:rFonts w:hint="default"/>
                      <w:lang w:val="en-US" w:eastAsia="zh-CN"/>
                    </w:rPr>
                  </w:pPr>
                </w:p>
              </w:tc>
              <w:tc>
                <w:tcPr>
                  <w:tcW w:w="753" w:type="pct"/>
                  <w:vMerge w:val="continue"/>
                  <w:noWrap w:val="0"/>
                  <w:vAlign w:val="center"/>
                </w:tcPr>
                <w:p w14:paraId="028CCCA4">
                  <w:pPr>
                    <w:pStyle w:val="35"/>
                    <w:bidi w:val="0"/>
                    <w:jc w:val="center"/>
                    <w:rPr>
                      <w:rFonts w:hint="default"/>
                      <w:lang w:val="en-US" w:eastAsia="zh-CN"/>
                    </w:rPr>
                  </w:pPr>
                </w:p>
              </w:tc>
              <w:tc>
                <w:tcPr>
                  <w:tcW w:w="1028" w:type="pct"/>
                  <w:noWrap w:val="0"/>
                  <w:vAlign w:val="center"/>
                </w:tcPr>
                <w:p w14:paraId="0937B19B">
                  <w:pPr>
                    <w:bidi w:val="0"/>
                    <w:jc w:val="center"/>
                    <w:rPr>
                      <w:rFonts w:hint="default"/>
                      <w:lang w:val="en-US" w:eastAsia="zh-CN"/>
                    </w:rPr>
                  </w:pPr>
                  <w:r>
                    <w:rPr>
                      <w:rFonts w:hint="eastAsia"/>
                      <w:lang w:val="en-US" w:eastAsia="zh-CN"/>
                    </w:rPr>
                    <w:t>边导线正下方投影外3m</w:t>
                  </w:r>
                </w:p>
              </w:tc>
              <w:tc>
                <w:tcPr>
                  <w:tcW w:w="809" w:type="pct"/>
                  <w:noWrap w:val="0"/>
                  <w:vAlign w:val="center"/>
                </w:tcPr>
                <w:p w14:paraId="04A83915">
                  <w:pPr>
                    <w:bidi w:val="0"/>
                    <w:jc w:val="center"/>
                    <w:rPr>
                      <w:rFonts w:hint="default"/>
                      <w:lang w:val="en-US" w:eastAsia="zh-CN"/>
                    </w:rPr>
                  </w:pPr>
                  <w:r>
                    <w:rPr>
                      <w:rFonts w:hint="eastAsia"/>
                      <w:lang w:val="en-US" w:eastAsia="zh-CN"/>
                    </w:rPr>
                    <w:t>1.5</w:t>
                  </w:r>
                </w:p>
              </w:tc>
              <w:tc>
                <w:tcPr>
                  <w:tcW w:w="558" w:type="pct"/>
                  <w:noWrap w:val="0"/>
                  <w:vAlign w:val="center"/>
                </w:tcPr>
                <w:p w14:paraId="774B48F2">
                  <w:pPr>
                    <w:bidi w:val="0"/>
                    <w:jc w:val="center"/>
                    <w:rPr>
                      <w:rFonts w:hint="default"/>
                      <w:lang w:val="en-US" w:eastAsia="zh-CN"/>
                    </w:rPr>
                  </w:pPr>
                  <w:r>
                    <w:rPr>
                      <w:rFonts w:hint="eastAsia"/>
                    </w:rPr>
                    <w:t>38.8</w:t>
                  </w:r>
                </w:p>
              </w:tc>
              <w:tc>
                <w:tcPr>
                  <w:tcW w:w="559" w:type="pct"/>
                  <w:noWrap w:val="0"/>
                  <w:vAlign w:val="center"/>
                </w:tcPr>
                <w:p w14:paraId="2E9CC6D2">
                  <w:pPr>
                    <w:bidi w:val="0"/>
                    <w:jc w:val="center"/>
                    <w:rPr>
                      <w:rFonts w:hint="default"/>
                      <w:lang w:val="en-US" w:eastAsia="zh-CN"/>
                    </w:rPr>
                  </w:pPr>
                  <w:r>
                    <w:rPr>
                      <w:rFonts w:hint="eastAsia"/>
                    </w:rPr>
                    <w:t>38.4</w:t>
                  </w:r>
                </w:p>
              </w:tc>
            </w:tr>
            <w:tr w14:paraId="72710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pct"/>
                  <w:vMerge w:val="continue"/>
                  <w:noWrap w:val="0"/>
                  <w:vAlign w:val="center"/>
                </w:tcPr>
                <w:p w14:paraId="1CAAEB88">
                  <w:pPr>
                    <w:pStyle w:val="35"/>
                    <w:bidi w:val="0"/>
                    <w:jc w:val="center"/>
                    <w:rPr>
                      <w:rFonts w:hint="default"/>
                      <w:lang w:val="en-US" w:eastAsia="zh-CN"/>
                    </w:rPr>
                  </w:pPr>
                </w:p>
              </w:tc>
              <w:tc>
                <w:tcPr>
                  <w:tcW w:w="558" w:type="pct"/>
                  <w:vMerge w:val="continue"/>
                  <w:noWrap w:val="0"/>
                  <w:vAlign w:val="center"/>
                </w:tcPr>
                <w:p w14:paraId="799541F5">
                  <w:pPr>
                    <w:pStyle w:val="35"/>
                    <w:bidi w:val="0"/>
                    <w:jc w:val="center"/>
                    <w:rPr>
                      <w:rFonts w:hint="default"/>
                      <w:lang w:val="en-US" w:eastAsia="zh-CN"/>
                    </w:rPr>
                  </w:pPr>
                </w:p>
              </w:tc>
              <w:tc>
                <w:tcPr>
                  <w:tcW w:w="753" w:type="pct"/>
                  <w:vMerge w:val="continue"/>
                  <w:noWrap w:val="0"/>
                  <w:vAlign w:val="center"/>
                </w:tcPr>
                <w:p w14:paraId="4852798D">
                  <w:pPr>
                    <w:pStyle w:val="35"/>
                    <w:bidi w:val="0"/>
                    <w:jc w:val="center"/>
                    <w:rPr>
                      <w:rFonts w:hint="default"/>
                      <w:lang w:val="en-US" w:eastAsia="zh-CN"/>
                    </w:rPr>
                  </w:pPr>
                </w:p>
              </w:tc>
              <w:tc>
                <w:tcPr>
                  <w:tcW w:w="1028" w:type="pct"/>
                  <w:noWrap w:val="0"/>
                  <w:vAlign w:val="center"/>
                </w:tcPr>
                <w:p w14:paraId="79A63388">
                  <w:pPr>
                    <w:bidi w:val="0"/>
                    <w:jc w:val="center"/>
                    <w:rPr>
                      <w:rFonts w:hint="default"/>
                      <w:lang w:val="en-US" w:eastAsia="zh-CN"/>
                    </w:rPr>
                  </w:pPr>
                  <w:r>
                    <w:rPr>
                      <w:rFonts w:hint="eastAsia"/>
                      <w:lang w:val="en-US" w:eastAsia="zh-CN"/>
                    </w:rPr>
                    <w:t>边导线正下方投影外4m</w:t>
                  </w:r>
                </w:p>
              </w:tc>
              <w:tc>
                <w:tcPr>
                  <w:tcW w:w="809" w:type="pct"/>
                  <w:noWrap w:val="0"/>
                  <w:vAlign w:val="center"/>
                </w:tcPr>
                <w:p w14:paraId="2E892D76">
                  <w:pPr>
                    <w:bidi w:val="0"/>
                    <w:jc w:val="center"/>
                    <w:rPr>
                      <w:rFonts w:hint="default"/>
                      <w:lang w:val="en-US" w:eastAsia="zh-CN"/>
                    </w:rPr>
                  </w:pPr>
                  <w:r>
                    <w:rPr>
                      <w:rFonts w:hint="eastAsia"/>
                      <w:lang w:val="en-US" w:eastAsia="zh-CN"/>
                    </w:rPr>
                    <w:t>1.5</w:t>
                  </w:r>
                </w:p>
              </w:tc>
              <w:tc>
                <w:tcPr>
                  <w:tcW w:w="558" w:type="pct"/>
                  <w:noWrap w:val="0"/>
                  <w:vAlign w:val="center"/>
                </w:tcPr>
                <w:p w14:paraId="53209795">
                  <w:pPr>
                    <w:bidi w:val="0"/>
                    <w:jc w:val="center"/>
                    <w:rPr>
                      <w:rFonts w:hint="default"/>
                      <w:lang w:val="en-US" w:eastAsia="zh-CN"/>
                    </w:rPr>
                  </w:pPr>
                  <w:r>
                    <w:rPr>
                      <w:rFonts w:hint="eastAsia"/>
                    </w:rPr>
                    <w:t>38.9</w:t>
                  </w:r>
                </w:p>
              </w:tc>
              <w:tc>
                <w:tcPr>
                  <w:tcW w:w="559" w:type="pct"/>
                  <w:noWrap w:val="0"/>
                  <w:vAlign w:val="center"/>
                </w:tcPr>
                <w:p w14:paraId="35AFE3BB">
                  <w:pPr>
                    <w:bidi w:val="0"/>
                    <w:jc w:val="center"/>
                    <w:rPr>
                      <w:rFonts w:hint="default"/>
                      <w:lang w:val="en-US" w:eastAsia="zh-CN"/>
                    </w:rPr>
                  </w:pPr>
                  <w:r>
                    <w:rPr>
                      <w:rFonts w:hint="eastAsia"/>
                    </w:rPr>
                    <w:t>38.4</w:t>
                  </w:r>
                </w:p>
              </w:tc>
            </w:tr>
            <w:tr w14:paraId="7642D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pct"/>
                  <w:vMerge w:val="continue"/>
                  <w:noWrap w:val="0"/>
                  <w:vAlign w:val="center"/>
                </w:tcPr>
                <w:p w14:paraId="5FBB49E3">
                  <w:pPr>
                    <w:pStyle w:val="35"/>
                    <w:bidi w:val="0"/>
                    <w:jc w:val="center"/>
                    <w:rPr>
                      <w:rFonts w:hint="default"/>
                      <w:lang w:val="en-US" w:eastAsia="zh-CN"/>
                    </w:rPr>
                  </w:pPr>
                </w:p>
              </w:tc>
              <w:tc>
                <w:tcPr>
                  <w:tcW w:w="558" w:type="pct"/>
                  <w:vMerge w:val="continue"/>
                  <w:noWrap w:val="0"/>
                  <w:vAlign w:val="center"/>
                </w:tcPr>
                <w:p w14:paraId="4EB5A2FF">
                  <w:pPr>
                    <w:pStyle w:val="35"/>
                    <w:bidi w:val="0"/>
                    <w:jc w:val="center"/>
                    <w:rPr>
                      <w:rFonts w:hint="default"/>
                      <w:lang w:val="en-US" w:eastAsia="zh-CN"/>
                    </w:rPr>
                  </w:pPr>
                </w:p>
              </w:tc>
              <w:tc>
                <w:tcPr>
                  <w:tcW w:w="753" w:type="pct"/>
                  <w:vMerge w:val="continue"/>
                  <w:noWrap w:val="0"/>
                  <w:vAlign w:val="center"/>
                </w:tcPr>
                <w:p w14:paraId="7457794F">
                  <w:pPr>
                    <w:pStyle w:val="35"/>
                    <w:bidi w:val="0"/>
                    <w:jc w:val="center"/>
                    <w:rPr>
                      <w:rFonts w:hint="default"/>
                      <w:lang w:val="en-US" w:eastAsia="zh-CN"/>
                    </w:rPr>
                  </w:pPr>
                </w:p>
              </w:tc>
              <w:tc>
                <w:tcPr>
                  <w:tcW w:w="1028" w:type="pct"/>
                  <w:noWrap w:val="0"/>
                  <w:vAlign w:val="center"/>
                </w:tcPr>
                <w:p w14:paraId="29FB2FB4">
                  <w:pPr>
                    <w:bidi w:val="0"/>
                    <w:jc w:val="center"/>
                    <w:rPr>
                      <w:rFonts w:hint="default"/>
                      <w:lang w:val="en-US" w:eastAsia="zh-CN"/>
                    </w:rPr>
                  </w:pPr>
                  <w:r>
                    <w:rPr>
                      <w:rFonts w:hint="eastAsia"/>
                      <w:lang w:val="en-US" w:eastAsia="zh-CN"/>
                    </w:rPr>
                    <w:t>边导线正下方投影外5m</w:t>
                  </w:r>
                </w:p>
              </w:tc>
              <w:tc>
                <w:tcPr>
                  <w:tcW w:w="809" w:type="pct"/>
                  <w:noWrap w:val="0"/>
                  <w:vAlign w:val="center"/>
                </w:tcPr>
                <w:p w14:paraId="66E91A17">
                  <w:pPr>
                    <w:bidi w:val="0"/>
                    <w:jc w:val="center"/>
                    <w:rPr>
                      <w:rFonts w:hint="default"/>
                      <w:lang w:val="en-US" w:eastAsia="zh-CN"/>
                    </w:rPr>
                  </w:pPr>
                  <w:r>
                    <w:rPr>
                      <w:rFonts w:hint="eastAsia"/>
                      <w:lang w:val="en-US" w:eastAsia="zh-CN"/>
                    </w:rPr>
                    <w:t>1.5</w:t>
                  </w:r>
                </w:p>
              </w:tc>
              <w:tc>
                <w:tcPr>
                  <w:tcW w:w="558" w:type="pct"/>
                  <w:noWrap w:val="0"/>
                  <w:vAlign w:val="center"/>
                </w:tcPr>
                <w:p w14:paraId="33E816E1">
                  <w:pPr>
                    <w:bidi w:val="0"/>
                    <w:jc w:val="center"/>
                    <w:rPr>
                      <w:rFonts w:hint="default"/>
                      <w:lang w:val="en-US" w:eastAsia="zh-CN"/>
                    </w:rPr>
                  </w:pPr>
                  <w:r>
                    <w:rPr>
                      <w:rFonts w:hint="eastAsia"/>
                    </w:rPr>
                    <w:t>39.1</w:t>
                  </w:r>
                </w:p>
              </w:tc>
              <w:tc>
                <w:tcPr>
                  <w:tcW w:w="559" w:type="pct"/>
                  <w:noWrap w:val="0"/>
                  <w:vAlign w:val="center"/>
                </w:tcPr>
                <w:p w14:paraId="2169F1E7">
                  <w:pPr>
                    <w:bidi w:val="0"/>
                    <w:jc w:val="center"/>
                    <w:rPr>
                      <w:rFonts w:hint="default"/>
                      <w:lang w:val="en-US" w:eastAsia="zh-CN"/>
                    </w:rPr>
                  </w:pPr>
                  <w:r>
                    <w:rPr>
                      <w:rFonts w:hint="eastAsia"/>
                    </w:rPr>
                    <w:t>38.8</w:t>
                  </w:r>
                </w:p>
              </w:tc>
            </w:tr>
            <w:tr w14:paraId="72E1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pct"/>
                  <w:vMerge w:val="continue"/>
                  <w:noWrap w:val="0"/>
                  <w:vAlign w:val="center"/>
                </w:tcPr>
                <w:p w14:paraId="0AB412EC">
                  <w:pPr>
                    <w:pStyle w:val="35"/>
                    <w:bidi w:val="0"/>
                    <w:jc w:val="center"/>
                    <w:rPr>
                      <w:rFonts w:hint="default"/>
                      <w:lang w:val="en-US" w:eastAsia="zh-CN"/>
                    </w:rPr>
                  </w:pPr>
                </w:p>
              </w:tc>
              <w:tc>
                <w:tcPr>
                  <w:tcW w:w="558" w:type="pct"/>
                  <w:vMerge w:val="continue"/>
                  <w:noWrap w:val="0"/>
                  <w:vAlign w:val="center"/>
                </w:tcPr>
                <w:p w14:paraId="72F4FDEB">
                  <w:pPr>
                    <w:pStyle w:val="35"/>
                    <w:bidi w:val="0"/>
                    <w:jc w:val="center"/>
                    <w:rPr>
                      <w:rFonts w:hint="default"/>
                      <w:lang w:val="en-US" w:eastAsia="zh-CN"/>
                    </w:rPr>
                  </w:pPr>
                </w:p>
              </w:tc>
              <w:tc>
                <w:tcPr>
                  <w:tcW w:w="753" w:type="pct"/>
                  <w:vMerge w:val="continue"/>
                  <w:noWrap w:val="0"/>
                  <w:vAlign w:val="center"/>
                </w:tcPr>
                <w:p w14:paraId="3A0962BC">
                  <w:pPr>
                    <w:pStyle w:val="35"/>
                    <w:bidi w:val="0"/>
                    <w:jc w:val="center"/>
                    <w:rPr>
                      <w:rFonts w:hint="default"/>
                      <w:lang w:val="en-US" w:eastAsia="zh-CN"/>
                    </w:rPr>
                  </w:pPr>
                </w:p>
              </w:tc>
              <w:tc>
                <w:tcPr>
                  <w:tcW w:w="1028" w:type="pct"/>
                  <w:noWrap w:val="0"/>
                  <w:vAlign w:val="center"/>
                </w:tcPr>
                <w:p w14:paraId="7BE8F093">
                  <w:pPr>
                    <w:bidi w:val="0"/>
                    <w:jc w:val="center"/>
                    <w:rPr>
                      <w:rFonts w:hint="default"/>
                      <w:lang w:val="en-US" w:eastAsia="zh-CN"/>
                    </w:rPr>
                  </w:pPr>
                  <w:r>
                    <w:rPr>
                      <w:rFonts w:hint="eastAsia"/>
                      <w:lang w:val="en-US" w:eastAsia="zh-CN"/>
                    </w:rPr>
                    <w:t>边导线正下方投影外10m</w:t>
                  </w:r>
                </w:p>
              </w:tc>
              <w:tc>
                <w:tcPr>
                  <w:tcW w:w="809" w:type="pct"/>
                  <w:noWrap w:val="0"/>
                  <w:vAlign w:val="center"/>
                </w:tcPr>
                <w:p w14:paraId="5DD55CD3">
                  <w:pPr>
                    <w:bidi w:val="0"/>
                    <w:jc w:val="center"/>
                    <w:rPr>
                      <w:rFonts w:hint="default"/>
                      <w:lang w:val="en-US" w:eastAsia="zh-CN"/>
                    </w:rPr>
                  </w:pPr>
                  <w:r>
                    <w:rPr>
                      <w:rFonts w:hint="eastAsia"/>
                      <w:lang w:val="en-US" w:eastAsia="zh-CN"/>
                    </w:rPr>
                    <w:t>1.5</w:t>
                  </w:r>
                </w:p>
              </w:tc>
              <w:tc>
                <w:tcPr>
                  <w:tcW w:w="558" w:type="pct"/>
                  <w:noWrap w:val="0"/>
                  <w:vAlign w:val="center"/>
                </w:tcPr>
                <w:p w14:paraId="014ED59D">
                  <w:pPr>
                    <w:bidi w:val="0"/>
                    <w:jc w:val="center"/>
                    <w:rPr>
                      <w:rFonts w:hint="default"/>
                      <w:lang w:val="en-US" w:eastAsia="zh-CN"/>
                    </w:rPr>
                  </w:pPr>
                  <w:r>
                    <w:rPr>
                      <w:rFonts w:hint="eastAsia"/>
                    </w:rPr>
                    <w:t>39.0</w:t>
                  </w:r>
                </w:p>
              </w:tc>
              <w:tc>
                <w:tcPr>
                  <w:tcW w:w="559" w:type="pct"/>
                  <w:noWrap w:val="0"/>
                  <w:vAlign w:val="center"/>
                </w:tcPr>
                <w:p w14:paraId="0E695CDB">
                  <w:pPr>
                    <w:bidi w:val="0"/>
                    <w:jc w:val="center"/>
                    <w:rPr>
                      <w:rFonts w:hint="default"/>
                      <w:lang w:val="en-US" w:eastAsia="zh-CN"/>
                    </w:rPr>
                  </w:pPr>
                  <w:r>
                    <w:rPr>
                      <w:rFonts w:hint="eastAsia"/>
                    </w:rPr>
                    <w:t>38.6</w:t>
                  </w:r>
                </w:p>
              </w:tc>
            </w:tr>
            <w:tr w14:paraId="1AB9D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pct"/>
                  <w:vMerge w:val="continue"/>
                  <w:noWrap w:val="0"/>
                  <w:vAlign w:val="center"/>
                </w:tcPr>
                <w:p w14:paraId="7FD494C1">
                  <w:pPr>
                    <w:pStyle w:val="35"/>
                    <w:bidi w:val="0"/>
                    <w:jc w:val="center"/>
                    <w:rPr>
                      <w:rFonts w:hint="default"/>
                      <w:lang w:val="en-US" w:eastAsia="zh-CN"/>
                    </w:rPr>
                  </w:pPr>
                </w:p>
              </w:tc>
              <w:tc>
                <w:tcPr>
                  <w:tcW w:w="558" w:type="pct"/>
                  <w:vMerge w:val="continue"/>
                  <w:noWrap w:val="0"/>
                  <w:vAlign w:val="center"/>
                </w:tcPr>
                <w:p w14:paraId="4C7BA69D">
                  <w:pPr>
                    <w:pStyle w:val="35"/>
                    <w:bidi w:val="0"/>
                    <w:jc w:val="center"/>
                    <w:rPr>
                      <w:rFonts w:hint="default"/>
                      <w:lang w:val="en-US" w:eastAsia="zh-CN"/>
                    </w:rPr>
                  </w:pPr>
                </w:p>
              </w:tc>
              <w:tc>
                <w:tcPr>
                  <w:tcW w:w="753" w:type="pct"/>
                  <w:vMerge w:val="continue"/>
                  <w:noWrap w:val="0"/>
                  <w:vAlign w:val="center"/>
                </w:tcPr>
                <w:p w14:paraId="3732BE2F">
                  <w:pPr>
                    <w:pStyle w:val="35"/>
                    <w:bidi w:val="0"/>
                    <w:jc w:val="center"/>
                    <w:rPr>
                      <w:rFonts w:hint="default"/>
                      <w:lang w:val="en-US" w:eastAsia="zh-CN"/>
                    </w:rPr>
                  </w:pPr>
                </w:p>
              </w:tc>
              <w:tc>
                <w:tcPr>
                  <w:tcW w:w="1028" w:type="pct"/>
                  <w:noWrap w:val="0"/>
                  <w:vAlign w:val="center"/>
                </w:tcPr>
                <w:p w14:paraId="379F5090">
                  <w:pPr>
                    <w:bidi w:val="0"/>
                    <w:jc w:val="center"/>
                    <w:rPr>
                      <w:rFonts w:hint="default"/>
                      <w:lang w:val="en-US" w:eastAsia="zh-CN"/>
                    </w:rPr>
                  </w:pPr>
                  <w:r>
                    <w:rPr>
                      <w:rFonts w:hint="eastAsia"/>
                      <w:lang w:val="en-US" w:eastAsia="zh-CN"/>
                    </w:rPr>
                    <w:t>边导线正下方投影外15m</w:t>
                  </w:r>
                </w:p>
              </w:tc>
              <w:tc>
                <w:tcPr>
                  <w:tcW w:w="809" w:type="pct"/>
                  <w:noWrap w:val="0"/>
                  <w:vAlign w:val="center"/>
                </w:tcPr>
                <w:p w14:paraId="40B9DFF5">
                  <w:pPr>
                    <w:bidi w:val="0"/>
                    <w:jc w:val="center"/>
                    <w:rPr>
                      <w:rFonts w:hint="default"/>
                      <w:lang w:val="en-US" w:eastAsia="zh-CN"/>
                    </w:rPr>
                  </w:pPr>
                  <w:r>
                    <w:rPr>
                      <w:rFonts w:hint="eastAsia"/>
                      <w:lang w:val="en-US" w:eastAsia="zh-CN"/>
                    </w:rPr>
                    <w:t>1.5</w:t>
                  </w:r>
                </w:p>
              </w:tc>
              <w:tc>
                <w:tcPr>
                  <w:tcW w:w="558" w:type="pct"/>
                  <w:noWrap w:val="0"/>
                  <w:vAlign w:val="center"/>
                </w:tcPr>
                <w:p w14:paraId="384EA765">
                  <w:pPr>
                    <w:bidi w:val="0"/>
                    <w:jc w:val="center"/>
                    <w:rPr>
                      <w:rFonts w:hint="default"/>
                      <w:lang w:val="en-US" w:eastAsia="zh-CN"/>
                    </w:rPr>
                  </w:pPr>
                  <w:r>
                    <w:rPr>
                      <w:rFonts w:hint="eastAsia"/>
                    </w:rPr>
                    <w:t>39.3</w:t>
                  </w:r>
                </w:p>
              </w:tc>
              <w:tc>
                <w:tcPr>
                  <w:tcW w:w="559" w:type="pct"/>
                  <w:noWrap w:val="0"/>
                  <w:vAlign w:val="center"/>
                </w:tcPr>
                <w:p w14:paraId="7AD38BB6">
                  <w:pPr>
                    <w:bidi w:val="0"/>
                    <w:jc w:val="center"/>
                    <w:rPr>
                      <w:rFonts w:hint="default"/>
                      <w:lang w:val="en-US" w:eastAsia="zh-CN"/>
                    </w:rPr>
                  </w:pPr>
                  <w:r>
                    <w:rPr>
                      <w:rFonts w:hint="eastAsia"/>
                    </w:rPr>
                    <w:t>38.5</w:t>
                  </w:r>
                </w:p>
              </w:tc>
            </w:tr>
            <w:tr w14:paraId="1497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pct"/>
                  <w:vMerge w:val="continue"/>
                  <w:noWrap w:val="0"/>
                  <w:vAlign w:val="center"/>
                </w:tcPr>
                <w:p w14:paraId="03267FBC">
                  <w:pPr>
                    <w:pStyle w:val="35"/>
                    <w:bidi w:val="0"/>
                    <w:jc w:val="center"/>
                    <w:rPr>
                      <w:rFonts w:hint="default"/>
                      <w:lang w:val="en-US" w:eastAsia="zh-CN"/>
                    </w:rPr>
                  </w:pPr>
                </w:p>
              </w:tc>
              <w:tc>
                <w:tcPr>
                  <w:tcW w:w="558" w:type="pct"/>
                  <w:vMerge w:val="continue"/>
                  <w:noWrap w:val="0"/>
                  <w:vAlign w:val="center"/>
                </w:tcPr>
                <w:p w14:paraId="295FA6A9">
                  <w:pPr>
                    <w:pStyle w:val="35"/>
                    <w:bidi w:val="0"/>
                    <w:jc w:val="center"/>
                    <w:rPr>
                      <w:rFonts w:hint="default"/>
                      <w:lang w:val="en-US" w:eastAsia="zh-CN"/>
                    </w:rPr>
                  </w:pPr>
                </w:p>
              </w:tc>
              <w:tc>
                <w:tcPr>
                  <w:tcW w:w="753" w:type="pct"/>
                  <w:vMerge w:val="continue"/>
                  <w:noWrap w:val="0"/>
                  <w:vAlign w:val="center"/>
                </w:tcPr>
                <w:p w14:paraId="16704398">
                  <w:pPr>
                    <w:pStyle w:val="35"/>
                    <w:bidi w:val="0"/>
                    <w:jc w:val="center"/>
                    <w:rPr>
                      <w:rFonts w:hint="default"/>
                      <w:lang w:val="en-US" w:eastAsia="zh-CN"/>
                    </w:rPr>
                  </w:pPr>
                </w:p>
              </w:tc>
              <w:tc>
                <w:tcPr>
                  <w:tcW w:w="1028" w:type="pct"/>
                  <w:noWrap w:val="0"/>
                  <w:vAlign w:val="center"/>
                </w:tcPr>
                <w:p w14:paraId="747A5367">
                  <w:pPr>
                    <w:bidi w:val="0"/>
                    <w:jc w:val="center"/>
                    <w:rPr>
                      <w:rFonts w:hint="default"/>
                      <w:lang w:val="en-US" w:eastAsia="zh-CN"/>
                    </w:rPr>
                  </w:pPr>
                  <w:r>
                    <w:rPr>
                      <w:rFonts w:hint="eastAsia"/>
                      <w:lang w:val="en-US" w:eastAsia="zh-CN"/>
                    </w:rPr>
                    <w:t>边导线正下方投影外20m</w:t>
                  </w:r>
                </w:p>
              </w:tc>
              <w:tc>
                <w:tcPr>
                  <w:tcW w:w="809" w:type="pct"/>
                  <w:noWrap w:val="0"/>
                  <w:vAlign w:val="center"/>
                </w:tcPr>
                <w:p w14:paraId="391F68C1">
                  <w:pPr>
                    <w:bidi w:val="0"/>
                    <w:jc w:val="center"/>
                    <w:rPr>
                      <w:rFonts w:hint="default"/>
                      <w:lang w:val="en-US" w:eastAsia="zh-CN"/>
                    </w:rPr>
                  </w:pPr>
                  <w:r>
                    <w:rPr>
                      <w:rFonts w:hint="eastAsia"/>
                      <w:lang w:val="en-US" w:eastAsia="zh-CN"/>
                    </w:rPr>
                    <w:t>1.5</w:t>
                  </w:r>
                </w:p>
              </w:tc>
              <w:tc>
                <w:tcPr>
                  <w:tcW w:w="558" w:type="pct"/>
                  <w:noWrap w:val="0"/>
                  <w:vAlign w:val="center"/>
                </w:tcPr>
                <w:p w14:paraId="2DA1BCA4">
                  <w:pPr>
                    <w:bidi w:val="0"/>
                    <w:jc w:val="center"/>
                    <w:rPr>
                      <w:rFonts w:hint="default"/>
                      <w:lang w:val="en-US" w:eastAsia="zh-CN"/>
                    </w:rPr>
                  </w:pPr>
                  <w:r>
                    <w:rPr>
                      <w:rFonts w:hint="eastAsia"/>
                    </w:rPr>
                    <w:t>39.2</w:t>
                  </w:r>
                </w:p>
              </w:tc>
              <w:tc>
                <w:tcPr>
                  <w:tcW w:w="559" w:type="pct"/>
                  <w:noWrap w:val="0"/>
                  <w:vAlign w:val="center"/>
                </w:tcPr>
                <w:p w14:paraId="6EA1C2E9">
                  <w:pPr>
                    <w:bidi w:val="0"/>
                    <w:jc w:val="center"/>
                    <w:rPr>
                      <w:rFonts w:hint="default"/>
                      <w:lang w:val="en-US" w:eastAsia="zh-CN"/>
                    </w:rPr>
                  </w:pPr>
                  <w:r>
                    <w:rPr>
                      <w:rFonts w:hint="eastAsia"/>
                    </w:rPr>
                    <w:t>38.0</w:t>
                  </w:r>
                </w:p>
              </w:tc>
            </w:tr>
            <w:tr w14:paraId="1F198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pct"/>
                  <w:vMerge w:val="continue"/>
                  <w:noWrap w:val="0"/>
                  <w:vAlign w:val="center"/>
                </w:tcPr>
                <w:p w14:paraId="242ADC85">
                  <w:pPr>
                    <w:pStyle w:val="35"/>
                    <w:bidi w:val="0"/>
                    <w:jc w:val="center"/>
                    <w:rPr>
                      <w:rFonts w:hint="default"/>
                      <w:lang w:val="en-US" w:eastAsia="zh-CN"/>
                    </w:rPr>
                  </w:pPr>
                </w:p>
              </w:tc>
              <w:tc>
                <w:tcPr>
                  <w:tcW w:w="558" w:type="pct"/>
                  <w:vMerge w:val="continue"/>
                  <w:noWrap w:val="0"/>
                  <w:vAlign w:val="center"/>
                </w:tcPr>
                <w:p w14:paraId="304B84A5">
                  <w:pPr>
                    <w:pStyle w:val="35"/>
                    <w:bidi w:val="0"/>
                    <w:jc w:val="center"/>
                    <w:rPr>
                      <w:rFonts w:hint="default"/>
                      <w:lang w:val="en-US" w:eastAsia="zh-CN"/>
                    </w:rPr>
                  </w:pPr>
                </w:p>
              </w:tc>
              <w:tc>
                <w:tcPr>
                  <w:tcW w:w="753" w:type="pct"/>
                  <w:vMerge w:val="continue"/>
                  <w:noWrap w:val="0"/>
                  <w:vAlign w:val="center"/>
                </w:tcPr>
                <w:p w14:paraId="5037A5B3">
                  <w:pPr>
                    <w:pStyle w:val="35"/>
                    <w:bidi w:val="0"/>
                    <w:jc w:val="center"/>
                    <w:rPr>
                      <w:rFonts w:hint="default"/>
                      <w:lang w:val="en-US" w:eastAsia="zh-CN"/>
                    </w:rPr>
                  </w:pPr>
                </w:p>
              </w:tc>
              <w:tc>
                <w:tcPr>
                  <w:tcW w:w="1028" w:type="pct"/>
                  <w:noWrap w:val="0"/>
                  <w:vAlign w:val="center"/>
                </w:tcPr>
                <w:p w14:paraId="00F77B1F">
                  <w:pPr>
                    <w:bidi w:val="0"/>
                    <w:jc w:val="center"/>
                    <w:rPr>
                      <w:rFonts w:hint="default"/>
                      <w:lang w:val="en-US" w:eastAsia="zh-CN"/>
                    </w:rPr>
                  </w:pPr>
                  <w:r>
                    <w:rPr>
                      <w:rFonts w:hint="eastAsia"/>
                      <w:lang w:val="en-US" w:eastAsia="zh-CN"/>
                    </w:rPr>
                    <w:t>边导线正下方投影外25m</w:t>
                  </w:r>
                </w:p>
              </w:tc>
              <w:tc>
                <w:tcPr>
                  <w:tcW w:w="809" w:type="pct"/>
                  <w:noWrap w:val="0"/>
                  <w:vAlign w:val="center"/>
                </w:tcPr>
                <w:p w14:paraId="1D166D4D">
                  <w:pPr>
                    <w:bidi w:val="0"/>
                    <w:jc w:val="center"/>
                    <w:rPr>
                      <w:rFonts w:hint="default"/>
                      <w:lang w:val="en-US" w:eastAsia="zh-CN"/>
                    </w:rPr>
                  </w:pPr>
                  <w:r>
                    <w:rPr>
                      <w:rFonts w:hint="eastAsia"/>
                      <w:lang w:val="en-US" w:eastAsia="zh-CN"/>
                    </w:rPr>
                    <w:t>1.5</w:t>
                  </w:r>
                </w:p>
              </w:tc>
              <w:tc>
                <w:tcPr>
                  <w:tcW w:w="558" w:type="pct"/>
                  <w:noWrap w:val="0"/>
                  <w:vAlign w:val="center"/>
                </w:tcPr>
                <w:p w14:paraId="2E0FD70C">
                  <w:pPr>
                    <w:bidi w:val="0"/>
                    <w:jc w:val="center"/>
                    <w:rPr>
                      <w:rFonts w:hint="default"/>
                      <w:lang w:val="en-US" w:eastAsia="zh-CN"/>
                    </w:rPr>
                  </w:pPr>
                  <w:r>
                    <w:rPr>
                      <w:rFonts w:hint="eastAsia"/>
                    </w:rPr>
                    <w:t>39.8</w:t>
                  </w:r>
                </w:p>
              </w:tc>
              <w:tc>
                <w:tcPr>
                  <w:tcW w:w="559" w:type="pct"/>
                  <w:noWrap w:val="0"/>
                  <w:vAlign w:val="center"/>
                </w:tcPr>
                <w:p w14:paraId="1E2A0834">
                  <w:pPr>
                    <w:bidi w:val="0"/>
                    <w:jc w:val="center"/>
                    <w:rPr>
                      <w:rFonts w:hint="default"/>
                      <w:lang w:val="en-US" w:eastAsia="zh-CN"/>
                    </w:rPr>
                  </w:pPr>
                  <w:r>
                    <w:rPr>
                      <w:rFonts w:hint="eastAsia"/>
                    </w:rPr>
                    <w:t>38.2</w:t>
                  </w:r>
                </w:p>
              </w:tc>
            </w:tr>
            <w:tr w14:paraId="5A6A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pct"/>
                  <w:vMerge w:val="continue"/>
                  <w:noWrap w:val="0"/>
                  <w:vAlign w:val="center"/>
                </w:tcPr>
                <w:p w14:paraId="6B59D32F">
                  <w:pPr>
                    <w:pStyle w:val="35"/>
                    <w:bidi w:val="0"/>
                    <w:jc w:val="center"/>
                    <w:rPr>
                      <w:rFonts w:hint="default"/>
                      <w:lang w:val="en-US" w:eastAsia="zh-CN"/>
                    </w:rPr>
                  </w:pPr>
                </w:p>
              </w:tc>
              <w:tc>
                <w:tcPr>
                  <w:tcW w:w="558" w:type="pct"/>
                  <w:vMerge w:val="continue"/>
                  <w:noWrap w:val="0"/>
                  <w:vAlign w:val="center"/>
                </w:tcPr>
                <w:p w14:paraId="00409240">
                  <w:pPr>
                    <w:pStyle w:val="35"/>
                    <w:bidi w:val="0"/>
                    <w:jc w:val="center"/>
                    <w:rPr>
                      <w:rFonts w:hint="default"/>
                      <w:lang w:val="en-US" w:eastAsia="zh-CN"/>
                    </w:rPr>
                  </w:pPr>
                </w:p>
              </w:tc>
              <w:tc>
                <w:tcPr>
                  <w:tcW w:w="753" w:type="pct"/>
                  <w:vMerge w:val="continue"/>
                  <w:noWrap w:val="0"/>
                  <w:vAlign w:val="center"/>
                </w:tcPr>
                <w:p w14:paraId="5E5706FF">
                  <w:pPr>
                    <w:pStyle w:val="35"/>
                    <w:bidi w:val="0"/>
                    <w:jc w:val="center"/>
                    <w:rPr>
                      <w:rFonts w:hint="default"/>
                      <w:lang w:val="en-US" w:eastAsia="zh-CN"/>
                    </w:rPr>
                  </w:pPr>
                </w:p>
              </w:tc>
              <w:tc>
                <w:tcPr>
                  <w:tcW w:w="1028" w:type="pct"/>
                  <w:noWrap w:val="0"/>
                  <w:vAlign w:val="center"/>
                </w:tcPr>
                <w:p w14:paraId="12F2D637">
                  <w:pPr>
                    <w:bidi w:val="0"/>
                    <w:jc w:val="center"/>
                    <w:rPr>
                      <w:rFonts w:hint="default"/>
                      <w:lang w:val="en-US" w:eastAsia="zh-CN"/>
                    </w:rPr>
                  </w:pPr>
                  <w:r>
                    <w:rPr>
                      <w:rFonts w:hint="eastAsia"/>
                      <w:lang w:val="en-US" w:eastAsia="zh-CN"/>
                    </w:rPr>
                    <w:t>边导线正下方投影外30m</w:t>
                  </w:r>
                </w:p>
              </w:tc>
              <w:tc>
                <w:tcPr>
                  <w:tcW w:w="809" w:type="pct"/>
                  <w:noWrap w:val="0"/>
                  <w:vAlign w:val="center"/>
                </w:tcPr>
                <w:p w14:paraId="4653491E">
                  <w:pPr>
                    <w:bidi w:val="0"/>
                    <w:jc w:val="center"/>
                    <w:rPr>
                      <w:rFonts w:hint="default"/>
                      <w:lang w:val="en-US" w:eastAsia="zh-CN"/>
                    </w:rPr>
                  </w:pPr>
                  <w:r>
                    <w:rPr>
                      <w:rFonts w:hint="eastAsia"/>
                      <w:lang w:val="en-US" w:eastAsia="zh-CN"/>
                    </w:rPr>
                    <w:t>1.5</w:t>
                  </w:r>
                </w:p>
              </w:tc>
              <w:tc>
                <w:tcPr>
                  <w:tcW w:w="558" w:type="pct"/>
                  <w:noWrap w:val="0"/>
                  <w:vAlign w:val="center"/>
                </w:tcPr>
                <w:p w14:paraId="0E55A765">
                  <w:pPr>
                    <w:bidi w:val="0"/>
                    <w:jc w:val="center"/>
                    <w:rPr>
                      <w:rFonts w:hint="default"/>
                      <w:lang w:val="en-US" w:eastAsia="zh-CN"/>
                    </w:rPr>
                  </w:pPr>
                  <w:r>
                    <w:rPr>
                      <w:rFonts w:hint="eastAsia"/>
                    </w:rPr>
                    <w:t>38.8</w:t>
                  </w:r>
                </w:p>
              </w:tc>
              <w:tc>
                <w:tcPr>
                  <w:tcW w:w="559" w:type="pct"/>
                  <w:noWrap w:val="0"/>
                  <w:vAlign w:val="center"/>
                </w:tcPr>
                <w:p w14:paraId="4F554732">
                  <w:pPr>
                    <w:bidi w:val="0"/>
                    <w:jc w:val="center"/>
                    <w:rPr>
                      <w:rFonts w:hint="default"/>
                      <w:lang w:val="en-US" w:eastAsia="zh-CN"/>
                    </w:rPr>
                  </w:pPr>
                  <w:r>
                    <w:rPr>
                      <w:rFonts w:hint="eastAsia"/>
                    </w:rPr>
                    <w:t>38.6</w:t>
                  </w:r>
                </w:p>
              </w:tc>
            </w:tr>
            <w:tr w14:paraId="3022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pct"/>
                  <w:vMerge w:val="continue"/>
                  <w:noWrap w:val="0"/>
                  <w:vAlign w:val="center"/>
                </w:tcPr>
                <w:p w14:paraId="1E169535">
                  <w:pPr>
                    <w:pStyle w:val="35"/>
                    <w:bidi w:val="0"/>
                    <w:jc w:val="center"/>
                    <w:rPr>
                      <w:rFonts w:hint="default"/>
                      <w:lang w:val="en-US" w:eastAsia="zh-CN"/>
                    </w:rPr>
                  </w:pPr>
                </w:p>
              </w:tc>
              <w:tc>
                <w:tcPr>
                  <w:tcW w:w="558" w:type="pct"/>
                  <w:vMerge w:val="continue"/>
                  <w:noWrap w:val="0"/>
                  <w:vAlign w:val="center"/>
                </w:tcPr>
                <w:p w14:paraId="3F900414">
                  <w:pPr>
                    <w:pStyle w:val="35"/>
                    <w:bidi w:val="0"/>
                    <w:jc w:val="center"/>
                    <w:rPr>
                      <w:rFonts w:hint="default"/>
                      <w:lang w:val="en-US" w:eastAsia="zh-CN"/>
                    </w:rPr>
                  </w:pPr>
                </w:p>
              </w:tc>
              <w:tc>
                <w:tcPr>
                  <w:tcW w:w="753" w:type="pct"/>
                  <w:vMerge w:val="continue"/>
                  <w:noWrap w:val="0"/>
                  <w:vAlign w:val="center"/>
                </w:tcPr>
                <w:p w14:paraId="39168427">
                  <w:pPr>
                    <w:pStyle w:val="35"/>
                    <w:bidi w:val="0"/>
                    <w:jc w:val="center"/>
                    <w:rPr>
                      <w:rFonts w:hint="default"/>
                      <w:lang w:val="en-US" w:eastAsia="zh-CN"/>
                    </w:rPr>
                  </w:pPr>
                </w:p>
              </w:tc>
              <w:tc>
                <w:tcPr>
                  <w:tcW w:w="1028" w:type="pct"/>
                  <w:noWrap w:val="0"/>
                  <w:vAlign w:val="center"/>
                </w:tcPr>
                <w:p w14:paraId="159555B7">
                  <w:pPr>
                    <w:bidi w:val="0"/>
                    <w:jc w:val="center"/>
                    <w:rPr>
                      <w:rFonts w:hint="eastAsia"/>
                      <w:lang w:val="en-US" w:eastAsia="zh-CN"/>
                    </w:rPr>
                  </w:pPr>
                  <w:r>
                    <w:rPr>
                      <w:rFonts w:hint="eastAsia"/>
                      <w:lang w:val="en-US" w:eastAsia="zh-CN"/>
                    </w:rPr>
                    <w:t>边导线正下方投影外35m</w:t>
                  </w:r>
                </w:p>
              </w:tc>
              <w:tc>
                <w:tcPr>
                  <w:tcW w:w="809" w:type="pct"/>
                  <w:noWrap w:val="0"/>
                  <w:vAlign w:val="center"/>
                </w:tcPr>
                <w:p w14:paraId="615AB1BE">
                  <w:pPr>
                    <w:bidi w:val="0"/>
                    <w:jc w:val="center"/>
                    <w:rPr>
                      <w:rFonts w:hint="eastAsia"/>
                      <w:lang w:val="en-US" w:eastAsia="zh-CN"/>
                    </w:rPr>
                  </w:pPr>
                  <w:r>
                    <w:rPr>
                      <w:rFonts w:hint="eastAsia"/>
                      <w:lang w:val="en-US" w:eastAsia="zh-CN"/>
                    </w:rPr>
                    <w:t>1.5</w:t>
                  </w:r>
                </w:p>
              </w:tc>
              <w:tc>
                <w:tcPr>
                  <w:tcW w:w="558" w:type="pct"/>
                  <w:noWrap w:val="0"/>
                  <w:vAlign w:val="center"/>
                </w:tcPr>
                <w:p w14:paraId="122834C5">
                  <w:pPr>
                    <w:bidi w:val="0"/>
                    <w:jc w:val="center"/>
                    <w:rPr>
                      <w:rFonts w:hint="eastAsia"/>
                      <w:lang w:val="en-US" w:eastAsia="zh-CN"/>
                    </w:rPr>
                  </w:pPr>
                  <w:r>
                    <w:rPr>
                      <w:rFonts w:hint="eastAsia"/>
                    </w:rPr>
                    <w:t>39.0</w:t>
                  </w:r>
                </w:p>
              </w:tc>
              <w:tc>
                <w:tcPr>
                  <w:tcW w:w="559" w:type="pct"/>
                  <w:noWrap w:val="0"/>
                  <w:vAlign w:val="center"/>
                </w:tcPr>
                <w:p w14:paraId="6FEA7ED9">
                  <w:pPr>
                    <w:bidi w:val="0"/>
                    <w:jc w:val="center"/>
                    <w:rPr>
                      <w:rFonts w:hint="eastAsia"/>
                      <w:lang w:val="en-US" w:eastAsia="zh-CN"/>
                    </w:rPr>
                  </w:pPr>
                  <w:r>
                    <w:rPr>
                      <w:rFonts w:hint="eastAsia"/>
                    </w:rPr>
                    <w:t>38.0</w:t>
                  </w:r>
                </w:p>
              </w:tc>
            </w:tr>
            <w:tr w14:paraId="1BF78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pct"/>
                  <w:vMerge w:val="continue"/>
                  <w:noWrap w:val="0"/>
                  <w:vAlign w:val="center"/>
                </w:tcPr>
                <w:p w14:paraId="5A50D026">
                  <w:pPr>
                    <w:pStyle w:val="35"/>
                    <w:bidi w:val="0"/>
                    <w:jc w:val="center"/>
                    <w:rPr>
                      <w:rFonts w:hint="default"/>
                      <w:lang w:val="en-US" w:eastAsia="zh-CN"/>
                    </w:rPr>
                  </w:pPr>
                </w:p>
              </w:tc>
              <w:tc>
                <w:tcPr>
                  <w:tcW w:w="558" w:type="pct"/>
                  <w:vMerge w:val="continue"/>
                  <w:noWrap w:val="0"/>
                  <w:vAlign w:val="center"/>
                </w:tcPr>
                <w:p w14:paraId="5D2FB38D">
                  <w:pPr>
                    <w:pStyle w:val="35"/>
                    <w:bidi w:val="0"/>
                    <w:jc w:val="center"/>
                    <w:rPr>
                      <w:rFonts w:hint="default"/>
                      <w:lang w:val="en-US" w:eastAsia="zh-CN"/>
                    </w:rPr>
                  </w:pPr>
                </w:p>
              </w:tc>
              <w:tc>
                <w:tcPr>
                  <w:tcW w:w="753" w:type="pct"/>
                  <w:vMerge w:val="continue"/>
                  <w:noWrap w:val="0"/>
                  <w:vAlign w:val="center"/>
                </w:tcPr>
                <w:p w14:paraId="6DC02345">
                  <w:pPr>
                    <w:pStyle w:val="35"/>
                    <w:bidi w:val="0"/>
                    <w:jc w:val="center"/>
                    <w:rPr>
                      <w:rFonts w:hint="default"/>
                      <w:lang w:val="en-US" w:eastAsia="zh-CN"/>
                    </w:rPr>
                  </w:pPr>
                </w:p>
              </w:tc>
              <w:tc>
                <w:tcPr>
                  <w:tcW w:w="1028" w:type="pct"/>
                  <w:noWrap w:val="0"/>
                  <w:vAlign w:val="center"/>
                </w:tcPr>
                <w:p w14:paraId="1827E7A1">
                  <w:pPr>
                    <w:bidi w:val="0"/>
                    <w:jc w:val="center"/>
                    <w:rPr>
                      <w:rFonts w:hint="eastAsia"/>
                      <w:lang w:val="en-US" w:eastAsia="zh-CN"/>
                    </w:rPr>
                  </w:pPr>
                  <w:r>
                    <w:rPr>
                      <w:rFonts w:hint="eastAsia"/>
                      <w:lang w:val="en-US" w:eastAsia="zh-CN"/>
                    </w:rPr>
                    <w:t>边导线正下方投影外40m</w:t>
                  </w:r>
                </w:p>
              </w:tc>
              <w:tc>
                <w:tcPr>
                  <w:tcW w:w="809" w:type="pct"/>
                  <w:noWrap w:val="0"/>
                  <w:vAlign w:val="center"/>
                </w:tcPr>
                <w:p w14:paraId="16158A15">
                  <w:pPr>
                    <w:bidi w:val="0"/>
                    <w:jc w:val="center"/>
                    <w:rPr>
                      <w:rFonts w:hint="eastAsia"/>
                      <w:lang w:val="en-US" w:eastAsia="zh-CN"/>
                    </w:rPr>
                  </w:pPr>
                  <w:r>
                    <w:rPr>
                      <w:rFonts w:hint="eastAsia"/>
                      <w:lang w:val="en-US" w:eastAsia="zh-CN"/>
                    </w:rPr>
                    <w:t>1.5</w:t>
                  </w:r>
                </w:p>
              </w:tc>
              <w:tc>
                <w:tcPr>
                  <w:tcW w:w="558" w:type="pct"/>
                  <w:noWrap w:val="0"/>
                  <w:vAlign w:val="center"/>
                </w:tcPr>
                <w:p w14:paraId="0B5BC586">
                  <w:pPr>
                    <w:bidi w:val="0"/>
                    <w:jc w:val="center"/>
                    <w:rPr>
                      <w:rFonts w:hint="eastAsia"/>
                      <w:lang w:val="en-US" w:eastAsia="zh-CN"/>
                    </w:rPr>
                  </w:pPr>
                  <w:r>
                    <w:rPr>
                      <w:rFonts w:hint="eastAsia"/>
                    </w:rPr>
                    <w:t>39.2</w:t>
                  </w:r>
                </w:p>
              </w:tc>
              <w:tc>
                <w:tcPr>
                  <w:tcW w:w="559" w:type="pct"/>
                  <w:noWrap w:val="0"/>
                  <w:vAlign w:val="center"/>
                </w:tcPr>
                <w:p w14:paraId="4A0F2108">
                  <w:pPr>
                    <w:bidi w:val="0"/>
                    <w:jc w:val="center"/>
                    <w:rPr>
                      <w:rFonts w:hint="eastAsia"/>
                      <w:lang w:val="en-US" w:eastAsia="zh-CN"/>
                    </w:rPr>
                  </w:pPr>
                  <w:r>
                    <w:rPr>
                      <w:rFonts w:hint="eastAsia"/>
                    </w:rPr>
                    <w:t>38.5</w:t>
                  </w:r>
                </w:p>
              </w:tc>
            </w:tr>
            <w:tr w14:paraId="449D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pct"/>
                  <w:vMerge w:val="continue"/>
                  <w:noWrap w:val="0"/>
                  <w:vAlign w:val="center"/>
                </w:tcPr>
                <w:p w14:paraId="331905DC">
                  <w:pPr>
                    <w:pStyle w:val="35"/>
                    <w:bidi w:val="0"/>
                    <w:jc w:val="center"/>
                    <w:rPr>
                      <w:rFonts w:hint="default"/>
                      <w:lang w:val="en-US" w:eastAsia="zh-CN"/>
                    </w:rPr>
                  </w:pPr>
                </w:p>
              </w:tc>
              <w:tc>
                <w:tcPr>
                  <w:tcW w:w="558" w:type="pct"/>
                  <w:vMerge w:val="continue"/>
                  <w:noWrap w:val="0"/>
                  <w:vAlign w:val="center"/>
                </w:tcPr>
                <w:p w14:paraId="16B1B47C">
                  <w:pPr>
                    <w:pStyle w:val="35"/>
                    <w:bidi w:val="0"/>
                    <w:jc w:val="center"/>
                    <w:rPr>
                      <w:rFonts w:hint="default"/>
                      <w:lang w:val="en-US" w:eastAsia="zh-CN"/>
                    </w:rPr>
                  </w:pPr>
                </w:p>
              </w:tc>
              <w:tc>
                <w:tcPr>
                  <w:tcW w:w="753" w:type="pct"/>
                  <w:vMerge w:val="continue"/>
                  <w:noWrap w:val="0"/>
                  <w:vAlign w:val="center"/>
                </w:tcPr>
                <w:p w14:paraId="5C9D7CE9">
                  <w:pPr>
                    <w:pStyle w:val="35"/>
                    <w:bidi w:val="0"/>
                    <w:jc w:val="center"/>
                    <w:rPr>
                      <w:rFonts w:hint="default"/>
                      <w:lang w:val="en-US" w:eastAsia="zh-CN"/>
                    </w:rPr>
                  </w:pPr>
                </w:p>
              </w:tc>
              <w:tc>
                <w:tcPr>
                  <w:tcW w:w="1028" w:type="pct"/>
                  <w:noWrap w:val="0"/>
                  <w:vAlign w:val="center"/>
                </w:tcPr>
                <w:p w14:paraId="6A9C5C2A">
                  <w:pPr>
                    <w:bidi w:val="0"/>
                    <w:jc w:val="center"/>
                    <w:rPr>
                      <w:rFonts w:hint="eastAsia"/>
                      <w:lang w:val="en-US" w:eastAsia="zh-CN"/>
                    </w:rPr>
                  </w:pPr>
                  <w:r>
                    <w:rPr>
                      <w:rFonts w:hint="eastAsia"/>
                      <w:lang w:val="en-US" w:eastAsia="zh-CN"/>
                    </w:rPr>
                    <w:t>边导线正下方投影外45m</w:t>
                  </w:r>
                </w:p>
              </w:tc>
              <w:tc>
                <w:tcPr>
                  <w:tcW w:w="809" w:type="pct"/>
                  <w:noWrap w:val="0"/>
                  <w:vAlign w:val="center"/>
                </w:tcPr>
                <w:p w14:paraId="26C04ED0">
                  <w:pPr>
                    <w:bidi w:val="0"/>
                    <w:jc w:val="center"/>
                    <w:rPr>
                      <w:rFonts w:hint="eastAsia"/>
                      <w:lang w:val="en-US" w:eastAsia="zh-CN"/>
                    </w:rPr>
                  </w:pPr>
                  <w:r>
                    <w:rPr>
                      <w:rFonts w:hint="eastAsia"/>
                      <w:lang w:val="en-US" w:eastAsia="zh-CN"/>
                    </w:rPr>
                    <w:t>1.5</w:t>
                  </w:r>
                </w:p>
              </w:tc>
              <w:tc>
                <w:tcPr>
                  <w:tcW w:w="558" w:type="pct"/>
                  <w:noWrap w:val="0"/>
                  <w:vAlign w:val="center"/>
                </w:tcPr>
                <w:p w14:paraId="54C537F7">
                  <w:pPr>
                    <w:bidi w:val="0"/>
                    <w:jc w:val="center"/>
                    <w:rPr>
                      <w:rFonts w:hint="eastAsia"/>
                      <w:lang w:val="en-US" w:eastAsia="zh-CN"/>
                    </w:rPr>
                  </w:pPr>
                  <w:r>
                    <w:rPr>
                      <w:rFonts w:hint="eastAsia"/>
                    </w:rPr>
                    <w:t>41.0</w:t>
                  </w:r>
                </w:p>
              </w:tc>
              <w:tc>
                <w:tcPr>
                  <w:tcW w:w="559" w:type="pct"/>
                  <w:noWrap w:val="0"/>
                  <w:vAlign w:val="center"/>
                </w:tcPr>
                <w:p w14:paraId="68460D7D">
                  <w:pPr>
                    <w:bidi w:val="0"/>
                    <w:jc w:val="center"/>
                    <w:rPr>
                      <w:rFonts w:hint="eastAsia"/>
                      <w:lang w:val="en-US" w:eastAsia="zh-CN"/>
                    </w:rPr>
                  </w:pPr>
                  <w:r>
                    <w:rPr>
                      <w:rFonts w:hint="eastAsia"/>
                    </w:rPr>
                    <w:t>39.0</w:t>
                  </w:r>
                </w:p>
              </w:tc>
            </w:tr>
            <w:tr w14:paraId="43DC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pct"/>
                  <w:vMerge w:val="continue"/>
                  <w:noWrap w:val="0"/>
                  <w:vAlign w:val="center"/>
                </w:tcPr>
                <w:p w14:paraId="36C60A1B">
                  <w:pPr>
                    <w:pStyle w:val="35"/>
                    <w:bidi w:val="0"/>
                    <w:jc w:val="center"/>
                    <w:rPr>
                      <w:rFonts w:hint="default"/>
                      <w:lang w:val="en-US" w:eastAsia="zh-CN"/>
                    </w:rPr>
                  </w:pPr>
                </w:p>
              </w:tc>
              <w:tc>
                <w:tcPr>
                  <w:tcW w:w="558" w:type="pct"/>
                  <w:vMerge w:val="continue"/>
                  <w:noWrap w:val="0"/>
                  <w:vAlign w:val="center"/>
                </w:tcPr>
                <w:p w14:paraId="26C26CE5">
                  <w:pPr>
                    <w:pStyle w:val="35"/>
                    <w:bidi w:val="0"/>
                    <w:jc w:val="center"/>
                    <w:rPr>
                      <w:rFonts w:hint="default"/>
                      <w:lang w:val="en-US" w:eastAsia="zh-CN"/>
                    </w:rPr>
                  </w:pPr>
                </w:p>
              </w:tc>
              <w:tc>
                <w:tcPr>
                  <w:tcW w:w="753" w:type="pct"/>
                  <w:vMerge w:val="continue"/>
                  <w:noWrap w:val="0"/>
                  <w:vAlign w:val="center"/>
                </w:tcPr>
                <w:p w14:paraId="6A929315">
                  <w:pPr>
                    <w:pStyle w:val="35"/>
                    <w:bidi w:val="0"/>
                    <w:jc w:val="center"/>
                    <w:rPr>
                      <w:rFonts w:hint="default"/>
                      <w:lang w:val="en-US" w:eastAsia="zh-CN"/>
                    </w:rPr>
                  </w:pPr>
                </w:p>
              </w:tc>
              <w:tc>
                <w:tcPr>
                  <w:tcW w:w="1028" w:type="pct"/>
                  <w:noWrap w:val="0"/>
                  <w:vAlign w:val="center"/>
                </w:tcPr>
                <w:p w14:paraId="4CB0C0FF">
                  <w:pPr>
                    <w:bidi w:val="0"/>
                    <w:jc w:val="center"/>
                    <w:rPr>
                      <w:rFonts w:hint="eastAsia"/>
                      <w:lang w:val="en-US" w:eastAsia="zh-CN"/>
                    </w:rPr>
                  </w:pPr>
                  <w:r>
                    <w:rPr>
                      <w:rFonts w:hint="eastAsia"/>
                      <w:lang w:val="en-US" w:eastAsia="zh-CN"/>
                    </w:rPr>
                    <w:t>边导线正下方投影外50m</w:t>
                  </w:r>
                </w:p>
              </w:tc>
              <w:tc>
                <w:tcPr>
                  <w:tcW w:w="809" w:type="pct"/>
                  <w:noWrap w:val="0"/>
                  <w:vAlign w:val="center"/>
                </w:tcPr>
                <w:p w14:paraId="1EC55E4A">
                  <w:pPr>
                    <w:bidi w:val="0"/>
                    <w:jc w:val="center"/>
                    <w:rPr>
                      <w:rFonts w:hint="eastAsia"/>
                      <w:lang w:val="en-US" w:eastAsia="zh-CN"/>
                    </w:rPr>
                  </w:pPr>
                  <w:r>
                    <w:rPr>
                      <w:rFonts w:hint="eastAsia"/>
                      <w:lang w:val="en-US" w:eastAsia="zh-CN"/>
                    </w:rPr>
                    <w:t>1.5</w:t>
                  </w:r>
                </w:p>
              </w:tc>
              <w:tc>
                <w:tcPr>
                  <w:tcW w:w="558" w:type="pct"/>
                  <w:noWrap w:val="0"/>
                  <w:vAlign w:val="center"/>
                </w:tcPr>
                <w:p w14:paraId="50DDD1AE">
                  <w:pPr>
                    <w:bidi w:val="0"/>
                    <w:jc w:val="center"/>
                    <w:rPr>
                      <w:rFonts w:hint="eastAsia"/>
                      <w:lang w:val="en-US" w:eastAsia="zh-CN"/>
                    </w:rPr>
                  </w:pPr>
                  <w:r>
                    <w:rPr>
                      <w:rFonts w:hint="eastAsia"/>
                    </w:rPr>
                    <w:t>41.0</w:t>
                  </w:r>
                </w:p>
              </w:tc>
              <w:tc>
                <w:tcPr>
                  <w:tcW w:w="559" w:type="pct"/>
                  <w:noWrap w:val="0"/>
                  <w:vAlign w:val="center"/>
                </w:tcPr>
                <w:p w14:paraId="5D6DEFB5">
                  <w:pPr>
                    <w:bidi w:val="0"/>
                    <w:jc w:val="center"/>
                    <w:rPr>
                      <w:rFonts w:hint="eastAsia"/>
                      <w:lang w:val="en-US" w:eastAsia="zh-CN"/>
                    </w:rPr>
                  </w:pPr>
                  <w:r>
                    <w:rPr>
                      <w:rFonts w:hint="eastAsia"/>
                    </w:rPr>
                    <w:t>38.8</w:t>
                  </w:r>
                </w:p>
              </w:tc>
            </w:tr>
          </w:tbl>
          <w:p w14:paraId="1BBDDFF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eastAsia="宋体" w:cs="Calibri"/>
                <w:color w:val="auto"/>
                <w:sz w:val="24"/>
                <w:szCs w:val="24"/>
                <w:highlight w:val="none"/>
                <w:lang w:val="en-US" w:eastAsia="zh-CN"/>
              </w:rPr>
            </w:pPr>
            <w:r>
              <w:rPr>
                <w:rFonts w:hint="default" w:ascii="Calibri" w:hAnsi="Calibri" w:eastAsia="宋体" w:cs="Calibri"/>
                <w:color w:val="auto"/>
                <w:sz w:val="24"/>
                <w:szCs w:val="24"/>
                <w:highlight w:val="none"/>
                <w:lang w:val="en-US" w:eastAsia="zh-CN"/>
              </w:rPr>
              <w:t>监测结果表明，《浦类海巴里坤三塘湖风电场一期49.5MW 项目配套110kV 送出工程50m范围内昼间噪声最大值为 41dB(A)，夜间噪声最大值为 39dB(A)，满足《声环境质量标准》（GB3096-2008）中2类标准要求：昼间噪声≤60dB(A)，夜间噪声≤50dB(A)的要求。由类比线路产生的噪声影响可知，本项目线路运行时产生噪声不会对周边声环境造成明显影响，沿线声环境可满足《声环境质量标准》（GB3096-2008）2类标准。</w:t>
            </w:r>
          </w:p>
          <w:p w14:paraId="6B8D3E73">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3.2 变电站</w:t>
            </w:r>
          </w:p>
          <w:p w14:paraId="35E49835">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3.2.1 预测模型</w:t>
            </w:r>
          </w:p>
          <w:p w14:paraId="395D286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s="Times New Roman"/>
                <w:b w:val="0"/>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根据项目建设内容及《</w:t>
            </w:r>
            <w:r>
              <w:rPr>
                <w:rFonts w:hint="eastAsia" w:cs="Times New Roman"/>
                <w:color w:val="auto"/>
                <w:sz w:val="24"/>
                <w:szCs w:val="24"/>
                <w:highlight w:val="none"/>
                <w:lang w:val="en-US" w:eastAsia="zh-CN"/>
              </w:rPr>
              <w:t>环境影响评价技术导则 声环境</w:t>
            </w:r>
            <w:r>
              <w:rPr>
                <w:rFonts w:hint="default" w:ascii="Times New Roman" w:hAnsi="Times New Roman" w:eastAsia="宋体" w:cs="Times New Roman"/>
                <w:color w:val="auto"/>
                <w:sz w:val="24"/>
                <w:szCs w:val="24"/>
                <w:highlight w:val="none"/>
                <w:lang w:val="en-US" w:eastAsia="zh-CN"/>
              </w:rPr>
              <w:t>》（HJ2.4-2021）的要求，项目环评采用的模型为《</w:t>
            </w:r>
            <w:r>
              <w:rPr>
                <w:rFonts w:hint="eastAsia" w:cs="Times New Roman"/>
                <w:color w:val="auto"/>
                <w:sz w:val="24"/>
                <w:szCs w:val="24"/>
                <w:highlight w:val="none"/>
                <w:lang w:val="en-US" w:eastAsia="zh-CN"/>
              </w:rPr>
              <w:t>环境影响评价技术导则 声环境</w:t>
            </w:r>
            <w:r>
              <w:rPr>
                <w:rFonts w:hint="default" w:ascii="Times New Roman" w:hAnsi="Times New Roman" w:eastAsia="宋体" w:cs="Times New Roman"/>
                <w:color w:val="auto"/>
                <w:sz w:val="24"/>
                <w:szCs w:val="24"/>
                <w:highlight w:val="none"/>
                <w:lang w:val="en-US" w:eastAsia="zh-CN"/>
              </w:rPr>
              <w:t>》（HJ2.4</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2021）附录A（规范性附录）户外声传播的衰减和附录B（规范性附录）中“B.1工业噪声预测计算模型”。</w:t>
            </w:r>
          </w:p>
          <w:p w14:paraId="21142B2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根据《6kV～1000kV级电力变压器声级》（JB/T 10088-2016），110kV升压站主变源强参照110kV变电站主变设备正常运行时设备1.0m处1/2高度测量的声功率级。</w:t>
            </w:r>
          </w:p>
          <w:p w14:paraId="3DDDE41B">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cs="Times New Roman"/>
                <w:bCs/>
                <w:color w:val="auto"/>
                <w:sz w:val="24"/>
                <w:szCs w:val="24"/>
                <w:highlight w:val="none"/>
                <w:lang w:val="en-US" w:eastAsia="zh-CN"/>
              </w:rPr>
            </w:pPr>
            <w:r>
              <w:rPr>
                <w:rFonts w:hint="eastAsia" w:cs="Times New Roman"/>
                <w:b/>
                <w:bCs w:val="0"/>
                <w:color w:val="auto"/>
                <w:sz w:val="24"/>
                <w:szCs w:val="24"/>
                <w:highlight w:val="none"/>
                <w:lang w:val="en-US" w:eastAsia="zh-CN"/>
              </w:rPr>
              <w:t xml:space="preserve">3.2.2 </w:t>
            </w:r>
            <w:r>
              <w:rPr>
                <w:rFonts w:hint="eastAsia" w:ascii="Times New Roman" w:hAnsi="Times New Roman" w:eastAsia="宋体" w:cs="Times New Roman"/>
                <w:b/>
                <w:bCs w:val="0"/>
                <w:color w:val="auto"/>
                <w:kern w:val="2"/>
                <w:sz w:val="24"/>
                <w:szCs w:val="24"/>
                <w:lang w:val="en-US" w:eastAsia="zh-CN" w:bidi="ar-SA"/>
              </w:rPr>
              <w:t>监测结果</w:t>
            </w:r>
          </w:p>
          <w:p w14:paraId="1AB5609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通过预测模型计算，项目</w:t>
            </w:r>
            <w:r>
              <w:rPr>
                <w:rFonts w:hint="eastAsia" w:ascii="Times New Roman" w:hAnsi="Times New Roman" w:eastAsia="宋体" w:cs="Times New Roman"/>
                <w:bCs/>
                <w:color w:val="auto"/>
                <w:sz w:val="24"/>
                <w:szCs w:val="24"/>
                <w:highlight w:val="none"/>
                <w:lang w:val="en-US" w:eastAsia="zh-CN"/>
              </w:rPr>
              <w:t>噪声源强调查清单（室外声源）</w:t>
            </w:r>
            <w:r>
              <w:rPr>
                <w:rFonts w:hint="eastAsia" w:ascii="Times New Roman" w:hAnsi="Times New Roman" w:eastAsia="宋体" w:cs="Times New Roman"/>
                <w:bCs/>
                <w:color w:val="auto"/>
                <w:sz w:val="24"/>
                <w:szCs w:val="24"/>
                <w:highlight w:val="none"/>
                <w:lang w:eastAsia="zh-CN"/>
              </w:rPr>
              <w:t>见表</w:t>
            </w:r>
            <w:r>
              <w:rPr>
                <w:rFonts w:hint="eastAsia" w:cs="Times New Roman"/>
                <w:bCs/>
                <w:color w:val="auto"/>
                <w:sz w:val="24"/>
                <w:szCs w:val="24"/>
                <w:highlight w:val="none"/>
                <w:lang w:eastAsia="zh-CN"/>
              </w:rPr>
              <w:t>4</w:t>
            </w:r>
            <w:r>
              <w:rPr>
                <w:rFonts w:hint="eastAsia" w:cs="Times New Roman"/>
                <w:bCs/>
                <w:color w:val="auto"/>
                <w:sz w:val="24"/>
                <w:szCs w:val="24"/>
                <w:highlight w:val="none"/>
                <w:lang w:val="en-US" w:eastAsia="zh-CN"/>
              </w:rPr>
              <w:t>-5</w:t>
            </w:r>
            <w:r>
              <w:rPr>
                <w:rFonts w:hint="eastAsia" w:ascii="Times New Roman" w:hAnsi="Times New Roman" w:eastAsia="宋体" w:cs="Times New Roman"/>
                <w:bCs/>
                <w:color w:val="auto"/>
                <w:sz w:val="24"/>
                <w:szCs w:val="24"/>
                <w:highlight w:val="none"/>
                <w:lang w:eastAsia="zh-CN"/>
              </w:rPr>
              <w:t>，噪声预测结果与达标分析表见表</w:t>
            </w:r>
            <w:r>
              <w:rPr>
                <w:rFonts w:hint="eastAsia" w:cs="Times New Roman"/>
                <w:bCs/>
                <w:color w:val="auto"/>
                <w:sz w:val="24"/>
                <w:szCs w:val="24"/>
                <w:highlight w:val="none"/>
                <w:lang w:eastAsia="zh-CN"/>
              </w:rPr>
              <w:t>4</w:t>
            </w:r>
            <w:r>
              <w:rPr>
                <w:rFonts w:hint="eastAsia" w:cs="Times New Roman"/>
                <w:bCs/>
                <w:color w:val="auto"/>
                <w:sz w:val="24"/>
                <w:szCs w:val="24"/>
                <w:highlight w:val="none"/>
                <w:lang w:val="en-US" w:eastAsia="zh-CN"/>
              </w:rPr>
              <w:t>-6</w:t>
            </w:r>
            <w:r>
              <w:rPr>
                <w:rFonts w:hint="eastAsia" w:ascii="Times New Roman" w:hAnsi="Times New Roman" w:eastAsia="宋体" w:cs="Times New Roman"/>
                <w:bCs/>
                <w:color w:val="auto"/>
                <w:sz w:val="24"/>
                <w:szCs w:val="24"/>
                <w:highlight w:val="none"/>
                <w:lang w:eastAsia="zh-CN"/>
              </w:rPr>
              <w:t>。</w:t>
            </w:r>
          </w:p>
          <w:p w14:paraId="7005C1E8">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eastAsia"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 xml:space="preserve">表4-5    </w:t>
            </w:r>
            <w:r>
              <w:rPr>
                <w:rFonts w:hint="eastAsia" w:cs="Times New Roman"/>
                <w:b/>
                <w:bCs/>
                <w:color w:val="auto"/>
                <w:kern w:val="2"/>
                <w:sz w:val="24"/>
                <w:szCs w:val="24"/>
                <w:lang w:val="en-US" w:eastAsia="zh-CN" w:bidi="ar-SA"/>
              </w:rPr>
              <w:tab/>
            </w:r>
            <w:r>
              <w:rPr>
                <w:rFonts w:hint="eastAsia" w:cs="Times New Roman"/>
                <w:b/>
                <w:bCs/>
                <w:color w:val="auto"/>
                <w:kern w:val="2"/>
                <w:sz w:val="24"/>
                <w:szCs w:val="24"/>
                <w:lang w:val="en-US" w:eastAsia="zh-CN" w:bidi="ar-SA"/>
              </w:rPr>
              <w:t>工业企业噪声源强调查清单（室外声源）</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869"/>
              <w:gridCol w:w="1871"/>
              <w:gridCol w:w="750"/>
              <w:gridCol w:w="867"/>
              <w:gridCol w:w="607"/>
              <w:gridCol w:w="962"/>
              <w:gridCol w:w="1146"/>
              <w:gridCol w:w="563"/>
            </w:tblGrid>
            <w:tr w14:paraId="67CB8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0" w:hRule="exact"/>
                <w:jc w:val="center"/>
              </w:trPr>
              <w:tc>
                <w:tcPr>
                  <w:tcW w:w="303" w:type="pct"/>
                  <w:vMerge w:val="restart"/>
                  <w:shd w:val="clear" w:color="auto" w:fill="auto"/>
                  <w:vAlign w:val="center"/>
                </w:tcPr>
                <w:p w14:paraId="2CBEB265">
                  <w:pPr>
                    <w:jc w:val="center"/>
                    <w:rPr>
                      <w:rFonts w:hint="eastAsia" w:ascii="宋体" w:hAnsi="宋体" w:eastAsia="宋体" w:cs="宋体"/>
                      <w:bCs/>
                      <w:color w:val="auto"/>
                      <w:sz w:val="21"/>
                      <w:szCs w:val="21"/>
                    </w:rPr>
                  </w:pPr>
                  <w:r>
                    <w:rPr>
                      <w:rFonts w:hint="eastAsia" w:ascii="宋体" w:hAnsi="宋体" w:eastAsia="宋体" w:cs="宋体"/>
                      <w:b w:val="0"/>
                      <w:bCs/>
                      <w:color w:val="auto"/>
                      <w:sz w:val="21"/>
                      <w:szCs w:val="21"/>
                    </w:rPr>
                    <w:t>序号</w:t>
                  </w:r>
                </w:p>
              </w:tc>
              <w:tc>
                <w:tcPr>
                  <w:tcW w:w="534" w:type="pct"/>
                  <w:vMerge w:val="restart"/>
                  <w:shd w:val="clear" w:color="auto" w:fill="auto"/>
                  <w:vAlign w:val="center"/>
                </w:tcPr>
                <w:p w14:paraId="0250B84D">
                  <w:pPr>
                    <w:jc w:val="center"/>
                    <w:rPr>
                      <w:rFonts w:hint="eastAsia" w:ascii="宋体" w:hAnsi="宋体" w:eastAsia="宋体" w:cs="宋体"/>
                      <w:bCs/>
                      <w:color w:val="auto"/>
                      <w:sz w:val="21"/>
                      <w:szCs w:val="21"/>
                    </w:rPr>
                  </w:pPr>
                  <w:r>
                    <w:rPr>
                      <w:rFonts w:hint="eastAsia" w:ascii="宋体" w:hAnsi="宋体" w:eastAsia="宋体" w:cs="宋体"/>
                      <w:b w:val="0"/>
                      <w:bCs/>
                      <w:color w:val="auto"/>
                      <w:sz w:val="21"/>
                      <w:szCs w:val="21"/>
                    </w:rPr>
                    <w:t>声源名称</w:t>
                  </w:r>
                </w:p>
              </w:tc>
              <w:tc>
                <w:tcPr>
                  <w:tcW w:w="1150" w:type="pct"/>
                  <w:vMerge w:val="restart"/>
                  <w:shd w:val="clear" w:color="auto" w:fill="auto"/>
                  <w:vAlign w:val="center"/>
                </w:tcPr>
                <w:p w14:paraId="4F4A82E8">
                  <w:pPr>
                    <w:jc w:val="center"/>
                    <w:rPr>
                      <w:rFonts w:hint="eastAsia" w:ascii="宋体" w:hAnsi="宋体" w:eastAsia="宋体" w:cs="宋体"/>
                      <w:bCs/>
                      <w:color w:val="auto"/>
                      <w:sz w:val="21"/>
                      <w:szCs w:val="21"/>
                    </w:rPr>
                  </w:pPr>
                  <w:r>
                    <w:rPr>
                      <w:rFonts w:hint="eastAsia" w:ascii="宋体" w:hAnsi="宋体" w:eastAsia="宋体" w:cs="宋体"/>
                      <w:b w:val="0"/>
                      <w:bCs/>
                      <w:color w:val="auto"/>
                      <w:sz w:val="21"/>
                      <w:szCs w:val="21"/>
                    </w:rPr>
                    <w:t>型号</w:t>
                  </w:r>
                </w:p>
              </w:tc>
              <w:tc>
                <w:tcPr>
                  <w:tcW w:w="1367" w:type="pct"/>
                  <w:gridSpan w:val="3"/>
                  <w:shd w:val="clear" w:color="auto" w:fill="auto"/>
                  <w:vAlign w:val="center"/>
                </w:tcPr>
                <w:p w14:paraId="0B2D1473">
                  <w:pPr>
                    <w:jc w:val="center"/>
                    <w:rPr>
                      <w:rFonts w:hint="eastAsia" w:ascii="宋体" w:hAnsi="宋体" w:eastAsia="宋体" w:cs="宋体"/>
                      <w:bCs/>
                      <w:color w:val="auto"/>
                      <w:sz w:val="21"/>
                      <w:szCs w:val="21"/>
                    </w:rPr>
                  </w:pPr>
                  <w:r>
                    <w:rPr>
                      <w:rFonts w:hint="eastAsia" w:ascii="宋体" w:hAnsi="宋体" w:eastAsia="宋体" w:cs="宋体"/>
                      <w:b w:val="0"/>
                      <w:bCs/>
                      <w:color w:val="auto"/>
                      <w:sz w:val="21"/>
                      <w:szCs w:val="21"/>
                    </w:rPr>
                    <w:t>空间相对位置/m</w:t>
                  </w:r>
                </w:p>
              </w:tc>
              <w:tc>
                <w:tcPr>
                  <w:tcW w:w="591" w:type="pct"/>
                  <w:shd w:val="clear" w:color="auto" w:fill="auto"/>
                  <w:vAlign w:val="center"/>
                </w:tcPr>
                <w:p w14:paraId="23FE8371">
                  <w:pPr>
                    <w:jc w:val="center"/>
                    <w:rPr>
                      <w:rFonts w:hint="eastAsia" w:ascii="宋体" w:hAnsi="宋体" w:eastAsia="宋体" w:cs="宋体"/>
                      <w:b w:val="0"/>
                      <w:bCs/>
                      <w:color w:val="auto"/>
                      <w:sz w:val="21"/>
                      <w:szCs w:val="21"/>
                      <w:lang w:eastAsia="zh-CN"/>
                    </w:rPr>
                  </w:pPr>
                  <w:r>
                    <w:rPr>
                      <w:rFonts w:hint="eastAsia" w:ascii="宋体" w:hAnsi="宋体" w:eastAsia="宋体" w:cs="宋体"/>
                      <w:b w:val="0"/>
                      <w:bCs/>
                      <w:color w:val="auto"/>
                      <w:sz w:val="21"/>
                      <w:szCs w:val="21"/>
                      <w:lang w:eastAsia="zh-CN"/>
                    </w:rPr>
                    <w:t>声</w:t>
                  </w:r>
                  <w:r>
                    <w:rPr>
                      <w:rFonts w:hint="eastAsia" w:ascii="宋体" w:hAnsi="宋体" w:cs="宋体"/>
                      <w:b w:val="0"/>
                      <w:bCs/>
                      <w:color w:val="auto"/>
                      <w:sz w:val="21"/>
                      <w:szCs w:val="21"/>
                      <w:lang w:eastAsia="zh-CN"/>
                    </w:rPr>
                    <w:t>源源</w:t>
                  </w:r>
                  <w:r>
                    <w:rPr>
                      <w:rFonts w:hint="eastAsia" w:ascii="宋体" w:hAnsi="宋体" w:eastAsia="宋体" w:cs="宋体"/>
                      <w:b w:val="0"/>
                      <w:bCs/>
                      <w:color w:val="auto"/>
                      <w:sz w:val="21"/>
                      <w:szCs w:val="21"/>
                      <w:lang w:eastAsia="zh-CN"/>
                    </w:rPr>
                    <w:t>强</w:t>
                  </w:r>
                </w:p>
              </w:tc>
              <w:tc>
                <w:tcPr>
                  <w:tcW w:w="704" w:type="pct"/>
                  <w:vMerge w:val="restart"/>
                  <w:shd w:val="clear" w:color="auto" w:fill="auto"/>
                  <w:vAlign w:val="center"/>
                </w:tcPr>
                <w:p w14:paraId="7CA3D8E0">
                  <w:pPr>
                    <w:jc w:val="center"/>
                    <w:rPr>
                      <w:rFonts w:hint="eastAsia" w:ascii="宋体" w:hAnsi="宋体" w:eastAsia="宋体" w:cs="宋体"/>
                      <w:bCs/>
                      <w:color w:val="auto"/>
                      <w:sz w:val="21"/>
                      <w:szCs w:val="21"/>
                    </w:rPr>
                  </w:pPr>
                  <w:r>
                    <w:rPr>
                      <w:rFonts w:hint="eastAsia" w:ascii="宋体" w:hAnsi="宋体" w:eastAsia="宋体" w:cs="宋体"/>
                      <w:b w:val="0"/>
                      <w:bCs/>
                      <w:color w:val="auto"/>
                      <w:sz w:val="21"/>
                      <w:szCs w:val="21"/>
                    </w:rPr>
                    <w:t>声源控制措施</w:t>
                  </w:r>
                </w:p>
              </w:tc>
              <w:tc>
                <w:tcPr>
                  <w:tcW w:w="346" w:type="pct"/>
                  <w:vMerge w:val="restart"/>
                  <w:shd w:val="clear" w:color="auto" w:fill="auto"/>
                  <w:vAlign w:val="center"/>
                </w:tcPr>
                <w:p w14:paraId="2B6A9059">
                  <w:pPr>
                    <w:jc w:val="center"/>
                    <w:rPr>
                      <w:rFonts w:hint="eastAsia" w:ascii="宋体" w:hAnsi="宋体" w:eastAsia="宋体" w:cs="宋体"/>
                      <w:bCs/>
                      <w:color w:val="auto"/>
                      <w:sz w:val="21"/>
                      <w:szCs w:val="21"/>
                    </w:rPr>
                  </w:pPr>
                  <w:r>
                    <w:rPr>
                      <w:rFonts w:hint="eastAsia" w:ascii="宋体" w:hAnsi="宋体" w:eastAsia="宋体" w:cs="宋体"/>
                      <w:b w:val="0"/>
                      <w:bCs/>
                      <w:color w:val="auto"/>
                      <w:sz w:val="21"/>
                      <w:szCs w:val="21"/>
                    </w:rPr>
                    <w:t>运行时段</w:t>
                  </w:r>
                </w:p>
              </w:tc>
            </w:tr>
            <w:tr w14:paraId="3EA3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03" w:type="pct"/>
                  <w:vMerge w:val="continue"/>
                  <w:shd w:val="clear" w:color="auto" w:fill="auto"/>
                  <w:vAlign w:val="center"/>
                </w:tcPr>
                <w:p w14:paraId="6A38261B">
                  <w:pPr>
                    <w:jc w:val="center"/>
                    <w:rPr>
                      <w:rFonts w:hint="eastAsia" w:ascii="宋体" w:hAnsi="宋体" w:eastAsia="宋体" w:cs="宋体"/>
                      <w:color w:val="auto"/>
                      <w:sz w:val="21"/>
                      <w:szCs w:val="21"/>
                    </w:rPr>
                  </w:pPr>
                </w:p>
              </w:tc>
              <w:tc>
                <w:tcPr>
                  <w:tcW w:w="534" w:type="pct"/>
                  <w:vMerge w:val="continue"/>
                  <w:shd w:val="clear" w:color="auto" w:fill="auto"/>
                  <w:vAlign w:val="center"/>
                </w:tcPr>
                <w:p w14:paraId="6AF4E1AE">
                  <w:pPr>
                    <w:jc w:val="center"/>
                    <w:rPr>
                      <w:rFonts w:hint="eastAsia" w:ascii="宋体" w:hAnsi="宋体" w:eastAsia="宋体" w:cs="宋体"/>
                      <w:color w:val="auto"/>
                      <w:sz w:val="21"/>
                      <w:szCs w:val="21"/>
                    </w:rPr>
                  </w:pPr>
                </w:p>
              </w:tc>
              <w:tc>
                <w:tcPr>
                  <w:tcW w:w="1150" w:type="pct"/>
                  <w:vMerge w:val="continue"/>
                  <w:shd w:val="clear" w:color="auto" w:fill="auto"/>
                  <w:vAlign w:val="center"/>
                </w:tcPr>
                <w:p w14:paraId="02C6E3F8">
                  <w:pPr>
                    <w:jc w:val="center"/>
                    <w:rPr>
                      <w:rFonts w:hint="eastAsia" w:ascii="宋体" w:hAnsi="宋体" w:eastAsia="宋体" w:cs="宋体"/>
                      <w:color w:val="auto"/>
                      <w:sz w:val="21"/>
                      <w:szCs w:val="21"/>
                    </w:rPr>
                  </w:pPr>
                </w:p>
              </w:tc>
              <w:tc>
                <w:tcPr>
                  <w:tcW w:w="461" w:type="pct"/>
                  <w:shd w:val="clear" w:color="auto" w:fill="auto"/>
                  <w:vAlign w:val="center"/>
                </w:tcPr>
                <w:p w14:paraId="309CEBDB">
                  <w:pPr>
                    <w:jc w:val="center"/>
                    <w:rPr>
                      <w:rFonts w:hint="eastAsia" w:ascii="宋体" w:hAnsi="宋体" w:eastAsia="宋体" w:cs="宋体"/>
                      <w:color w:val="auto"/>
                      <w:sz w:val="21"/>
                      <w:szCs w:val="21"/>
                    </w:rPr>
                  </w:pPr>
                  <w:r>
                    <w:rPr>
                      <w:rFonts w:hint="eastAsia" w:ascii="宋体" w:hAnsi="宋体" w:eastAsia="宋体" w:cs="宋体"/>
                      <w:color w:val="auto"/>
                      <w:sz w:val="21"/>
                      <w:szCs w:val="21"/>
                    </w:rPr>
                    <w:t>X</w:t>
                  </w:r>
                </w:p>
              </w:tc>
              <w:tc>
                <w:tcPr>
                  <w:tcW w:w="533" w:type="pct"/>
                  <w:shd w:val="clear" w:color="auto" w:fill="auto"/>
                  <w:vAlign w:val="center"/>
                </w:tcPr>
                <w:p w14:paraId="333D8DA8">
                  <w:pPr>
                    <w:jc w:val="center"/>
                    <w:rPr>
                      <w:rFonts w:hint="eastAsia" w:ascii="宋体" w:hAnsi="宋体" w:eastAsia="宋体" w:cs="宋体"/>
                      <w:color w:val="auto"/>
                      <w:sz w:val="21"/>
                      <w:szCs w:val="21"/>
                    </w:rPr>
                  </w:pPr>
                  <w:r>
                    <w:rPr>
                      <w:rFonts w:hint="eastAsia" w:ascii="宋体" w:hAnsi="宋体" w:eastAsia="宋体" w:cs="宋体"/>
                      <w:color w:val="auto"/>
                      <w:sz w:val="21"/>
                      <w:szCs w:val="21"/>
                    </w:rPr>
                    <w:t>Y</w:t>
                  </w:r>
                </w:p>
              </w:tc>
              <w:tc>
                <w:tcPr>
                  <w:tcW w:w="373" w:type="pct"/>
                  <w:shd w:val="clear" w:color="auto" w:fill="auto"/>
                  <w:vAlign w:val="center"/>
                </w:tcPr>
                <w:p w14:paraId="11CEB480">
                  <w:pPr>
                    <w:jc w:val="center"/>
                    <w:rPr>
                      <w:rFonts w:hint="eastAsia" w:ascii="宋体" w:hAnsi="宋体" w:eastAsia="宋体" w:cs="宋体"/>
                      <w:color w:val="auto"/>
                      <w:sz w:val="21"/>
                      <w:szCs w:val="21"/>
                    </w:rPr>
                  </w:pPr>
                  <w:r>
                    <w:rPr>
                      <w:rFonts w:hint="eastAsia" w:ascii="宋体" w:hAnsi="宋体" w:eastAsia="宋体" w:cs="宋体"/>
                      <w:color w:val="auto"/>
                      <w:sz w:val="21"/>
                      <w:szCs w:val="21"/>
                    </w:rPr>
                    <w:t>Z</w:t>
                  </w:r>
                </w:p>
              </w:tc>
              <w:tc>
                <w:tcPr>
                  <w:tcW w:w="591" w:type="pct"/>
                  <w:shd w:val="clear" w:color="auto" w:fill="auto"/>
                  <w:vAlign w:val="center"/>
                </w:tcPr>
                <w:p w14:paraId="7584393F">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声功率级/dB(A)</w:t>
                  </w:r>
                </w:p>
              </w:tc>
              <w:tc>
                <w:tcPr>
                  <w:tcW w:w="704" w:type="pct"/>
                  <w:vMerge w:val="continue"/>
                  <w:shd w:val="clear" w:color="auto" w:fill="auto"/>
                  <w:vAlign w:val="center"/>
                </w:tcPr>
                <w:p w14:paraId="332099AD">
                  <w:pPr>
                    <w:jc w:val="center"/>
                    <w:rPr>
                      <w:rFonts w:hint="eastAsia" w:ascii="宋体" w:hAnsi="宋体" w:eastAsia="宋体" w:cs="宋体"/>
                      <w:color w:val="auto"/>
                      <w:sz w:val="21"/>
                      <w:szCs w:val="21"/>
                    </w:rPr>
                  </w:pPr>
                </w:p>
              </w:tc>
              <w:tc>
                <w:tcPr>
                  <w:tcW w:w="346" w:type="pct"/>
                  <w:vMerge w:val="continue"/>
                  <w:shd w:val="clear" w:color="auto" w:fill="auto"/>
                  <w:vAlign w:val="center"/>
                </w:tcPr>
                <w:p w14:paraId="45E0685F">
                  <w:pPr>
                    <w:jc w:val="center"/>
                    <w:rPr>
                      <w:rFonts w:hint="eastAsia" w:ascii="宋体" w:hAnsi="宋体" w:eastAsia="宋体" w:cs="宋体"/>
                      <w:color w:val="auto"/>
                      <w:sz w:val="21"/>
                      <w:szCs w:val="21"/>
                    </w:rPr>
                  </w:pPr>
                </w:p>
              </w:tc>
            </w:tr>
            <w:tr w14:paraId="3C92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19" w:hRule="exact"/>
                <w:jc w:val="center"/>
              </w:trPr>
              <w:tc>
                <w:tcPr>
                  <w:tcW w:w="303" w:type="pct"/>
                  <w:shd w:val="clear" w:color="auto" w:fill="auto"/>
                  <w:vAlign w:val="center"/>
                </w:tcPr>
                <w:p w14:paraId="10FDCEA9">
                  <w:pPr>
                    <w:jc w:val="center"/>
                    <w:rPr>
                      <w:rFonts w:hint="eastAsia" w:ascii="宋体" w:hAnsi="宋体" w:eastAsia="宋体" w:cs="宋体"/>
                      <w:color w:val="auto"/>
                      <w:szCs w:val="21"/>
                    </w:rPr>
                  </w:pPr>
                  <w:r>
                    <w:rPr>
                      <w:rFonts w:hint="eastAsia" w:ascii="宋体" w:hAnsi="宋体" w:eastAsia="宋体" w:cs="宋体"/>
                      <w:color w:val="auto"/>
                      <w:sz w:val="21"/>
                      <w:szCs w:val="21"/>
                    </w:rPr>
                    <w:t>1</w:t>
                  </w:r>
                </w:p>
              </w:tc>
              <w:tc>
                <w:tcPr>
                  <w:tcW w:w="534" w:type="pct"/>
                  <w:shd w:val="clear" w:color="auto" w:fill="auto"/>
                  <w:vAlign w:val="center"/>
                </w:tcPr>
                <w:p w14:paraId="0D26C4DA">
                  <w:pPr>
                    <w:jc w:val="center"/>
                    <w:rPr>
                      <w:rFonts w:hint="eastAsia" w:ascii="宋体" w:hAnsi="宋体" w:eastAsia="宋体" w:cs="宋体"/>
                      <w:color w:val="auto"/>
                      <w:szCs w:val="21"/>
                    </w:rPr>
                  </w:pPr>
                  <w:r>
                    <w:rPr>
                      <w:rFonts w:hint="eastAsia" w:ascii="宋体" w:hAnsi="宋体" w:cs="宋体"/>
                      <w:color w:val="auto"/>
                      <w:sz w:val="21"/>
                      <w:szCs w:val="21"/>
                      <w:lang w:val="en-US" w:eastAsia="zh-CN"/>
                    </w:rPr>
                    <w:t>1#</w:t>
                  </w:r>
                  <w:r>
                    <w:rPr>
                      <w:rFonts w:hint="eastAsia" w:ascii="宋体" w:hAnsi="宋体" w:eastAsia="宋体" w:cs="宋体"/>
                      <w:color w:val="auto"/>
                      <w:sz w:val="21"/>
                      <w:szCs w:val="21"/>
                    </w:rPr>
                    <w:t>主变压器</w:t>
                  </w:r>
                </w:p>
              </w:tc>
              <w:tc>
                <w:tcPr>
                  <w:tcW w:w="1150" w:type="pct"/>
                  <w:shd w:val="clear" w:color="auto" w:fill="auto"/>
                  <w:vAlign w:val="center"/>
                </w:tcPr>
                <w:p w14:paraId="64547AF6">
                  <w:pPr>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S</w:t>
                  </w:r>
                  <w:r>
                    <w:rPr>
                      <w:rFonts w:hint="eastAsia" w:ascii="宋体" w:hAnsi="宋体" w:cs="宋体"/>
                      <w:color w:val="auto"/>
                      <w:szCs w:val="21"/>
                      <w:lang w:val="en-US" w:eastAsia="zh-CN"/>
                    </w:rPr>
                    <w:t>SZ</w:t>
                  </w:r>
                  <w:r>
                    <w:rPr>
                      <w:rFonts w:hint="eastAsia" w:ascii="宋体" w:hAnsi="宋体" w:eastAsia="宋体" w:cs="宋体"/>
                      <w:color w:val="auto"/>
                      <w:szCs w:val="21"/>
                      <w:lang w:val="en-US" w:eastAsia="zh-CN"/>
                    </w:rPr>
                    <w:t>-</w:t>
                  </w:r>
                  <w:r>
                    <w:rPr>
                      <w:rFonts w:hint="eastAsia" w:ascii="宋体" w:hAnsi="宋体" w:cs="宋体"/>
                      <w:color w:val="auto"/>
                      <w:szCs w:val="21"/>
                      <w:lang w:val="en-US" w:eastAsia="zh-CN"/>
                    </w:rPr>
                    <w:t>5</w:t>
                  </w:r>
                  <w:r>
                    <w:rPr>
                      <w:rFonts w:hint="eastAsia" w:ascii="宋体" w:hAnsi="宋体" w:eastAsia="宋体" w:cs="宋体"/>
                      <w:color w:val="auto"/>
                      <w:szCs w:val="21"/>
                      <w:lang w:val="en-US" w:eastAsia="zh-CN"/>
                    </w:rPr>
                    <w:t>0000/110(W</w:t>
                  </w:r>
                  <w:r>
                    <w:rPr>
                      <w:rFonts w:hint="eastAsia" w:ascii="宋体" w:hAnsi="宋体" w:cs="宋体"/>
                      <w:color w:val="auto"/>
                      <w:szCs w:val="21"/>
                      <w:lang w:val="en-US" w:eastAsia="zh-CN"/>
                    </w:rPr>
                    <w:t>)</w:t>
                  </w:r>
                </w:p>
              </w:tc>
              <w:tc>
                <w:tcPr>
                  <w:tcW w:w="461" w:type="pct"/>
                  <w:shd w:val="clear" w:color="auto" w:fill="auto"/>
                  <w:vAlign w:val="center"/>
                </w:tcPr>
                <w:p w14:paraId="5532D7F3">
                  <w:pPr>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-7.8</w:t>
                  </w:r>
                </w:p>
              </w:tc>
              <w:tc>
                <w:tcPr>
                  <w:tcW w:w="533" w:type="pct"/>
                  <w:shd w:val="clear" w:color="auto" w:fill="auto"/>
                  <w:vAlign w:val="center"/>
                </w:tcPr>
                <w:p w14:paraId="061AD909">
                  <w:pPr>
                    <w:jc w:val="center"/>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7.1</w:t>
                  </w:r>
                </w:p>
              </w:tc>
              <w:tc>
                <w:tcPr>
                  <w:tcW w:w="373" w:type="pct"/>
                  <w:shd w:val="clear" w:color="auto" w:fill="auto"/>
                  <w:vAlign w:val="center"/>
                </w:tcPr>
                <w:p w14:paraId="7F7CCDEF">
                  <w:pPr>
                    <w:jc w:val="center"/>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1.2</w:t>
                  </w:r>
                </w:p>
              </w:tc>
              <w:tc>
                <w:tcPr>
                  <w:tcW w:w="591" w:type="pct"/>
                  <w:shd w:val="clear" w:color="auto" w:fill="auto"/>
                  <w:vAlign w:val="center"/>
                </w:tcPr>
                <w:p w14:paraId="5CE635BD">
                  <w:pPr>
                    <w:jc w:val="center"/>
                    <w:rPr>
                      <w:rFonts w:hint="default" w:ascii="宋体" w:hAnsi="宋体" w:eastAsia="宋体" w:cs="宋体"/>
                      <w:color w:val="auto"/>
                      <w:szCs w:val="21"/>
                      <w:lang w:val="en-US" w:eastAsia="zh-CN"/>
                    </w:rPr>
                  </w:pPr>
                  <w:r>
                    <w:rPr>
                      <w:rFonts w:hint="eastAsia" w:ascii="宋体" w:hAnsi="宋体" w:cs="宋体"/>
                      <w:color w:val="auto"/>
                      <w:sz w:val="21"/>
                      <w:szCs w:val="21"/>
                      <w:lang w:val="en-US" w:eastAsia="zh-CN"/>
                    </w:rPr>
                    <w:t>70</w:t>
                  </w:r>
                </w:p>
              </w:tc>
              <w:tc>
                <w:tcPr>
                  <w:tcW w:w="704" w:type="pct"/>
                  <w:shd w:val="clear" w:color="auto" w:fill="auto"/>
                  <w:vAlign w:val="center"/>
                </w:tcPr>
                <w:p w14:paraId="0E9B7215">
                  <w:pPr>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距离衰减</w:t>
                  </w:r>
                </w:p>
              </w:tc>
              <w:tc>
                <w:tcPr>
                  <w:tcW w:w="346" w:type="pct"/>
                  <w:shd w:val="clear" w:color="auto" w:fill="auto"/>
                  <w:vAlign w:val="center"/>
                </w:tcPr>
                <w:p w14:paraId="0CE162F7">
                  <w:pPr>
                    <w:jc w:val="center"/>
                    <w:rPr>
                      <w:rFonts w:hint="eastAsia" w:ascii="宋体" w:hAnsi="宋体" w:eastAsia="宋体" w:cs="宋体"/>
                      <w:color w:val="auto"/>
                      <w:szCs w:val="21"/>
                    </w:rPr>
                  </w:pPr>
                  <w:r>
                    <w:rPr>
                      <w:rFonts w:hint="eastAsia" w:ascii="宋体" w:hAnsi="宋体" w:eastAsia="宋体" w:cs="宋体"/>
                      <w:color w:val="auto"/>
                      <w:sz w:val="21"/>
                      <w:szCs w:val="21"/>
                    </w:rPr>
                    <w:t>24</w:t>
                  </w:r>
                </w:p>
              </w:tc>
            </w:tr>
          </w:tbl>
          <w:p w14:paraId="5EEF05E5">
            <w:pPr>
              <w:keepNext w:val="0"/>
              <w:keepLines w:val="0"/>
              <w:pageBreakBefore w:val="0"/>
              <w:widowControl w:val="0"/>
              <w:kinsoku/>
              <w:wordWrap/>
              <w:overflowPunct/>
              <w:topLinePunct w:val="0"/>
              <w:autoSpaceDE/>
              <w:autoSpaceDN/>
              <w:bidi w:val="0"/>
              <w:adjustRightInd w:val="0"/>
              <w:snapToGrid w:val="0"/>
              <w:spacing w:line="480" w:lineRule="exact"/>
              <w:jc w:val="center"/>
              <w:textAlignment w:val="auto"/>
              <w:rPr>
                <w:rFonts w:ascii="Times New Roman" w:hAnsi="Times New Roman" w:cs="Times New Roman"/>
                <w:b/>
                <w:color w:val="auto"/>
                <w:lang w:eastAsia="zh-CN"/>
              </w:rPr>
            </w:pPr>
            <w:r>
              <w:rPr>
                <w:rFonts w:hint="eastAsia" w:ascii="Times New Roman" w:hAnsi="Times New Roman" w:eastAsia="宋体" w:cs="Times New Roman"/>
                <w:b/>
                <w:bCs/>
                <w:color w:val="auto"/>
                <w:sz w:val="24"/>
                <w:szCs w:val="24"/>
                <w:lang w:eastAsia="zh-CN"/>
              </w:rPr>
              <w:t>表</w:t>
            </w:r>
            <w:r>
              <w:rPr>
                <w:rFonts w:hint="eastAsia" w:cs="Times New Roman"/>
                <w:b/>
                <w:bCs/>
                <w:color w:val="auto"/>
                <w:sz w:val="24"/>
                <w:szCs w:val="24"/>
                <w:lang w:val="en-US" w:eastAsia="zh-CN"/>
              </w:rPr>
              <w:t>4-6</w:t>
            </w:r>
            <w:r>
              <w:rPr>
                <w:rFonts w:hint="eastAsia" w:cs="Times New Roman"/>
                <w:b/>
                <w:bCs/>
                <w:color w:val="auto"/>
                <w:sz w:val="24"/>
                <w:szCs w:val="24"/>
                <w:lang w:eastAsia="zh-CN"/>
              </w:rPr>
              <w:t xml:space="preserve"> </w:t>
            </w:r>
            <w:r>
              <w:rPr>
                <w:rFonts w:hint="eastAsia" w:cs="Times New Roman"/>
                <w:b/>
                <w:bCs/>
                <w:color w:val="auto"/>
                <w:sz w:val="24"/>
                <w:szCs w:val="24"/>
                <w:lang w:val="en-US" w:eastAsia="zh-CN"/>
              </w:rPr>
              <w:t xml:space="preserve">   变电站</w:t>
            </w:r>
            <w:r>
              <w:rPr>
                <w:rFonts w:hint="eastAsia" w:ascii="Times New Roman" w:hAnsi="Times New Roman" w:eastAsia="宋体" w:cs="Times New Roman"/>
                <w:b/>
                <w:bCs/>
                <w:color w:val="auto"/>
                <w:sz w:val="24"/>
                <w:szCs w:val="24"/>
                <w:lang w:eastAsia="zh-CN"/>
              </w:rPr>
              <w:t>厂界噪声预测结果与达标分析表</w:t>
            </w:r>
            <w:bookmarkStart w:id="20" w:name="PT_7"/>
          </w:p>
          <w:bookmarkEnd w:id="20"/>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765"/>
              <w:gridCol w:w="765"/>
              <w:gridCol w:w="770"/>
              <w:gridCol w:w="947"/>
              <w:gridCol w:w="1352"/>
              <w:gridCol w:w="1352"/>
              <w:gridCol w:w="1133"/>
            </w:tblGrid>
            <w:tr w14:paraId="4D30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645" w:type="pct"/>
                  <w:vMerge w:val="restart"/>
                  <w:vAlign w:val="center"/>
                </w:tcPr>
                <w:p w14:paraId="0679196E">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预测方位</w:t>
                  </w:r>
                </w:p>
              </w:tc>
              <w:tc>
                <w:tcPr>
                  <w:tcW w:w="1413" w:type="pct"/>
                  <w:gridSpan w:val="3"/>
                  <w:vAlign w:val="center"/>
                </w:tcPr>
                <w:p w14:paraId="084D803C">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最大值点</w:t>
                  </w:r>
                  <w:r>
                    <w:rPr>
                      <w:rFonts w:hint="eastAsia" w:ascii="宋体" w:hAnsi="宋体" w:eastAsia="宋体" w:cs="宋体"/>
                      <w:b w:val="0"/>
                      <w:bCs/>
                      <w:color w:val="auto"/>
                      <w:sz w:val="21"/>
                      <w:szCs w:val="21"/>
                    </w:rPr>
                    <w:t>空间相对位置/m</w:t>
                  </w:r>
                </w:p>
              </w:tc>
              <w:tc>
                <w:tcPr>
                  <w:tcW w:w="582" w:type="pct"/>
                  <w:vMerge w:val="restart"/>
                  <w:vAlign w:val="center"/>
                </w:tcPr>
                <w:p w14:paraId="49CBCBE2">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时段</w:t>
                  </w:r>
                </w:p>
              </w:tc>
              <w:tc>
                <w:tcPr>
                  <w:tcW w:w="831" w:type="pct"/>
                  <w:vMerge w:val="restart"/>
                  <w:vAlign w:val="center"/>
                </w:tcPr>
                <w:p w14:paraId="391BF5F3">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贡献值dB(A)）</w:t>
                  </w:r>
                </w:p>
              </w:tc>
              <w:tc>
                <w:tcPr>
                  <w:tcW w:w="831" w:type="pct"/>
                  <w:vMerge w:val="restart"/>
                  <w:vAlign w:val="center"/>
                </w:tcPr>
                <w:p w14:paraId="27CA2F70">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标准限值dB(A)）</w:t>
                  </w:r>
                </w:p>
              </w:tc>
              <w:tc>
                <w:tcPr>
                  <w:tcW w:w="696" w:type="pct"/>
                  <w:vMerge w:val="restart"/>
                  <w:vAlign w:val="center"/>
                </w:tcPr>
                <w:p w14:paraId="3D18F62F">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达标情况</w:t>
                  </w:r>
                </w:p>
              </w:tc>
            </w:tr>
            <w:tr w14:paraId="1AAE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45" w:type="pct"/>
                  <w:vMerge w:val="continue"/>
                  <w:shd w:val="clear" w:color="auto" w:fill="auto"/>
                  <w:vAlign w:val="center"/>
                </w:tcPr>
                <w:p w14:paraId="56CDDB79">
                  <w:pPr>
                    <w:jc w:val="center"/>
                    <w:rPr>
                      <w:rFonts w:hint="eastAsia" w:ascii="宋体" w:hAnsi="宋体" w:eastAsia="宋体" w:cs="宋体"/>
                      <w:b w:val="0"/>
                      <w:bCs/>
                      <w:color w:val="auto"/>
                      <w:sz w:val="21"/>
                      <w:szCs w:val="21"/>
                    </w:rPr>
                  </w:pPr>
                </w:p>
              </w:tc>
              <w:tc>
                <w:tcPr>
                  <w:tcW w:w="470" w:type="pct"/>
                  <w:shd w:val="clear" w:color="auto" w:fill="auto"/>
                  <w:vAlign w:val="center"/>
                </w:tcPr>
                <w:p w14:paraId="7B81BB6E">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X</w:t>
                  </w:r>
                </w:p>
              </w:tc>
              <w:tc>
                <w:tcPr>
                  <w:tcW w:w="470" w:type="pct"/>
                  <w:shd w:val="clear" w:color="auto" w:fill="auto"/>
                  <w:vAlign w:val="center"/>
                </w:tcPr>
                <w:p w14:paraId="231C801C">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Y</w:t>
                  </w:r>
                </w:p>
              </w:tc>
              <w:tc>
                <w:tcPr>
                  <w:tcW w:w="473" w:type="pct"/>
                  <w:shd w:val="clear" w:color="auto" w:fill="auto"/>
                  <w:vAlign w:val="center"/>
                </w:tcPr>
                <w:p w14:paraId="7F3DB55F">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Z</w:t>
                  </w:r>
                </w:p>
              </w:tc>
              <w:tc>
                <w:tcPr>
                  <w:tcW w:w="582" w:type="pct"/>
                  <w:vMerge w:val="continue"/>
                  <w:shd w:val="clear" w:color="auto" w:fill="auto"/>
                  <w:vAlign w:val="center"/>
                </w:tcPr>
                <w:p w14:paraId="19C78B9C">
                  <w:pPr>
                    <w:jc w:val="center"/>
                    <w:rPr>
                      <w:rFonts w:hint="eastAsia" w:ascii="宋体" w:hAnsi="宋体" w:eastAsia="宋体" w:cs="宋体"/>
                      <w:b w:val="0"/>
                      <w:bCs/>
                      <w:color w:val="auto"/>
                      <w:sz w:val="21"/>
                      <w:szCs w:val="21"/>
                    </w:rPr>
                  </w:pPr>
                </w:p>
              </w:tc>
              <w:tc>
                <w:tcPr>
                  <w:tcW w:w="831" w:type="pct"/>
                  <w:vMerge w:val="continue"/>
                  <w:shd w:val="clear" w:color="auto" w:fill="auto"/>
                  <w:vAlign w:val="center"/>
                </w:tcPr>
                <w:p w14:paraId="5B7CFBD2">
                  <w:pPr>
                    <w:jc w:val="center"/>
                    <w:rPr>
                      <w:rFonts w:hint="eastAsia" w:ascii="宋体" w:hAnsi="宋体" w:eastAsia="宋体" w:cs="宋体"/>
                      <w:b w:val="0"/>
                      <w:bCs/>
                      <w:color w:val="auto"/>
                      <w:sz w:val="21"/>
                      <w:szCs w:val="21"/>
                    </w:rPr>
                  </w:pPr>
                </w:p>
              </w:tc>
              <w:tc>
                <w:tcPr>
                  <w:tcW w:w="831" w:type="pct"/>
                  <w:vMerge w:val="continue"/>
                  <w:shd w:val="clear" w:color="auto" w:fill="auto"/>
                  <w:vAlign w:val="center"/>
                </w:tcPr>
                <w:p w14:paraId="1C565713">
                  <w:pPr>
                    <w:jc w:val="center"/>
                    <w:rPr>
                      <w:rFonts w:hint="eastAsia" w:ascii="宋体" w:hAnsi="宋体" w:eastAsia="宋体" w:cs="宋体"/>
                      <w:b w:val="0"/>
                      <w:bCs/>
                      <w:color w:val="auto"/>
                      <w:sz w:val="21"/>
                      <w:szCs w:val="21"/>
                    </w:rPr>
                  </w:pPr>
                </w:p>
              </w:tc>
              <w:tc>
                <w:tcPr>
                  <w:tcW w:w="696" w:type="pct"/>
                  <w:vMerge w:val="continue"/>
                  <w:shd w:val="clear" w:color="auto" w:fill="auto"/>
                  <w:vAlign w:val="center"/>
                </w:tcPr>
                <w:p w14:paraId="31FA5722">
                  <w:pPr>
                    <w:jc w:val="center"/>
                    <w:rPr>
                      <w:rFonts w:hint="eastAsia" w:ascii="宋体" w:hAnsi="宋体" w:eastAsia="宋体" w:cs="宋体"/>
                      <w:b w:val="0"/>
                      <w:bCs/>
                      <w:color w:val="auto"/>
                      <w:sz w:val="21"/>
                      <w:szCs w:val="21"/>
                    </w:rPr>
                  </w:pPr>
                </w:p>
              </w:tc>
            </w:tr>
            <w:tr w14:paraId="60C3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vMerge w:val="restart"/>
                  <w:shd w:val="clear" w:color="auto" w:fill="auto"/>
                  <w:vAlign w:val="center"/>
                </w:tcPr>
                <w:p w14:paraId="4E1E13F1">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东侧</w:t>
                  </w:r>
                </w:p>
              </w:tc>
              <w:tc>
                <w:tcPr>
                  <w:tcW w:w="470" w:type="pct"/>
                  <w:shd w:val="clear" w:color="auto" w:fill="auto"/>
                  <w:vAlign w:val="center"/>
                </w:tcPr>
                <w:p w14:paraId="45F7C266">
                  <w:pPr>
                    <w:jc w:val="center"/>
                    <w:rPr>
                      <w:rFonts w:hint="default"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29.8</w:t>
                  </w:r>
                </w:p>
              </w:tc>
              <w:tc>
                <w:tcPr>
                  <w:tcW w:w="470" w:type="pct"/>
                  <w:shd w:val="clear" w:color="auto" w:fill="auto"/>
                  <w:vAlign w:val="center"/>
                </w:tcPr>
                <w:p w14:paraId="53AFA6C0">
                  <w:pPr>
                    <w:jc w:val="center"/>
                    <w:rPr>
                      <w:rFonts w:hint="default"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9.5</w:t>
                  </w:r>
                </w:p>
              </w:tc>
              <w:tc>
                <w:tcPr>
                  <w:tcW w:w="473" w:type="pct"/>
                  <w:shd w:val="clear" w:color="auto" w:fill="auto"/>
                  <w:vAlign w:val="center"/>
                </w:tcPr>
                <w:p w14:paraId="32CE2A95">
                  <w:pPr>
                    <w:jc w:val="center"/>
                    <w:rPr>
                      <w:rFonts w:hint="default"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1.2</w:t>
                  </w:r>
                </w:p>
              </w:tc>
              <w:tc>
                <w:tcPr>
                  <w:tcW w:w="582" w:type="pct"/>
                  <w:shd w:val="clear" w:color="auto" w:fill="auto"/>
                  <w:vAlign w:val="center"/>
                </w:tcPr>
                <w:p w14:paraId="627C3E4E">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昼间</w:t>
                  </w:r>
                </w:p>
              </w:tc>
              <w:tc>
                <w:tcPr>
                  <w:tcW w:w="831" w:type="pct"/>
                  <w:shd w:val="clear" w:color="auto" w:fill="auto"/>
                  <w:vAlign w:val="center"/>
                </w:tcPr>
                <w:p w14:paraId="6E9397B4">
                  <w:pPr>
                    <w:jc w:val="center"/>
                    <w:rPr>
                      <w:rFonts w:hint="default"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35.3</w:t>
                  </w:r>
                </w:p>
              </w:tc>
              <w:tc>
                <w:tcPr>
                  <w:tcW w:w="831" w:type="pct"/>
                  <w:shd w:val="clear" w:color="auto" w:fill="auto"/>
                  <w:vAlign w:val="center"/>
                </w:tcPr>
                <w:p w14:paraId="3101B2DE">
                  <w:pPr>
                    <w:jc w:val="center"/>
                    <w:rPr>
                      <w:rFonts w:hint="default"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60</w:t>
                  </w:r>
                </w:p>
              </w:tc>
              <w:tc>
                <w:tcPr>
                  <w:tcW w:w="696" w:type="pct"/>
                  <w:shd w:val="clear" w:color="auto" w:fill="auto"/>
                  <w:vAlign w:val="center"/>
                </w:tcPr>
                <w:p w14:paraId="33A79F83">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达标</w:t>
                  </w:r>
                </w:p>
              </w:tc>
            </w:tr>
            <w:tr w14:paraId="7BF88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vMerge w:val="continue"/>
                  <w:shd w:val="clear" w:color="auto" w:fill="auto"/>
                  <w:vAlign w:val="center"/>
                </w:tcPr>
                <w:p w14:paraId="2D7EF42E">
                  <w:pPr>
                    <w:jc w:val="center"/>
                    <w:rPr>
                      <w:rFonts w:hint="eastAsia" w:ascii="宋体" w:hAnsi="宋体" w:eastAsia="宋体" w:cs="宋体"/>
                      <w:b w:val="0"/>
                      <w:bCs/>
                      <w:color w:val="auto"/>
                      <w:sz w:val="21"/>
                      <w:szCs w:val="21"/>
                    </w:rPr>
                  </w:pPr>
                </w:p>
              </w:tc>
              <w:tc>
                <w:tcPr>
                  <w:tcW w:w="765" w:type="dxa"/>
                  <w:shd w:val="clear" w:color="auto" w:fill="auto"/>
                  <w:vAlign w:val="center"/>
                </w:tcPr>
                <w:p w14:paraId="4C9056A4">
                  <w:pPr>
                    <w:jc w:val="center"/>
                    <w:rPr>
                      <w:rFonts w:hint="eastAsia" w:ascii="宋体" w:hAnsi="宋体" w:eastAsia="宋体" w:cs="宋体"/>
                      <w:b w:val="0"/>
                      <w:bCs/>
                      <w:color w:val="auto"/>
                      <w:sz w:val="21"/>
                      <w:szCs w:val="21"/>
                    </w:rPr>
                  </w:pPr>
                  <w:r>
                    <w:rPr>
                      <w:rFonts w:hint="eastAsia" w:ascii="宋体" w:hAnsi="宋体" w:cs="宋体"/>
                      <w:b w:val="0"/>
                      <w:bCs/>
                      <w:color w:val="auto"/>
                      <w:sz w:val="21"/>
                      <w:szCs w:val="21"/>
                      <w:lang w:val="en-US" w:eastAsia="zh-CN"/>
                    </w:rPr>
                    <w:t>29.8</w:t>
                  </w:r>
                </w:p>
              </w:tc>
              <w:tc>
                <w:tcPr>
                  <w:tcW w:w="765" w:type="dxa"/>
                  <w:shd w:val="clear" w:color="auto" w:fill="auto"/>
                  <w:vAlign w:val="center"/>
                </w:tcPr>
                <w:p w14:paraId="59DA0FDD">
                  <w:pPr>
                    <w:jc w:val="center"/>
                    <w:rPr>
                      <w:rFonts w:hint="default"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9.5</w:t>
                  </w:r>
                </w:p>
              </w:tc>
              <w:tc>
                <w:tcPr>
                  <w:tcW w:w="770" w:type="dxa"/>
                  <w:shd w:val="clear" w:color="auto" w:fill="auto"/>
                  <w:vAlign w:val="center"/>
                </w:tcPr>
                <w:p w14:paraId="1B2B6903">
                  <w:pPr>
                    <w:jc w:val="center"/>
                    <w:rPr>
                      <w:rFonts w:hint="eastAsia" w:ascii="宋体" w:hAnsi="宋体" w:eastAsia="宋体" w:cs="宋体"/>
                      <w:b w:val="0"/>
                      <w:bCs/>
                      <w:color w:val="auto"/>
                      <w:sz w:val="21"/>
                      <w:szCs w:val="21"/>
                    </w:rPr>
                  </w:pPr>
                  <w:r>
                    <w:rPr>
                      <w:rFonts w:hint="eastAsia" w:ascii="宋体" w:hAnsi="宋体" w:cs="宋体"/>
                      <w:b w:val="0"/>
                      <w:bCs/>
                      <w:color w:val="auto"/>
                      <w:sz w:val="21"/>
                      <w:szCs w:val="21"/>
                      <w:lang w:val="en-US" w:eastAsia="zh-CN"/>
                    </w:rPr>
                    <w:t>1.2</w:t>
                  </w:r>
                </w:p>
              </w:tc>
              <w:tc>
                <w:tcPr>
                  <w:tcW w:w="582" w:type="pct"/>
                  <w:shd w:val="clear" w:color="auto" w:fill="auto"/>
                  <w:vAlign w:val="center"/>
                </w:tcPr>
                <w:p w14:paraId="5C944B3E">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夜间</w:t>
                  </w:r>
                </w:p>
              </w:tc>
              <w:tc>
                <w:tcPr>
                  <w:tcW w:w="831" w:type="pct"/>
                  <w:shd w:val="clear" w:color="auto" w:fill="auto"/>
                  <w:vAlign w:val="center"/>
                </w:tcPr>
                <w:p w14:paraId="3FE44A78">
                  <w:pPr>
                    <w:jc w:val="center"/>
                    <w:rPr>
                      <w:rFonts w:hint="default"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35.3</w:t>
                  </w:r>
                </w:p>
              </w:tc>
              <w:tc>
                <w:tcPr>
                  <w:tcW w:w="831" w:type="pct"/>
                  <w:shd w:val="clear" w:color="auto" w:fill="auto"/>
                  <w:vAlign w:val="center"/>
                </w:tcPr>
                <w:p w14:paraId="195F600F">
                  <w:pPr>
                    <w:jc w:val="center"/>
                    <w:rPr>
                      <w:rFonts w:hint="default"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50</w:t>
                  </w:r>
                </w:p>
              </w:tc>
              <w:tc>
                <w:tcPr>
                  <w:tcW w:w="696" w:type="pct"/>
                  <w:shd w:val="clear" w:color="auto" w:fill="auto"/>
                  <w:vAlign w:val="center"/>
                </w:tcPr>
                <w:p w14:paraId="626EABF5">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达标</w:t>
                  </w:r>
                </w:p>
              </w:tc>
            </w:tr>
            <w:tr w14:paraId="4A58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vMerge w:val="restart"/>
                  <w:shd w:val="clear" w:color="auto" w:fill="auto"/>
                  <w:vAlign w:val="center"/>
                </w:tcPr>
                <w:p w14:paraId="14E92DF1">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南侧</w:t>
                  </w:r>
                </w:p>
              </w:tc>
              <w:tc>
                <w:tcPr>
                  <w:tcW w:w="470" w:type="pct"/>
                  <w:shd w:val="clear" w:color="auto" w:fill="auto"/>
                  <w:vAlign w:val="center"/>
                </w:tcPr>
                <w:p w14:paraId="414CAAFD">
                  <w:pPr>
                    <w:jc w:val="center"/>
                    <w:rPr>
                      <w:rFonts w:hint="default"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9.2</w:t>
                  </w:r>
                </w:p>
              </w:tc>
              <w:tc>
                <w:tcPr>
                  <w:tcW w:w="470" w:type="pct"/>
                  <w:shd w:val="clear" w:color="auto" w:fill="auto"/>
                  <w:vAlign w:val="center"/>
                </w:tcPr>
                <w:p w14:paraId="43B41932">
                  <w:pPr>
                    <w:jc w:val="center"/>
                    <w:rPr>
                      <w:rFonts w:hint="default"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-34.5</w:t>
                  </w:r>
                </w:p>
              </w:tc>
              <w:tc>
                <w:tcPr>
                  <w:tcW w:w="473" w:type="pct"/>
                  <w:shd w:val="clear" w:color="auto" w:fill="auto"/>
                  <w:vAlign w:val="center"/>
                </w:tcPr>
                <w:p w14:paraId="53512546">
                  <w:pPr>
                    <w:jc w:val="center"/>
                    <w:rPr>
                      <w:rFonts w:hint="default"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1.2</w:t>
                  </w:r>
                </w:p>
              </w:tc>
              <w:tc>
                <w:tcPr>
                  <w:tcW w:w="582" w:type="pct"/>
                  <w:shd w:val="clear" w:color="auto" w:fill="auto"/>
                  <w:vAlign w:val="center"/>
                </w:tcPr>
                <w:p w14:paraId="14BDCAF4">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昼间</w:t>
                  </w:r>
                </w:p>
              </w:tc>
              <w:tc>
                <w:tcPr>
                  <w:tcW w:w="831" w:type="pct"/>
                  <w:shd w:val="clear" w:color="auto" w:fill="auto"/>
                  <w:vAlign w:val="center"/>
                </w:tcPr>
                <w:p w14:paraId="7143B60C">
                  <w:pPr>
                    <w:jc w:val="center"/>
                    <w:rPr>
                      <w:rFonts w:hint="default"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31.6</w:t>
                  </w:r>
                </w:p>
              </w:tc>
              <w:tc>
                <w:tcPr>
                  <w:tcW w:w="831" w:type="pct"/>
                  <w:shd w:val="clear" w:color="auto" w:fill="auto"/>
                  <w:vAlign w:val="center"/>
                </w:tcPr>
                <w:p w14:paraId="269D3ECD">
                  <w:pPr>
                    <w:jc w:val="center"/>
                    <w:rPr>
                      <w:rFonts w:hint="eastAsia" w:ascii="宋体" w:hAnsi="宋体" w:eastAsia="宋体" w:cs="宋体"/>
                      <w:b w:val="0"/>
                      <w:bCs/>
                      <w:color w:val="auto"/>
                      <w:sz w:val="21"/>
                      <w:szCs w:val="21"/>
                    </w:rPr>
                  </w:pPr>
                  <w:r>
                    <w:rPr>
                      <w:rFonts w:hint="eastAsia" w:ascii="宋体" w:hAnsi="宋体" w:cs="宋体"/>
                      <w:b w:val="0"/>
                      <w:bCs/>
                      <w:color w:val="auto"/>
                      <w:sz w:val="21"/>
                      <w:szCs w:val="21"/>
                      <w:lang w:val="en-US" w:eastAsia="zh-CN"/>
                    </w:rPr>
                    <w:t>60</w:t>
                  </w:r>
                </w:p>
              </w:tc>
              <w:tc>
                <w:tcPr>
                  <w:tcW w:w="696" w:type="pct"/>
                  <w:shd w:val="clear" w:color="auto" w:fill="auto"/>
                  <w:vAlign w:val="center"/>
                </w:tcPr>
                <w:p w14:paraId="4FE66E5F">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达标</w:t>
                  </w:r>
                </w:p>
              </w:tc>
            </w:tr>
            <w:tr w14:paraId="3B688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vMerge w:val="continue"/>
                  <w:shd w:val="clear" w:color="auto" w:fill="auto"/>
                  <w:vAlign w:val="center"/>
                </w:tcPr>
                <w:p w14:paraId="2230FA9E">
                  <w:pPr>
                    <w:jc w:val="center"/>
                    <w:rPr>
                      <w:rFonts w:hint="eastAsia" w:ascii="宋体" w:hAnsi="宋体" w:eastAsia="宋体" w:cs="宋体"/>
                      <w:b w:val="0"/>
                      <w:bCs/>
                      <w:color w:val="auto"/>
                      <w:sz w:val="21"/>
                      <w:szCs w:val="21"/>
                    </w:rPr>
                  </w:pPr>
                </w:p>
              </w:tc>
              <w:tc>
                <w:tcPr>
                  <w:tcW w:w="765" w:type="dxa"/>
                  <w:shd w:val="clear" w:color="auto" w:fill="auto"/>
                  <w:vAlign w:val="center"/>
                </w:tcPr>
                <w:p w14:paraId="0D524CE0">
                  <w:pPr>
                    <w:jc w:val="center"/>
                    <w:rPr>
                      <w:rFonts w:hint="default" w:ascii="宋体" w:hAnsi="宋体" w:eastAsia="宋体" w:cs="宋体"/>
                      <w:b w:val="0"/>
                      <w:bCs/>
                      <w:color w:val="auto"/>
                      <w:sz w:val="21"/>
                      <w:szCs w:val="21"/>
                      <w:lang w:val="en-US"/>
                    </w:rPr>
                  </w:pPr>
                  <w:r>
                    <w:rPr>
                      <w:rFonts w:hint="eastAsia" w:ascii="宋体" w:hAnsi="宋体" w:cs="宋体"/>
                      <w:b w:val="0"/>
                      <w:bCs/>
                      <w:color w:val="auto"/>
                      <w:sz w:val="21"/>
                      <w:szCs w:val="21"/>
                      <w:lang w:val="en-US" w:eastAsia="zh-CN"/>
                    </w:rPr>
                    <w:t>9.2</w:t>
                  </w:r>
                </w:p>
              </w:tc>
              <w:tc>
                <w:tcPr>
                  <w:tcW w:w="765" w:type="dxa"/>
                  <w:shd w:val="clear" w:color="auto" w:fill="auto"/>
                  <w:vAlign w:val="center"/>
                </w:tcPr>
                <w:p w14:paraId="63D14521">
                  <w:pPr>
                    <w:jc w:val="center"/>
                    <w:rPr>
                      <w:rFonts w:hint="eastAsia" w:ascii="宋体" w:hAnsi="宋体" w:eastAsia="宋体" w:cs="宋体"/>
                      <w:b w:val="0"/>
                      <w:bCs/>
                      <w:color w:val="auto"/>
                      <w:sz w:val="21"/>
                      <w:szCs w:val="21"/>
                    </w:rPr>
                  </w:pPr>
                  <w:r>
                    <w:rPr>
                      <w:rFonts w:hint="eastAsia" w:ascii="宋体" w:hAnsi="宋体" w:cs="宋体"/>
                      <w:b w:val="0"/>
                      <w:bCs/>
                      <w:color w:val="auto"/>
                      <w:sz w:val="21"/>
                      <w:szCs w:val="21"/>
                      <w:lang w:val="en-US" w:eastAsia="zh-CN"/>
                    </w:rPr>
                    <w:t>-34.5</w:t>
                  </w:r>
                </w:p>
              </w:tc>
              <w:tc>
                <w:tcPr>
                  <w:tcW w:w="473" w:type="pct"/>
                  <w:shd w:val="clear" w:color="auto" w:fill="auto"/>
                  <w:vAlign w:val="center"/>
                </w:tcPr>
                <w:p w14:paraId="050CCD41">
                  <w:pPr>
                    <w:jc w:val="center"/>
                    <w:rPr>
                      <w:rFonts w:hint="eastAsia" w:ascii="宋体" w:hAnsi="宋体" w:eastAsia="宋体" w:cs="宋体"/>
                      <w:b w:val="0"/>
                      <w:bCs/>
                      <w:color w:val="auto"/>
                      <w:sz w:val="21"/>
                      <w:szCs w:val="21"/>
                    </w:rPr>
                  </w:pPr>
                  <w:r>
                    <w:rPr>
                      <w:rFonts w:hint="eastAsia" w:ascii="宋体" w:hAnsi="宋体" w:cs="宋体"/>
                      <w:b w:val="0"/>
                      <w:bCs/>
                      <w:color w:val="auto"/>
                      <w:sz w:val="21"/>
                      <w:szCs w:val="21"/>
                      <w:lang w:val="en-US" w:eastAsia="zh-CN"/>
                    </w:rPr>
                    <w:t>1.2</w:t>
                  </w:r>
                </w:p>
              </w:tc>
              <w:tc>
                <w:tcPr>
                  <w:tcW w:w="582" w:type="pct"/>
                  <w:shd w:val="clear" w:color="auto" w:fill="auto"/>
                  <w:vAlign w:val="center"/>
                </w:tcPr>
                <w:p w14:paraId="02EC9227">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夜间</w:t>
                  </w:r>
                </w:p>
              </w:tc>
              <w:tc>
                <w:tcPr>
                  <w:tcW w:w="831" w:type="pct"/>
                  <w:shd w:val="clear" w:color="auto" w:fill="auto"/>
                  <w:vAlign w:val="center"/>
                </w:tcPr>
                <w:p w14:paraId="198ABEBF">
                  <w:pPr>
                    <w:jc w:val="center"/>
                    <w:rPr>
                      <w:rFonts w:hint="default"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31.6</w:t>
                  </w:r>
                </w:p>
              </w:tc>
              <w:tc>
                <w:tcPr>
                  <w:tcW w:w="831" w:type="pct"/>
                  <w:shd w:val="clear" w:color="auto" w:fill="auto"/>
                  <w:vAlign w:val="center"/>
                </w:tcPr>
                <w:p w14:paraId="2B16E9C1">
                  <w:pPr>
                    <w:jc w:val="center"/>
                    <w:rPr>
                      <w:rFonts w:hint="eastAsia" w:ascii="宋体" w:hAnsi="宋体" w:eastAsia="宋体" w:cs="宋体"/>
                      <w:b w:val="0"/>
                      <w:bCs/>
                      <w:color w:val="auto"/>
                      <w:sz w:val="21"/>
                      <w:szCs w:val="21"/>
                    </w:rPr>
                  </w:pPr>
                  <w:r>
                    <w:rPr>
                      <w:rFonts w:hint="eastAsia" w:ascii="宋体" w:hAnsi="宋体" w:cs="宋体"/>
                      <w:b w:val="0"/>
                      <w:bCs/>
                      <w:color w:val="auto"/>
                      <w:sz w:val="21"/>
                      <w:szCs w:val="21"/>
                      <w:lang w:val="en-US" w:eastAsia="zh-CN"/>
                    </w:rPr>
                    <w:t>50</w:t>
                  </w:r>
                </w:p>
              </w:tc>
              <w:tc>
                <w:tcPr>
                  <w:tcW w:w="696" w:type="pct"/>
                  <w:shd w:val="clear" w:color="auto" w:fill="auto"/>
                  <w:vAlign w:val="center"/>
                </w:tcPr>
                <w:p w14:paraId="09B0D761">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达标</w:t>
                  </w:r>
                </w:p>
              </w:tc>
            </w:tr>
            <w:tr w14:paraId="76409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vMerge w:val="restart"/>
                  <w:shd w:val="clear" w:color="auto" w:fill="auto"/>
                  <w:vAlign w:val="center"/>
                </w:tcPr>
                <w:p w14:paraId="4B08E48B">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西侧</w:t>
                  </w:r>
                </w:p>
              </w:tc>
              <w:tc>
                <w:tcPr>
                  <w:tcW w:w="470" w:type="pct"/>
                  <w:shd w:val="clear" w:color="auto" w:fill="auto"/>
                  <w:vAlign w:val="center"/>
                </w:tcPr>
                <w:p w14:paraId="6328E470">
                  <w:pPr>
                    <w:jc w:val="center"/>
                    <w:rPr>
                      <w:rFonts w:hint="default"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-34.4</w:t>
                  </w:r>
                </w:p>
              </w:tc>
              <w:tc>
                <w:tcPr>
                  <w:tcW w:w="470" w:type="pct"/>
                  <w:shd w:val="clear" w:color="auto" w:fill="auto"/>
                  <w:vAlign w:val="center"/>
                </w:tcPr>
                <w:p w14:paraId="0104047F">
                  <w:pPr>
                    <w:jc w:val="center"/>
                    <w:rPr>
                      <w:rFonts w:hint="default"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-9.1</w:t>
                  </w:r>
                </w:p>
              </w:tc>
              <w:tc>
                <w:tcPr>
                  <w:tcW w:w="473" w:type="pct"/>
                  <w:shd w:val="clear" w:color="auto" w:fill="auto"/>
                  <w:vAlign w:val="center"/>
                </w:tcPr>
                <w:p w14:paraId="3A12EDD5">
                  <w:pPr>
                    <w:jc w:val="center"/>
                    <w:rPr>
                      <w:rFonts w:hint="eastAsia" w:ascii="宋体" w:hAnsi="宋体" w:eastAsia="宋体" w:cs="宋体"/>
                      <w:b w:val="0"/>
                      <w:bCs/>
                      <w:color w:val="auto"/>
                      <w:sz w:val="21"/>
                      <w:szCs w:val="21"/>
                    </w:rPr>
                  </w:pPr>
                  <w:r>
                    <w:rPr>
                      <w:rFonts w:hint="eastAsia" w:ascii="宋体" w:hAnsi="宋体" w:cs="宋体"/>
                      <w:b w:val="0"/>
                      <w:bCs/>
                      <w:color w:val="auto"/>
                      <w:sz w:val="21"/>
                      <w:szCs w:val="21"/>
                      <w:lang w:val="en-US" w:eastAsia="zh-CN"/>
                    </w:rPr>
                    <w:t>1.2</w:t>
                  </w:r>
                </w:p>
              </w:tc>
              <w:tc>
                <w:tcPr>
                  <w:tcW w:w="582" w:type="pct"/>
                  <w:shd w:val="clear" w:color="auto" w:fill="auto"/>
                  <w:vAlign w:val="center"/>
                </w:tcPr>
                <w:p w14:paraId="583CC1E9">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昼间</w:t>
                  </w:r>
                </w:p>
              </w:tc>
              <w:tc>
                <w:tcPr>
                  <w:tcW w:w="831" w:type="pct"/>
                  <w:shd w:val="clear" w:color="auto" w:fill="auto"/>
                  <w:vAlign w:val="center"/>
                </w:tcPr>
                <w:p w14:paraId="31093993">
                  <w:pPr>
                    <w:jc w:val="center"/>
                    <w:rPr>
                      <w:rFonts w:hint="default"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38.2</w:t>
                  </w:r>
                </w:p>
              </w:tc>
              <w:tc>
                <w:tcPr>
                  <w:tcW w:w="831" w:type="pct"/>
                  <w:shd w:val="clear" w:color="auto" w:fill="auto"/>
                  <w:vAlign w:val="center"/>
                </w:tcPr>
                <w:p w14:paraId="6F161E0B">
                  <w:pPr>
                    <w:jc w:val="center"/>
                    <w:rPr>
                      <w:rFonts w:hint="eastAsia" w:ascii="宋体" w:hAnsi="宋体" w:eastAsia="宋体" w:cs="宋体"/>
                      <w:b w:val="0"/>
                      <w:bCs/>
                      <w:color w:val="auto"/>
                      <w:sz w:val="21"/>
                      <w:szCs w:val="21"/>
                    </w:rPr>
                  </w:pPr>
                  <w:r>
                    <w:rPr>
                      <w:rFonts w:hint="eastAsia" w:ascii="宋体" w:hAnsi="宋体" w:cs="宋体"/>
                      <w:b w:val="0"/>
                      <w:bCs/>
                      <w:color w:val="auto"/>
                      <w:sz w:val="21"/>
                      <w:szCs w:val="21"/>
                      <w:lang w:val="en-US" w:eastAsia="zh-CN"/>
                    </w:rPr>
                    <w:t>60</w:t>
                  </w:r>
                </w:p>
              </w:tc>
              <w:tc>
                <w:tcPr>
                  <w:tcW w:w="696" w:type="pct"/>
                  <w:shd w:val="clear" w:color="auto" w:fill="auto"/>
                  <w:vAlign w:val="center"/>
                </w:tcPr>
                <w:p w14:paraId="0F365964">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达标</w:t>
                  </w:r>
                </w:p>
              </w:tc>
            </w:tr>
            <w:tr w14:paraId="2F480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vMerge w:val="continue"/>
                  <w:shd w:val="clear" w:color="auto" w:fill="auto"/>
                  <w:vAlign w:val="center"/>
                </w:tcPr>
                <w:p w14:paraId="4AEE2429">
                  <w:pPr>
                    <w:jc w:val="center"/>
                    <w:rPr>
                      <w:rFonts w:hint="eastAsia" w:ascii="宋体" w:hAnsi="宋体" w:eastAsia="宋体" w:cs="宋体"/>
                      <w:b w:val="0"/>
                      <w:bCs/>
                      <w:color w:val="auto"/>
                      <w:sz w:val="21"/>
                      <w:szCs w:val="21"/>
                    </w:rPr>
                  </w:pPr>
                </w:p>
              </w:tc>
              <w:tc>
                <w:tcPr>
                  <w:tcW w:w="765" w:type="dxa"/>
                  <w:shd w:val="clear" w:color="auto" w:fill="auto"/>
                  <w:vAlign w:val="center"/>
                </w:tcPr>
                <w:p w14:paraId="35CF7A47">
                  <w:pPr>
                    <w:jc w:val="center"/>
                    <w:rPr>
                      <w:rFonts w:hint="eastAsia" w:ascii="宋体" w:hAnsi="宋体" w:eastAsia="宋体" w:cs="宋体"/>
                      <w:b w:val="0"/>
                      <w:bCs/>
                      <w:color w:val="auto"/>
                      <w:sz w:val="21"/>
                      <w:szCs w:val="21"/>
                    </w:rPr>
                  </w:pPr>
                  <w:r>
                    <w:rPr>
                      <w:rFonts w:hint="eastAsia" w:ascii="宋体" w:hAnsi="宋体" w:cs="宋体"/>
                      <w:b w:val="0"/>
                      <w:bCs/>
                      <w:color w:val="auto"/>
                      <w:sz w:val="21"/>
                      <w:szCs w:val="21"/>
                      <w:lang w:val="en-US" w:eastAsia="zh-CN"/>
                    </w:rPr>
                    <w:t>-34.4</w:t>
                  </w:r>
                </w:p>
              </w:tc>
              <w:tc>
                <w:tcPr>
                  <w:tcW w:w="765" w:type="dxa"/>
                  <w:shd w:val="clear" w:color="auto" w:fill="auto"/>
                  <w:vAlign w:val="center"/>
                </w:tcPr>
                <w:p w14:paraId="657E4C73">
                  <w:pPr>
                    <w:jc w:val="center"/>
                    <w:rPr>
                      <w:rFonts w:hint="eastAsia" w:ascii="宋体" w:hAnsi="宋体" w:eastAsia="宋体" w:cs="宋体"/>
                      <w:b w:val="0"/>
                      <w:bCs/>
                      <w:color w:val="auto"/>
                      <w:sz w:val="21"/>
                      <w:szCs w:val="21"/>
                    </w:rPr>
                  </w:pPr>
                  <w:r>
                    <w:rPr>
                      <w:rFonts w:hint="eastAsia" w:ascii="宋体" w:hAnsi="宋体" w:cs="宋体"/>
                      <w:b w:val="0"/>
                      <w:bCs/>
                      <w:color w:val="auto"/>
                      <w:sz w:val="21"/>
                      <w:szCs w:val="21"/>
                      <w:lang w:val="en-US" w:eastAsia="zh-CN"/>
                    </w:rPr>
                    <w:t>-9.1</w:t>
                  </w:r>
                </w:p>
              </w:tc>
              <w:tc>
                <w:tcPr>
                  <w:tcW w:w="473" w:type="pct"/>
                  <w:shd w:val="clear" w:color="auto" w:fill="auto"/>
                  <w:vAlign w:val="center"/>
                </w:tcPr>
                <w:p w14:paraId="3AD1A7B2">
                  <w:pPr>
                    <w:jc w:val="center"/>
                    <w:rPr>
                      <w:rFonts w:hint="eastAsia" w:ascii="宋体" w:hAnsi="宋体" w:eastAsia="宋体" w:cs="宋体"/>
                      <w:b w:val="0"/>
                      <w:bCs/>
                      <w:color w:val="auto"/>
                      <w:sz w:val="21"/>
                      <w:szCs w:val="21"/>
                    </w:rPr>
                  </w:pPr>
                  <w:r>
                    <w:rPr>
                      <w:rFonts w:hint="eastAsia" w:ascii="宋体" w:hAnsi="宋体" w:cs="宋体"/>
                      <w:b w:val="0"/>
                      <w:bCs/>
                      <w:color w:val="auto"/>
                      <w:sz w:val="21"/>
                      <w:szCs w:val="21"/>
                      <w:lang w:val="en-US" w:eastAsia="zh-CN"/>
                    </w:rPr>
                    <w:t>1.2</w:t>
                  </w:r>
                </w:p>
              </w:tc>
              <w:tc>
                <w:tcPr>
                  <w:tcW w:w="582" w:type="pct"/>
                  <w:shd w:val="clear" w:color="auto" w:fill="auto"/>
                  <w:vAlign w:val="center"/>
                </w:tcPr>
                <w:p w14:paraId="7F55A6B0">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夜间</w:t>
                  </w:r>
                </w:p>
              </w:tc>
              <w:tc>
                <w:tcPr>
                  <w:tcW w:w="831" w:type="pct"/>
                  <w:shd w:val="clear" w:color="auto" w:fill="auto"/>
                  <w:vAlign w:val="center"/>
                </w:tcPr>
                <w:p w14:paraId="30C886C9">
                  <w:pPr>
                    <w:jc w:val="center"/>
                    <w:rPr>
                      <w:rFonts w:hint="default"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38.2</w:t>
                  </w:r>
                </w:p>
              </w:tc>
              <w:tc>
                <w:tcPr>
                  <w:tcW w:w="831" w:type="pct"/>
                  <w:shd w:val="clear" w:color="auto" w:fill="auto"/>
                  <w:vAlign w:val="center"/>
                </w:tcPr>
                <w:p w14:paraId="035EF261">
                  <w:pPr>
                    <w:jc w:val="center"/>
                    <w:rPr>
                      <w:rFonts w:hint="eastAsia" w:ascii="宋体" w:hAnsi="宋体" w:eastAsia="宋体" w:cs="宋体"/>
                      <w:b w:val="0"/>
                      <w:bCs/>
                      <w:color w:val="auto"/>
                      <w:sz w:val="21"/>
                      <w:szCs w:val="21"/>
                    </w:rPr>
                  </w:pPr>
                  <w:r>
                    <w:rPr>
                      <w:rFonts w:hint="eastAsia" w:ascii="宋体" w:hAnsi="宋体" w:cs="宋体"/>
                      <w:b w:val="0"/>
                      <w:bCs/>
                      <w:color w:val="auto"/>
                      <w:sz w:val="21"/>
                      <w:szCs w:val="21"/>
                      <w:lang w:val="en-US" w:eastAsia="zh-CN"/>
                    </w:rPr>
                    <w:t>50</w:t>
                  </w:r>
                </w:p>
              </w:tc>
              <w:tc>
                <w:tcPr>
                  <w:tcW w:w="696" w:type="pct"/>
                  <w:shd w:val="clear" w:color="auto" w:fill="auto"/>
                  <w:vAlign w:val="center"/>
                </w:tcPr>
                <w:p w14:paraId="1A5277B5">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达标</w:t>
                  </w:r>
                </w:p>
              </w:tc>
            </w:tr>
            <w:tr w14:paraId="07DBB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vMerge w:val="restart"/>
                  <w:shd w:val="clear" w:color="auto" w:fill="auto"/>
                  <w:vAlign w:val="center"/>
                </w:tcPr>
                <w:p w14:paraId="69AE1179">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北侧</w:t>
                  </w:r>
                </w:p>
              </w:tc>
              <w:tc>
                <w:tcPr>
                  <w:tcW w:w="470" w:type="pct"/>
                  <w:shd w:val="clear" w:color="auto" w:fill="auto"/>
                  <w:vAlign w:val="center"/>
                </w:tcPr>
                <w:p w14:paraId="71AF0D35">
                  <w:pPr>
                    <w:jc w:val="center"/>
                    <w:rPr>
                      <w:rFonts w:hint="default"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8.9</w:t>
                  </w:r>
                </w:p>
              </w:tc>
              <w:tc>
                <w:tcPr>
                  <w:tcW w:w="470" w:type="pct"/>
                  <w:shd w:val="clear" w:color="auto" w:fill="auto"/>
                  <w:vAlign w:val="center"/>
                </w:tcPr>
                <w:p w14:paraId="0BF6A11F">
                  <w:pPr>
                    <w:jc w:val="center"/>
                    <w:rPr>
                      <w:rFonts w:hint="eastAsia" w:ascii="宋体" w:hAnsi="宋体" w:eastAsia="宋体" w:cs="宋体"/>
                      <w:b w:val="0"/>
                      <w:bCs/>
                      <w:color w:val="auto"/>
                      <w:sz w:val="21"/>
                      <w:szCs w:val="21"/>
                    </w:rPr>
                  </w:pPr>
                  <w:r>
                    <w:rPr>
                      <w:rFonts w:hint="eastAsia" w:ascii="宋体" w:hAnsi="宋体" w:cs="宋体"/>
                      <w:b w:val="0"/>
                      <w:bCs/>
                      <w:color w:val="auto"/>
                      <w:sz w:val="21"/>
                      <w:szCs w:val="21"/>
                      <w:lang w:val="en-US" w:eastAsia="zh-CN"/>
                    </w:rPr>
                    <w:t>34.6</w:t>
                  </w:r>
                </w:p>
              </w:tc>
              <w:tc>
                <w:tcPr>
                  <w:tcW w:w="473" w:type="pct"/>
                  <w:shd w:val="clear" w:color="auto" w:fill="auto"/>
                  <w:vAlign w:val="center"/>
                </w:tcPr>
                <w:p w14:paraId="249AF4BD">
                  <w:pPr>
                    <w:jc w:val="center"/>
                    <w:rPr>
                      <w:rFonts w:hint="eastAsia" w:ascii="宋体" w:hAnsi="宋体" w:eastAsia="宋体" w:cs="宋体"/>
                      <w:b w:val="0"/>
                      <w:bCs/>
                      <w:color w:val="auto"/>
                      <w:sz w:val="21"/>
                      <w:szCs w:val="21"/>
                    </w:rPr>
                  </w:pPr>
                  <w:r>
                    <w:rPr>
                      <w:rFonts w:hint="eastAsia" w:ascii="宋体" w:hAnsi="宋体" w:cs="宋体"/>
                      <w:b w:val="0"/>
                      <w:bCs/>
                      <w:color w:val="auto"/>
                      <w:sz w:val="21"/>
                      <w:szCs w:val="21"/>
                      <w:lang w:val="en-US" w:eastAsia="zh-CN"/>
                    </w:rPr>
                    <w:t>1.2</w:t>
                  </w:r>
                </w:p>
              </w:tc>
              <w:tc>
                <w:tcPr>
                  <w:tcW w:w="582" w:type="pct"/>
                  <w:shd w:val="clear" w:color="auto" w:fill="auto"/>
                  <w:vAlign w:val="center"/>
                </w:tcPr>
                <w:p w14:paraId="2ADD0D73">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昼间</w:t>
                  </w:r>
                </w:p>
              </w:tc>
              <w:tc>
                <w:tcPr>
                  <w:tcW w:w="831" w:type="pct"/>
                  <w:shd w:val="clear" w:color="auto" w:fill="auto"/>
                  <w:vAlign w:val="center"/>
                </w:tcPr>
                <w:p w14:paraId="7F01D16C">
                  <w:pPr>
                    <w:jc w:val="center"/>
                    <w:rPr>
                      <w:rFonts w:hint="default"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37.6</w:t>
                  </w:r>
                </w:p>
              </w:tc>
              <w:tc>
                <w:tcPr>
                  <w:tcW w:w="831" w:type="pct"/>
                  <w:shd w:val="clear" w:color="auto" w:fill="auto"/>
                  <w:vAlign w:val="center"/>
                </w:tcPr>
                <w:p w14:paraId="7AE6328F">
                  <w:pPr>
                    <w:jc w:val="center"/>
                    <w:rPr>
                      <w:rFonts w:hint="eastAsia" w:ascii="宋体" w:hAnsi="宋体" w:eastAsia="宋体" w:cs="宋体"/>
                      <w:b w:val="0"/>
                      <w:bCs/>
                      <w:color w:val="auto"/>
                      <w:sz w:val="21"/>
                      <w:szCs w:val="21"/>
                    </w:rPr>
                  </w:pPr>
                  <w:r>
                    <w:rPr>
                      <w:rFonts w:hint="eastAsia" w:ascii="宋体" w:hAnsi="宋体" w:cs="宋体"/>
                      <w:b w:val="0"/>
                      <w:bCs/>
                      <w:color w:val="auto"/>
                      <w:sz w:val="21"/>
                      <w:szCs w:val="21"/>
                      <w:lang w:val="en-US" w:eastAsia="zh-CN"/>
                    </w:rPr>
                    <w:t>60</w:t>
                  </w:r>
                </w:p>
              </w:tc>
              <w:tc>
                <w:tcPr>
                  <w:tcW w:w="696" w:type="pct"/>
                  <w:shd w:val="clear" w:color="auto" w:fill="auto"/>
                  <w:vAlign w:val="center"/>
                </w:tcPr>
                <w:p w14:paraId="3767D778">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达标</w:t>
                  </w:r>
                </w:p>
              </w:tc>
            </w:tr>
            <w:tr w14:paraId="2BF1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645" w:type="pct"/>
                  <w:vMerge w:val="continue"/>
                  <w:shd w:val="clear" w:color="auto" w:fill="auto"/>
                  <w:vAlign w:val="center"/>
                </w:tcPr>
                <w:p w14:paraId="75FCB164">
                  <w:pPr>
                    <w:jc w:val="center"/>
                    <w:rPr>
                      <w:rFonts w:hint="eastAsia" w:ascii="宋体" w:hAnsi="宋体" w:eastAsia="宋体" w:cs="宋体"/>
                      <w:b w:val="0"/>
                      <w:bCs/>
                      <w:color w:val="auto"/>
                      <w:sz w:val="21"/>
                      <w:szCs w:val="21"/>
                    </w:rPr>
                  </w:pPr>
                </w:p>
              </w:tc>
              <w:tc>
                <w:tcPr>
                  <w:tcW w:w="765" w:type="dxa"/>
                  <w:shd w:val="clear" w:color="auto" w:fill="auto"/>
                  <w:vAlign w:val="center"/>
                </w:tcPr>
                <w:p w14:paraId="3525F15C">
                  <w:pPr>
                    <w:jc w:val="center"/>
                    <w:rPr>
                      <w:rFonts w:hint="default"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8.9</w:t>
                  </w:r>
                </w:p>
              </w:tc>
              <w:tc>
                <w:tcPr>
                  <w:tcW w:w="765" w:type="dxa"/>
                  <w:shd w:val="clear" w:color="auto" w:fill="auto"/>
                  <w:vAlign w:val="center"/>
                </w:tcPr>
                <w:p w14:paraId="46200123">
                  <w:pPr>
                    <w:jc w:val="center"/>
                    <w:rPr>
                      <w:rFonts w:hint="eastAsia" w:ascii="宋体" w:hAnsi="宋体" w:eastAsia="宋体" w:cs="宋体"/>
                      <w:b w:val="0"/>
                      <w:bCs/>
                      <w:color w:val="auto"/>
                      <w:sz w:val="21"/>
                      <w:szCs w:val="21"/>
                    </w:rPr>
                  </w:pPr>
                  <w:r>
                    <w:rPr>
                      <w:rFonts w:hint="eastAsia" w:ascii="宋体" w:hAnsi="宋体" w:cs="宋体"/>
                      <w:b w:val="0"/>
                      <w:bCs/>
                      <w:color w:val="auto"/>
                      <w:sz w:val="21"/>
                      <w:szCs w:val="21"/>
                      <w:lang w:val="en-US" w:eastAsia="zh-CN"/>
                    </w:rPr>
                    <w:t>34.6</w:t>
                  </w:r>
                </w:p>
              </w:tc>
              <w:tc>
                <w:tcPr>
                  <w:tcW w:w="473" w:type="pct"/>
                  <w:shd w:val="clear" w:color="auto" w:fill="auto"/>
                  <w:vAlign w:val="center"/>
                </w:tcPr>
                <w:p w14:paraId="5119F9FE">
                  <w:pPr>
                    <w:jc w:val="center"/>
                    <w:rPr>
                      <w:rFonts w:hint="eastAsia" w:ascii="宋体" w:hAnsi="宋体" w:eastAsia="宋体" w:cs="宋体"/>
                      <w:b w:val="0"/>
                      <w:bCs/>
                      <w:color w:val="auto"/>
                      <w:sz w:val="21"/>
                      <w:szCs w:val="21"/>
                    </w:rPr>
                  </w:pPr>
                  <w:r>
                    <w:rPr>
                      <w:rFonts w:hint="eastAsia" w:ascii="宋体" w:hAnsi="宋体" w:cs="宋体"/>
                      <w:b w:val="0"/>
                      <w:bCs/>
                      <w:color w:val="auto"/>
                      <w:sz w:val="21"/>
                      <w:szCs w:val="21"/>
                      <w:lang w:val="en-US" w:eastAsia="zh-CN"/>
                    </w:rPr>
                    <w:t>1.2</w:t>
                  </w:r>
                </w:p>
              </w:tc>
              <w:tc>
                <w:tcPr>
                  <w:tcW w:w="582" w:type="pct"/>
                  <w:shd w:val="clear" w:color="auto" w:fill="auto"/>
                  <w:vAlign w:val="center"/>
                </w:tcPr>
                <w:p w14:paraId="49C74582">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夜间</w:t>
                  </w:r>
                </w:p>
              </w:tc>
              <w:tc>
                <w:tcPr>
                  <w:tcW w:w="831" w:type="pct"/>
                  <w:shd w:val="clear" w:color="auto" w:fill="auto"/>
                  <w:vAlign w:val="center"/>
                </w:tcPr>
                <w:p w14:paraId="42114CD2">
                  <w:pPr>
                    <w:jc w:val="center"/>
                    <w:rPr>
                      <w:rFonts w:hint="default" w:ascii="宋体" w:hAnsi="宋体" w:eastAsia="宋体" w:cs="宋体"/>
                      <w:b w:val="0"/>
                      <w:bCs/>
                      <w:color w:val="auto"/>
                      <w:sz w:val="21"/>
                      <w:szCs w:val="21"/>
                      <w:lang w:val="en-US" w:eastAsia="zh-CN"/>
                    </w:rPr>
                  </w:pPr>
                  <w:r>
                    <w:rPr>
                      <w:rFonts w:hint="eastAsia" w:ascii="宋体" w:hAnsi="宋体" w:cs="宋体"/>
                      <w:b w:val="0"/>
                      <w:bCs/>
                      <w:color w:val="auto"/>
                      <w:sz w:val="21"/>
                      <w:szCs w:val="21"/>
                      <w:lang w:val="en-US" w:eastAsia="zh-CN"/>
                    </w:rPr>
                    <w:t>37.6</w:t>
                  </w:r>
                </w:p>
              </w:tc>
              <w:tc>
                <w:tcPr>
                  <w:tcW w:w="831" w:type="pct"/>
                  <w:shd w:val="clear" w:color="auto" w:fill="auto"/>
                  <w:vAlign w:val="center"/>
                </w:tcPr>
                <w:p w14:paraId="0263BBC6">
                  <w:pPr>
                    <w:jc w:val="center"/>
                    <w:rPr>
                      <w:rFonts w:hint="eastAsia" w:ascii="宋体" w:hAnsi="宋体" w:eastAsia="宋体" w:cs="宋体"/>
                      <w:b w:val="0"/>
                      <w:bCs/>
                      <w:color w:val="auto"/>
                      <w:sz w:val="21"/>
                      <w:szCs w:val="21"/>
                    </w:rPr>
                  </w:pPr>
                  <w:r>
                    <w:rPr>
                      <w:rFonts w:hint="eastAsia" w:ascii="宋体" w:hAnsi="宋体" w:cs="宋体"/>
                      <w:b w:val="0"/>
                      <w:bCs/>
                      <w:color w:val="auto"/>
                      <w:sz w:val="21"/>
                      <w:szCs w:val="21"/>
                      <w:lang w:val="en-US" w:eastAsia="zh-CN"/>
                    </w:rPr>
                    <w:t>50</w:t>
                  </w:r>
                </w:p>
              </w:tc>
              <w:tc>
                <w:tcPr>
                  <w:tcW w:w="696" w:type="pct"/>
                  <w:shd w:val="clear" w:color="auto" w:fill="auto"/>
                  <w:vAlign w:val="center"/>
                </w:tcPr>
                <w:p w14:paraId="6890FC34">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达标</w:t>
                  </w:r>
                </w:p>
              </w:tc>
            </w:tr>
          </w:tbl>
          <w:p w14:paraId="52644E10">
            <w:pPr>
              <w:keepNext w:val="0"/>
              <w:keepLines w:val="0"/>
              <w:pageBreakBefore w:val="0"/>
              <w:widowControl w:val="0"/>
              <w:kinsoku/>
              <w:wordWrap/>
              <w:overflowPunct/>
              <w:topLinePunct w:val="0"/>
              <w:autoSpaceDE/>
              <w:autoSpaceDN/>
              <w:bidi w:val="0"/>
              <w:snapToGrid w:val="0"/>
              <w:spacing w:line="480" w:lineRule="exact"/>
              <w:ind w:firstLine="480" w:firstLineChars="200"/>
              <w:textAlignment w:val="auto"/>
              <w:rPr>
                <w:rFonts w:hint="default" w:ascii="Calibri" w:hAnsi="Calibri" w:eastAsia="宋体" w:cs="Calibri"/>
                <w:color w:val="auto"/>
                <w:sz w:val="24"/>
                <w:szCs w:val="24"/>
                <w:lang w:eastAsia="zh-CN"/>
              </w:rPr>
            </w:pPr>
            <w:r>
              <w:rPr>
                <w:rFonts w:hint="default" w:ascii="Calibri" w:hAnsi="Calibri" w:eastAsia="宋体" w:cs="Calibri"/>
                <w:color w:val="auto"/>
                <w:sz w:val="24"/>
                <w:szCs w:val="24"/>
                <w:lang w:val="en-US" w:eastAsia="zh-CN"/>
              </w:rPr>
              <w:t>表中坐标以厂界中心（88.451167,38.170789）为坐标原点，正东向为X轴正方向，正北向为Y轴正方向</w:t>
            </w:r>
            <w:r>
              <w:rPr>
                <w:rFonts w:hint="default" w:ascii="Calibri" w:hAnsi="Calibri" w:cs="Calibri"/>
                <w:color w:val="auto"/>
                <w:sz w:val="24"/>
                <w:szCs w:val="24"/>
                <w:lang w:val="en-US" w:eastAsia="zh-CN"/>
              </w:rPr>
              <w:t>。</w:t>
            </w:r>
            <w:r>
              <w:rPr>
                <w:rFonts w:hint="default" w:ascii="Calibri" w:hAnsi="Calibri" w:eastAsia="宋体" w:cs="Calibri"/>
                <w:color w:val="auto"/>
                <w:sz w:val="24"/>
                <w:szCs w:val="24"/>
                <w:lang w:eastAsia="zh-CN"/>
              </w:rPr>
              <w:t>由上表可知，正常工况下，项目厂界噪声满足《工业企业厂界环境噪声排放标准》</w:t>
            </w:r>
            <w:r>
              <w:rPr>
                <w:rFonts w:hint="eastAsia" w:ascii="Calibri" w:hAnsi="Calibri" w:cs="Calibri"/>
                <w:color w:val="auto"/>
                <w:sz w:val="24"/>
                <w:szCs w:val="24"/>
                <w:lang w:eastAsia="zh-CN"/>
              </w:rPr>
              <w:t>（</w:t>
            </w:r>
            <w:r>
              <w:rPr>
                <w:rFonts w:hint="default" w:ascii="Calibri" w:hAnsi="Calibri" w:eastAsia="宋体" w:cs="Calibri"/>
                <w:color w:val="auto"/>
                <w:sz w:val="24"/>
                <w:szCs w:val="24"/>
                <w:lang w:eastAsia="zh-CN"/>
              </w:rPr>
              <w:t>GB12348.2008)</w:t>
            </w:r>
            <w:r>
              <w:rPr>
                <w:rFonts w:hint="default" w:ascii="Calibri" w:hAnsi="Calibri" w:cs="Calibri"/>
                <w:color w:val="auto"/>
                <w:sz w:val="24"/>
                <w:szCs w:val="24"/>
                <w:lang w:val="en-US" w:eastAsia="zh-CN"/>
              </w:rPr>
              <w:t>2</w:t>
            </w:r>
            <w:r>
              <w:rPr>
                <w:rFonts w:hint="default" w:ascii="Calibri" w:hAnsi="Calibri" w:eastAsia="宋体" w:cs="Calibri"/>
                <w:color w:val="auto"/>
                <w:sz w:val="24"/>
                <w:szCs w:val="24"/>
                <w:lang w:eastAsia="zh-CN"/>
              </w:rPr>
              <w:t>类标准。</w:t>
            </w:r>
          </w:p>
          <w:p w14:paraId="37F2D6A1">
            <w:pPr>
              <w:keepNext w:val="0"/>
              <w:keepLines w:val="0"/>
              <w:pageBreakBefore w:val="0"/>
              <w:widowControl w:val="0"/>
              <w:kinsoku/>
              <w:wordWrap/>
              <w:overflowPunct/>
              <w:topLinePunct w:val="0"/>
              <w:autoSpaceDE/>
              <w:autoSpaceDN/>
              <w:bidi w:val="0"/>
              <w:snapToGrid w:val="0"/>
              <w:spacing w:line="480" w:lineRule="exact"/>
              <w:ind w:firstLine="480" w:firstLineChars="200"/>
              <w:textAlignment w:val="auto"/>
              <w:rPr>
                <w:rFonts w:hint="default" w:ascii="Calibri" w:hAnsi="Calibri" w:eastAsia="宋体" w:cs="Calibri"/>
                <w:color w:val="auto"/>
                <w:sz w:val="24"/>
                <w:szCs w:val="24"/>
                <w:lang w:eastAsia="zh-CN"/>
              </w:rPr>
            </w:pPr>
            <w:r>
              <w:rPr>
                <w:rFonts w:hint="default" w:ascii="Calibri" w:hAnsi="Calibri" w:eastAsia="宋体" w:cs="Calibri"/>
                <w:color w:val="auto"/>
                <w:sz w:val="24"/>
                <w:szCs w:val="24"/>
                <w:lang w:eastAsia="zh-CN"/>
              </w:rPr>
              <w:t>项目变电站正常工况声环境影响预测等值线见图4-1</w:t>
            </w:r>
            <w:r>
              <w:rPr>
                <w:rFonts w:hint="eastAsia" w:ascii="Calibri" w:hAnsi="Calibri" w:cs="Calibri"/>
                <w:color w:val="auto"/>
                <w:sz w:val="24"/>
                <w:szCs w:val="24"/>
                <w:lang w:eastAsia="zh-CN"/>
              </w:rPr>
              <w:t>。</w:t>
            </w:r>
          </w:p>
          <w:p w14:paraId="74361913">
            <w:pPr>
              <w:keepNext w:val="0"/>
              <w:keepLines w:val="0"/>
              <w:pageBreakBefore w:val="0"/>
              <w:widowControl w:val="0"/>
              <w:kinsoku/>
              <w:wordWrap/>
              <w:overflowPunct/>
              <w:topLinePunct w:val="0"/>
              <w:autoSpaceDE/>
              <w:autoSpaceDN/>
              <w:bidi w:val="0"/>
              <w:snapToGrid w:val="0"/>
              <w:spacing w:line="480" w:lineRule="exact"/>
              <w:jc w:val="center"/>
              <w:textAlignment w:val="auto"/>
              <w:rPr>
                <w:rFonts w:hint="default" w:ascii="Calibri" w:hAnsi="Calibri" w:eastAsia="宋体" w:cs="Calibri"/>
                <w:color w:val="auto"/>
                <w:sz w:val="24"/>
                <w:szCs w:val="24"/>
                <w:lang w:eastAsia="zh-CN"/>
              </w:rPr>
            </w:pPr>
            <w:r>
              <w:rPr>
                <w:rFonts w:hint="eastAsia" w:ascii="宋体" w:hAnsi="宋体" w:cs="宋体"/>
                <w:b/>
                <w:bCs/>
                <w:color w:val="auto"/>
                <w:kern w:val="2"/>
                <w:sz w:val="24"/>
                <w:szCs w:val="24"/>
                <w:lang w:val="en-US" w:eastAsia="zh-CN" w:bidi="ar-SA"/>
              </w:rPr>
              <w:t>图</w:t>
            </w:r>
            <w:r>
              <w:rPr>
                <w:rFonts w:hint="eastAsia" w:ascii="宋体" w:hAnsi="宋体" w:eastAsia="宋体" w:cs="宋体"/>
                <w:b/>
                <w:bCs/>
                <w:color w:val="auto"/>
                <w:kern w:val="2"/>
                <w:sz w:val="24"/>
                <w:szCs w:val="24"/>
                <w:lang w:val="en-US" w:eastAsia="zh-CN" w:bidi="ar-SA"/>
              </w:rPr>
              <w:t>4-1    声环境影响预测等值线图</w:t>
            </w:r>
            <w:r>
              <w:drawing>
                <wp:anchor distT="0" distB="0" distL="114300" distR="114300" simplePos="0" relativeHeight="251667456" behindDoc="0" locked="0" layoutInCell="1" allowOverlap="1">
                  <wp:simplePos x="0" y="0"/>
                  <wp:positionH relativeFrom="column">
                    <wp:posOffset>0</wp:posOffset>
                  </wp:positionH>
                  <wp:positionV relativeFrom="paragraph">
                    <wp:posOffset>-2785110</wp:posOffset>
                  </wp:positionV>
                  <wp:extent cx="5167630" cy="3320415"/>
                  <wp:effectExtent l="0" t="0" r="13970" b="13335"/>
                  <wp:wrapTopAndBottom/>
                  <wp:docPr id="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pic:cNvPicPr>
                            <a:picLocks noChangeAspect="1"/>
                          </pic:cNvPicPr>
                        </pic:nvPicPr>
                        <pic:blipFill>
                          <a:blip r:embed="rId9"/>
                          <a:stretch>
                            <a:fillRect/>
                          </a:stretch>
                        </pic:blipFill>
                        <pic:spPr>
                          <a:xfrm>
                            <a:off x="0" y="0"/>
                            <a:ext cx="5167630" cy="3320415"/>
                          </a:xfrm>
                          <a:prstGeom prst="rect">
                            <a:avLst/>
                          </a:prstGeom>
                          <a:noFill/>
                          <a:ln>
                            <a:noFill/>
                          </a:ln>
                        </pic:spPr>
                      </pic:pic>
                    </a:graphicData>
                  </a:graphic>
                </wp:anchor>
              </w:drawing>
            </w:r>
          </w:p>
          <w:p w14:paraId="6875D839">
            <w:pPr>
              <w:keepNext w:val="0"/>
              <w:keepLines w:val="0"/>
              <w:pageBreakBefore w:val="0"/>
              <w:widowControl w:val="0"/>
              <w:kinsoku/>
              <w:wordWrap/>
              <w:overflowPunct/>
              <w:topLinePunct w:val="0"/>
              <w:autoSpaceDE/>
              <w:autoSpaceDN/>
              <w:bidi w:val="0"/>
              <w:snapToGrid w:val="0"/>
              <w:spacing w:line="480" w:lineRule="exact"/>
              <w:ind w:firstLine="480" w:firstLineChars="200"/>
              <w:textAlignment w:val="auto"/>
              <w:rPr>
                <w:rFonts w:hint="default" w:ascii="Calibri" w:hAnsi="Calibri" w:eastAsia="宋体" w:cs="Calibri"/>
                <w:b/>
                <w:bCs w:val="0"/>
                <w:color w:val="auto"/>
                <w:sz w:val="24"/>
                <w:szCs w:val="24"/>
                <w:lang w:val="en-US" w:eastAsia="zh-CN"/>
              </w:rPr>
            </w:pPr>
            <w:r>
              <w:rPr>
                <w:rFonts w:hint="eastAsia" w:ascii="Calibri" w:hAnsi="Calibri" w:cs="Calibri"/>
                <w:color w:val="auto"/>
                <w:sz w:val="24"/>
                <w:szCs w:val="24"/>
                <w:lang w:val="en-US" w:eastAsia="zh-CN"/>
              </w:rPr>
              <w:t xml:space="preserve"> </w:t>
            </w:r>
            <w:r>
              <w:rPr>
                <w:rFonts w:hint="default" w:ascii="Calibri" w:hAnsi="Calibri" w:eastAsia="宋体" w:cs="Calibri"/>
                <w:b/>
                <w:bCs w:val="0"/>
                <w:color w:val="auto"/>
                <w:sz w:val="24"/>
                <w:szCs w:val="24"/>
                <w:lang w:val="en-US" w:eastAsia="zh-CN"/>
              </w:rPr>
              <w:t>4 固废环境影响预测与分析</w:t>
            </w:r>
          </w:p>
          <w:p w14:paraId="55A2E180">
            <w:pPr>
              <w:pStyle w:val="6"/>
              <w:keepNext w:val="0"/>
              <w:keepLines w:val="0"/>
              <w:pageBreakBefore w:val="0"/>
              <w:widowControl w:val="0"/>
              <w:kinsoku/>
              <w:wordWrap/>
              <w:overflowPunct/>
              <w:topLinePunct w:val="0"/>
              <w:autoSpaceDE/>
              <w:autoSpaceDN/>
              <w:bidi w:val="0"/>
              <w:spacing w:line="480" w:lineRule="exact"/>
              <w:ind w:left="0" w:firstLine="480" w:firstLineChars="200"/>
              <w:textAlignment w:val="auto"/>
              <w:rPr>
                <w:rFonts w:hint="default" w:ascii="Calibri" w:hAnsi="Calibri" w:cs="Calibri"/>
                <w:b w:val="0"/>
                <w:color w:val="auto"/>
                <w:highlight w:val="none"/>
                <w:lang w:val="en-US" w:eastAsia="zh-CN" w:bidi="ar-SA"/>
              </w:rPr>
            </w:pPr>
            <w:r>
              <w:rPr>
                <w:rFonts w:hint="default" w:ascii="Calibri" w:hAnsi="Calibri" w:cs="Calibri"/>
                <w:b w:val="0"/>
                <w:color w:val="auto"/>
                <w:highlight w:val="none"/>
                <w:lang w:val="en-US" w:eastAsia="zh-CN" w:bidi="ar-SA"/>
              </w:rPr>
              <w:t>本项目运营期固体废物主要为废铅酸蓄电池、变压器事故废油及少量检修人员的生活垃圾。</w:t>
            </w:r>
          </w:p>
          <w:p w14:paraId="09448F10">
            <w:pPr>
              <w:pStyle w:val="6"/>
              <w:keepNext w:val="0"/>
              <w:keepLines w:val="0"/>
              <w:pageBreakBefore w:val="0"/>
              <w:widowControl w:val="0"/>
              <w:kinsoku/>
              <w:wordWrap/>
              <w:overflowPunct/>
              <w:topLinePunct w:val="0"/>
              <w:autoSpaceDE/>
              <w:autoSpaceDN/>
              <w:bidi w:val="0"/>
              <w:spacing w:line="480" w:lineRule="exact"/>
              <w:ind w:left="0" w:firstLine="482" w:firstLineChars="200"/>
              <w:textAlignment w:val="auto"/>
              <w:rPr>
                <w:rFonts w:hint="default" w:ascii="Calibri" w:hAnsi="Calibri" w:cs="Calibri"/>
                <w:b/>
                <w:bCs w:val="0"/>
                <w:color w:val="auto"/>
                <w:highlight w:val="none"/>
                <w:lang w:val="en-US" w:eastAsia="zh-CN" w:bidi="ar-SA"/>
              </w:rPr>
            </w:pPr>
            <w:r>
              <w:rPr>
                <w:rFonts w:hint="default" w:ascii="Calibri" w:hAnsi="Calibri" w:cs="Calibri"/>
                <w:b/>
                <w:bCs w:val="0"/>
                <w:color w:val="auto"/>
                <w:highlight w:val="none"/>
                <w:lang w:val="en-US" w:eastAsia="zh-CN" w:bidi="ar-SA"/>
              </w:rPr>
              <w:t>4.1生活垃圾</w:t>
            </w:r>
          </w:p>
          <w:p w14:paraId="31FE8939">
            <w:pPr>
              <w:pStyle w:val="6"/>
              <w:keepNext w:val="0"/>
              <w:keepLines w:val="0"/>
              <w:pageBreakBefore w:val="0"/>
              <w:widowControl w:val="0"/>
              <w:kinsoku/>
              <w:wordWrap/>
              <w:overflowPunct/>
              <w:topLinePunct w:val="0"/>
              <w:autoSpaceDE/>
              <w:autoSpaceDN/>
              <w:bidi w:val="0"/>
              <w:spacing w:line="480" w:lineRule="exact"/>
              <w:ind w:left="0" w:firstLine="480" w:firstLineChars="200"/>
              <w:textAlignment w:val="auto"/>
              <w:rPr>
                <w:rFonts w:hint="default" w:ascii="Calibri" w:hAnsi="Calibri" w:cs="Calibri"/>
                <w:b w:val="0"/>
                <w:color w:val="auto"/>
                <w:highlight w:val="none"/>
                <w:lang w:val="en-US" w:eastAsia="zh-CN" w:bidi="ar-SA"/>
              </w:rPr>
            </w:pPr>
            <w:r>
              <w:rPr>
                <w:rFonts w:hint="default" w:ascii="Calibri" w:hAnsi="Calibri" w:cs="Calibri"/>
                <w:b w:val="0"/>
                <w:color w:val="auto"/>
                <w:highlight w:val="none"/>
                <w:lang w:val="en-US" w:eastAsia="zh-CN" w:bidi="ar-SA"/>
              </w:rPr>
              <w:t>本项目新建变电站为无人值守站，运营期仅检修人员产生少量生活垃圾，另外，在线路检修时也会产生少量检修废弃物和人员生活垃圾，均为一般固废，检修完毕后集中收集随检修人员带回至就近垃圾收集站处理，对周围环境无明显影响。</w:t>
            </w:r>
          </w:p>
          <w:p w14:paraId="45D2EE03">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Calibri" w:hAnsi="Calibri" w:eastAsia="宋体" w:cs="Calibri"/>
                <w:color w:val="auto"/>
                <w:sz w:val="24"/>
                <w:lang w:val="en-US" w:eastAsia="zh-CN"/>
              </w:rPr>
            </w:pPr>
            <w:r>
              <w:rPr>
                <w:rFonts w:hint="default" w:ascii="Calibri" w:hAnsi="Calibri" w:cs="Calibri"/>
                <w:b/>
                <w:bCs/>
                <w:color w:val="auto"/>
                <w:sz w:val="24"/>
                <w:lang w:val="en-US" w:eastAsia="zh-CN"/>
              </w:rPr>
              <w:t>4.2废变压器油</w:t>
            </w:r>
          </w:p>
          <w:p w14:paraId="30DE7EE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cs="Calibri"/>
                <w:color w:val="auto"/>
                <w:sz w:val="24"/>
              </w:rPr>
            </w:pPr>
            <w:r>
              <w:rPr>
                <w:rFonts w:hint="default" w:ascii="Calibri" w:hAnsi="Calibri" w:cs="Calibri"/>
                <w:color w:val="auto"/>
                <w:sz w:val="24"/>
              </w:rPr>
              <w:t>变电站内的变压器、电抗器等设备，为了绝缘和冷却的需要，在变压器外壳内装有大量的变压器油，一般只有检修及事故情况下才会产生废变压器油。</w:t>
            </w:r>
          </w:p>
          <w:p w14:paraId="3E8344D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eastAsia="宋体" w:cs="Calibri"/>
                <w:color w:val="auto"/>
                <w:sz w:val="24"/>
                <w:lang w:eastAsia="zh-CN"/>
              </w:rPr>
            </w:pPr>
            <w:r>
              <w:rPr>
                <w:rFonts w:hint="default" w:ascii="Calibri" w:hAnsi="Calibri" w:cs="Calibri"/>
                <w:color w:val="auto"/>
                <w:sz w:val="24"/>
              </w:rPr>
              <w:t>根据《火力发电厂与变电站设计防火标准》</w:t>
            </w:r>
            <w:r>
              <w:rPr>
                <w:rFonts w:hint="eastAsia" w:ascii="Calibri" w:hAnsi="Calibri" w:cs="Calibri"/>
                <w:color w:val="auto"/>
                <w:sz w:val="24"/>
                <w:lang w:eastAsia="zh-CN"/>
              </w:rPr>
              <w:t>（</w:t>
            </w:r>
            <w:r>
              <w:rPr>
                <w:rFonts w:hint="default" w:ascii="Calibri" w:hAnsi="Calibri" w:cs="Calibri"/>
                <w:color w:val="auto"/>
                <w:sz w:val="24"/>
              </w:rPr>
              <w:t>GB50229-2019</w:t>
            </w:r>
            <w:r>
              <w:rPr>
                <w:rFonts w:hint="eastAsia" w:ascii="Calibri" w:hAnsi="Calibri" w:cs="Calibri"/>
                <w:color w:val="auto"/>
                <w:sz w:val="24"/>
                <w:lang w:eastAsia="zh-CN"/>
              </w:rPr>
              <w:t>）</w:t>
            </w:r>
            <w:r>
              <w:rPr>
                <w:rFonts w:hint="default" w:ascii="Calibri" w:hAnsi="Calibri" w:cs="Calibri"/>
                <w:color w:val="auto"/>
                <w:sz w:val="24"/>
              </w:rPr>
              <w:t>及《电力设备典型消防规程》</w:t>
            </w:r>
            <w:r>
              <w:rPr>
                <w:rFonts w:hint="eastAsia" w:ascii="Calibri" w:hAnsi="Calibri" w:cs="Calibri"/>
                <w:color w:val="auto"/>
                <w:sz w:val="24"/>
                <w:lang w:eastAsia="zh-CN"/>
              </w:rPr>
              <w:t>（</w:t>
            </w:r>
            <w:r>
              <w:rPr>
                <w:rFonts w:hint="default" w:ascii="Calibri" w:hAnsi="Calibri" w:cs="Calibri"/>
                <w:color w:val="auto"/>
                <w:sz w:val="24"/>
              </w:rPr>
              <w:t>DL5027-2015</w:t>
            </w:r>
            <w:r>
              <w:rPr>
                <w:rFonts w:hint="eastAsia" w:ascii="Calibri" w:hAnsi="Calibri" w:cs="Calibri"/>
                <w:color w:val="auto"/>
                <w:sz w:val="24"/>
                <w:lang w:eastAsia="zh-CN"/>
              </w:rPr>
              <w:t>）</w:t>
            </w:r>
            <w:r>
              <w:rPr>
                <w:rFonts w:hint="default" w:ascii="Calibri" w:hAnsi="Calibri" w:cs="Calibri"/>
                <w:color w:val="auto"/>
                <w:sz w:val="24"/>
              </w:rPr>
              <w:t>要求</w:t>
            </w:r>
            <w:r>
              <w:rPr>
                <w:rFonts w:hint="default" w:ascii="Calibri" w:hAnsi="Calibri" w:cs="Calibri"/>
                <w:color w:val="auto"/>
                <w:sz w:val="24"/>
                <w:lang w:eastAsia="zh-CN"/>
              </w:rPr>
              <w:t>“位于地面之下的变压器对应的总事故油池容量应按最大一台主变压器油量的100%确定”。</w:t>
            </w:r>
          </w:p>
          <w:p w14:paraId="738304C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cs="Calibri"/>
                <w:color w:val="auto"/>
                <w:kern w:val="0"/>
                <w:sz w:val="24"/>
                <w:szCs w:val="24"/>
                <w:lang w:val="en-US" w:eastAsia="zh-CN" w:bidi="ar-SA"/>
              </w:rPr>
            </w:pPr>
            <w:r>
              <w:rPr>
                <w:rFonts w:hint="default" w:ascii="Calibri" w:hAnsi="Calibri" w:cs="Calibri"/>
                <w:color w:val="auto"/>
                <w:kern w:val="0"/>
                <w:sz w:val="24"/>
                <w:szCs w:val="24"/>
                <w:lang w:val="en-US" w:eastAsia="zh-CN" w:bidi="ar-SA"/>
              </w:rPr>
              <w:t>本项目户外变电站有</w:t>
            </w:r>
            <w:r>
              <w:rPr>
                <w:rFonts w:hint="eastAsia" w:ascii="Calibri" w:hAnsi="Calibri" w:cs="Calibri"/>
                <w:color w:val="auto"/>
                <w:kern w:val="0"/>
                <w:sz w:val="24"/>
                <w:szCs w:val="24"/>
                <w:lang w:val="en-US" w:eastAsia="zh-CN" w:bidi="ar-SA"/>
              </w:rPr>
              <w:t>单独变压器</w:t>
            </w:r>
            <w:r>
              <w:rPr>
                <w:rFonts w:hint="default" w:ascii="Calibri" w:hAnsi="Calibri" w:cs="Calibri"/>
                <w:color w:val="auto"/>
                <w:kern w:val="0"/>
                <w:sz w:val="24"/>
                <w:szCs w:val="24"/>
                <w:lang w:val="en-US" w:eastAsia="zh-CN" w:bidi="ar-SA"/>
              </w:rPr>
              <w:t>室，最大单台主变压器参考油重18.56吨（变压器油密度0.895t/m³），变压器油容积为20.74m³，事故油池有效容积约为36m³，满足项目变压器100%排油量要求，可使变压器在发生事故时，壳体内的油经过铸铁管排入事故贮油池，防止变压器油排放对环境造成污染。本项目变压器下的挡油设施及事故油池建设满足上述规范要求。</w:t>
            </w:r>
          </w:p>
          <w:p w14:paraId="245EE07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cs="Calibri"/>
                <w:color w:val="auto"/>
                <w:sz w:val="24"/>
              </w:rPr>
            </w:pPr>
            <w:r>
              <w:rPr>
                <w:rFonts w:hint="default" w:ascii="Calibri" w:hAnsi="Calibri" w:cs="Calibri"/>
                <w:color w:val="auto"/>
                <w:kern w:val="0"/>
                <w:sz w:val="24"/>
                <w:szCs w:val="24"/>
                <w:lang w:val="en-US" w:eastAsia="zh-CN" w:bidi="ar-SA"/>
              </w:rPr>
              <w:t>主变事故油池及高抗事故油池均能满足本变电站最大一台设备油量的100%的要求，亦满足《危险废物贮存污染控制标准》</w:t>
            </w:r>
            <w:r>
              <w:rPr>
                <w:rFonts w:hint="eastAsia" w:ascii="Calibri" w:hAnsi="Calibri" w:cs="Calibri"/>
                <w:color w:val="auto"/>
                <w:kern w:val="0"/>
                <w:sz w:val="24"/>
                <w:szCs w:val="24"/>
                <w:lang w:val="en-US" w:eastAsia="zh-CN" w:bidi="ar-SA"/>
              </w:rPr>
              <w:t>（</w:t>
            </w:r>
            <w:r>
              <w:rPr>
                <w:rFonts w:hint="default" w:ascii="Calibri" w:hAnsi="Calibri" w:cs="Calibri"/>
                <w:color w:val="auto"/>
                <w:kern w:val="0"/>
                <w:sz w:val="24"/>
                <w:szCs w:val="24"/>
                <w:lang w:val="en-US" w:eastAsia="zh-CN" w:bidi="ar-SA"/>
              </w:rPr>
              <w:t>GB18597-2023</w:t>
            </w:r>
            <w:r>
              <w:rPr>
                <w:rFonts w:hint="eastAsia" w:ascii="Calibri" w:hAnsi="Calibri" w:cs="Calibri"/>
                <w:color w:val="auto"/>
                <w:kern w:val="0"/>
                <w:sz w:val="24"/>
                <w:szCs w:val="24"/>
                <w:lang w:val="en-US" w:eastAsia="zh-CN" w:bidi="ar-SA"/>
              </w:rPr>
              <w:t>）</w:t>
            </w:r>
            <w:r>
              <w:rPr>
                <w:rFonts w:hint="default" w:ascii="Calibri" w:hAnsi="Calibri" w:cs="Calibri"/>
                <w:color w:val="auto"/>
                <w:kern w:val="0"/>
                <w:sz w:val="24"/>
                <w:szCs w:val="24"/>
                <w:lang w:val="en-US" w:eastAsia="zh-CN" w:bidi="ar-SA"/>
              </w:rPr>
              <w:t>以及《输变电建设项目环境保护技术要求》</w:t>
            </w:r>
            <w:r>
              <w:rPr>
                <w:rFonts w:hint="eastAsia" w:ascii="Calibri" w:hAnsi="Calibri" w:cs="Calibri"/>
                <w:color w:val="auto"/>
                <w:kern w:val="0"/>
                <w:sz w:val="24"/>
                <w:szCs w:val="24"/>
                <w:lang w:val="en-US" w:eastAsia="zh-CN" w:bidi="ar-SA"/>
              </w:rPr>
              <w:t>（</w:t>
            </w:r>
            <w:r>
              <w:rPr>
                <w:rFonts w:hint="default" w:ascii="Calibri" w:hAnsi="Calibri" w:cs="Calibri"/>
                <w:color w:val="auto"/>
                <w:kern w:val="0"/>
                <w:sz w:val="24"/>
                <w:szCs w:val="24"/>
                <w:lang w:val="en-US" w:eastAsia="zh-CN" w:bidi="ar-SA"/>
              </w:rPr>
              <w:t>HJ1113-2020</w:t>
            </w:r>
            <w:r>
              <w:rPr>
                <w:rFonts w:hint="eastAsia" w:ascii="Calibri" w:hAnsi="Calibri" w:cs="Calibri"/>
                <w:color w:val="auto"/>
                <w:kern w:val="0"/>
                <w:sz w:val="24"/>
                <w:szCs w:val="24"/>
                <w:lang w:val="en-US" w:eastAsia="zh-CN" w:bidi="ar-SA"/>
              </w:rPr>
              <w:t>）</w:t>
            </w:r>
            <w:r>
              <w:rPr>
                <w:rFonts w:hint="default" w:ascii="Calibri" w:hAnsi="Calibri" w:cs="Calibri"/>
                <w:color w:val="auto"/>
                <w:kern w:val="0"/>
                <w:sz w:val="24"/>
                <w:szCs w:val="24"/>
                <w:lang w:val="en-US" w:eastAsia="zh-CN" w:bidi="ar-SA"/>
              </w:rPr>
              <w:t>“变电工程应设置足够容量的事故油池及其配套的拦截、防雨、防渗等措施和设施。一旦发生泄漏，应能及时进行拦截和处理，确保油及油水混合物全部收集、不外排”的要求。采用抗渗等级较高的混凝土建造，抗渗等级&gt;P6。当突发事故时，由于储油坑较主变外廊尺寸每边大1m，故主变废油泄漏将全排入事故油池，不会对变压器周边土壤产生影响，产生的废油交由有相应资质的单位回收处置，不外排。</w:t>
            </w:r>
          </w:p>
          <w:p w14:paraId="06CE892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eastAsia="宋体" w:cs="Calibri"/>
                <w:color w:val="auto"/>
                <w:sz w:val="24"/>
                <w:lang w:val="en-US" w:eastAsia="zh-CN"/>
              </w:rPr>
            </w:pPr>
            <w:r>
              <w:rPr>
                <w:rFonts w:hint="default" w:ascii="Calibri" w:hAnsi="Calibri" w:cs="Calibri"/>
                <w:color w:val="auto"/>
                <w:sz w:val="24"/>
              </w:rPr>
              <w:t>根据物质危险性判定标准，变压器事故排油属废矿物油，根据《国家危险废物名录</w:t>
            </w:r>
            <w:r>
              <w:rPr>
                <w:rFonts w:hint="eastAsia" w:ascii="Calibri" w:hAnsi="Calibri" w:cs="Calibri"/>
                <w:color w:val="auto"/>
                <w:sz w:val="24"/>
                <w:lang w:eastAsia="zh-CN"/>
              </w:rPr>
              <w:t>（</w:t>
            </w:r>
            <w:r>
              <w:rPr>
                <w:rFonts w:hint="default" w:ascii="Calibri" w:hAnsi="Calibri" w:cs="Calibri"/>
                <w:color w:val="auto"/>
                <w:sz w:val="24"/>
              </w:rPr>
              <w:t>20</w:t>
            </w:r>
            <w:r>
              <w:rPr>
                <w:rFonts w:hint="default" w:ascii="Calibri" w:hAnsi="Calibri" w:cs="Calibri"/>
                <w:color w:val="auto"/>
                <w:sz w:val="24"/>
                <w:lang w:val="en-US" w:eastAsia="zh-CN"/>
              </w:rPr>
              <w:t>25</w:t>
            </w:r>
            <w:r>
              <w:rPr>
                <w:rFonts w:hint="default" w:ascii="Calibri" w:hAnsi="Calibri" w:cs="Calibri"/>
                <w:color w:val="auto"/>
                <w:sz w:val="24"/>
              </w:rPr>
              <w:t>年版</w:t>
            </w:r>
            <w:r>
              <w:rPr>
                <w:rFonts w:hint="eastAsia" w:ascii="Calibri" w:hAnsi="Calibri" w:cs="Calibri"/>
                <w:color w:val="auto"/>
                <w:sz w:val="24"/>
                <w:lang w:eastAsia="zh-CN"/>
              </w:rPr>
              <w:t>）</w:t>
            </w:r>
            <w:r>
              <w:rPr>
                <w:rFonts w:hint="default" w:ascii="Calibri" w:hAnsi="Calibri" w:cs="Calibri"/>
                <w:color w:val="auto"/>
                <w:sz w:val="24"/>
              </w:rPr>
              <w:t>》，本项目废变压器油属于“HW08废矿物油与含矿物油废物”中的“变压器维护、更换和拆解过程中产生的废变压器油”，废物代码“900-220-08”。</w:t>
            </w:r>
          </w:p>
          <w:p w14:paraId="0A5F08AF">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Calibri" w:hAnsi="Calibri" w:cs="Calibri"/>
                <w:b/>
                <w:bCs/>
                <w:color w:val="auto"/>
                <w:sz w:val="24"/>
              </w:rPr>
            </w:pPr>
            <w:r>
              <w:rPr>
                <w:rFonts w:hint="default" w:ascii="Calibri" w:hAnsi="Calibri" w:cs="Calibri"/>
                <w:b/>
                <w:bCs/>
                <w:color w:val="auto"/>
                <w:sz w:val="24"/>
                <w:lang w:val="en-US" w:eastAsia="zh-CN"/>
              </w:rPr>
              <w:t>4.3</w:t>
            </w:r>
            <w:r>
              <w:rPr>
                <w:rFonts w:hint="default" w:ascii="Calibri" w:hAnsi="Calibri" w:cs="Calibri"/>
                <w:b/>
                <w:bCs/>
                <w:color w:val="auto"/>
                <w:sz w:val="24"/>
              </w:rPr>
              <w:t>废铅酸蓄电池</w:t>
            </w:r>
          </w:p>
          <w:p w14:paraId="78AE2C9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cs="Calibri"/>
                <w:color w:val="auto"/>
                <w:sz w:val="24"/>
              </w:rPr>
            </w:pPr>
            <w:r>
              <w:rPr>
                <w:rFonts w:hint="default" w:ascii="Calibri" w:hAnsi="Calibri" w:cs="Calibri"/>
                <w:color w:val="auto"/>
                <w:sz w:val="24"/>
              </w:rPr>
              <w:t>110kV变电站采用免维护蓄电池，变电站运行和检修时，无酸性废水排放，但是会产生</w:t>
            </w:r>
            <w:r>
              <w:rPr>
                <w:rFonts w:hint="eastAsia" w:ascii="Calibri" w:hAnsi="Calibri" w:cs="Calibri"/>
                <w:color w:val="auto"/>
                <w:sz w:val="24"/>
                <w:lang w:eastAsia="zh-CN"/>
              </w:rPr>
              <w:t>废铅酸蓄电池</w:t>
            </w:r>
            <w:r>
              <w:rPr>
                <w:rFonts w:hint="default" w:ascii="Calibri" w:hAnsi="Calibri" w:cs="Calibri"/>
                <w:color w:val="auto"/>
                <w:sz w:val="24"/>
              </w:rPr>
              <w:t>。根据《国家危险废物名录</w:t>
            </w:r>
            <w:r>
              <w:rPr>
                <w:rFonts w:hint="eastAsia" w:ascii="Calibri" w:hAnsi="Calibri" w:cs="Calibri"/>
                <w:color w:val="auto"/>
                <w:sz w:val="24"/>
                <w:lang w:eastAsia="zh-CN"/>
              </w:rPr>
              <w:t>（</w:t>
            </w:r>
            <w:r>
              <w:rPr>
                <w:rFonts w:hint="default" w:ascii="Calibri" w:hAnsi="Calibri" w:cs="Calibri"/>
                <w:color w:val="auto"/>
                <w:sz w:val="24"/>
              </w:rPr>
              <w:t>20</w:t>
            </w:r>
            <w:r>
              <w:rPr>
                <w:rFonts w:hint="default" w:ascii="Calibri" w:hAnsi="Calibri" w:cs="Calibri"/>
                <w:color w:val="auto"/>
                <w:sz w:val="24"/>
                <w:lang w:val="en-US" w:eastAsia="zh-CN"/>
              </w:rPr>
              <w:t>25</w:t>
            </w:r>
            <w:r>
              <w:rPr>
                <w:rFonts w:hint="default" w:ascii="Calibri" w:hAnsi="Calibri" w:cs="Calibri"/>
                <w:color w:val="auto"/>
                <w:sz w:val="24"/>
              </w:rPr>
              <w:t>年版</w:t>
            </w:r>
            <w:r>
              <w:rPr>
                <w:rFonts w:hint="eastAsia" w:ascii="Calibri" w:hAnsi="Calibri" w:cs="Calibri"/>
                <w:color w:val="auto"/>
                <w:sz w:val="24"/>
                <w:lang w:eastAsia="zh-CN"/>
              </w:rPr>
              <w:t>）</w:t>
            </w:r>
            <w:r>
              <w:rPr>
                <w:rFonts w:hint="default" w:ascii="Calibri" w:hAnsi="Calibri" w:cs="Calibri"/>
                <w:color w:val="auto"/>
                <w:sz w:val="24"/>
              </w:rPr>
              <w:t>》，本项目废弃蓄电池属于“HW31含铅废物”中的“非特定行业”，废物代码“900-052-31”，变电站内蓄电池达到寿命周期</w:t>
            </w:r>
            <w:r>
              <w:rPr>
                <w:rFonts w:hint="default" w:ascii="Calibri" w:hAnsi="Calibri" w:cs="Calibri"/>
                <w:color w:val="auto"/>
                <w:sz w:val="24"/>
                <w:lang w:eastAsia="zh-CN"/>
              </w:rPr>
              <w:t>后</w:t>
            </w:r>
            <w:r>
              <w:rPr>
                <w:rFonts w:hint="default" w:ascii="Calibri" w:hAnsi="Calibri" w:cs="Calibri"/>
                <w:color w:val="auto"/>
                <w:sz w:val="24"/>
              </w:rPr>
              <w:t>，建设单位</w:t>
            </w:r>
            <w:r>
              <w:rPr>
                <w:rFonts w:hint="default" w:ascii="Calibri" w:hAnsi="Calibri" w:cs="Calibri"/>
                <w:color w:val="auto"/>
                <w:sz w:val="24"/>
                <w:lang w:val="en-US" w:eastAsia="zh-CN"/>
              </w:rPr>
              <w:t>参照</w:t>
            </w:r>
            <w:r>
              <w:rPr>
                <w:rFonts w:hint="default" w:ascii="Calibri" w:hAnsi="Calibri" w:cs="Calibri"/>
                <w:color w:val="auto"/>
                <w:sz w:val="24"/>
              </w:rPr>
              <w:t>《国网科技部关于印发国家电网公司电网废弃物环境无害化处置及资源化利用指导意见的通知》中废旧蓄电池管理的相关规定，及时交原厂处置或由有资质的单位进行处置，</w:t>
            </w:r>
            <w:r>
              <w:rPr>
                <w:rFonts w:hint="default" w:ascii="Calibri" w:hAnsi="Calibri" w:cs="Calibri"/>
                <w:color w:val="auto"/>
                <w:sz w:val="24"/>
                <w:lang w:val="en-US" w:eastAsia="zh-CN"/>
              </w:rPr>
              <w:t>可在</w:t>
            </w:r>
            <w:r>
              <w:rPr>
                <w:rFonts w:hint="default" w:ascii="Calibri" w:hAnsi="Calibri" w:cs="Calibri"/>
                <w:color w:val="auto"/>
                <w:sz w:val="24"/>
              </w:rPr>
              <w:t>变电站内临时贮存</w:t>
            </w:r>
            <w:r>
              <w:rPr>
                <w:rFonts w:hint="default" w:ascii="Calibri" w:hAnsi="Calibri" w:cs="Calibri"/>
                <w:color w:val="auto"/>
                <w:sz w:val="24"/>
                <w:lang w:eastAsia="zh-CN"/>
              </w:rPr>
              <w:t>，</w:t>
            </w:r>
            <w:r>
              <w:rPr>
                <w:rFonts w:hint="default" w:ascii="Calibri" w:hAnsi="Calibri" w:cs="Calibri"/>
                <w:color w:val="auto"/>
                <w:sz w:val="24"/>
                <w:lang w:val="en-US" w:eastAsia="zh-CN"/>
              </w:rPr>
              <w:t>定期交由有资质单位处置</w:t>
            </w:r>
            <w:r>
              <w:rPr>
                <w:rFonts w:hint="default" w:ascii="Calibri" w:hAnsi="Calibri" w:cs="Calibri"/>
                <w:color w:val="auto"/>
                <w:sz w:val="24"/>
              </w:rPr>
              <w:t>。根据该名录附录“危险废物豁免管理清单”内容，废弃蓄电池为“未破损”状态时，在“运输”环节，当运输工具满足防雨、防渗漏、防遗撒要求时，可进行豁免，不按危险废物进行运输。</w:t>
            </w:r>
          </w:p>
          <w:p w14:paraId="67A47F4D">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Calibri" w:hAnsi="Calibri" w:cs="Calibri"/>
                <w:b/>
                <w:bCs/>
                <w:color w:val="auto"/>
                <w:sz w:val="24"/>
                <w:lang w:val="en-US" w:eastAsia="zh-CN"/>
              </w:rPr>
            </w:pPr>
            <w:r>
              <w:rPr>
                <w:rFonts w:hint="default" w:ascii="Calibri" w:hAnsi="Calibri" w:cs="Calibri"/>
                <w:b/>
                <w:bCs/>
                <w:color w:val="auto"/>
                <w:sz w:val="24"/>
                <w:lang w:val="en-US" w:eastAsia="zh-CN"/>
              </w:rPr>
              <w:t>4.4危险废物贮存库</w:t>
            </w:r>
          </w:p>
          <w:p w14:paraId="0AB3027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Calibri" w:hAnsi="Calibri" w:eastAsia="宋体" w:cs="Calibri"/>
                <w:color w:val="auto"/>
                <w:sz w:val="24"/>
                <w:lang w:val="en-US" w:eastAsia="zh-CN"/>
              </w:rPr>
            </w:pPr>
            <w:r>
              <w:rPr>
                <w:rFonts w:hint="default" w:ascii="Calibri" w:hAnsi="Calibri" w:cs="Calibri"/>
                <w:color w:val="auto"/>
                <w:sz w:val="24"/>
                <w:lang w:val="en-US" w:eastAsia="zh-CN"/>
              </w:rPr>
              <w:t>为防止本项目事故状态下，有资质单位未能及时拉运危险废物，本项目新建1</w:t>
            </w:r>
            <w:r>
              <w:rPr>
                <w:rFonts w:hint="default" w:ascii="Calibri" w:hAnsi="Calibri" w:eastAsia="宋体" w:cs="Calibri"/>
                <w:color w:val="auto"/>
                <w:kern w:val="0"/>
                <w:sz w:val="24"/>
                <w:szCs w:val="24"/>
                <w:lang w:val="en-US" w:eastAsia="zh-CN" w:bidi="ar-SA"/>
              </w:rPr>
              <w:t>0m</w:t>
            </w:r>
            <w:r>
              <w:rPr>
                <w:rFonts w:hint="default" w:ascii="Calibri" w:hAnsi="Calibri" w:eastAsia="宋体" w:cs="Calibri"/>
                <w:color w:val="auto"/>
                <w:kern w:val="0"/>
                <w:sz w:val="24"/>
                <w:szCs w:val="24"/>
                <w:vertAlign w:val="superscript"/>
                <w:lang w:val="en-US" w:eastAsia="zh-CN" w:bidi="ar-SA"/>
              </w:rPr>
              <w:t>2</w:t>
            </w:r>
            <w:r>
              <w:rPr>
                <w:rFonts w:hint="default" w:ascii="Calibri" w:hAnsi="Calibri" w:cs="Calibri"/>
                <w:color w:val="auto"/>
                <w:sz w:val="24"/>
                <w:lang w:val="en-US" w:eastAsia="zh-CN"/>
              </w:rPr>
              <w:t>危险废物贮存库，</w:t>
            </w:r>
            <w:r>
              <w:rPr>
                <w:rFonts w:hint="default" w:ascii="Calibri" w:hAnsi="Calibri" w:eastAsia="宋体" w:cs="Calibri"/>
                <w:color w:val="auto"/>
                <w:kern w:val="0"/>
                <w:sz w:val="24"/>
                <w:szCs w:val="24"/>
                <w:vertAlign w:val="baseline"/>
                <w:lang w:val="en-US" w:eastAsia="zh-CN" w:bidi="ar-SA"/>
              </w:rPr>
              <w:t>最大贮存量约</w:t>
            </w:r>
            <w:r>
              <w:rPr>
                <w:rFonts w:hint="default" w:ascii="Calibri" w:hAnsi="Calibri" w:cs="Calibri"/>
                <w:color w:val="auto"/>
                <w:kern w:val="0"/>
                <w:sz w:val="24"/>
                <w:szCs w:val="24"/>
                <w:vertAlign w:val="baseline"/>
                <w:lang w:val="en-US" w:eastAsia="zh-CN" w:bidi="ar-SA"/>
              </w:rPr>
              <w:t>1</w:t>
            </w:r>
            <w:r>
              <w:rPr>
                <w:rFonts w:hint="default" w:ascii="Calibri" w:hAnsi="Calibri" w:eastAsia="宋体" w:cs="Calibri"/>
                <w:color w:val="auto"/>
                <w:kern w:val="0"/>
                <w:sz w:val="24"/>
                <w:szCs w:val="24"/>
                <w:vertAlign w:val="baseline"/>
                <w:lang w:val="en-US" w:eastAsia="zh-CN" w:bidi="ar-SA"/>
              </w:rPr>
              <w:t>t，本项目危险废物最不利的情况下为</w:t>
            </w:r>
            <w:r>
              <w:rPr>
                <w:rFonts w:hint="default" w:ascii="Calibri" w:hAnsi="Calibri" w:cs="Calibri"/>
                <w:color w:val="auto"/>
                <w:kern w:val="0"/>
                <w:sz w:val="24"/>
                <w:szCs w:val="24"/>
                <w:vertAlign w:val="baseline"/>
                <w:lang w:val="en-US" w:eastAsia="zh-CN" w:bidi="ar-SA"/>
              </w:rPr>
              <w:t>0.5</w:t>
            </w:r>
            <w:r>
              <w:rPr>
                <w:rFonts w:hint="default" w:ascii="Calibri" w:hAnsi="Calibri" w:eastAsia="宋体" w:cs="Calibri"/>
                <w:color w:val="auto"/>
                <w:kern w:val="0"/>
                <w:sz w:val="24"/>
                <w:szCs w:val="24"/>
                <w:vertAlign w:val="baseline"/>
                <w:lang w:val="en-US" w:eastAsia="zh-CN" w:bidi="ar-SA"/>
              </w:rPr>
              <w:t>t/a，</w:t>
            </w:r>
            <w:r>
              <w:rPr>
                <w:rFonts w:hint="default" w:ascii="Calibri" w:hAnsi="Calibri" w:eastAsia="宋体" w:cs="Calibri"/>
                <w:color w:val="auto"/>
                <w:kern w:val="0"/>
                <w:sz w:val="24"/>
                <w:szCs w:val="24"/>
                <w:lang w:val="en-US" w:eastAsia="zh-CN" w:bidi="ar-SA"/>
              </w:rPr>
              <w:t>因此，危险废物贮存间可满足本项目危险废物的贮存</w:t>
            </w:r>
            <w:r>
              <w:rPr>
                <w:rFonts w:hint="default" w:ascii="Calibri" w:hAnsi="Calibri" w:cs="Calibri"/>
                <w:color w:val="auto"/>
                <w:kern w:val="0"/>
                <w:sz w:val="24"/>
                <w:szCs w:val="24"/>
                <w:lang w:val="en-US" w:eastAsia="zh-CN" w:bidi="ar-SA"/>
              </w:rPr>
              <w:t>要求</w:t>
            </w:r>
            <w:r>
              <w:rPr>
                <w:rFonts w:hint="default" w:ascii="Calibri" w:hAnsi="Calibri" w:eastAsia="宋体" w:cs="Calibri"/>
                <w:color w:val="auto"/>
                <w:kern w:val="0"/>
                <w:sz w:val="24"/>
                <w:szCs w:val="24"/>
                <w:lang w:val="en-US" w:eastAsia="zh-CN" w:bidi="ar-SA"/>
              </w:rPr>
              <w:t>。</w:t>
            </w:r>
            <w:r>
              <w:rPr>
                <w:rFonts w:hint="default" w:ascii="Calibri" w:hAnsi="Calibri" w:cs="Calibri"/>
                <w:color w:val="auto"/>
                <w:sz w:val="24"/>
              </w:rPr>
              <w:t>综上所述，通过采取相应污染防治措施后，变电站</w:t>
            </w:r>
            <w:r>
              <w:rPr>
                <w:rFonts w:hint="default" w:ascii="Calibri" w:hAnsi="Calibri" w:cs="Calibri"/>
                <w:color w:val="auto"/>
                <w:sz w:val="24"/>
                <w:lang w:val="en-US" w:eastAsia="zh-CN"/>
              </w:rPr>
              <w:t>产生的危险废物</w:t>
            </w:r>
            <w:r>
              <w:rPr>
                <w:rFonts w:hint="default" w:ascii="Calibri" w:hAnsi="Calibri" w:cs="Calibri"/>
                <w:color w:val="auto"/>
                <w:sz w:val="24"/>
              </w:rPr>
              <w:t>对环境无不良影响。</w:t>
            </w:r>
          </w:p>
          <w:p w14:paraId="03019651">
            <w:pPr>
              <w:pStyle w:val="7"/>
              <w:keepNext w:val="0"/>
              <w:keepLines w:val="0"/>
              <w:pageBreakBefore w:val="0"/>
              <w:widowControl w:val="0"/>
              <w:kinsoku/>
              <w:wordWrap/>
              <w:overflowPunct/>
              <w:topLinePunct w:val="0"/>
              <w:autoSpaceDE/>
              <w:autoSpaceDN/>
              <w:bidi w:val="0"/>
              <w:spacing w:line="480" w:lineRule="exact"/>
              <w:ind w:firstLine="502" w:firstLineChars="200"/>
              <w:contextualSpacing/>
              <w:jc w:val="center"/>
              <w:textAlignment w:val="auto"/>
              <w:rPr>
                <w:rStyle w:val="47"/>
                <w:rFonts w:hint="default" w:ascii="Calibri" w:hAnsi="Calibri" w:cs="Calibri"/>
                <w:color w:val="auto"/>
                <w:szCs w:val="21"/>
              </w:rPr>
            </w:pPr>
            <w:r>
              <w:rPr>
                <w:rStyle w:val="47"/>
                <w:rFonts w:hint="default" w:ascii="Calibri" w:hAnsi="Calibri" w:eastAsia="宋体" w:cs="Calibri"/>
                <w:color w:val="auto"/>
                <w:sz w:val="24"/>
                <w:szCs w:val="24"/>
              </w:rPr>
              <w:t>表</w:t>
            </w:r>
            <w:r>
              <w:rPr>
                <w:rStyle w:val="47"/>
                <w:rFonts w:hint="default" w:ascii="Calibri" w:hAnsi="Calibri" w:eastAsia="宋体" w:cs="Calibri"/>
                <w:color w:val="auto"/>
                <w:sz w:val="24"/>
                <w:szCs w:val="24"/>
                <w:lang w:val="en-US" w:eastAsia="zh-CN"/>
              </w:rPr>
              <w:t>4-</w:t>
            </w:r>
            <w:r>
              <w:rPr>
                <w:rStyle w:val="47"/>
                <w:rFonts w:hint="default" w:ascii="Calibri" w:hAnsi="Calibri" w:cs="Calibri"/>
                <w:color w:val="auto"/>
                <w:sz w:val="24"/>
                <w:szCs w:val="24"/>
                <w:lang w:val="en-US" w:eastAsia="zh-CN"/>
              </w:rPr>
              <w:t>7</w:t>
            </w:r>
            <w:r>
              <w:rPr>
                <w:rStyle w:val="47"/>
                <w:rFonts w:hint="default" w:ascii="Calibri" w:hAnsi="Calibri" w:eastAsia="宋体" w:cs="Calibri"/>
                <w:color w:val="auto"/>
                <w:sz w:val="24"/>
                <w:szCs w:val="24"/>
                <w:lang w:val="en-US" w:eastAsia="zh-CN"/>
              </w:rPr>
              <w:t xml:space="preserve"> </w:t>
            </w:r>
            <w:r>
              <w:rPr>
                <w:rStyle w:val="47"/>
                <w:rFonts w:hint="default" w:ascii="Calibri" w:hAnsi="Calibri" w:eastAsia="宋体" w:cs="Calibri"/>
                <w:color w:val="auto"/>
                <w:sz w:val="24"/>
                <w:szCs w:val="24"/>
              </w:rPr>
              <w:t xml:space="preserve"> </w:t>
            </w:r>
            <w:r>
              <w:rPr>
                <w:rStyle w:val="47"/>
                <w:rFonts w:hint="default" w:ascii="Calibri" w:hAnsi="Calibri" w:eastAsia="宋体" w:cs="Calibri"/>
                <w:color w:val="auto"/>
                <w:sz w:val="24"/>
                <w:szCs w:val="24"/>
                <w:lang w:val="en-US" w:eastAsia="zh-CN"/>
              </w:rPr>
              <w:t xml:space="preserve">  </w:t>
            </w:r>
            <w:r>
              <w:rPr>
                <w:rStyle w:val="47"/>
                <w:rFonts w:hint="default" w:ascii="Calibri" w:hAnsi="Calibri" w:eastAsia="宋体" w:cs="Calibri"/>
                <w:color w:val="auto"/>
                <w:sz w:val="24"/>
                <w:szCs w:val="24"/>
              </w:rPr>
              <w:t xml:space="preserve"> 项目固体废物产</w:t>
            </w:r>
            <w:r>
              <w:rPr>
                <w:rStyle w:val="47"/>
                <w:rFonts w:hint="default" w:ascii="Calibri" w:hAnsi="Calibri" w:eastAsia="宋体" w:cs="Calibri"/>
                <w:color w:val="auto"/>
                <w:sz w:val="24"/>
                <w:szCs w:val="24"/>
                <w:lang w:val="en-US" w:eastAsia="zh-CN"/>
              </w:rPr>
              <w:t>排</w:t>
            </w:r>
            <w:r>
              <w:rPr>
                <w:rStyle w:val="47"/>
                <w:rFonts w:hint="default" w:ascii="Calibri" w:hAnsi="Calibri" w:eastAsia="宋体" w:cs="Calibri"/>
                <w:color w:val="auto"/>
                <w:sz w:val="24"/>
                <w:szCs w:val="24"/>
              </w:rPr>
              <w:t>情况明细</w:t>
            </w:r>
          </w:p>
          <w:tbl>
            <w:tblPr>
              <w:tblStyle w:val="22"/>
              <w:tblW w:w="4992"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39"/>
              <w:gridCol w:w="692"/>
              <w:gridCol w:w="780"/>
              <w:gridCol w:w="819"/>
              <w:gridCol w:w="1308"/>
              <w:gridCol w:w="1308"/>
              <w:gridCol w:w="697"/>
              <w:gridCol w:w="855"/>
              <w:gridCol w:w="1121"/>
            </w:tblGrid>
            <w:tr w14:paraId="28B824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1" w:type="pct"/>
                  <w:noWrap w:val="0"/>
                  <w:vAlign w:val="center"/>
                </w:tcPr>
                <w:p w14:paraId="17B2E449">
                  <w:pPr>
                    <w:jc w:val="center"/>
                    <w:rPr>
                      <w:rFonts w:hint="default"/>
                      <w:color w:val="auto"/>
                      <w:szCs w:val="21"/>
                      <w:lang w:val="en-US" w:eastAsia="zh-CN"/>
                    </w:rPr>
                  </w:pPr>
                  <w:r>
                    <w:rPr>
                      <w:rFonts w:hint="eastAsia"/>
                      <w:color w:val="auto"/>
                      <w:szCs w:val="21"/>
                      <w:lang w:val="en-US" w:eastAsia="zh-CN"/>
                    </w:rPr>
                    <w:t>序号</w:t>
                  </w:r>
                </w:p>
              </w:tc>
              <w:tc>
                <w:tcPr>
                  <w:tcW w:w="426" w:type="pct"/>
                  <w:noWrap w:val="0"/>
                  <w:vAlign w:val="center"/>
                </w:tcPr>
                <w:p w14:paraId="2F597F49">
                  <w:pPr>
                    <w:jc w:val="center"/>
                    <w:rPr>
                      <w:rFonts w:hint="eastAsia" w:eastAsia="宋体"/>
                      <w:color w:val="auto"/>
                      <w:szCs w:val="21"/>
                      <w:lang w:eastAsia="zh-CN"/>
                    </w:rPr>
                  </w:pPr>
                  <w:r>
                    <w:rPr>
                      <w:rFonts w:hint="eastAsia"/>
                      <w:color w:val="auto"/>
                      <w:szCs w:val="21"/>
                      <w:lang w:val="en-US" w:eastAsia="zh-CN"/>
                    </w:rPr>
                    <w:t>名称</w:t>
                  </w:r>
                </w:p>
              </w:tc>
              <w:tc>
                <w:tcPr>
                  <w:tcW w:w="480" w:type="pct"/>
                  <w:noWrap w:val="0"/>
                  <w:vAlign w:val="center"/>
                </w:tcPr>
                <w:p w14:paraId="2350817F">
                  <w:pPr>
                    <w:jc w:val="center"/>
                    <w:rPr>
                      <w:rFonts w:hint="default"/>
                      <w:color w:val="auto"/>
                      <w:szCs w:val="21"/>
                      <w:lang w:val="en-US" w:eastAsia="zh-CN"/>
                    </w:rPr>
                  </w:pPr>
                  <w:r>
                    <w:rPr>
                      <w:rFonts w:hint="eastAsia"/>
                      <w:color w:val="auto"/>
                      <w:szCs w:val="21"/>
                      <w:lang w:val="en-US" w:eastAsia="zh-CN"/>
                    </w:rPr>
                    <w:t>产生工序</w:t>
                  </w:r>
                </w:p>
              </w:tc>
              <w:tc>
                <w:tcPr>
                  <w:tcW w:w="504" w:type="pct"/>
                  <w:noWrap w:val="0"/>
                  <w:vAlign w:val="center"/>
                </w:tcPr>
                <w:p w14:paraId="082501CC">
                  <w:pPr>
                    <w:jc w:val="center"/>
                    <w:rPr>
                      <w:rFonts w:hint="eastAsia"/>
                      <w:color w:val="auto"/>
                      <w:szCs w:val="21"/>
                    </w:rPr>
                  </w:pPr>
                  <w:r>
                    <w:rPr>
                      <w:rFonts w:hint="eastAsia"/>
                      <w:color w:val="auto"/>
                      <w:szCs w:val="21"/>
                    </w:rPr>
                    <w:t>固废类别</w:t>
                  </w:r>
                </w:p>
              </w:tc>
              <w:tc>
                <w:tcPr>
                  <w:tcW w:w="805" w:type="pct"/>
                  <w:noWrap w:val="0"/>
                  <w:vAlign w:val="center"/>
                </w:tcPr>
                <w:p w14:paraId="64898C0B">
                  <w:pPr>
                    <w:jc w:val="center"/>
                    <w:rPr>
                      <w:rFonts w:hint="eastAsia"/>
                      <w:color w:val="auto"/>
                      <w:szCs w:val="21"/>
                    </w:rPr>
                  </w:pPr>
                  <w:r>
                    <w:rPr>
                      <w:rFonts w:hint="eastAsia"/>
                      <w:color w:val="auto"/>
                      <w:szCs w:val="21"/>
                    </w:rPr>
                    <w:t>废物类别</w:t>
                  </w:r>
                </w:p>
              </w:tc>
              <w:tc>
                <w:tcPr>
                  <w:tcW w:w="805" w:type="pct"/>
                  <w:noWrap w:val="0"/>
                  <w:vAlign w:val="center"/>
                </w:tcPr>
                <w:p w14:paraId="7201CA1D">
                  <w:pPr>
                    <w:jc w:val="center"/>
                    <w:rPr>
                      <w:color w:val="auto"/>
                      <w:szCs w:val="21"/>
                    </w:rPr>
                  </w:pPr>
                  <w:r>
                    <w:rPr>
                      <w:rFonts w:hint="eastAsia"/>
                      <w:color w:val="auto"/>
                      <w:szCs w:val="21"/>
                    </w:rPr>
                    <w:t>废物代码</w:t>
                  </w:r>
                </w:p>
              </w:tc>
              <w:tc>
                <w:tcPr>
                  <w:tcW w:w="429" w:type="pct"/>
                  <w:noWrap w:val="0"/>
                  <w:vAlign w:val="center"/>
                </w:tcPr>
                <w:p w14:paraId="1BAE537C">
                  <w:pPr>
                    <w:jc w:val="center"/>
                    <w:rPr>
                      <w:rFonts w:hint="default" w:eastAsia="宋体"/>
                      <w:color w:val="auto"/>
                      <w:szCs w:val="21"/>
                      <w:lang w:val="en-US" w:eastAsia="zh-CN"/>
                    </w:rPr>
                  </w:pPr>
                  <w:r>
                    <w:rPr>
                      <w:rFonts w:hint="eastAsia"/>
                      <w:color w:val="auto"/>
                      <w:szCs w:val="21"/>
                      <w:lang w:val="en-US" w:eastAsia="zh-CN"/>
                    </w:rPr>
                    <w:t>主要成分</w:t>
                  </w:r>
                </w:p>
              </w:tc>
              <w:tc>
                <w:tcPr>
                  <w:tcW w:w="526" w:type="pct"/>
                  <w:noWrap w:val="0"/>
                  <w:vAlign w:val="center"/>
                </w:tcPr>
                <w:p w14:paraId="4875261A">
                  <w:pPr>
                    <w:jc w:val="center"/>
                    <w:rPr>
                      <w:color w:val="auto"/>
                      <w:szCs w:val="21"/>
                    </w:rPr>
                  </w:pPr>
                  <w:r>
                    <w:rPr>
                      <w:color w:val="auto"/>
                      <w:szCs w:val="21"/>
                    </w:rPr>
                    <w:t>产生量</w:t>
                  </w:r>
                </w:p>
              </w:tc>
              <w:tc>
                <w:tcPr>
                  <w:tcW w:w="690" w:type="pct"/>
                  <w:noWrap w:val="0"/>
                  <w:vAlign w:val="center"/>
                </w:tcPr>
                <w:p w14:paraId="7A4A5E60">
                  <w:pPr>
                    <w:jc w:val="center"/>
                    <w:rPr>
                      <w:rFonts w:hint="eastAsia"/>
                      <w:color w:val="auto"/>
                      <w:szCs w:val="21"/>
                    </w:rPr>
                  </w:pPr>
                  <w:r>
                    <w:rPr>
                      <w:rFonts w:hint="eastAsia"/>
                      <w:color w:val="auto"/>
                      <w:szCs w:val="21"/>
                    </w:rPr>
                    <w:t>去向</w:t>
                  </w:r>
                </w:p>
              </w:tc>
            </w:tr>
            <w:tr w14:paraId="41A30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31" w:type="pct"/>
                  <w:noWrap w:val="0"/>
                  <w:vAlign w:val="center"/>
                </w:tcPr>
                <w:p w14:paraId="1B0F926B">
                  <w:pPr>
                    <w:jc w:val="center"/>
                    <w:rPr>
                      <w:rFonts w:hint="default"/>
                      <w:color w:val="auto"/>
                      <w:szCs w:val="21"/>
                      <w:lang w:val="en-US" w:eastAsia="zh-CN"/>
                    </w:rPr>
                  </w:pPr>
                  <w:r>
                    <w:rPr>
                      <w:rFonts w:hint="eastAsia"/>
                      <w:color w:val="auto"/>
                      <w:szCs w:val="21"/>
                      <w:lang w:val="en-US" w:eastAsia="zh-CN"/>
                    </w:rPr>
                    <w:t>2</w:t>
                  </w:r>
                </w:p>
              </w:tc>
              <w:tc>
                <w:tcPr>
                  <w:tcW w:w="426" w:type="pct"/>
                  <w:noWrap w:val="0"/>
                  <w:vAlign w:val="center"/>
                </w:tcPr>
                <w:p w14:paraId="15C9E830">
                  <w:pPr>
                    <w:jc w:val="center"/>
                    <w:rPr>
                      <w:rFonts w:hint="default"/>
                      <w:color w:val="auto"/>
                      <w:szCs w:val="21"/>
                      <w:lang w:val="en-US" w:eastAsia="zh-CN"/>
                    </w:rPr>
                  </w:pPr>
                  <w:r>
                    <w:rPr>
                      <w:rFonts w:hint="default"/>
                      <w:color w:val="auto"/>
                      <w:szCs w:val="21"/>
                      <w:lang w:val="en-US" w:eastAsia="zh-CN"/>
                    </w:rPr>
                    <w:t>废变压器油</w:t>
                  </w:r>
                </w:p>
              </w:tc>
              <w:tc>
                <w:tcPr>
                  <w:tcW w:w="480" w:type="pct"/>
                  <w:noWrap w:val="0"/>
                  <w:vAlign w:val="center"/>
                </w:tcPr>
                <w:p w14:paraId="5AA9A0FD">
                  <w:pPr>
                    <w:jc w:val="center"/>
                    <w:rPr>
                      <w:rFonts w:hint="default"/>
                      <w:color w:val="auto"/>
                      <w:szCs w:val="21"/>
                      <w:lang w:val="en-US" w:eastAsia="zh-CN"/>
                    </w:rPr>
                  </w:pPr>
                  <w:r>
                    <w:rPr>
                      <w:rFonts w:hint="eastAsia"/>
                      <w:color w:val="auto"/>
                      <w:szCs w:val="21"/>
                      <w:lang w:val="en-US" w:eastAsia="zh-CN"/>
                    </w:rPr>
                    <w:t>变压器事故</w:t>
                  </w:r>
                </w:p>
              </w:tc>
              <w:tc>
                <w:tcPr>
                  <w:tcW w:w="504" w:type="pct"/>
                  <w:noWrap w:val="0"/>
                  <w:vAlign w:val="center"/>
                </w:tcPr>
                <w:p w14:paraId="4EADD3ED">
                  <w:pPr>
                    <w:jc w:val="center"/>
                    <w:rPr>
                      <w:rFonts w:hint="eastAsia" w:eastAsia="宋体"/>
                      <w:color w:val="auto"/>
                      <w:szCs w:val="21"/>
                      <w:lang w:val="en-US" w:eastAsia="zh-CN"/>
                    </w:rPr>
                  </w:pPr>
                  <w:r>
                    <w:rPr>
                      <w:rFonts w:hint="eastAsia"/>
                      <w:color w:val="auto"/>
                      <w:szCs w:val="21"/>
                      <w:lang w:val="en-US" w:eastAsia="zh-CN"/>
                    </w:rPr>
                    <w:t>危险废物</w:t>
                  </w:r>
                </w:p>
              </w:tc>
              <w:tc>
                <w:tcPr>
                  <w:tcW w:w="805" w:type="pct"/>
                  <w:noWrap w:val="0"/>
                  <w:vAlign w:val="center"/>
                </w:tcPr>
                <w:p w14:paraId="115A4187">
                  <w:pPr>
                    <w:jc w:val="center"/>
                    <w:rPr>
                      <w:rFonts w:hint="eastAsia" w:eastAsia="宋体"/>
                      <w:color w:val="auto"/>
                      <w:szCs w:val="21"/>
                      <w:lang w:val="en-US" w:eastAsia="zh-CN"/>
                    </w:rPr>
                  </w:pPr>
                  <w:r>
                    <w:rPr>
                      <w:rFonts w:hint="eastAsia"/>
                      <w:color w:val="auto"/>
                      <w:szCs w:val="21"/>
                      <w:lang w:val="en-US" w:eastAsia="zh-CN"/>
                    </w:rPr>
                    <w:t>HW08废矿物油与含矿物油废物</w:t>
                  </w:r>
                </w:p>
              </w:tc>
              <w:tc>
                <w:tcPr>
                  <w:tcW w:w="805" w:type="pct"/>
                  <w:noWrap w:val="0"/>
                  <w:vAlign w:val="center"/>
                </w:tcPr>
                <w:p w14:paraId="627C475E">
                  <w:pPr>
                    <w:jc w:val="center"/>
                    <w:rPr>
                      <w:rFonts w:hint="eastAsia"/>
                      <w:color w:val="auto"/>
                      <w:szCs w:val="21"/>
                    </w:rPr>
                  </w:pPr>
                  <w:r>
                    <w:rPr>
                      <w:rFonts w:hint="eastAsia"/>
                      <w:color w:val="auto"/>
                      <w:szCs w:val="21"/>
                    </w:rPr>
                    <w:t>900-220-08</w:t>
                  </w:r>
                </w:p>
              </w:tc>
              <w:tc>
                <w:tcPr>
                  <w:tcW w:w="429" w:type="pct"/>
                  <w:noWrap w:val="0"/>
                  <w:vAlign w:val="center"/>
                </w:tcPr>
                <w:p w14:paraId="723FF3EF">
                  <w:pPr>
                    <w:jc w:val="center"/>
                    <w:rPr>
                      <w:rFonts w:hint="eastAsia" w:eastAsia="宋体"/>
                      <w:color w:val="auto"/>
                      <w:szCs w:val="21"/>
                      <w:lang w:val="en-US" w:eastAsia="zh-CN"/>
                    </w:rPr>
                  </w:pPr>
                  <w:r>
                    <w:rPr>
                      <w:rFonts w:hint="eastAsia"/>
                      <w:color w:val="auto"/>
                      <w:szCs w:val="21"/>
                      <w:lang w:val="en-US" w:eastAsia="zh-CN"/>
                    </w:rPr>
                    <w:t>矿物油</w:t>
                  </w:r>
                </w:p>
              </w:tc>
              <w:tc>
                <w:tcPr>
                  <w:tcW w:w="526" w:type="pct"/>
                  <w:tcBorders>
                    <w:bottom w:val="single" w:color="auto" w:sz="4" w:space="0"/>
                  </w:tcBorders>
                  <w:noWrap w:val="0"/>
                  <w:vAlign w:val="center"/>
                </w:tcPr>
                <w:p w14:paraId="7D9C61D9">
                  <w:pPr>
                    <w:jc w:val="center"/>
                    <w:rPr>
                      <w:rFonts w:hint="default" w:eastAsia="宋体"/>
                      <w:color w:val="auto"/>
                      <w:szCs w:val="21"/>
                      <w:lang w:val="en-US" w:eastAsia="zh-CN"/>
                    </w:rPr>
                  </w:pPr>
                  <w:r>
                    <w:rPr>
                      <w:rFonts w:hint="eastAsia"/>
                      <w:color w:val="auto"/>
                      <w:szCs w:val="21"/>
                      <w:lang w:val="en-US" w:eastAsia="zh-CN"/>
                    </w:rPr>
                    <w:t>18.56t/次</w:t>
                  </w:r>
                </w:p>
              </w:tc>
              <w:tc>
                <w:tcPr>
                  <w:tcW w:w="690" w:type="pct"/>
                  <w:tcBorders>
                    <w:bottom w:val="single" w:color="auto" w:sz="4" w:space="0"/>
                  </w:tcBorders>
                  <w:noWrap w:val="0"/>
                  <w:vAlign w:val="center"/>
                </w:tcPr>
                <w:p w14:paraId="061B7C9B">
                  <w:pPr>
                    <w:jc w:val="center"/>
                    <w:rPr>
                      <w:rFonts w:hint="default" w:eastAsia="宋体"/>
                      <w:color w:val="auto"/>
                      <w:szCs w:val="21"/>
                      <w:lang w:val="en-US" w:eastAsia="zh-CN"/>
                    </w:rPr>
                  </w:pPr>
                  <w:r>
                    <w:rPr>
                      <w:rFonts w:hint="eastAsia"/>
                      <w:color w:val="auto"/>
                      <w:szCs w:val="21"/>
                      <w:lang w:val="en-US" w:eastAsia="zh-CN"/>
                    </w:rPr>
                    <w:t>事故收集池暂存</w:t>
                  </w:r>
                  <w:r>
                    <w:rPr>
                      <w:rFonts w:hint="default" w:eastAsia="宋体"/>
                      <w:color w:val="auto"/>
                      <w:szCs w:val="21"/>
                      <w:lang w:val="en-US" w:eastAsia="zh-CN"/>
                    </w:rPr>
                    <w:t>。</w:t>
                  </w:r>
                </w:p>
              </w:tc>
            </w:tr>
          </w:tbl>
          <w:p w14:paraId="71DB913F">
            <w:pPr>
              <w:keepNext w:val="0"/>
              <w:keepLines w:val="0"/>
              <w:pageBreakBefore w:val="0"/>
              <w:widowControl/>
              <w:kinsoku/>
              <w:wordWrap/>
              <w:overflowPunct/>
              <w:topLinePunct w:val="0"/>
              <w:autoSpaceDE/>
              <w:autoSpaceDN/>
              <w:bidi w:val="0"/>
              <w:adjustRightInd/>
              <w:snapToGrid w:val="0"/>
              <w:spacing w:line="480" w:lineRule="exact"/>
              <w:ind w:left="0" w:leftChars="0" w:right="0" w:firstLine="482" w:firstLineChars="200"/>
              <w:jc w:val="both"/>
              <w:textAlignment w:val="auto"/>
              <w:rPr>
                <w:rFonts w:hint="default" w:ascii="Calibri" w:hAnsi="Calibri" w:eastAsia="宋体" w:cs="Calibri"/>
                <w:b/>
                <w:bCs/>
                <w:color w:val="auto"/>
                <w:kern w:val="0"/>
                <w:sz w:val="24"/>
                <w:szCs w:val="24"/>
                <w:lang w:val="en-US" w:eastAsia="zh-CN" w:bidi="ar-SA"/>
              </w:rPr>
            </w:pPr>
            <w:r>
              <w:rPr>
                <w:rFonts w:hint="default" w:ascii="Calibri" w:hAnsi="Calibri" w:eastAsia="宋体" w:cs="Calibri"/>
                <w:b/>
                <w:bCs/>
                <w:color w:val="auto"/>
                <w:kern w:val="0"/>
                <w:sz w:val="24"/>
                <w:szCs w:val="24"/>
                <w:lang w:val="en-US" w:eastAsia="zh-CN" w:bidi="ar-SA"/>
              </w:rPr>
              <w:t>4.</w:t>
            </w:r>
            <w:r>
              <w:rPr>
                <w:rFonts w:hint="eastAsia" w:ascii="Calibri" w:hAnsi="Calibri" w:cs="Calibri"/>
                <w:b/>
                <w:bCs/>
                <w:color w:val="auto"/>
                <w:kern w:val="0"/>
                <w:sz w:val="24"/>
                <w:szCs w:val="24"/>
                <w:lang w:val="en-US" w:eastAsia="zh-CN" w:bidi="ar-SA"/>
              </w:rPr>
              <w:t>4</w:t>
            </w:r>
            <w:r>
              <w:rPr>
                <w:rFonts w:hint="default" w:ascii="Calibri" w:hAnsi="Calibri" w:eastAsia="宋体" w:cs="Calibri"/>
                <w:b/>
                <w:bCs/>
                <w:color w:val="auto"/>
                <w:kern w:val="0"/>
                <w:sz w:val="24"/>
                <w:szCs w:val="24"/>
                <w:lang w:val="en-US" w:eastAsia="zh-CN" w:bidi="ar-SA"/>
              </w:rPr>
              <w:t>.1 危险废物贮存可行性分析</w:t>
            </w:r>
          </w:p>
          <w:p w14:paraId="137378DF">
            <w:pPr>
              <w:keepNext w:val="0"/>
              <w:keepLines w:val="0"/>
              <w:pageBreakBefore w:val="0"/>
              <w:widowControl/>
              <w:kinsoku/>
              <w:wordWrap/>
              <w:overflowPunct/>
              <w:topLinePunct w:val="0"/>
              <w:autoSpaceDE/>
              <w:autoSpaceDN/>
              <w:bidi w:val="0"/>
              <w:adjustRightInd/>
              <w:snapToGrid w:val="0"/>
              <w:spacing w:line="480" w:lineRule="exact"/>
              <w:ind w:right="0" w:firstLine="480" w:firstLineChars="200"/>
              <w:jc w:val="both"/>
              <w:textAlignment w:val="auto"/>
              <w:rPr>
                <w:rFonts w:hint="default" w:ascii="Calibri" w:hAnsi="Calibri" w:eastAsia="宋体" w:cs="Calibri"/>
                <w:color w:val="auto"/>
                <w:kern w:val="0"/>
                <w:sz w:val="24"/>
                <w:szCs w:val="24"/>
                <w:lang w:val="en-US" w:eastAsia="zh-CN" w:bidi="ar-SA"/>
              </w:rPr>
            </w:pPr>
            <w:r>
              <w:rPr>
                <w:rFonts w:hint="default" w:ascii="Calibri" w:hAnsi="Calibri" w:eastAsia="宋体" w:cs="Calibri"/>
                <w:color w:val="auto"/>
                <w:kern w:val="0"/>
                <w:sz w:val="24"/>
                <w:szCs w:val="24"/>
                <w:lang w:val="en-US" w:eastAsia="zh-CN" w:bidi="ar-SA"/>
              </w:rPr>
              <w:t>根据本项目分析，危险废物为</w:t>
            </w:r>
            <w:r>
              <w:rPr>
                <w:rFonts w:hint="default" w:ascii="Calibri" w:hAnsi="Calibri" w:eastAsia="宋体" w:cs="Calibri"/>
                <w:color w:val="auto"/>
                <w:kern w:val="0"/>
                <w:sz w:val="24"/>
                <w:szCs w:val="21"/>
                <w:lang w:val="en-US" w:eastAsia="zh-CN" w:bidi="ar-SA"/>
              </w:rPr>
              <w:t>事故废油、废铅酸电池</w:t>
            </w:r>
            <w:r>
              <w:rPr>
                <w:rFonts w:hint="default" w:ascii="Calibri" w:hAnsi="Calibri" w:eastAsia="宋体" w:cs="Calibri"/>
                <w:color w:val="auto"/>
                <w:kern w:val="0"/>
                <w:sz w:val="24"/>
                <w:szCs w:val="24"/>
                <w:lang w:val="en-US" w:eastAsia="zh-CN" w:bidi="ar-SA"/>
              </w:rPr>
              <w:t>，事故废油、废铅酸电池维修时由具有相关资质的单位进行回收处理。</w:t>
            </w:r>
          </w:p>
          <w:p w14:paraId="155322B4">
            <w:pPr>
              <w:keepNext w:val="0"/>
              <w:keepLines w:val="0"/>
              <w:pageBreakBefore w:val="0"/>
              <w:widowControl/>
              <w:kinsoku/>
              <w:wordWrap/>
              <w:overflowPunct/>
              <w:topLinePunct w:val="0"/>
              <w:autoSpaceDE/>
              <w:autoSpaceDN/>
              <w:bidi w:val="0"/>
              <w:adjustRightInd/>
              <w:snapToGrid w:val="0"/>
              <w:spacing w:line="480" w:lineRule="exact"/>
              <w:ind w:right="0" w:firstLine="480" w:firstLineChars="200"/>
              <w:jc w:val="both"/>
              <w:textAlignment w:val="auto"/>
              <w:rPr>
                <w:rFonts w:hint="default" w:ascii="Calibri" w:hAnsi="Calibri" w:eastAsia="宋体" w:cs="Calibri"/>
                <w:color w:val="auto"/>
                <w:kern w:val="0"/>
                <w:sz w:val="24"/>
                <w:szCs w:val="24"/>
                <w:lang w:val="en-US" w:eastAsia="zh-CN" w:bidi="ar-SA"/>
              </w:rPr>
            </w:pPr>
            <w:r>
              <w:rPr>
                <w:rFonts w:hint="default" w:ascii="Calibri" w:hAnsi="Calibri" w:cs="Calibri"/>
                <w:color w:val="auto"/>
                <w:kern w:val="0"/>
                <w:sz w:val="24"/>
                <w:szCs w:val="24"/>
                <w:lang w:val="en-US" w:eastAsia="zh-CN" w:bidi="ar-SA"/>
              </w:rPr>
              <w:t>（1）</w:t>
            </w:r>
            <w:r>
              <w:rPr>
                <w:rFonts w:hint="default" w:ascii="Calibri" w:hAnsi="Calibri" w:eastAsia="宋体" w:cs="Calibri"/>
                <w:color w:val="auto"/>
                <w:kern w:val="0"/>
                <w:sz w:val="24"/>
                <w:szCs w:val="24"/>
                <w:lang w:val="en-US" w:eastAsia="zh-CN" w:bidi="ar-SA"/>
              </w:rPr>
              <w:t>变电站贮油设施合理性分析：</w:t>
            </w:r>
            <w:r>
              <w:rPr>
                <w:rFonts w:hint="default" w:ascii="Calibri" w:hAnsi="Calibri" w:cs="Calibri"/>
                <w:color w:val="auto"/>
                <w:kern w:val="0"/>
                <w:sz w:val="24"/>
                <w:szCs w:val="24"/>
                <w:lang w:val="en-US" w:eastAsia="zh-CN" w:bidi="ar-SA"/>
              </w:rPr>
              <w:t>根据《火力发电厂与变电站设计防火标准》</w:t>
            </w:r>
            <w:r>
              <w:rPr>
                <w:rFonts w:hint="eastAsia" w:ascii="Calibri" w:hAnsi="Calibri" w:cs="Calibri"/>
                <w:color w:val="auto"/>
                <w:kern w:val="0"/>
                <w:sz w:val="24"/>
                <w:szCs w:val="24"/>
                <w:lang w:val="en-US" w:eastAsia="zh-CN" w:bidi="ar-SA"/>
              </w:rPr>
              <w:t>（</w:t>
            </w:r>
            <w:r>
              <w:rPr>
                <w:rFonts w:hint="default" w:ascii="Calibri" w:hAnsi="Calibri" w:cs="Calibri"/>
                <w:color w:val="auto"/>
                <w:kern w:val="0"/>
                <w:sz w:val="24"/>
                <w:szCs w:val="24"/>
                <w:lang w:val="en-US" w:eastAsia="zh-CN" w:bidi="ar-SA"/>
              </w:rPr>
              <w:t>GB50229-2019</w:t>
            </w:r>
            <w:r>
              <w:rPr>
                <w:rFonts w:hint="eastAsia" w:ascii="Calibri" w:hAnsi="Calibri" w:cs="Calibri"/>
                <w:color w:val="auto"/>
                <w:kern w:val="0"/>
                <w:sz w:val="24"/>
                <w:szCs w:val="24"/>
                <w:lang w:val="en-US" w:eastAsia="zh-CN" w:bidi="ar-SA"/>
              </w:rPr>
              <w:t>）</w:t>
            </w:r>
            <w:r>
              <w:rPr>
                <w:rFonts w:hint="default" w:ascii="Calibri" w:hAnsi="Calibri" w:cs="Calibri"/>
                <w:color w:val="auto"/>
                <w:kern w:val="0"/>
                <w:sz w:val="24"/>
                <w:szCs w:val="24"/>
                <w:lang w:val="en-US" w:eastAsia="zh-CN" w:bidi="ar-SA"/>
              </w:rPr>
              <w:t>及《电力设备典型消防规程》</w:t>
            </w:r>
            <w:r>
              <w:rPr>
                <w:rFonts w:hint="eastAsia" w:ascii="Calibri" w:hAnsi="Calibri" w:cs="Calibri"/>
                <w:color w:val="auto"/>
                <w:kern w:val="0"/>
                <w:sz w:val="24"/>
                <w:szCs w:val="24"/>
                <w:lang w:val="en-US" w:eastAsia="zh-CN" w:bidi="ar-SA"/>
              </w:rPr>
              <w:t>（</w:t>
            </w:r>
            <w:r>
              <w:rPr>
                <w:rFonts w:hint="default" w:ascii="Calibri" w:hAnsi="Calibri" w:cs="Calibri"/>
                <w:color w:val="auto"/>
                <w:kern w:val="0"/>
                <w:sz w:val="24"/>
                <w:szCs w:val="24"/>
                <w:lang w:val="en-US" w:eastAsia="zh-CN" w:bidi="ar-SA"/>
              </w:rPr>
              <w:t>DL5027-2015</w:t>
            </w:r>
            <w:r>
              <w:rPr>
                <w:rFonts w:hint="eastAsia" w:ascii="Calibri" w:hAnsi="Calibri" w:cs="Calibri"/>
                <w:color w:val="auto"/>
                <w:kern w:val="0"/>
                <w:sz w:val="24"/>
                <w:szCs w:val="24"/>
                <w:lang w:val="en-US" w:eastAsia="zh-CN" w:bidi="ar-SA"/>
              </w:rPr>
              <w:t>）</w:t>
            </w:r>
            <w:r>
              <w:rPr>
                <w:rFonts w:hint="default" w:ascii="Calibri" w:hAnsi="Calibri" w:cs="Calibri"/>
                <w:color w:val="auto"/>
                <w:kern w:val="0"/>
                <w:sz w:val="24"/>
                <w:szCs w:val="24"/>
                <w:lang w:val="en-US" w:eastAsia="zh-CN" w:bidi="ar-SA"/>
              </w:rPr>
              <w:t>要求“位于地面之下的变压器对应的总事故油池容量应按最大一台主变压器油量的100%确定”，项目户外变电站有</w:t>
            </w:r>
            <w:r>
              <w:rPr>
                <w:rFonts w:hint="eastAsia" w:ascii="Calibri" w:hAnsi="Calibri" w:cs="Calibri"/>
                <w:color w:val="auto"/>
                <w:kern w:val="0"/>
                <w:sz w:val="24"/>
                <w:szCs w:val="24"/>
                <w:lang w:val="en-US" w:eastAsia="zh-CN" w:bidi="ar-SA"/>
              </w:rPr>
              <w:t>单独变压器</w:t>
            </w:r>
            <w:r>
              <w:rPr>
                <w:rFonts w:hint="default" w:ascii="Calibri" w:hAnsi="Calibri" w:cs="Calibri"/>
                <w:color w:val="auto"/>
                <w:kern w:val="0"/>
                <w:sz w:val="24"/>
                <w:szCs w:val="24"/>
                <w:lang w:val="en-US" w:eastAsia="zh-CN" w:bidi="ar-SA"/>
              </w:rPr>
              <w:t>室，最大单台主变压器参考油重18.56吨，变压器油容积为20.74m³，事故油池有效容积约为</w:t>
            </w:r>
            <w:r>
              <w:rPr>
                <w:rFonts w:hint="eastAsia" w:ascii="Calibri" w:hAnsi="Calibri" w:cs="Calibri"/>
                <w:color w:val="auto"/>
                <w:kern w:val="0"/>
                <w:sz w:val="24"/>
                <w:szCs w:val="24"/>
                <w:lang w:val="en-US" w:eastAsia="zh-CN" w:bidi="ar-SA"/>
              </w:rPr>
              <w:t>36</w:t>
            </w:r>
            <w:r>
              <w:rPr>
                <w:rFonts w:hint="default" w:ascii="Calibri" w:hAnsi="Calibri" w:cs="Calibri"/>
                <w:color w:val="auto"/>
                <w:kern w:val="0"/>
                <w:sz w:val="24"/>
                <w:szCs w:val="24"/>
                <w:lang w:val="en-US" w:eastAsia="zh-CN" w:bidi="ar-SA"/>
              </w:rPr>
              <w:t>m³，满足最大</w:t>
            </w:r>
            <w:r>
              <w:rPr>
                <w:rFonts w:hint="eastAsia" w:ascii="Calibri" w:hAnsi="Calibri" w:cs="Calibri"/>
                <w:color w:val="auto"/>
                <w:kern w:val="0"/>
                <w:sz w:val="24"/>
                <w:szCs w:val="24"/>
                <w:lang w:val="en-US" w:eastAsia="zh-CN" w:bidi="ar-SA"/>
              </w:rPr>
              <w:t>单台变压器</w:t>
            </w:r>
            <w:r>
              <w:rPr>
                <w:rFonts w:hint="default" w:ascii="Calibri" w:hAnsi="Calibri" w:cs="Calibri"/>
                <w:color w:val="auto"/>
                <w:kern w:val="0"/>
                <w:sz w:val="24"/>
                <w:szCs w:val="24"/>
                <w:lang w:val="en-US" w:eastAsia="zh-CN" w:bidi="ar-SA"/>
              </w:rPr>
              <w:t>100%排油量要求，可使变压器在发生事故时，壳体内的油经过铸铁管排入事故贮油池，防止变压器油排放对环境造成污染。本项目变压器下的挡油设施及事故油池建设满足上述规范要求，可使变压器在发生事故时，壳体内的油经过铸铁管排入事故贮油池，防止变压器油排放对环境造成污染。本项目变压器下的挡油设施及事故油池建设满足上述规范要求。</w:t>
            </w:r>
          </w:p>
          <w:p w14:paraId="3CA44610">
            <w:pPr>
              <w:keepNext w:val="0"/>
              <w:keepLines w:val="0"/>
              <w:pageBreakBefore w:val="0"/>
              <w:widowControl/>
              <w:kinsoku/>
              <w:wordWrap/>
              <w:overflowPunct/>
              <w:topLinePunct w:val="0"/>
              <w:autoSpaceDE/>
              <w:autoSpaceDN/>
              <w:bidi w:val="0"/>
              <w:adjustRightInd/>
              <w:snapToGrid w:val="0"/>
              <w:spacing w:line="480" w:lineRule="exact"/>
              <w:ind w:right="0" w:firstLine="480" w:firstLineChars="200"/>
              <w:jc w:val="both"/>
              <w:textAlignment w:val="auto"/>
              <w:rPr>
                <w:rFonts w:hint="default" w:ascii="Calibri" w:hAnsi="Calibri" w:eastAsia="宋体" w:cs="Calibri"/>
                <w:color w:val="auto"/>
                <w:kern w:val="0"/>
                <w:sz w:val="24"/>
                <w:szCs w:val="24"/>
                <w:lang w:val="en-US" w:eastAsia="zh-CN" w:bidi="ar-SA"/>
              </w:rPr>
            </w:pPr>
            <w:r>
              <w:rPr>
                <w:rFonts w:hint="default" w:ascii="Calibri" w:hAnsi="Calibri" w:eastAsia="宋体" w:cs="Calibri"/>
                <w:color w:val="auto"/>
                <w:kern w:val="0"/>
                <w:sz w:val="24"/>
                <w:szCs w:val="24"/>
                <w:lang w:val="en-US" w:eastAsia="zh-CN" w:bidi="ar-SA"/>
              </w:rPr>
              <w:t>变电站设置的事故油池采用P8抗渗混凝土，混凝土等级C40，垫层采用150厚C25聚合物水泥混凝土</w:t>
            </w:r>
            <w:r>
              <w:rPr>
                <w:rFonts w:hint="default"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施工时在其混凝土基层必须防渗，避免事故废油渗入事故油池周围地表，造成二次污染事件。环评要求变电站事故油池</w:t>
            </w:r>
            <w:r>
              <w:rPr>
                <w:rFonts w:hint="default" w:ascii="Calibri" w:hAnsi="Calibri" w:cs="Calibri"/>
                <w:color w:val="auto"/>
                <w:kern w:val="0"/>
                <w:sz w:val="24"/>
                <w:szCs w:val="24"/>
                <w:lang w:val="en-US" w:eastAsia="zh-CN" w:bidi="ar-SA"/>
              </w:rPr>
              <w:t>、危废暂存间</w:t>
            </w:r>
            <w:r>
              <w:rPr>
                <w:rFonts w:hint="default" w:ascii="Calibri" w:hAnsi="Calibri" w:eastAsia="宋体" w:cs="Calibri"/>
                <w:color w:val="auto"/>
                <w:kern w:val="0"/>
                <w:sz w:val="24"/>
                <w:szCs w:val="24"/>
                <w:lang w:val="en-US" w:eastAsia="zh-CN" w:bidi="ar-SA"/>
              </w:rPr>
              <w:t>的基层防渗严格按照《危险废物贮存污染控制标准》（GB18597-20</w:t>
            </w:r>
            <w:r>
              <w:rPr>
                <w:rFonts w:hint="default" w:ascii="Calibri" w:hAnsi="Calibri" w:cs="Calibri"/>
                <w:color w:val="auto"/>
                <w:kern w:val="0"/>
                <w:sz w:val="24"/>
                <w:szCs w:val="24"/>
                <w:lang w:val="en-US" w:eastAsia="zh-CN" w:bidi="ar-SA"/>
              </w:rPr>
              <w:t>23</w:t>
            </w:r>
            <w:r>
              <w:rPr>
                <w:rFonts w:hint="default" w:ascii="Calibri" w:hAnsi="Calibri" w:eastAsia="宋体" w:cs="Calibri"/>
                <w:color w:val="auto"/>
                <w:kern w:val="0"/>
                <w:sz w:val="24"/>
                <w:szCs w:val="24"/>
                <w:lang w:val="en-US" w:eastAsia="zh-CN" w:bidi="ar-SA"/>
              </w:rPr>
              <w:t>）中的防渗要求进行施工，</w:t>
            </w:r>
            <w:r>
              <w:rPr>
                <w:rFonts w:hint="default" w:ascii="Calibri" w:hAnsi="Calibri" w:cs="Calibri"/>
                <w:color w:val="auto"/>
                <w:kern w:val="0"/>
                <w:sz w:val="24"/>
                <w:szCs w:val="24"/>
                <w:lang w:val="en-US" w:eastAsia="zh-CN" w:bidi="ar-SA"/>
              </w:rPr>
              <w:t>事故油池、危废暂存间</w:t>
            </w:r>
            <w:r>
              <w:rPr>
                <w:rFonts w:hint="default" w:ascii="Calibri" w:hAnsi="Calibri" w:eastAsia="宋体" w:cs="Calibri"/>
                <w:color w:val="auto"/>
                <w:kern w:val="0"/>
                <w:sz w:val="24"/>
                <w:szCs w:val="24"/>
                <w:lang w:val="en-US" w:eastAsia="zh-CN" w:bidi="ar-SA"/>
              </w:rPr>
              <w:t>应进行基础防渗，防渗层为至少1m厚黏土层</w:t>
            </w:r>
            <w:r>
              <w:rPr>
                <w:rFonts w:hint="eastAsia"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渗透系数不大于10</w:t>
            </w:r>
            <w:r>
              <w:rPr>
                <w:rFonts w:hint="eastAsia" w:ascii="Calibri" w:hAnsi="Calibri" w:cs="Calibri"/>
                <w:color w:val="auto"/>
                <w:sz w:val="21"/>
                <w:szCs w:val="21"/>
                <w:vertAlign w:val="superscript"/>
                <w:lang w:eastAsia="zh-CN"/>
              </w:rPr>
              <w:t>-</w:t>
            </w:r>
            <w:r>
              <w:rPr>
                <w:rFonts w:hint="default" w:ascii="Calibri" w:hAnsi="Calibri" w:cs="Calibri"/>
                <w:color w:val="auto"/>
                <w:kern w:val="0"/>
                <w:sz w:val="24"/>
                <w:szCs w:val="24"/>
                <w:vertAlign w:val="superscript"/>
                <w:lang w:val="en-US" w:eastAsia="zh-CN" w:bidi="ar-SA"/>
              </w:rPr>
              <w:t>7</w:t>
            </w:r>
            <w:r>
              <w:rPr>
                <w:rFonts w:hint="default" w:ascii="Calibri" w:hAnsi="Calibri" w:eastAsia="宋体" w:cs="Calibri"/>
                <w:color w:val="auto"/>
                <w:kern w:val="0"/>
                <w:sz w:val="24"/>
                <w:szCs w:val="24"/>
                <w:lang w:val="en-US" w:eastAsia="zh-CN" w:bidi="ar-SA"/>
              </w:rPr>
              <w:t>cm</w:t>
            </w:r>
            <w:r>
              <w:rPr>
                <w:rFonts w:hint="default"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s</w:t>
            </w:r>
            <w:r>
              <w:rPr>
                <w:rFonts w:hint="eastAsia"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，或至少2mm厚高密度聚乙烯膜等人工防渗材料</w:t>
            </w:r>
            <w:r>
              <w:rPr>
                <w:rFonts w:hint="eastAsia"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透系数不大于10</w:t>
            </w:r>
            <w:r>
              <w:rPr>
                <w:rFonts w:hint="eastAsia" w:ascii="Calibri" w:hAnsi="Calibri" w:cs="Calibri"/>
                <w:color w:val="auto"/>
                <w:sz w:val="21"/>
                <w:szCs w:val="21"/>
                <w:vertAlign w:val="superscript"/>
                <w:lang w:eastAsia="zh-CN"/>
              </w:rPr>
              <w:t>-</w:t>
            </w:r>
            <w:r>
              <w:rPr>
                <w:rFonts w:hint="default" w:ascii="Calibri" w:hAnsi="Calibri" w:eastAsia="宋体" w:cs="Calibri"/>
                <w:color w:val="auto"/>
                <w:kern w:val="0"/>
                <w:sz w:val="24"/>
                <w:szCs w:val="24"/>
                <w:vertAlign w:val="superscript"/>
                <w:lang w:val="en-US" w:eastAsia="zh-CN" w:bidi="ar-SA"/>
              </w:rPr>
              <w:t>10</w:t>
            </w:r>
            <w:r>
              <w:rPr>
                <w:rFonts w:hint="default" w:ascii="Calibri" w:hAnsi="Calibri" w:eastAsia="宋体" w:cs="Calibri"/>
                <w:color w:val="auto"/>
                <w:kern w:val="0"/>
                <w:sz w:val="24"/>
                <w:szCs w:val="24"/>
                <w:lang w:val="en-US" w:eastAsia="zh-CN" w:bidi="ar-SA"/>
              </w:rPr>
              <w:t>cm</w:t>
            </w:r>
            <w:r>
              <w:rPr>
                <w:rFonts w:hint="default"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s</w:t>
            </w:r>
            <w:r>
              <w:rPr>
                <w:rFonts w:hint="eastAsia"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。综上分析，项目涉及的事故油池有效容积及防渗措施均能满足环保要求；项目变电站设置的贮油设施合理、可行。</w:t>
            </w:r>
          </w:p>
          <w:p w14:paraId="469F4380">
            <w:pPr>
              <w:keepNext w:val="0"/>
              <w:keepLines w:val="0"/>
              <w:pageBreakBefore w:val="0"/>
              <w:widowControl/>
              <w:numPr>
                <w:ilvl w:val="0"/>
                <w:numId w:val="0"/>
              </w:numPr>
              <w:kinsoku/>
              <w:wordWrap/>
              <w:overflowPunct/>
              <w:topLinePunct w:val="0"/>
              <w:autoSpaceDE/>
              <w:autoSpaceDN/>
              <w:bidi w:val="0"/>
              <w:adjustRightInd/>
              <w:snapToGrid w:val="0"/>
              <w:spacing w:line="480" w:lineRule="exact"/>
              <w:ind w:left="0" w:leftChars="0" w:right="0" w:rightChars="0" w:firstLine="480" w:firstLineChars="200"/>
              <w:jc w:val="both"/>
              <w:textAlignment w:val="auto"/>
              <w:rPr>
                <w:rFonts w:hint="default" w:ascii="Calibri" w:hAnsi="Calibri" w:eastAsia="宋体" w:cs="Calibri"/>
                <w:color w:val="auto"/>
                <w:kern w:val="0"/>
                <w:sz w:val="24"/>
                <w:szCs w:val="24"/>
                <w:lang w:val="en-US" w:eastAsia="zh-CN" w:bidi="ar-SA"/>
              </w:rPr>
            </w:pPr>
            <w:r>
              <w:rPr>
                <w:rFonts w:hint="default" w:ascii="Calibri" w:hAnsi="Calibri" w:eastAsia="宋体" w:cs="Calibri"/>
                <w:color w:val="auto"/>
                <w:kern w:val="0"/>
                <w:sz w:val="24"/>
                <w:szCs w:val="24"/>
                <w:lang w:val="en-US" w:eastAsia="zh-CN" w:bidi="ar-SA"/>
              </w:rPr>
              <w:t>（</w:t>
            </w:r>
            <w:r>
              <w:rPr>
                <w:rFonts w:hint="default" w:ascii="Calibri" w:hAnsi="Calibri" w:cs="Calibri"/>
                <w:color w:val="auto"/>
                <w:kern w:val="0"/>
                <w:sz w:val="24"/>
                <w:szCs w:val="24"/>
                <w:lang w:val="en-US" w:eastAsia="zh-CN" w:bidi="ar-SA"/>
              </w:rPr>
              <w:t>2</w:t>
            </w:r>
            <w:r>
              <w:rPr>
                <w:rFonts w:hint="default" w:ascii="Calibri" w:hAnsi="Calibri" w:eastAsia="宋体" w:cs="Calibri"/>
                <w:color w:val="auto"/>
                <w:kern w:val="0"/>
                <w:sz w:val="24"/>
                <w:szCs w:val="24"/>
                <w:lang w:val="en-US" w:eastAsia="zh-CN" w:bidi="ar-SA"/>
              </w:rPr>
              <w:t>）贮存场所对环境影响分析</w:t>
            </w:r>
          </w:p>
          <w:p w14:paraId="3F5136EB">
            <w:pPr>
              <w:keepNext w:val="0"/>
              <w:keepLines w:val="0"/>
              <w:pageBreakBefore w:val="0"/>
              <w:widowControl/>
              <w:kinsoku/>
              <w:wordWrap/>
              <w:overflowPunct/>
              <w:topLinePunct w:val="0"/>
              <w:autoSpaceDE/>
              <w:autoSpaceDN/>
              <w:bidi w:val="0"/>
              <w:adjustRightInd/>
              <w:snapToGrid w:val="0"/>
              <w:spacing w:line="480" w:lineRule="exact"/>
              <w:ind w:right="0" w:firstLine="480" w:firstLineChars="200"/>
              <w:jc w:val="both"/>
              <w:textAlignment w:val="auto"/>
              <w:rPr>
                <w:rFonts w:hint="default" w:ascii="Calibri" w:hAnsi="Calibri" w:cs="Calibri"/>
                <w:color w:val="auto"/>
                <w:sz w:val="24"/>
              </w:rPr>
            </w:pPr>
            <w:r>
              <w:rPr>
                <w:rFonts w:hint="default" w:ascii="Calibri" w:hAnsi="Calibri" w:cs="Calibri"/>
                <w:color w:val="auto"/>
                <w:sz w:val="24"/>
                <w:lang w:val="en-US" w:eastAsia="zh-CN"/>
              </w:rPr>
              <w:t>为防止本项目事故状态下，有资质单位未能及时拉运危险废物，本项目新建</w:t>
            </w:r>
            <w:r>
              <w:rPr>
                <w:rFonts w:hint="eastAsia" w:ascii="Calibri" w:hAnsi="Calibri" w:cs="Calibri"/>
                <w:color w:val="auto"/>
                <w:kern w:val="0"/>
                <w:sz w:val="24"/>
                <w:szCs w:val="24"/>
                <w:lang w:val="en-US" w:eastAsia="zh-CN" w:bidi="ar-SA"/>
              </w:rPr>
              <w:t>1</w:t>
            </w:r>
            <w:r>
              <w:rPr>
                <w:rFonts w:hint="default" w:ascii="Calibri" w:hAnsi="Calibri" w:eastAsia="宋体" w:cs="Calibri"/>
                <w:color w:val="auto"/>
                <w:kern w:val="0"/>
                <w:sz w:val="24"/>
                <w:szCs w:val="24"/>
                <w:lang w:val="en-US" w:eastAsia="zh-CN" w:bidi="ar-SA"/>
              </w:rPr>
              <w:t>0m</w:t>
            </w:r>
            <w:r>
              <w:rPr>
                <w:rFonts w:hint="default" w:ascii="Calibri" w:hAnsi="Calibri" w:eastAsia="宋体" w:cs="Calibri"/>
                <w:color w:val="auto"/>
                <w:kern w:val="0"/>
                <w:sz w:val="24"/>
                <w:szCs w:val="24"/>
                <w:vertAlign w:val="superscript"/>
                <w:lang w:val="en-US" w:eastAsia="zh-CN" w:bidi="ar-SA"/>
              </w:rPr>
              <w:t>2</w:t>
            </w:r>
            <w:r>
              <w:rPr>
                <w:rFonts w:hint="default" w:ascii="Calibri" w:hAnsi="Calibri" w:cs="Calibri"/>
                <w:color w:val="auto"/>
                <w:sz w:val="24"/>
                <w:lang w:val="en-US" w:eastAsia="zh-CN"/>
              </w:rPr>
              <w:t>危险废物贮存库，</w:t>
            </w:r>
            <w:r>
              <w:rPr>
                <w:rFonts w:hint="default" w:ascii="Calibri" w:hAnsi="Calibri" w:eastAsia="宋体" w:cs="Calibri"/>
                <w:color w:val="auto"/>
                <w:kern w:val="0"/>
                <w:sz w:val="24"/>
                <w:szCs w:val="24"/>
                <w:vertAlign w:val="baseline"/>
                <w:lang w:val="en-US" w:eastAsia="zh-CN" w:bidi="ar-SA"/>
              </w:rPr>
              <w:t>最大临时贮存量约</w:t>
            </w:r>
            <w:r>
              <w:rPr>
                <w:rFonts w:hint="eastAsia" w:ascii="Calibri" w:hAnsi="Calibri" w:cs="Calibri"/>
                <w:color w:val="auto"/>
                <w:kern w:val="0"/>
                <w:sz w:val="24"/>
                <w:szCs w:val="24"/>
                <w:vertAlign w:val="baseline"/>
                <w:lang w:val="en-US" w:eastAsia="zh-CN" w:bidi="ar-SA"/>
              </w:rPr>
              <w:t>1</w:t>
            </w:r>
            <w:r>
              <w:rPr>
                <w:rFonts w:hint="default" w:ascii="Calibri" w:hAnsi="Calibri" w:eastAsia="宋体" w:cs="Calibri"/>
                <w:color w:val="auto"/>
                <w:kern w:val="0"/>
                <w:sz w:val="24"/>
                <w:szCs w:val="24"/>
                <w:vertAlign w:val="baseline"/>
                <w:lang w:val="en-US" w:eastAsia="zh-CN" w:bidi="ar-SA"/>
              </w:rPr>
              <w:t>t，本项目危险废物最不利的情况下为</w:t>
            </w:r>
            <w:r>
              <w:rPr>
                <w:rFonts w:hint="default" w:ascii="Calibri" w:hAnsi="Calibri" w:cs="Calibri"/>
                <w:color w:val="auto"/>
                <w:kern w:val="0"/>
                <w:sz w:val="24"/>
                <w:szCs w:val="24"/>
                <w:vertAlign w:val="baseline"/>
                <w:lang w:val="en-US" w:eastAsia="zh-CN" w:bidi="ar-SA"/>
              </w:rPr>
              <w:t>0.</w:t>
            </w:r>
            <w:r>
              <w:rPr>
                <w:rFonts w:hint="eastAsia" w:ascii="Calibri" w:hAnsi="Calibri" w:cs="Calibri"/>
                <w:color w:val="auto"/>
                <w:kern w:val="0"/>
                <w:sz w:val="24"/>
                <w:szCs w:val="24"/>
                <w:vertAlign w:val="baseline"/>
                <w:lang w:val="en-US" w:eastAsia="zh-CN" w:bidi="ar-SA"/>
              </w:rPr>
              <w:t>5</w:t>
            </w:r>
            <w:r>
              <w:rPr>
                <w:rFonts w:hint="default" w:ascii="Calibri" w:hAnsi="Calibri" w:eastAsia="宋体" w:cs="Calibri"/>
                <w:color w:val="auto"/>
                <w:kern w:val="0"/>
                <w:sz w:val="24"/>
                <w:szCs w:val="24"/>
                <w:vertAlign w:val="baseline"/>
                <w:lang w:val="en-US" w:eastAsia="zh-CN" w:bidi="ar-SA"/>
              </w:rPr>
              <w:t>t/a，</w:t>
            </w:r>
            <w:r>
              <w:rPr>
                <w:rFonts w:hint="default" w:ascii="Calibri" w:hAnsi="Calibri" w:eastAsia="宋体" w:cs="Calibri"/>
                <w:color w:val="auto"/>
                <w:kern w:val="0"/>
                <w:sz w:val="24"/>
                <w:szCs w:val="24"/>
                <w:lang w:val="en-US" w:eastAsia="zh-CN" w:bidi="ar-SA"/>
              </w:rPr>
              <w:t>因此，危险废物贮存间可满足本项目危险废物的贮存</w:t>
            </w:r>
            <w:r>
              <w:rPr>
                <w:rFonts w:hint="default" w:ascii="Calibri" w:hAnsi="Calibri" w:cs="Calibri"/>
                <w:color w:val="auto"/>
                <w:kern w:val="0"/>
                <w:sz w:val="24"/>
                <w:szCs w:val="24"/>
                <w:lang w:val="en-US" w:eastAsia="zh-CN" w:bidi="ar-SA"/>
              </w:rPr>
              <w:t>要求</w:t>
            </w:r>
            <w:r>
              <w:rPr>
                <w:rFonts w:hint="default" w:ascii="Calibri" w:hAnsi="Calibri" w:eastAsia="宋体" w:cs="Calibri"/>
                <w:color w:val="auto"/>
                <w:kern w:val="0"/>
                <w:sz w:val="24"/>
                <w:szCs w:val="24"/>
                <w:lang w:val="en-US" w:eastAsia="zh-CN" w:bidi="ar-SA"/>
              </w:rPr>
              <w:t>。环评要求变电站事故油池的基层防渗严格按照《危险废物贮存污染控制标准》（GB18597-20</w:t>
            </w:r>
            <w:r>
              <w:rPr>
                <w:rFonts w:hint="default" w:ascii="Calibri" w:hAnsi="Calibri" w:cs="Calibri"/>
                <w:color w:val="auto"/>
                <w:kern w:val="0"/>
                <w:sz w:val="24"/>
                <w:szCs w:val="24"/>
                <w:lang w:val="en-US" w:eastAsia="zh-CN" w:bidi="ar-SA"/>
              </w:rPr>
              <w:t>23</w:t>
            </w:r>
            <w:r>
              <w:rPr>
                <w:rFonts w:hint="default" w:ascii="Calibri" w:hAnsi="Calibri" w:eastAsia="宋体" w:cs="Calibri"/>
                <w:color w:val="auto"/>
                <w:kern w:val="0"/>
                <w:sz w:val="24"/>
                <w:szCs w:val="24"/>
                <w:lang w:val="en-US" w:eastAsia="zh-CN" w:bidi="ar-SA"/>
              </w:rPr>
              <w:t>）中的防渗要求进行施工，</w:t>
            </w:r>
            <w:r>
              <w:rPr>
                <w:rFonts w:hint="default" w:ascii="Calibri" w:hAnsi="Calibri" w:cs="Calibri"/>
                <w:color w:val="auto"/>
                <w:kern w:val="0"/>
                <w:sz w:val="24"/>
                <w:szCs w:val="24"/>
                <w:lang w:val="en-US" w:eastAsia="zh-CN" w:bidi="ar-SA"/>
              </w:rPr>
              <w:t>事故油池</w:t>
            </w:r>
            <w:r>
              <w:rPr>
                <w:rFonts w:hint="default" w:ascii="Calibri" w:hAnsi="Calibri" w:eastAsia="宋体" w:cs="Calibri"/>
                <w:color w:val="auto"/>
                <w:kern w:val="0"/>
                <w:sz w:val="24"/>
                <w:szCs w:val="24"/>
                <w:lang w:val="en-US" w:eastAsia="zh-CN" w:bidi="ar-SA"/>
              </w:rPr>
              <w:t>应进行基础防渗，防渗层为至少1m厚黏土层</w:t>
            </w:r>
            <w:r>
              <w:rPr>
                <w:rFonts w:hint="eastAsia"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渗透系数不大于10</w:t>
            </w:r>
            <w:r>
              <w:rPr>
                <w:rFonts w:hint="eastAsia" w:ascii="Calibri" w:hAnsi="Calibri" w:cs="Calibri"/>
                <w:color w:val="auto"/>
                <w:sz w:val="21"/>
                <w:szCs w:val="21"/>
                <w:vertAlign w:val="superscript"/>
                <w:lang w:eastAsia="zh-CN"/>
              </w:rPr>
              <w:t>-</w:t>
            </w:r>
            <w:r>
              <w:rPr>
                <w:rFonts w:hint="default" w:ascii="Calibri" w:hAnsi="Calibri" w:cs="Calibri"/>
                <w:color w:val="auto"/>
                <w:kern w:val="0"/>
                <w:sz w:val="24"/>
                <w:szCs w:val="24"/>
                <w:vertAlign w:val="superscript"/>
                <w:lang w:val="en-US" w:eastAsia="zh-CN" w:bidi="ar-SA"/>
              </w:rPr>
              <w:t>7</w:t>
            </w:r>
            <w:r>
              <w:rPr>
                <w:rFonts w:hint="default" w:ascii="Calibri" w:hAnsi="Calibri" w:eastAsia="宋体" w:cs="Calibri"/>
                <w:color w:val="auto"/>
                <w:kern w:val="0"/>
                <w:sz w:val="24"/>
                <w:szCs w:val="24"/>
                <w:lang w:val="en-US" w:eastAsia="zh-CN" w:bidi="ar-SA"/>
              </w:rPr>
              <w:t>cm</w:t>
            </w:r>
            <w:r>
              <w:rPr>
                <w:rFonts w:hint="default"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s</w:t>
            </w:r>
            <w:r>
              <w:rPr>
                <w:rFonts w:hint="eastAsia"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，或至少2mm厚高密度聚乙烯膜等人工防渗材料</w:t>
            </w:r>
            <w:r>
              <w:rPr>
                <w:rFonts w:hint="eastAsia"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透系数不大于10</w:t>
            </w:r>
            <w:r>
              <w:rPr>
                <w:rFonts w:hint="eastAsia" w:ascii="Calibri" w:hAnsi="Calibri" w:cs="Calibri"/>
                <w:color w:val="auto"/>
                <w:sz w:val="21"/>
                <w:szCs w:val="21"/>
                <w:vertAlign w:val="superscript"/>
                <w:lang w:eastAsia="zh-CN"/>
              </w:rPr>
              <w:t>-</w:t>
            </w:r>
            <w:r>
              <w:rPr>
                <w:rFonts w:hint="default" w:ascii="Calibri" w:hAnsi="Calibri" w:eastAsia="宋体" w:cs="Calibri"/>
                <w:color w:val="auto"/>
                <w:kern w:val="0"/>
                <w:sz w:val="24"/>
                <w:szCs w:val="24"/>
                <w:vertAlign w:val="superscript"/>
                <w:lang w:val="en-US" w:eastAsia="zh-CN" w:bidi="ar-SA"/>
              </w:rPr>
              <w:t>10</w:t>
            </w:r>
            <w:r>
              <w:rPr>
                <w:rFonts w:hint="default" w:ascii="Calibri" w:hAnsi="Calibri" w:eastAsia="宋体" w:cs="Calibri"/>
                <w:color w:val="auto"/>
                <w:kern w:val="0"/>
                <w:sz w:val="24"/>
                <w:szCs w:val="24"/>
                <w:lang w:val="en-US" w:eastAsia="zh-CN" w:bidi="ar-SA"/>
              </w:rPr>
              <w:t>cm</w:t>
            </w:r>
            <w:r>
              <w:rPr>
                <w:rFonts w:hint="default"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s</w:t>
            </w:r>
            <w:r>
              <w:rPr>
                <w:rFonts w:hint="eastAsia"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w:t>
            </w:r>
            <w:r>
              <w:rPr>
                <w:rFonts w:hint="default" w:ascii="Calibri" w:hAnsi="Calibri" w:cs="Calibri"/>
                <w:color w:val="auto"/>
                <w:sz w:val="24"/>
              </w:rPr>
              <w:t>综上所述，通过采取相应污染防治措施后，变电站的废变压器油对环境无不良影响。</w:t>
            </w:r>
          </w:p>
          <w:p w14:paraId="48CA5C67">
            <w:pPr>
              <w:keepNext w:val="0"/>
              <w:keepLines w:val="0"/>
              <w:pageBreakBefore w:val="0"/>
              <w:widowControl/>
              <w:kinsoku/>
              <w:wordWrap/>
              <w:overflowPunct/>
              <w:topLinePunct w:val="0"/>
              <w:autoSpaceDE/>
              <w:autoSpaceDN/>
              <w:bidi w:val="0"/>
              <w:adjustRightInd/>
              <w:snapToGrid w:val="0"/>
              <w:spacing w:line="480" w:lineRule="exact"/>
              <w:ind w:right="0" w:firstLine="480" w:firstLineChars="200"/>
              <w:jc w:val="both"/>
              <w:textAlignment w:val="auto"/>
              <w:rPr>
                <w:rFonts w:hint="default" w:ascii="Calibri" w:hAnsi="Calibri" w:eastAsia="宋体" w:cs="Calibri"/>
                <w:color w:val="auto"/>
                <w:kern w:val="0"/>
                <w:sz w:val="24"/>
                <w:szCs w:val="24"/>
                <w:lang w:val="en-US" w:eastAsia="zh-CN" w:bidi="ar-SA"/>
              </w:rPr>
            </w:pPr>
            <w:r>
              <w:rPr>
                <w:rFonts w:hint="default" w:ascii="Calibri" w:hAnsi="Calibri" w:eastAsia="宋体" w:cs="Calibri"/>
                <w:color w:val="auto"/>
                <w:kern w:val="0"/>
                <w:sz w:val="24"/>
                <w:szCs w:val="24"/>
                <w:lang w:val="en-US" w:eastAsia="zh-CN" w:bidi="ar-SA"/>
              </w:rPr>
              <w:t>项目</w:t>
            </w:r>
            <w:r>
              <w:rPr>
                <w:rFonts w:hint="default" w:ascii="Calibri" w:hAnsi="Calibri" w:cs="Calibri"/>
                <w:color w:val="auto"/>
                <w:kern w:val="0"/>
                <w:sz w:val="24"/>
                <w:szCs w:val="24"/>
                <w:lang w:val="en-US" w:eastAsia="zh-CN" w:bidi="ar-SA"/>
              </w:rPr>
              <w:t>使用事故油池、危险废物贮存库</w:t>
            </w:r>
            <w:r>
              <w:rPr>
                <w:rFonts w:hint="default" w:ascii="Calibri" w:hAnsi="Calibri" w:eastAsia="宋体" w:cs="Calibri"/>
                <w:color w:val="auto"/>
                <w:kern w:val="0"/>
                <w:sz w:val="24"/>
                <w:szCs w:val="24"/>
                <w:lang w:val="en-US" w:eastAsia="zh-CN" w:bidi="ar-SA"/>
              </w:rPr>
              <w:t>贮存危废，</w:t>
            </w:r>
            <w:r>
              <w:rPr>
                <w:rFonts w:hint="default" w:ascii="Calibri" w:hAnsi="Calibri" w:cs="Calibri"/>
                <w:color w:val="auto"/>
                <w:sz w:val="24"/>
              </w:rPr>
              <w:t>废变压器油</w:t>
            </w:r>
            <w:r>
              <w:rPr>
                <w:rFonts w:hint="default" w:ascii="Calibri" w:hAnsi="Calibri" w:eastAsia="宋体" w:cs="Calibri"/>
                <w:color w:val="auto"/>
                <w:kern w:val="0"/>
                <w:sz w:val="24"/>
                <w:szCs w:val="24"/>
                <w:lang w:val="en-US" w:eastAsia="zh-CN" w:bidi="ar-SA"/>
              </w:rPr>
              <w:t>理化性质稳定，做到</w:t>
            </w:r>
            <w:r>
              <w:rPr>
                <w:rFonts w:hint="default" w:ascii="Calibri" w:hAnsi="Calibri" w:cs="Calibri"/>
                <w:color w:val="auto"/>
                <w:kern w:val="0"/>
                <w:sz w:val="24"/>
                <w:szCs w:val="24"/>
                <w:lang w:val="en-US" w:eastAsia="zh-CN" w:bidi="ar-SA"/>
              </w:rPr>
              <w:t>事故油池</w:t>
            </w:r>
            <w:r>
              <w:rPr>
                <w:rFonts w:hint="default" w:ascii="Calibri" w:hAnsi="Calibri" w:eastAsia="宋体" w:cs="Calibri"/>
                <w:color w:val="auto"/>
                <w:kern w:val="0"/>
                <w:sz w:val="24"/>
                <w:szCs w:val="24"/>
                <w:lang w:val="en-US" w:eastAsia="zh-CN" w:bidi="ar-SA"/>
              </w:rPr>
              <w:t>的防渗、导流以及收集措施后，对周边环境影响较小。</w:t>
            </w:r>
          </w:p>
          <w:p w14:paraId="58028EA5">
            <w:pPr>
              <w:keepNext w:val="0"/>
              <w:keepLines w:val="0"/>
              <w:pageBreakBefore w:val="0"/>
              <w:widowControl/>
              <w:kinsoku/>
              <w:wordWrap/>
              <w:overflowPunct/>
              <w:topLinePunct w:val="0"/>
              <w:autoSpaceDE/>
              <w:autoSpaceDN/>
              <w:bidi w:val="0"/>
              <w:adjustRightInd/>
              <w:snapToGrid w:val="0"/>
              <w:spacing w:line="480" w:lineRule="exact"/>
              <w:ind w:left="0" w:leftChars="0" w:right="0" w:firstLine="482" w:firstLineChars="200"/>
              <w:jc w:val="both"/>
              <w:textAlignment w:val="auto"/>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4.</w:t>
            </w:r>
            <w:r>
              <w:rPr>
                <w:rFonts w:hint="eastAsia" w:ascii="宋体" w:hAnsi="宋体" w:cs="宋体"/>
                <w:b/>
                <w:bCs/>
                <w:color w:val="auto"/>
                <w:kern w:val="0"/>
                <w:sz w:val="24"/>
                <w:szCs w:val="24"/>
                <w:lang w:val="en-US" w:eastAsia="zh-CN" w:bidi="ar-SA"/>
              </w:rPr>
              <w:t>4.2</w:t>
            </w:r>
            <w:r>
              <w:rPr>
                <w:rFonts w:hint="eastAsia" w:ascii="宋体" w:hAnsi="宋体" w:eastAsia="宋体" w:cs="宋体"/>
                <w:b/>
                <w:bCs/>
                <w:color w:val="auto"/>
                <w:kern w:val="0"/>
                <w:sz w:val="24"/>
                <w:szCs w:val="24"/>
                <w:lang w:val="en-US" w:eastAsia="zh-CN" w:bidi="ar-SA"/>
              </w:rPr>
              <w:t>危险废物运输措施</w:t>
            </w:r>
          </w:p>
          <w:p w14:paraId="188FB8A3">
            <w:pPr>
              <w:keepNext w:val="0"/>
              <w:keepLines w:val="0"/>
              <w:pageBreakBefore w:val="0"/>
              <w:widowControl/>
              <w:kinsoku/>
              <w:wordWrap/>
              <w:overflowPunct/>
              <w:topLinePunct w:val="0"/>
              <w:autoSpaceDE/>
              <w:autoSpaceDN/>
              <w:bidi w:val="0"/>
              <w:adjustRightInd/>
              <w:snapToGrid w:val="0"/>
              <w:spacing w:line="480" w:lineRule="exact"/>
              <w:ind w:right="0" w:firstLine="480" w:firstLineChars="200"/>
              <w:jc w:val="both"/>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防止运输过程中危险废物的污染损害是防止危险废物污染损害的主要环节之一。在运输过程中，如果管理不当或未采取适当的污染防治和安全防护措施，则极易造成污染。我国每年都发生危险废物运输事故，并造成了严重的污染危害。因此，必须对危险废物的运输加以控制和管理。运输危险废物，必须同时符合两个要求，一是必须采取防止污染环境的措施，符合环境保护的要求，做到无害化的运输；二是必须将所运输的危险废物作为危险货物对待，遵守国家有关危险货物运输管理的规定，符合危险货物运输的安全防护要求，做到安全运输。具体的防治污染环境的措施有：</w:t>
            </w:r>
          </w:p>
          <w:p w14:paraId="290E054F">
            <w:pPr>
              <w:keepNext w:val="0"/>
              <w:keepLines w:val="0"/>
              <w:pageBreakBefore w:val="0"/>
              <w:widowControl/>
              <w:kinsoku/>
              <w:wordWrap/>
              <w:overflowPunct/>
              <w:topLinePunct w:val="0"/>
              <w:autoSpaceDE/>
              <w:autoSpaceDN/>
              <w:bidi w:val="0"/>
              <w:adjustRightInd/>
              <w:snapToGrid w:val="0"/>
              <w:spacing w:line="480" w:lineRule="exact"/>
              <w:ind w:right="0" w:firstLine="480" w:firstLineChars="200"/>
              <w:jc w:val="both"/>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①运输时应当采取密闭、遮盖等措施防止扬散；</w:t>
            </w:r>
          </w:p>
          <w:p w14:paraId="179DED86">
            <w:pPr>
              <w:keepNext w:val="0"/>
              <w:keepLines w:val="0"/>
              <w:pageBreakBefore w:val="0"/>
              <w:widowControl/>
              <w:kinsoku/>
              <w:wordWrap/>
              <w:overflowPunct/>
              <w:topLinePunct w:val="0"/>
              <w:autoSpaceDE/>
              <w:autoSpaceDN/>
              <w:bidi w:val="0"/>
              <w:adjustRightInd/>
              <w:snapToGrid w:val="0"/>
              <w:spacing w:line="480" w:lineRule="exact"/>
              <w:ind w:right="0" w:firstLine="480" w:firstLineChars="200"/>
              <w:jc w:val="both"/>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②对运输危险废物的设施和设备应当加强管理和维护，保证其正常运行和使用；</w:t>
            </w:r>
          </w:p>
          <w:p w14:paraId="670697F5">
            <w:pPr>
              <w:keepNext w:val="0"/>
              <w:keepLines w:val="0"/>
              <w:pageBreakBefore w:val="0"/>
              <w:widowControl/>
              <w:kinsoku/>
              <w:wordWrap/>
              <w:overflowPunct/>
              <w:topLinePunct w:val="0"/>
              <w:autoSpaceDE/>
              <w:autoSpaceDN/>
              <w:bidi w:val="0"/>
              <w:adjustRightInd/>
              <w:snapToGrid w:val="0"/>
              <w:spacing w:line="480" w:lineRule="exact"/>
              <w:ind w:right="0" w:firstLine="480" w:firstLineChars="200"/>
              <w:jc w:val="both"/>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③不能混合运输性质不相容而又未经安全性处置的危险废物；</w:t>
            </w:r>
          </w:p>
          <w:p w14:paraId="3A35758D">
            <w:pPr>
              <w:keepNext w:val="0"/>
              <w:keepLines w:val="0"/>
              <w:pageBreakBefore w:val="0"/>
              <w:widowControl/>
              <w:kinsoku/>
              <w:wordWrap/>
              <w:overflowPunct/>
              <w:topLinePunct w:val="0"/>
              <w:autoSpaceDE/>
              <w:autoSpaceDN/>
              <w:bidi w:val="0"/>
              <w:adjustRightInd/>
              <w:snapToGrid w:val="0"/>
              <w:spacing w:line="480" w:lineRule="exact"/>
              <w:ind w:right="0" w:firstLine="480" w:firstLineChars="200"/>
              <w:jc w:val="both"/>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④禁止将危险废物与旅客在同一运输工具上载运；</w:t>
            </w:r>
          </w:p>
          <w:p w14:paraId="601406CE">
            <w:pPr>
              <w:keepNext w:val="0"/>
              <w:keepLines w:val="0"/>
              <w:pageBreakBefore w:val="0"/>
              <w:widowControl/>
              <w:kinsoku/>
              <w:wordWrap/>
              <w:overflowPunct/>
              <w:topLinePunct w:val="0"/>
              <w:autoSpaceDE/>
              <w:autoSpaceDN/>
              <w:bidi w:val="0"/>
              <w:adjustRightInd/>
              <w:snapToGrid w:val="0"/>
              <w:spacing w:line="480" w:lineRule="exact"/>
              <w:ind w:right="0" w:firstLine="480" w:firstLineChars="200"/>
              <w:jc w:val="both"/>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⑤运输危险废物的设施和设备在转作他用时，必须经过消除污染的处理，方可使用；</w:t>
            </w:r>
          </w:p>
          <w:p w14:paraId="1CCE37D1">
            <w:pPr>
              <w:keepNext w:val="0"/>
              <w:keepLines w:val="0"/>
              <w:pageBreakBefore w:val="0"/>
              <w:widowControl/>
              <w:kinsoku/>
              <w:wordWrap/>
              <w:overflowPunct/>
              <w:topLinePunct w:val="0"/>
              <w:autoSpaceDE/>
              <w:autoSpaceDN/>
              <w:bidi w:val="0"/>
              <w:adjustRightInd/>
              <w:snapToGrid w:val="0"/>
              <w:spacing w:line="480" w:lineRule="exact"/>
              <w:ind w:right="0" w:firstLine="480" w:firstLineChars="200"/>
              <w:jc w:val="both"/>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⑥运输危险废物的人员，应当接受专业培训；经考核合格后，方可从事运输危险废物的工作；</w:t>
            </w:r>
          </w:p>
          <w:p w14:paraId="236F89B3">
            <w:pPr>
              <w:keepNext w:val="0"/>
              <w:keepLines w:val="0"/>
              <w:pageBreakBefore w:val="0"/>
              <w:widowControl/>
              <w:kinsoku/>
              <w:wordWrap/>
              <w:overflowPunct/>
              <w:topLinePunct w:val="0"/>
              <w:autoSpaceDE/>
              <w:autoSpaceDN/>
              <w:bidi w:val="0"/>
              <w:adjustRightInd/>
              <w:snapToGrid w:val="0"/>
              <w:spacing w:line="480" w:lineRule="exact"/>
              <w:ind w:right="0" w:firstLine="480" w:firstLineChars="200"/>
              <w:jc w:val="both"/>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⑦运输危险废物的单位应当制定在发生意外事故时采取的应急措施和防范措施；</w:t>
            </w:r>
          </w:p>
          <w:p w14:paraId="63343F0D">
            <w:pPr>
              <w:keepNext w:val="0"/>
              <w:keepLines w:val="0"/>
              <w:pageBreakBefore w:val="0"/>
              <w:widowControl/>
              <w:kinsoku/>
              <w:wordWrap/>
              <w:overflowPunct/>
              <w:topLinePunct w:val="0"/>
              <w:autoSpaceDE/>
              <w:autoSpaceDN/>
              <w:bidi w:val="0"/>
              <w:adjustRightInd/>
              <w:snapToGrid w:val="0"/>
              <w:spacing w:line="480" w:lineRule="exact"/>
              <w:ind w:right="0" w:firstLine="480" w:firstLineChars="200"/>
              <w:jc w:val="both"/>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⑧运输时，发生突发性事故必须立即采取措施消除或者减轻对环境的污染危害，及时通报给附近的单位和居民，并向事故发生地县级以上人民政府环境保护行政主管部门和有关部门报告，接受调查处理。</w:t>
            </w:r>
          </w:p>
          <w:p w14:paraId="2AB9B4C2">
            <w:pPr>
              <w:pStyle w:val="6"/>
              <w:spacing w:line="520" w:lineRule="exact"/>
              <w:ind w:left="0" w:firstLine="482" w:firstLineChars="200"/>
              <w:rPr>
                <w:rFonts w:hint="default"/>
                <w:b/>
                <w:bCs w:val="0"/>
                <w:color w:val="auto"/>
                <w:highlight w:val="none"/>
                <w:lang w:val="en-US" w:eastAsia="zh-CN" w:bidi="ar-SA"/>
              </w:rPr>
            </w:pPr>
            <w:r>
              <w:rPr>
                <w:rFonts w:hint="eastAsia"/>
                <w:b/>
                <w:bCs w:val="0"/>
                <w:color w:val="auto"/>
                <w:highlight w:val="none"/>
                <w:lang w:val="en-US" w:eastAsia="zh-CN" w:bidi="ar-SA"/>
              </w:rPr>
              <w:t>5.生活污水</w:t>
            </w:r>
          </w:p>
          <w:p w14:paraId="2E34A79F">
            <w:pPr>
              <w:keepNext w:val="0"/>
              <w:keepLines w:val="0"/>
              <w:pageBreakBefore w:val="0"/>
              <w:widowControl/>
              <w:kinsoku/>
              <w:wordWrap/>
              <w:overflowPunct/>
              <w:topLinePunct w:val="0"/>
              <w:autoSpaceDE/>
              <w:autoSpaceDN/>
              <w:bidi w:val="0"/>
              <w:adjustRightInd/>
              <w:snapToGrid w:val="0"/>
              <w:spacing w:line="520" w:lineRule="exact"/>
              <w:ind w:left="0" w:leftChars="0" w:right="0" w:firstLine="480" w:firstLineChars="200"/>
              <w:jc w:val="both"/>
              <w:textAlignment w:val="auto"/>
              <w:rPr>
                <w:rFonts w:hint="default" w:ascii="Times New Roman" w:hAnsi="Times New Roman" w:eastAsia="宋体" w:cs="Times New Roman"/>
                <w:color w:val="auto"/>
                <w:sz w:val="24"/>
                <w:szCs w:val="24"/>
              </w:rPr>
            </w:pPr>
            <w:r>
              <w:rPr>
                <w:rFonts w:hint="eastAsia" w:cs="Times New Roman"/>
                <w:color w:val="auto"/>
                <w:sz w:val="24"/>
                <w:highlight w:val="none"/>
                <w:lang w:val="en-US" w:eastAsia="zh-CN"/>
              </w:rPr>
              <w:t>项目运营期变电站为无人值守站，</w:t>
            </w:r>
            <w:r>
              <w:rPr>
                <w:rFonts w:hint="default" w:ascii="Times New Roman" w:hAnsi="Times New Roman" w:eastAsia="宋体" w:cs="Times New Roman"/>
                <w:color w:val="auto"/>
                <w:sz w:val="24"/>
                <w:highlight w:val="none"/>
                <w:lang w:val="en-US" w:eastAsia="zh-CN"/>
              </w:rPr>
              <w:t>不设固定劳动人员，检修人员定期巡检，不在</w:t>
            </w:r>
            <w:r>
              <w:rPr>
                <w:rFonts w:hint="eastAsia" w:cs="Times New Roman"/>
                <w:color w:val="auto"/>
                <w:sz w:val="24"/>
                <w:highlight w:val="none"/>
                <w:lang w:val="en-US" w:eastAsia="zh-CN"/>
              </w:rPr>
              <w:t>变电站食宿</w:t>
            </w:r>
            <w:r>
              <w:rPr>
                <w:rFonts w:hint="default" w:ascii="Times New Roman" w:hAnsi="Times New Roman" w:eastAsia="宋体" w:cs="Times New Roman"/>
                <w:color w:val="auto"/>
                <w:sz w:val="24"/>
                <w:highlight w:val="none"/>
                <w:lang w:val="en-US" w:eastAsia="zh-CN"/>
              </w:rPr>
              <w:t>，无生活</w:t>
            </w:r>
            <w:r>
              <w:rPr>
                <w:rFonts w:hint="eastAsia" w:cs="Times New Roman"/>
                <w:color w:val="auto"/>
                <w:sz w:val="24"/>
                <w:highlight w:val="none"/>
                <w:lang w:val="en-US" w:eastAsia="zh-CN"/>
              </w:rPr>
              <w:t>污水</w:t>
            </w:r>
            <w:r>
              <w:rPr>
                <w:rFonts w:hint="default" w:ascii="Times New Roman" w:hAnsi="Times New Roman" w:eastAsia="宋体" w:cs="Times New Roman"/>
                <w:color w:val="auto"/>
                <w:sz w:val="24"/>
                <w:highlight w:val="none"/>
                <w:lang w:val="en-US" w:eastAsia="zh-CN"/>
              </w:rPr>
              <w:t>产生。</w:t>
            </w:r>
          </w:p>
          <w:p w14:paraId="06071506">
            <w:pPr>
              <w:keepNext w:val="0"/>
              <w:keepLines w:val="0"/>
              <w:pageBreakBefore w:val="0"/>
              <w:widowControl/>
              <w:kinsoku/>
              <w:wordWrap/>
              <w:overflowPunct/>
              <w:topLinePunct w:val="0"/>
              <w:autoSpaceDE/>
              <w:autoSpaceDN/>
              <w:bidi w:val="0"/>
              <w:adjustRightInd/>
              <w:snapToGrid w:val="0"/>
              <w:spacing w:line="480" w:lineRule="exact"/>
              <w:ind w:left="0" w:leftChars="0" w:right="0" w:firstLine="482" w:firstLineChars="200"/>
              <w:jc w:val="both"/>
              <w:textAlignment w:val="auto"/>
              <w:rPr>
                <w:rFonts w:hint="default" w:ascii="Calibri" w:hAnsi="Calibri" w:eastAsia="宋体" w:cs="Calibri"/>
                <w:b/>
                <w:bCs/>
                <w:color w:val="auto"/>
                <w:kern w:val="0"/>
                <w:sz w:val="24"/>
                <w:szCs w:val="24"/>
                <w:lang w:val="en-US" w:eastAsia="zh-CN" w:bidi="ar-SA"/>
              </w:rPr>
            </w:pPr>
            <w:r>
              <w:rPr>
                <w:rFonts w:hint="default" w:ascii="Calibri" w:hAnsi="Calibri" w:cs="Calibri"/>
                <w:b/>
                <w:bCs/>
                <w:color w:val="auto"/>
                <w:kern w:val="0"/>
                <w:sz w:val="24"/>
                <w:szCs w:val="24"/>
                <w:lang w:val="en-US" w:eastAsia="zh-CN" w:bidi="ar-SA"/>
              </w:rPr>
              <w:t>6</w:t>
            </w:r>
            <w:r>
              <w:rPr>
                <w:rFonts w:hint="default" w:ascii="Calibri" w:hAnsi="Calibri" w:eastAsia="宋体" w:cs="Calibri"/>
                <w:b/>
                <w:bCs/>
                <w:color w:val="auto"/>
                <w:kern w:val="0"/>
                <w:sz w:val="24"/>
                <w:szCs w:val="24"/>
                <w:lang w:val="en-US" w:eastAsia="zh-CN" w:bidi="ar-SA"/>
              </w:rPr>
              <w:t>.地下水、土壤环境影响分析</w:t>
            </w:r>
          </w:p>
          <w:p w14:paraId="4246279A">
            <w:pPr>
              <w:keepNext w:val="0"/>
              <w:keepLines w:val="0"/>
              <w:pageBreakBefore w:val="0"/>
              <w:widowControl/>
              <w:kinsoku/>
              <w:wordWrap/>
              <w:overflowPunct/>
              <w:topLinePunct w:val="0"/>
              <w:autoSpaceDE/>
              <w:autoSpaceDN/>
              <w:bidi w:val="0"/>
              <w:adjustRightInd/>
              <w:snapToGrid w:val="0"/>
              <w:spacing w:line="480" w:lineRule="exact"/>
              <w:ind w:right="0" w:firstLine="480" w:firstLineChars="200"/>
              <w:jc w:val="both"/>
              <w:textAlignment w:val="auto"/>
              <w:rPr>
                <w:rFonts w:hint="default" w:ascii="Calibri" w:hAnsi="Calibri" w:eastAsia="宋体" w:cs="Calibri"/>
                <w:color w:val="auto"/>
                <w:kern w:val="0"/>
                <w:sz w:val="24"/>
                <w:szCs w:val="24"/>
                <w:lang w:val="en-US" w:eastAsia="zh-CN" w:bidi="ar-SA"/>
              </w:rPr>
            </w:pPr>
            <w:r>
              <w:rPr>
                <w:rFonts w:hint="default" w:ascii="Calibri" w:hAnsi="Calibri" w:eastAsia="宋体" w:cs="Calibri"/>
                <w:color w:val="auto"/>
                <w:kern w:val="0"/>
                <w:sz w:val="24"/>
                <w:szCs w:val="24"/>
                <w:lang w:val="en-US" w:eastAsia="zh-CN" w:bidi="ar-SA"/>
              </w:rPr>
              <w:t>建设单位对变电站事故油池及</w:t>
            </w:r>
            <w:r>
              <w:rPr>
                <w:rFonts w:hint="default" w:ascii="Calibri" w:hAnsi="Calibri" w:cs="Calibri"/>
                <w:color w:val="auto"/>
                <w:kern w:val="0"/>
                <w:sz w:val="24"/>
                <w:szCs w:val="24"/>
                <w:lang w:val="en-US" w:eastAsia="zh-CN" w:bidi="ar-SA"/>
              </w:rPr>
              <w:t>危险废物贮存库</w:t>
            </w:r>
            <w:r>
              <w:rPr>
                <w:rFonts w:hint="default" w:ascii="Calibri" w:hAnsi="Calibri" w:eastAsia="宋体" w:cs="Calibri"/>
                <w:color w:val="auto"/>
                <w:kern w:val="0"/>
                <w:sz w:val="24"/>
                <w:szCs w:val="24"/>
                <w:lang w:val="en-US" w:eastAsia="zh-CN" w:bidi="ar-SA"/>
              </w:rPr>
              <w:t>的防渗严格按照《危险废物贮存污染控制标准》（GB18597-20</w:t>
            </w:r>
            <w:r>
              <w:rPr>
                <w:rFonts w:hint="default" w:ascii="Calibri" w:hAnsi="Calibri" w:cs="Calibri"/>
                <w:color w:val="auto"/>
                <w:kern w:val="0"/>
                <w:sz w:val="24"/>
                <w:szCs w:val="24"/>
                <w:lang w:val="en-US" w:eastAsia="zh-CN" w:bidi="ar-SA"/>
              </w:rPr>
              <w:t>23</w:t>
            </w:r>
            <w:r>
              <w:rPr>
                <w:rFonts w:hint="default" w:ascii="Calibri" w:hAnsi="Calibri" w:eastAsia="宋体" w:cs="Calibri"/>
                <w:color w:val="auto"/>
                <w:kern w:val="0"/>
                <w:sz w:val="24"/>
                <w:szCs w:val="24"/>
                <w:lang w:val="en-US" w:eastAsia="zh-CN" w:bidi="ar-SA"/>
              </w:rPr>
              <w:t>）中的防渗要求进行施工，</w:t>
            </w:r>
            <w:r>
              <w:rPr>
                <w:rFonts w:hint="default" w:ascii="Calibri" w:hAnsi="Calibri" w:cs="Calibri"/>
                <w:color w:val="auto"/>
                <w:kern w:val="0"/>
                <w:sz w:val="24"/>
                <w:szCs w:val="24"/>
                <w:lang w:val="en-US" w:eastAsia="zh-CN" w:bidi="ar-SA"/>
              </w:rPr>
              <w:t>事故油池</w:t>
            </w:r>
            <w:r>
              <w:rPr>
                <w:rFonts w:hint="default" w:ascii="Calibri" w:hAnsi="Calibri" w:eastAsia="宋体" w:cs="Calibri"/>
                <w:color w:val="auto"/>
                <w:kern w:val="0"/>
                <w:sz w:val="24"/>
                <w:szCs w:val="24"/>
                <w:lang w:val="en-US" w:eastAsia="zh-CN" w:bidi="ar-SA"/>
              </w:rPr>
              <w:t>应进行基础防渗，防渗层为至少1m厚黏土层</w:t>
            </w:r>
            <w:r>
              <w:rPr>
                <w:rFonts w:hint="eastAsia"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渗透系数不大于10</w:t>
            </w:r>
            <w:r>
              <w:rPr>
                <w:rFonts w:hint="eastAsia" w:ascii="Calibri" w:hAnsi="Calibri" w:cs="Calibri"/>
                <w:color w:val="auto"/>
                <w:sz w:val="21"/>
                <w:szCs w:val="21"/>
                <w:vertAlign w:val="superscript"/>
                <w:lang w:eastAsia="zh-CN"/>
              </w:rPr>
              <w:t>-</w:t>
            </w:r>
            <w:r>
              <w:rPr>
                <w:rFonts w:hint="default" w:ascii="Calibri" w:hAnsi="Calibri" w:cs="Calibri"/>
                <w:color w:val="auto"/>
                <w:kern w:val="0"/>
                <w:sz w:val="24"/>
                <w:szCs w:val="24"/>
                <w:vertAlign w:val="superscript"/>
                <w:lang w:val="en-US" w:eastAsia="zh-CN" w:bidi="ar-SA"/>
              </w:rPr>
              <w:t>7</w:t>
            </w:r>
            <w:r>
              <w:rPr>
                <w:rFonts w:hint="default" w:ascii="Calibri" w:hAnsi="Calibri" w:eastAsia="宋体" w:cs="Calibri"/>
                <w:color w:val="auto"/>
                <w:kern w:val="0"/>
                <w:sz w:val="24"/>
                <w:szCs w:val="24"/>
                <w:lang w:val="en-US" w:eastAsia="zh-CN" w:bidi="ar-SA"/>
              </w:rPr>
              <w:t>cm</w:t>
            </w:r>
            <w:r>
              <w:rPr>
                <w:rFonts w:hint="default"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s</w:t>
            </w:r>
            <w:r>
              <w:rPr>
                <w:rFonts w:hint="eastAsia"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，或至少2mm厚高密度聚乙烯膜等人工防渗材料</w:t>
            </w:r>
            <w:r>
              <w:rPr>
                <w:rFonts w:hint="eastAsia"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透系数不大于10</w:t>
            </w:r>
            <w:r>
              <w:rPr>
                <w:rFonts w:hint="eastAsia" w:ascii="Calibri" w:hAnsi="Calibri" w:cs="Calibri"/>
                <w:color w:val="auto"/>
                <w:sz w:val="21"/>
                <w:szCs w:val="21"/>
                <w:vertAlign w:val="superscript"/>
                <w:lang w:eastAsia="zh-CN"/>
              </w:rPr>
              <w:t>-</w:t>
            </w:r>
            <w:r>
              <w:rPr>
                <w:rFonts w:hint="default" w:ascii="Calibri" w:hAnsi="Calibri" w:eastAsia="宋体" w:cs="Calibri"/>
                <w:color w:val="auto"/>
                <w:kern w:val="0"/>
                <w:sz w:val="24"/>
                <w:szCs w:val="24"/>
                <w:vertAlign w:val="superscript"/>
                <w:lang w:val="en-US" w:eastAsia="zh-CN" w:bidi="ar-SA"/>
              </w:rPr>
              <w:t>10</w:t>
            </w:r>
            <w:r>
              <w:rPr>
                <w:rFonts w:hint="default" w:ascii="Calibri" w:hAnsi="Calibri" w:eastAsia="宋体" w:cs="Calibri"/>
                <w:color w:val="auto"/>
                <w:kern w:val="0"/>
                <w:sz w:val="24"/>
                <w:szCs w:val="24"/>
                <w:lang w:val="en-US" w:eastAsia="zh-CN" w:bidi="ar-SA"/>
              </w:rPr>
              <w:t>cm</w:t>
            </w:r>
            <w:r>
              <w:rPr>
                <w:rFonts w:hint="default"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s</w:t>
            </w:r>
            <w:r>
              <w:rPr>
                <w:rFonts w:hint="eastAsia"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。采取上述防渗措施后危险废物正常情况下不会直接下渗入地面，可杜绝地下水、土壤的污染途径。</w:t>
            </w:r>
          </w:p>
          <w:p w14:paraId="7FDD3ADE">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Calibri" w:hAnsi="Calibri" w:eastAsia="宋体" w:cs="Calibri"/>
                <w:b/>
                <w:bCs/>
                <w:color w:val="auto"/>
                <w:sz w:val="24"/>
                <w:szCs w:val="24"/>
              </w:rPr>
            </w:pPr>
            <w:r>
              <w:rPr>
                <w:rFonts w:hint="default" w:ascii="Calibri" w:hAnsi="Calibri" w:cs="Calibri"/>
                <w:b/>
                <w:bCs/>
                <w:color w:val="auto"/>
                <w:sz w:val="24"/>
                <w:szCs w:val="24"/>
                <w:lang w:val="en-US" w:eastAsia="zh-CN"/>
              </w:rPr>
              <w:t>7</w:t>
            </w:r>
            <w:r>
              <w:rPr>
                <w:rFonts w:hint="default" w:ascii="Calibri" w:hAnsi="Calibri" w:eastAsia="宋体" w:cs="Calibri"/>
                <w:b/>
                <w:bCs/>
                <w:color w:val="auto"/>
                <w:sz w:val="24"/>
                <w:szCs w:val="24"/>
                <w:lang w:val="en-US" w:eastAsia="zh-CN"/>
              </w:rPr>
              <w:t xml:space="preserve"> </w:t>
            </w:r>
            <w:r>
              <w:rPr>
                <w:rFonts w:hint="default" w:ascii="Calibri" w:hAnsi="Calibri" w:eastAsia="宋体" w:cs="Calibri"/>
                <w:b/>
                <w:bCs/>
                <w:color w:val="auto"/>
                <w:sz w:val="24"/>
                <w:szCs w:val="24"/>
              </w:rPr>
              <w:t>环境风险分析</w:t>
            </w:r>
          </w:p>
          <w:p w14:paraId="2D0AB2E8">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Calibri" w:hAnsi="Calibri" w:cs="Calibri"/>
                <w:color w:val="auto"/>
              </w:rPr>
            </w:pPr>
            <w:r>
              <w:rPr>
                <w:rFonts w:hint="default" w:ascii="Calibri" w:hAnsi="Calibri" w:cs="Calibri"/>
                <w:b/>
                <w:bCs/>
                <w:color w:val="auto"/>
                <w:sz w:val="24"/>
                <w:szCs w:val="24"/>
                <w:lang w:val="en-US" w:eastAsia="zh-CN"/>
              </w:rPr>
              <w:t>7</w:t>
            </w:r>
            <w:r>
              <w:rPr>
                <w:rFonts w:hint="default" w:ascii="Calibri" w:hAnsi="Calibri" w:eastAsia="宋体" w:cs="Calibri"/>
                <w:b/>
                <w:bCs/>
                <w:color w:val="auto"/>
                <w:sz w:val="24"/>
                <w:szCs w:val="24"/>
              </w:rPr>
              <w:t>.1</w:t>
            </w:r>
            <w:r>
              <w:rPr>
                <w:rFonts w:hint="default" w:ascii="Calibri" w:hAnsi="Calibri" w:eastAsia="宋体" w:cs="Calibri"/>
                <w:b/>
                <w:bCs/>
                <w:color w:val="auto"/>
                <w:sz w:val="24"/>
                <w:szCs w:val="24"/>
                <w:lang w:val="en-US" w:eastAsia="zh-CN"/>
              </w:rPr>
              <w:t xml:space="preserve"> </w:t>
            </w:r>
            <w:r>
              <w:rPr>
                <w:rFonts w:hint="default" w:ascii="Calibri" w:hAnsi="Calibri" w:eastAsia="宋体" w:cs="Calibri"/>
                <w:b/>
                <w:bCs/>
                <w:color w:val="auto"/>
                <w:sz w:val="24"/>
                <w:szCs w:val="24"/>
              </w:rPr>
              <w:t>环境风险识别</w:t>
            </w:r>
          </w:p>
          <w:p w14:paraId="4EE1BE5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Calibri" w:hAnsi="Calibri" w:eastAsia="宋体" w:cs="Calibri"/>
                <w:color w:val="auto"/>
                <w:sz w:val="24"/>
                <w:szCs w:val="24"/>
              </w:rPr>
            </w:pPr>
            <w:r>
              <w:rPr>
                <w:rFonts w:hint="default" w:ascii="Calibri" w:hAnsi="Calibri" w:eastAsia="宋体" w:cs="Calibri"/>
                <w:color w:val="auto"/>
                <w:sz w:val="24"/>
                <w:szCs w:val="24"/>
              </w:rPr>
              <w:t>风险调查110KV变电站不属于工业生产类项目，根据</w:t>
            </w:r>
            <w:r>
              <w:rPr>
                <w:rFonts w:hint="default" w:ascii="Calibri" w:hAnsi="Calibri" w:cs="Calibri"/>
                <w:color w:val="auto"/>
                <w:sz w:val="24"/>
                <w:szCs w:val="24"/>
                <w:lang w:eastAsia="zh-CN"/>
              </w:rPr>
              <w:t>《</w:t>
            </w:r>
            <w:r>
              <w:rPr>
                <w:rFonts w:hint="default" w:ascii="Calibri" w:hAnsi="Calibri" w:eastAsia="宋体" w:cs="Calibri"/>
                <w:color w:val="auto"/>
                <w:sz w:val="24"/>
                <w:szCs w:val="24"/>
              </w:rPr>
              <w:t>建设项目环境风险评价技术导则</w:t>
            </w:r>
            <w:r>
              <w:rPr>
                <w:rFonts w:hint="default" w:ascii="Calibri" w:hAnsi="Calibri" w:cs="Calibri"/>
                <w:color w:val="auto"/>
                <w:sz w:val="24"/>
                <w:szCs w:val="24"/>
                <w:lang w:eastAsia="zh-CN"/>
              </w:rPr>
              <w:t>》（</w:t>
            </w:r>
            <w:r>
              <w:rPr>
                <w:rFonts w:hint="default" w:ascii="Calibri" w:hAnsi="Calibri" w:eastAsia="宋体" w:cs="Calibri"/>
                <w:color w:val="auto"/>
                <w:sz w:val="24"/>
                <w:szCs w:val="24"/>
              </w:rPr>
              <w:t>HJ 169—2018</w:t>
            </w:r>
            <w:r>
              <w:rPr>
                <w:rFonts w:hint="default" w:ascii="Calibri" w:hAnsi="Calibri" w:cs="Calibri"/>
                <w:color w:val="auto"/>
                <w:sz w:val="24"/>
                <w:szCs w:val="24"/>
                <w:lang w:eastAsia="zh-CN"/>
              </w:rPr>
              <w:t>）</w:t>
            </w:r>
            <w:r>
              <w:rPr>
                <w:rFonts w:hint="default" w:ascii="Calibri" w:hAnsi="Calibri" w:eastAsia="宋体" w:cs="Calibri"/>
                <w:color w:val="auto"/>
                <w:sz w:val="24"/>
                <w:szCs w:val="24"/>
              </w:rPr>
              <w:t>运营期环境风险主要来源于变电站变压器检修和事故状态下产生的</w:t>
            </w:r>
            <w:r>
              <w:rPr>
                <w:rFonts w:hint="default" w:ascii="Calibri" w:hAnsi="Calibri" w:cs="Calibri"/>
                <w:color w:val="auto"/>
                <w:sz w:val="24"/>
                <w:szCs w:val="24"/>
                <w:lang w:val="en-US" w:eastAsia="zh-CN"/>
              </w:rPr>
              <w:t>废</w:t>
            </w:r>
            <w:r>
              <w:rPr>
                <w:rFonts w:hint="default" w:ascii="Calibri" w:hAnsi="Calibri" w:eastAsia="宋体" w:cs="Calibri"/>
                <w:color w:val="auto"/>
                <w:sz w:val="24"/>
                <w:szCs w:val="24"/>
              </w:rPr>
              <w:t>变压器废油。</w:t>
            </w:r>
          </w:p>
          <w:p w14:paraId="2E50484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Calibri" w:hAnsi="Calibri" w:eastAsia="宋体" w:cs="Calibri"/>
                <w:b/>
                <w:bCs/>
                <w:color w:val="auto"/>
                <w:sz w:val="24"/>
                <w:szCs w:val="24"/>
              </w:rPr>
            </w:pPr>
            <w:r>
              <w:rPr>
                <w:rFonts w:hint="default" w:ascii="Calibri" w:hAnsi="Calibri" w:eastAsia="宋体" w:cs="Calibri"/>
                <w:b/>
                <w:bCs/>
                <w:color w:val="auto"/>
                <w:sz w:val="24"/>
                <w:szCs w:val="24"/>
              </w:rPr>
              <w:t>表</w:t>
            </w:r>
            <w:r>
              <w:rPr>
                <w:rFonts w:hint="default" w:ascii="Calibri" w:hAnsi="Calibri" w:eastAsia="宋体" w:cs="Calibri"/>
                <w:b/>
                <w:bCs/>
                <w:color w:val="auto"/>
                <w:sz w:val="24"/>
                <w:szCs w:val="24"/>
                <w:lang w:val="en-US" w:eastAsia="zh-CN"/>
              </w:rPr>
              <w:t>4-</w:t>
            </w:r>
            <w:r>
              <w:rPr>
                <w:rFonts w:hint="default" w:ascii="Calibri" w:hAnsi="Calibri" w:cs="Calibri"/>
                <w:b/>
                <w:bCs/>
                <w:color w:val="auto"/>
                <w:sz w:val="24"/>
                <w:szCs w:val="24"/>
                <w:lang w:val="en-US" w:eastAsia="zh-CN"/>
              </w:rPr>
              <w:t>8</w:t>
            </w:r>
            <w:r>
              <w:rPr>
                <w:rFonts w:hint="default" w:ascii="Calibri" w:hAnsi="Calibri" w:eastAsia="宋体" w:cs="Calibri"/>
                <w:b/>
                <w:bCs/>
                <w:color w:val="auto"/>
                <w:sz w:val="24"/>
                <w:szCs w:val="24"/>
                <w:lang w:val="en-US" w:eastAsia="zh-CN"/>
              </w:rPr>
              <w:t xml:space="preserve">         </w:t>
            </w:r>
            <w:r>
              <w:rPr>
                <w:rFonts w:hint="default" w:ascii="Calibri" w:hAnsi="Calibri" w:eastAsia="宋体" w:cs="Calibri"/>
                <w:b/>
                <w:bCs/>
                <w:color w:val="auto"/>
                <w:sz w:val="24"/>
                <w:szCs w:val="24"/>
              </w:rPr>
              <w:t>项目所涉及的危险物质情况表</w:t>
            </w:r>
          </w:p>
          <w:tbl>
            <w:tblPr>
              <w:tblStyle w:val="23"/>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69"/>
              <w:gridCol w:w="1372"/>
              <w:gridCol w:w="3165"/>
              <w:gridCol w:w="1628"/>
            </w:tblGrid>
            <w:tr w14:paraId="69BA4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11C66F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序号</w:t>
                  </w:r>
                </w:p>
              </w:tc>
              <w:tc>
                <w:tcPr>
                  <w:tcW w:w="780" w:type="pct"/>
                  <w:vAlign w:val="center"/>
                </w:tcPr>
                <w:p w14:paraId="65A386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物料</w:t>
                  </w:r>
                </w:p>
              </w:tc>
              <w:tc>
                <w:tcPr>
                  <w:tcW w:w="843" w:type="pct"/>
                  <w:vAlign w:val="center"/>
                </w:tcPr>
                <w:p w14:paraId="2F5BD1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存在位置</w:t>
                  </w:r>
                </w:p>
              </w:tc>
              <w:tc>
                <w:tcPr>
                  <w:tcW w:w="1945" w:type="pct"/>
                  <w:vAlign w:val="center"/>
                </w:tcPr>
                <w:p w14:paraId="73A231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最大储存量</w:t>
                  </w:r>
                </w:p>
              </w:tc>
              <w:tc>
                <w:tcPr>
                  <w:tcW w:w="1000" w:type="pct"/>
                  <w:vAlign w:val="center"/>
                </w:tcPr>
                <w:p w14:paraId="36D184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用途</w:t>
                  </w:r>
                </w:p>
              </w:tc>
            </w:tr>
            <w:tr w14:paraId="7160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12067D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1</w:t>
                  </w:r>
                </w:p>
              </w:tc>
              <w:tc>
                <w:tcPr>
                  <w:tcW w:w="780" w:type="pct"/>
                  <w:vAlign w:val="center"/>
                </w:tcPr>
                <w:p w14:paraId="7F9E05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cs="Calibri"/>
                      <w:color w:val="auto"/>
                      <w:sz w:val="21"/>
                      <w:szCs w:val="21"/>
                      <w:vertAlign w:val="baseline"/>
                      <w:lang w:val="en-US" w:eastAsia="zh-CN"/>
                    </w:rPr>
                    <w:t>废</w:t>
                  </w:r>
                  <w:r>
                    <w:rPr>
                      <w:rFonts w:hint="default" w:ascii="Calibri" w:hAnsi="Calibri" w:eastAsia="宋体" w:cs="Calibri"/>
                      <w:color w:val="auto"/>
                      <w:sz w:val="21"/>
                      <w:szCs w:val="21"/>
                      <w:vertAlign w:val="baseline"/>
                      <w:lang w:val="en-US" w:eastAsia="zh-CN"/>
                    </w:rPr>
                    <w:t>变压器油</w:t>
                  </w:r>
                </w:p>
              </w:tc>
              <w:tc>
                <w:tcPr>
                  <w:tcW w:w="843" w:type="pct"/>
                  <w:vAlign w:val="center"/>
                </w:tcPr>
                <w:p w14:paraId="3BA0A2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rPr>
                  </w:pPr>
                  <w:r>
                    <w:rPr>
                      <w:rFonts w:hint="default" w:ascii="Calibri" w:hAnsi="Calibri" w:eastAsia="宋体" w:cs="Calibri"/>
                      <w:color w:val="auto"/>
                      <w:sz w:val="21"/>
                      <w:szCs w:val="21"/>
                      <w:vertAlign w:val="baseline"/>
                      <w:lang w:val="en-US" w:eastAsia="zh-CN"/>
                    </w:rPr>
                    <w:t>变压器</w:t>
                  </w:r>
                </w:p>
              </w:tc>
              <w:tc>
                <w:tcPr>
                  <w:tcW w:w="1945" w:type="pct"/>
                  <w:vAlign w:val="center"/>
                </w:tcPr>
                <w:p w14:paraId="051280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cs="Calibri"/>
                      <w:color w:val="auto"/>
                      <w:sz w:val="21"/>
                      <w:szCs w:val="21"/>
                      <w:vertAlign w:val="baseline"/>
                      <w:lang w:val="en-US" w:eastAsia="zh-CN"/>
                    </w:rPr>
                    <w:t>37.12</w:t>
                  </w:r>
                  <w:r>
                    <w:rPr>
                      <w:rFonts w:hint="default" w:ascii="Calibri" w:hAnsi="Calibri" w:eastAsia="宋体" w:cs="Calibri"/>
                      <w:color w:val="auto"/>
                      <w:sz w:val="21"/>
                      <w:szCs w:val="21"/>
                      <w:vertAlign w:val="baseline"/>
                      <w:lang w:val="en-US" w:eastAsia="zh-CN"/>
                    </w:rPr>
                    <w:t>t（每个变压器约</w:t>
                  </w:r>
                  <w:r>
                    <w:rPr>
                      <w:rFonts w:hint="default" w:ascii="Calibri" w:hAnsi="Calibri" w:cs="Calibri"/>
                      <w:color w:val="auto"/>
                      <w:sz w:val="21"/>
                      <w:szCs w:val="21"/>
                      <w:vertAlign w:val="baseline"/>
                      <w:lang w:val="en-US" w:eastAsia="zh-CN"/>
                    </w:rPr>
                    <w:t>18.56</w:t>
                  </w:r>
                  <w:r>
                    <w:rPr>
                      <w:rFonts w:hint="default" w:ascii="Calibri" w:hAnsi="Calibri" w:eastAsia="宋体" w:cs="Calibri"/>
                      <w:color w:val="auto"/>
                      <w:sz w:val="21"/>
                      <w:szCs w:val="21"/>
                      <w:vertAlign w:val="baseline"/>
                      <w:lang w:val="en-US" w:eastAsia="zh-CN"/>
                    </w:rPr>
                    <w:t>t）</w:t>
                  </w:r>
                </w:p>
              </w:tc>
              <w:tc>
                <w:tcPr>
                  <w:tcW w:w="1000" w:type="pct"/>
                  <w:vAlign w:val="center"/>
                </w:tcPr>
                <w:p w14:paraId="6A2815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vertAlign w:val="baseline"/>
                      <w:lang w:val="en-US" w:eastAsia="zh-CN"/>
                    </w:rPr>
                  </w:pPr>
                  <w:r>
                    <w:rPr>
                      <w:rFonts w:hint="default" w:ascii="Calibri" w:hAnsi="Calibri" w:eastAsia="宋体" w:cs="Calibri"/>
                      <w:color w:val="auto"/>
                      <w:sz w:val="21"/>
                      <w:szCs w:val="21"/>
                      <w:vertAlign w:val="baseline"/>
                      <w:lang w:val="en-US" w:eastAsia="zh-CN"/>
                    </w:rPr>
                    <w:t>冷却降温</w:t>
                  </w:r>
                </w:p>
              </w:tc>
            </w:tr>
          </w:tbl>
          <w:p w14:paraId="44D49BF5">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Calibri" w:hAnsi="Calibri" w:eastAsia="宋体" w:cs="Calibri"/>
                <w:b/>
                <w:bCs/>
                <w:color w:val="auto"/>
                <w:sz w:val="24"/>
                <w:szCs w:val="24"/>
              </w:rPr>
            </w:pPr>
            <w:r>
              <w:rPr>
                <w:rFonts w:hint="default" w:ascii="Calibri" w:hAnsi="Calibri" w:cs="Calibri"/>
                <w:b/>
                <w:bCs/>
                <w:color w:val="auto"/>
                <w:sz w:val="24"/>
                <w:szCs w:val="24"/>
                <w:lang w:val="en-US" w:eastAsia="zh-CN"/>
              </w:rPr>
              <w:t>7</w:t>
            </w:r>
            <w:r>
              <w:rPr>
                <w:rFonts w:hint="default" w:ascii="Calibri" w:hAnsi="Calibri" w:eastAsia="宋体" w:cs="Calibri"/>
                <w:b/>
                <w:bCs/>
                <w:color w:val="auto"/>
                <w:sz w:val="24"/>
                <w:szCs w:val="24"/>
              </w:rPr>
              <w:t>.2</w:t>
            </w:r>
            <w:r>
              <w:rPr>
                <w:rFonts w:hint="default" w:ascii="Calibri" w:hAnsi="Calibri" w:eastAsia="宋体" w:cs="Calibri"/>
                <w:b/>
                <w:bCs/>
                <w:color w:val="auto"/>
                <w:sz w:val="24"/>
                <w:szCs w:val="24"/>
                <w:lang w:val="en-US" w:eastAsia="zh-CN"/>
              </w:rPr>
              <w:t xml:space="preserve"> </w:t>
            </w:r>
            <w:r>
              <w:rPr>
                <w:rFonts w:hint="default" w:ascii="Calibri" w:hAnsi="Calibri" w:eastAsia="宋体" w:cs="Calibri"/>
                <w:b/>
                <w:bCs/>
                <w:color w:val="auto"/>
                <w:sz w:val="24"/>
                <w:szCs w:val="24"/>
              </w:rPr>
              <w:t>风险潜势初判及评价等级</w:t>
            </w:r>
          </w:p>
          <w:p w14:paraId="3440D41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Calibri" w:hAnsi="Calibri" w:eastAsia="宋体" w:cs="Calibri"/>
                <w:color w:val="auto"/>
                <w:sz w:val="24"/>
                <w:szCs w:val="24"/>
              </w:rPr>
            </w:pPr>
            <w:r>
              <w:rPr>
                <w:rFonts w:hint="default" w:ascii="Calibri" w:hAnsi="Calibri" w:cs="Calibri"/>
                <w:color w:val="auto"/>
                <w:sz w:val="24"/>
                <w:szCs w:val="24"/>
                <w:lang w:val="en-US" w:eastAsia="zh-CN"/>
              </w:rPr>
              <w:t>本项目</w:t>
            </w:r>
            <w:r>
              <w:rPr>
                <w:rFonts w:hint="default" w:ascii="Calibri" w:hAnsi="Calibri" w:eastAsia="宋体" w:cs="Calibri"/>
                <w:color w:val="auto"/>
                <w:sz w:val="24"/>
                <w:szCs w:val="24"/>
              </w:rPr>
              <w:t>变电站设1个有效容积为</w:t>
            </w:r>
            <w:r>
              <w:rPr>
                <w:rFonts w:hint="default" w:ascii="Calibri" w:hAnsi="Calibri" w:cs="Calibri"/>
                <w:color w:val="auto"/>
                <w:kern w:val="0"/>
                <w:sz w:val="24"/>
                <w:szCs w:val="24"/>
                <w:lang w:val="en-US" w:eastAsia="zh-CN" w:bidi="ar-SA"/>
              </w:rPr>
              <w:t>36</w:t>
            </w:r>
            <w:r>
              <w:rPr>
                <w:rFonts w:hint="default" w:ascii="Calibri" w:hAnsi="Calibri" w:cs="Calibri"/>
                <w:color w:val="auto"/>
                <w:sz w:val="24"/>
                <w:szCs w:val="24"/>
                <w:lang w:eastAsia="zh-CN"/>
              </w:rPr>
              <w:t>m³</w:t>
            </w:r>
            <w:r>
              <w:rPr>
                <w:rFonts w:hint="default" w:ascii="Calibri" w:hAnsi="Calibri" w:eastAsia="宋体" w:cs="Calibri"/>
                <w:color w:val="auto"/>
                <w:sz w:val="24"/>
                <w:szCs w:val="24"/>
              </w:rPr>
              <w:t>的地埋式事故油池，设计容量满足要求，且能满足主变事故排油的需要。变压器下铺设一卵石层，变压器下方集油坑与事故油池相连。当变压器发生事故时排油或漏油，所有的油水混合物将渗过卵石层并通过排油槽收集至事故油池，经油水分离后，大部分绝缘油回收，少量废油由有资质的危险废物回收单位进行回收处置，对环境的影响很小。</w:t>
            </w:r>
          </w:p>
          <w:p w14:paraId="493A2DC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Calibri" w:hAnsi="Calibri" w:eastAsia="宋体" w:cs="Calibri"/>
                <w:color w:val="auto"/>
                <w:sz w:val="24"/>
                <w:szCs w:val="24"/>
              </w:rPr>
            </w:pPr>
            <w:r>
              <w:rPr>
                <w:rFonts w:hint="default" w:ascii="Calibri" w:hAnsi="Calibri" w:eastAsia="宋体" w:cs="Calibri"/>
                <w:color w:val="auto"/>
                <w:sz w:val="24"/>
                <w:szCs w:val="24"/>
              </w:rPr>
              <w:t>根据《建设项目环境风险评价技术导则》（HJ169-2018）及《危险化学品重大危险源辨识》（GB18218-2018）判断，本次110KV变电站的环境风险潜势为I</w:t>
            </w:r>
            <w:r>
              <w:rPr>
                <w:rFonts w:hint="default" w:ascii="Calibri" w:hAnsi="Calibri" w:cs="Calibri"/>
                <w:color w:val="auto"/>
                <w:sz w:val="24"/>
                <w:szCs w:val="24"/>
                <w:lang w:eastAsia="zh-CN"/>
              </w:rPr>
              <w:t>，</w:t>
            </w:r>
            <w:r>
              <w:rPr>
                <w:rFonts w:hint="default" w:ascii="Calibri" w:hAnsi="Calibri" w:cs="Calibri"/>
                <w:color w:val="auto"/>
                <w:sz w:val="24"/>
                <w:szCs w:val="24"/>
                <w:lang w:val="en-US" w:eastAsia="zh-CN"/>
              </w:rPr>
              <w:t>评价工作等级为“简单分析”</w:t>
            </w:r>
            <w:r>
              <w:rPr>
                <w:rFonts w:hint="default" w:ascii="Calibri" w:hAnsi="Calibri" w:eastAsia="宋体" w:cs="Calibri"/>
                <w:color w:val="auto"/>
                <w:sz w:val="24"/>
                <w:szCs w:val="24"/>
              </w:rPr>
              <w:t>。</w:t>
            </w:r>
          </w:p>
          <w:p w14:paraId="0642E5D9">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7</w:t>
            </w:r>
            <w:r>
              <w:rPr>
                <w:rFonts w:hint="eastAsia" w:ascii="宋体" w:hAnsi="宋体" w:eastAsia="宋体" w:cs="宋体"/>
                <w:b/>
                <w:bCs/>
                <w:color w:val="auto"/>
                <w:sz w:val="24"/>
                <w:szCs w:val="24"/>
                <w:lang w:val="en-US" w:eastAsia="zh-CN"/>
              </w:rPr>
              <w:t>.</w:t>
            </w:r>
            <w:r>
              <w:rPr>
                <w:rFonts w:hint="eastAsia" w:ascii="宋体" w:hAnsi="宋体" w:cs="宋体"/>
                <w:b/>
                <w:bCs/>
                <w:color w:val="auto"/>
                <w:sz w:val="24"/>
                <w:szCs w:val="24"/>
                <w:lang w:val="en-US" w:eastAsia="zh-CN"/>
              </w:rPr>
              <w:t>3</w:t>
            </w:r>
            <w:r>
              <w:rPr>
                <w:rFonts w:hint="eastAsia" w:ascii="宋体" w:hAnsi="宋体" w:eastAsia="宋体" w:cs="宋体"/>
                <w:b/>
                <w:bCs/>
                <w:color w:val="auto"/>
                <w:sz w:val="24"/>
                <w:szCs w:val="24"/>
                <w:lang w:val="en-US" w:eastAsia="zh-CN"/>
              </w:rPr>
              <w:t xml:space="preserve"> 环境风险分析</w:t>
            </w:r>
          </w:p>
          <w:p w14:paraId="484EF90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变电站运行中变压器本体设备内含有变压器油，变压器油是电气绝缘用油的一种，有绝缘、冷却、散热、灭弧等作用。运维检修过程使用的绝缘油、液压油均用桶装，由运维人员现场检修完成后</w:t>
            </w:r>
            <w:r>
              <w:rPr>
                <w:rFonts w:hint="eastAsia" w:ascii="宋体" w:hAnsi="宋体" w:eastAsia="宋体" w:cs="宋体"/>
                <w:color w:val="auto"/>
                <w:sz w:val="24"/>
                <w:szCs w:val="24"/>
              </w:rPr>
              <w:t>交由有相应危废处理资质的单位依法合规地进行回收、处置，</w:t>
            </w:r>
            <w:r>
              <w:rPr>
                <w:rFonts w:hint="eastAsia" w:ascii="宋体" w:hAnsi="宋体" w:eastAsia="宋体" w:cs="宋体"/>
                <w:color w:val="auto"/>
                <w:sz w:val="24"/>
                <w:szCs w:val="24"/>
                <w:lang w:val="en-US" w:eastAsia="zh-CN"/>
              </w:rPr>
              <w:t>不在变电站内储存。根据国内目前的变电站运行情况，主变压器发生事故导致变压器油发生泄漏的概率极小。变压器使用或搬运、设备充油的过程，如不小心发生事故，未及时处理的话，有可能会发生</w:t>
            </w:r>
            <w:r>
              <w:rPr>
                <w:rFonts w:hint="eastAsia" w:ascii="宋体" w:hAnsi="宋体" w:cs="宋体"/>
                <w:color w:val="auto"/>
                <w:sz w:val="24"/>
                <w:szCs w:val="24"/>
                <w:lang w:val="en-US" w:eastAsia="zh-CN"/>
              </w:rPr>
              <w:t>变压器油</w:t>
            </w:r>
            <w:r>
              <w:rPr>
                <w:rFonts w:hint="eastAsia" w:ascii="宋体" w:hAnsi="宋体" w:eastAsia="宋体" w:cs="宋体"/>
                <w:color w:val="auto"/>
                <w:sz w:val="24"/>
                <w:szCs w:val="24"/>
                <w:lang w:val="en-US" w:eastAsia="zh-CN"/>
              </w:rPr>
              <w:t>泄漏、火灾事件，将会对站区人员、周边水环境、土壤及大气环境等造成影响。根据设计，变压器下铺设一层鹅卵石层，四周设有排油槽并与事故油池相连。一旦变压器事故时排油，各变压器防火墙隔断内所有的油水混合物将渗过卵石层并通过排油槽到达事故油池，在此过程中卵石层起到冷却油的作用，不易发生火灾。然后经过真空净油机将油水进行分离处理，去除</w:t>
            </w:r>
            <w:r>
              <w:rPr>
                <w:rFonts w:hint="eastAsia" w:ascii="宋体" w:hAnsi="宋体" w:cs="宋体"/>
                <w:color w:val="auto"/>
                <w:sz w:val="24"/>
                <w:szCs w:val="24"/>
                <w:lang w:val="en-US" w:eastAsia="zh-CN"/>
              </w:rPr>
              <w:t>水分和杂质</w:t>
            </w:r>
            <w:r>
              <w:rPr>
                <w:rFonts w:hint="eastAsia" w:ascii="宋体" w:hAnsi="宋体" w:eastAsia="宋体" w:cs="宋体"/>
                <w:color w:val="auto"/>
                <w:sz w:val="24"/>
                <w:szCs w:val="24"/>
                <w:lang w:val="en-US" w:eastAsia="zh-CN"/>
              </w:rPr>
              <w:t>。变压器油收集处置流程为：事故状态下变压器油外泄→进入变压器下卵石层冷却→进入排油槽→进入事故油池→真空净油机将油水净化处理→</w:t>
            </w:r>
            <w:r>
              <w:rPr>
                <w:rFonts w:hint="eastAsia" w:ascii="宋体" w:hAnsi="宋体" w:cs="宋体"/>
                <w:color w:val="auto"/>
                <w:sz w:val="24"/>
                <w:szCs w:val="24"/>
                <w:lang w:val="en-US" w:eastAsia="zh-CN"/>
              </w:rPr>
              <w:t>去除水分</w:t>
            </w:r>
            <w:r>
              <w:rPr>
                <w:rFonts w:hint="eastAsia" w:ascii="宋体" w:hAnsi="宋体" w:eastAsia="宋体" w:cs="宋体"/>
                <w:color w:val="auto"/>
                <w:sz w:val="24"/>
                <w:szCs w:val="24"/>
                <w:lang w:val="en-US" w:eastAsia="zh-CN"/>
              </w:rPr>
              <w:t>和</w:t>
            </w:r>
            <w:r>
              <w:rPr>
                <w:rFonts w:hint="eastAsia" w:ascii="宋体" w:hAnsi="宋体" w:cs="宋体"/>
                <w:color w:val="auto"/>
                <w:sz w:val="24"/>
                <w:szCs w:val="24"/>
                <w:lang w:val="en-US" w:eastAsia="zh-CN"/>
              </w:rPr>
              <w:t>其他杂质</w:t>
            </w:r>
            <w:r>
              <w:rPr>
                <w:rFonts w:hint="eastAsia" w:ascii="宋体" w:hAnsi="宋体" w:eastAsia="宋体" w:cs="宋体"/>
                <w:color w:val="auto"/>
                <w:sz w:val="24"/>
                <w:szCs w:val="24"/>
                <w:lang w:val="en-US" w:eastAsia="zh-CN"/>
              </w:rPr>
              <w:t>→合格油可全部回收利用→废油和杂质送有资质的单位进行处理经油水分离后，少量废油由有资质的危险废物回收单位进行回收处置。本工程运行期存在的主要事故油环境影响因素为站内主变压器内的变压器油事故排放，可能对环境产生一定的影响。通过设置满足事故排容积要求事故油池，废变压器油委托有相应危废处理资</w:t>
            </w:r>
            <w:r>
              <w:rPr>
                <w:rFonts w:hint="eastAsia" w:ascii="宋体" w:hAnsi="宋体" w:cs="宋体"/>
                <w:color w:val="auto"/>
                <w:sz w:val="24"/>
                <w:szCs w:val="24"/>
                <w:lang w:val="en-US" w:eastAsia="zh-CN"/>
              </w:rPr>
              <w:t>质</w:t>
            </w:r>
            <w:r>
              <w:rPr>
                <w:rFonts w:hint="eastAsia" w:ascii="宋体" w:hAnsi="宋体" w:eastAsia="宋体" w:cs="宋体"/>
                <w:color w:val="auto"/>
                <w:sz w:val="24"/>
                <w:szCs w:val="24"/>
                <w:lang w:val="en-US" w:eastAsia="zh-CN"/>
              </w:rPr>
              <w:t>的单位依法合规地进行回收、处置，不外排，同时加强管理、采取环境保护措施、应急措施等可将事故油环境影响降到最低，环境影响可接受。</w:t>
            </w:r>
          </w:p>
          <w:p w14:paraId="4AA05FC0">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b/>
                <w:bCs/>
                <w:color w:val="auto"/>
                <w:sz w:val="24"/>
                <w:szCs w:val="24"/>
              </w:rPr>
            </w:pPr>
            <w:r>
              <w:rPr>
                <w:rFonts w:hint="eastAsia" w:ascii="宋体" w:hAnsi="宋体" w:cs="宋体"/>
                <w:b/>
                <w:bCs/>
                <w:color w:val="auto"/>
                <w:sz w:val="24"/>
                <w:szCs w:val="24"/>
                <w:lang w:val="en-US" w:eastAsia="zh-CN"/>
              </w:rPr>
              <w:t>7</w:t>
            </w:r>
            <w:r>
              <w:rPr>
                <w:rFonts w:hint="eastAsia" w:ascii="宋体" w:hAnsi="宋体" w:eastAsia="宋体" w:cs="宋体"/>
                <w:b/>
                <w:bCs/>
                <w:color w:val="auto"/>
                <w:sz w:val="24"/>
                <w:szCs w:val="24"/>
                <w:lang w:val="en-US" w:eastAsia="zh-CN"/>
              </w:rPr>
              <w:t>.</w:t>
            </w:r>
            <w:r>
              <w:rPr>
                <w:rFonts w:hint="eastAsia" w:ascii="宋体" w:hAnsi="宋体" w:eastAsia="宋体" w:cs="宋体"/>
                <w:b/>
                <w:bCs/>
                <w:color w:val="auto"/>
                <w:sz w:val="24"/>
                <w:szCs w:val="24"/>
              </w:rPr>
              <w:t>5</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rPr>
              <w:t>风险管理及减缓风险措施</w:t>
            </w:r>
          </w:p>
          <w:p w14:paraId="6E9D36A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Calibri" w:hAnsi="Calibri" w:eastAsia="宋体" w:cs="Calibri"/>
                <w:color w:val="auto"/>
                <w:sz w:val="24"/>
                <w:szCs w:val="24"/>
              </w:rPr>
            </w:pPr>
            <w:r>
              <w:rPr>
                <w:rFonts w:hint="default" w:ascii="Calibri" w:hAnsi="Calibri" w:eastAsia="宋体" w:cs="Calibri"/>
                <w:color w:val="auto"/>
                <w:sz w:val="24"/>
                <w:szCs w:val="24"/>
                <w:lang w:eastAsia="zh-CN"/>
              </w:rPr>
              <w:t>（</w:t>
            </w:r>
            <w:r>
              <w:rPr>
                <w:rFonts w:hint="default" w:ascii="Calibri" w:hAnsi="Calibri" w:eastAsia="宋体" w:cs="Calibri"/>
                <w:color w:val="auto"/>
                <w:sz w:val="24"/>
                <w:szCs w:val="24"/>
                <w:lang w:val="en-US" w:eastAsia="zh-CN"/>
              </w:rPr>
              <w:t>1</w:t>
            </w:r>
            <w:r>
              <w:rPr>
                <w:rFonts w:hint="default" w:ascii="Calibri" w:hAnsi="Calibri" w:cs="Calibri"/>
                <w:color w:val="auto"/>
                <w:sz w:val="24"/>
                <w:szCs w:val="24"/>
                <w:lang w:val="en-US" w:eastAsia="zh-CN"/>
              </w:rPr>
              <w:t>）本项目</w:t>
            </w:r>
            <w:r>
              <w:rPr>
                <w:rFonts w:hint="default" w:ascii="Calibri" w:hAnsi="Calibri" w:eastAsia="宋体" w:cs="Calibri"/>
                <w:color w:val="auto"/>
                <w:sz w:val="24"/>
                <w:szCs w:val="24"/>
              </w:rPr>
              <w:t>设有事故油池，有效容积为</w:t>
            </w:r>
            <w:r>
              <w:rPr>
                <w:rFonts w:hint="default" w:ascii="Calibri" w:hAnsi="Calibri" w:cs="Calibri"/>
                <w:color w:val="auto"/>
                <w:kern w:val="0"/>
                <w:sz w:val="24"/>
                <w:szCs w:val="24"/>
                <w:lang w:val="en-US" w:eastAsia="zh-CN" w:bidi="ar-SA"/>
              </w:rPr>
              <w:t>36</w:t>
            </w:r>
            <w:r>
              <w:rPr>
                <w:rFonts w:hint="default" w:ascii="Calibri" w:hAnsi="Calibri" w:cs="Calibri"/>
                <w:color w:val="auto"/>
                <w:sz w:val="24"/>
                <w:szCs w:val="24"/>
                <w:lang w:eastAsia="zh-CN"/>
              </w:rPr>
              <w:t>m³</w:t>
            </w:r>
            <w:r>
              <w:rPr>
                <w:rFonts w:hint="default" w:ascii="Calibri" w:hAnsi="Calibri" w:eastAsia="宋体" w:cs="Calibri"/>
                <w:color w:val="auto"/>
                <w:sz w:val="24"/>
                <w:szCs w:val="24"/>
              </w:rPr>
              <w:t>，完全能保证事故排油不外排，而且事故油池不与雨水系统相通，不会对周边水环境</w:t>
            </w:r>
            <w:r>
              <w:rPr>
                <w:rFonts w:hint="default" w:ascii="Calibri" w:hAnsi="Calibri" w:cs="Calibri"/>
                <w:color w:val="auto"/>
                <w:sz w:val="24"/>
                <w:szCs w:val="24"/>
                <w:lang w:eastAsia="zh-CN"/>
              </w:rPr>
              <w:t>产生</w:t>
            </w:r>
            <w:r>
              <w:rPr>
                <w:rFonts w:hint="default" w:ascii="Calibri" w:hAnsi="Calibri" w:eastAsia="宋体" w:cs="Calibri"/>
                <w:color w:val="auto"/>
                <w:sz w:val="24"/>
                <w:szCs w:val="24"/>
              </w:rPr>
              <w:t>不良影响。变电站事故油池设置满足环境保护要求的基础防渗设计。同时加强变电站场地内用油管理，制定环境风险防范措施和应急预案，严防变电站漏油事故影响区域水体。</w:t>
            </w:r>
          </w:p>
          <w:p w14:paraId="66933A7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Calibri" w:hAnsi="Calibri" w:eastAsia="宋体" w:cs="Calibri"/>
                <w:color w:val="auto"/>
                <w:sz w:val="24"/>
                <w:szCs w:val="24"/>
              </w:rPr>
            </w:pPr>
            <w:r>
              <w:rPr>
                <w:rFonts w:hint="default" w:ascii="Calibri" w:hAnsi="Calibri" w:eastAsia="宋体" w:cs="Calibri"/>
                <w:color w:val="auto"/>
                <w:sz w:val="24"/>
                <w:szCs w:val="24"/>
                <w:lang w:eastAsia="zh-CN"/>
              </w:rPr>
              <w:t>（</w:t>
            </w:r>
            <w:r>
              <w:rPr>
                <w:rFonts w:hint="default" w:ascii="Calibri" w:hAnsi="Calibri" w:eastAsia="宋体" w:cs="Calibri"/>
                <w:color w:val="auto"/>
                <w:sz w:val="24"/>
                <w:szCs w:val="24"/>
                <w:lang w:val="en-US" w:eastAsia="zh-CN"/>
              </w:rPr>
              <w:t>2</w:t>
            </w:r>
            <w:r>
              <w:rPr>
                <w:rFonts w:hint="default" w:ascii="Calibri" w:hAnsi="Calibri" w:eastAsia="宋体" w:cs="Calibri"/>
                <w:color w:val="auto"/>
                <w:sz w:val="24"/>
                <w:szCs w:val="24"/>
                <w:lang w:eastAsia="zh-CN"/>
              </w:rPr>
              <w:t>）</w:t>
            </w:r>
            <w:r>
              <w:rPr>
                <w:rFonts w:hint="default" w:ascii="Calibri" w:hAnsi="Calibri" w:cs="Calibri"/>
                <w:color w:val="auto"/>
                <w:kern w:val="0"/>
                <w:sz w:val="24"/>
                <w:szCs w:val="24"/>
                <w:lang w:val="en-US" w:eastAsia="zh-CN" w:bidi="ar-SA"/>
              </w:rPr>
              <w:t>事故油池及危险废物贮存库</w:t>
            </w:r>
            <w:r>
              <w:rPr>
                <w:rFonts w:hint="default" w:ascii="Calibri" w:hAnsi="Calibri" w:eastAsia="宋体" w:cs="Calibri"/>
                <w:color w:val="auto"/>
                <w:kern w:val="0"/>
                <w:sz w:val="24"/>
                <w:szCs w:val="24"/>
                <w:lang w:val="en-US" w:eastAsia="zh-CN" w:bidi="ar-SA"/>
              </w:rPr>
              <w:t>应进行基础防渗，防渗层为至少1m厚黏土层</w:t>
            </w:r>
            <w:r>
              <w:rPr>
                <w:rFonts w:hint="eastAsia"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渗透系数不大于10</w:t>
            </w:r>
            <w:r>
              <w:rPr>
                <w:rFonts w:hint="eastAsia" w:ascii="Calibri" w:hAnsi="Calibri" w:cs="Calibri"/>
                <w:color w:val="auto"/>
                <w:sz w:val="21"/>
                <w:szCs w:val="21"/>
                <w:vertAlign w:val="superscript"/>
                <w:lang w:eastAsia="zh-CN"/>
              </w:rPr>
              <w:t>-</w:t>
            </w:r>
            <w:r>
              <w:rPr>
                <w:rFonts w:hint="default" w:ascii="Calibri" w:hAnsi="Calibri" w:cs="Calibri"/>
                <w:color w:val="auto"/>
                <w:kern w:val="0"/>
                <w:sz w:val="24"/>
                <w:szCs w:val="24"/>
                <w:vertAlign w:val="superscript"/>
                <w:lang w:val="en-US" w:eastAsia="zh-CN" w:bidi="ar-SA"/>
              </w:rPr>
              <w:t>7</w:t>
            </w:r>
            <w:r>
              <w:rPr>
                <w:rFonts w:hint="default" w:ascii="Calibri" w:hAnsi="Calibri" w:eastAsia="宋体" w:cs="Calibri"/>
                <w:color w:val="auto"/>
                <w:kern w:val="0"/>
                <w:sz w:val="24"/>
                <w:szCs w:val="24"/>
                <w:lang w:val="en-US" w:eastAsia="zh-CN" w:bidi="ar-SA"/>
              </w:rPr>
              <w:t>cm</w:t>
            </w:r>
            <w:r>
              <w:rPr>
                <w:rFonts w:hint="default"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s</w:t>
            </w:r>
            <w:r>
              <w:rPr>
                <w:rFonts w:hint="eastAsia"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，或至少2mm厚高密度聚乙烯膜等人工防渗材料</w:t>
            </w:r>
            <w:r>
              <w:rPr>
                <w:rFonts w:hint="eastAsia"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透系数不大于10</w:t>
            </w:r>
            <w:r>
              <w:rPr>
                <w:rFonts w:hint="eastAsia" w:ascii="Calibri" w:hAnsi="Calibri" w:cs="Calibri"/>
                <w:color w:val="auto"/>
                <w:sz w:val="21"/>
                <w:szCs w:val="21"/>
                <w:vertAlign w:val="superscript"/>
                <w:lang w:eastAsia="zh-CN"/>
              </w:rPr>
              <w:t>-</w:t>
            </w:r>
            <w:r>
              <w:rPr>
                <w:rFonts w:hint="default" w:ascii="Calibri" w:hAnsi="Calibri" w:eastAsia="宋体" w:cs="Calibri"/>
                <w:color w:val="auto"/>
                <w:kern w:val="0"/>
                <w:sz w:val="24"/>
                <w:szCs w:val="24"/>
                <w:vertAlign w:val="superscript"/>
                <w:lang w:val="en-US" w:eastAsia="zh-CN" w:bidi="ar-SA"/>
              </w:rPr>
              <w:t>10</w:t>
            </w:r>
            <w:r>
              <w:rPr>
                <w:rFonts w:hint="default" w:ascii="Calibri" w:hAnsi="Calibri" w:eastAsia="宋体" w:cs="Calibri"/>
                <w:color w:val="auto"/>
                <w:kern w:val="0"/>
                <w:sz w:val="24"/>
                <w:szCs w:val="24"/>
                <w:lang w:val="en-US" w:eastAsia="zh-CN" w:bidi="ar-SA"/>
              </w:rPr>
              <w:t>cm</w:t>
            </w:r>
            <w:r>
              <w:rPr>
                <w:rFonts w:hint="default"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s</w:t>
            </w:r>
            <w:r>
              <w:rPr>
                <w:rFonts w:hint="eastAsia" w:ascii="Calibri" w:hAnsi="Calibri" w:cs="Calibri"/>
                <w:color w:val="auto"/>
                <w:kern w:val="0"/>
                <w:sz w:val="24"/>
                <w:szCs w:val="24"/>
                <w:lang w:val="en-US" w:eastAsia="zh-CN" w:bidi="ar-SA"/>
              </w:rPr>
              <w:t>）</w:t>
            </w:r>
            <w:r>
              <w:rPr>
                <w:rFonts w:hint="default" w:ascii="Calibri" w:hAnsi="Calibri" w:eastAsia="宋体" w:cs="Calibri"/>
                <w:color w:val="auto"/>
                <w:sz w:val="24"/>
                <w:szCs w:val="24"/>
              </w:rPr>
              <w:t>，综合防渗措施能满足《危险废物贮存污染控制标准》（GB18597-20</w:t>
            </w:r>
            <w:r>
              <w:rPr>
                <w:rFonts w:hint="default" w:ascii="Calibri" w:hAnsi="Calibri" w:cs="Calibri"/>
                <w:color w:val="auto"/>
                <w:sz w:val="24"/>
                <w:szCs w:val="24"/>
                <w:lang w:val="en-US" w:eastAsia="zh-CN"/>
              </w:rPr>
              <w:t>23</w:t>
            </w:r>
            <w:r>
              <w:rPr>
                <w:rFonts w:hint="default" w:ascii="Calibri" w:hAnsi="Calibri" w:eastAsia="宋体" w:cs="Calibri"/>
                <w:color w:val="auto"/>
                <w:sz w:val="24"/>
                <w:szCs w:val="24"/>
              </w:rPr>
              <w:t>）。</w:t>
            </w:r>
          </w:p>
          <w:p w14:paraId="48B7249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Calibri" w:hAnsi="Calibri" w:eastAsia="宋体" w:cs="Calibri"/>
                <w:color w:val="auto"/>
                <w:sz w:val="24"/>
                <w:szCs w:val="24"/>
              </w:rPr>
            </w:pPr>
            <w:r>
              <w:rPr>
                <w:rFonts w:hint="default" w:ascii="Calibri" w:hAnsi="Calibri" w:eastAsia="宋体" w:cs="Calibri"/>
                <w:color w:val="auto"/>
                <w:sz w:val="24"/>
                <w:szCs w:val="24"/>
                <w:lang w:eastAsia="zh-CN"/>
              </w:rPr>
              <w:t>（</w:t>
            </w:r>
            <w:r>
              <w:rPr>
                <w:rFonts w:hint="default" w:ascii="Calibri" w:hAnsi="Calibri" w:eastAsia="宋体" w:cs="Calibri"/>
                <w:color w:val="auto"/>
                <w:sz w:val="24"/>
                <w:szCs w:val="24"/>
                <w:lang w:val="en-US" w:eastAsia="zh-CN"/>
              </w:rPr>
              <w:t>3</w:t>
            </w:r>
            <w:r>
              <w:rPr>
                <w:rFonts w:hint="default" w:ascii="Calibri" w:hAnsi="Calibri" w:eastAsia="宋体" w:cs="Calibri"/>
                <w:color w:val="auto"/>
                <w:sz w:val="24"/>
                <w:szCs w:val="24"/>
                <w:lang w:eastAsia="zh-CN"/>
              </w:rPr>
              <w:t>）</w:t>
            </w:r>
            <w:r>
              <w:rPr>
                <w:rFonts w:hint="default" w:ascii="Calibri" w:hAnsi="Calibri" w:eastAsia="宋体" w:cs="Calibri"/>
                <w:color w:val="auto"/>
                <w:sz w:val="24"/>
                <w:szCs w:val="24"/>
              </w:rPr>
              <w:t>运行期维护人员对设备进行定期检查，防止发生滴、漏现象；对事故油池的完好情况进行检查，确保无渗漏、无溢流。</w:t>
            </w:r>
          </w:p>
          <w:p w14:paraId="600B45D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Calibri" w:hAnsi="Calibri" w:eastAsia="宋体" w:cs="Calibri"/>
                <w:color w:val="auto"/>
                <w:sz w:val="24"/>
                <w:szCs w:val="24"/>
              </w:rPr>
            </w:pPr>
            <w:r>
              <w:rPr>
                <w:rFonts w:hint="default" w:ascii="Calibri" w:hAnsi="Calibri" w:eastAsia="宋体" w:cs="Calibri"/>
                <w:color w:val="auto"/>
                <w:sz w:val="24"/>
                <w:szCs w:val="24"/>
                <w:lang w:eastAsia="zh-CN"/>
              </w:rPr>
              <w:t>（</w:t>
            </w:r>
            <w:r>
              <w:rPr>
                <w:rFonts w:hint="default" w:ascii="Calibri" w:hAnsi="Calibri" w:eastAsia="宋体" w:cs="Calibri"/>
                <w:color w:val="auto"/>
                <w:sz w:val="24"/>
                <w:szCs w:val="24"/>
                <w:lang w:val="en-US" w:eastAsia="zh-CN"/>
              </w:rPr>
              <w:t>4</w:t>
            </w:r>
            <w:r>
              <w:rPr>
                <w:rFonts w:hint="default" w:ascii="Calibri" w:hAnsi="Calibri" w:eastAsia="宋体" w:cs="Calibri"/>
                <w:color w:val="auto"/>
                <w:sz w:val="24"/>
                <w:szCs w:val="24"/>
                <w:lang w:eastAsia="zh-CN"/>
              </w:rPr>
              <w:t>）</w:t>
            </w:r>
            <w:r>
              <w:rPr>
                <w:rFonts w:hint="default" w:ascii="Calibri" w:hAnsi="Calibri" w:eastAsia="宋体" w:cs="Calibri"/>
                <w:color w:val="auto"/>
                <w:sz w:val="24"/>
                <w:szCs w:val="24"/>
              </w:rPr>
              <w:t>主变压器万一发生事故漏油，可经设备下方的贮油坑收集后汇入事故油池进行油水分离，大部分绝缘油回用，少部分废油和形成的油泥等危险废物交由有相应危废处理资质的单位依法合规地进行回收、处置，不外排。</w:t>
            </w:r>
          </w:p>
          <w:p w14:paraId="626D36E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Calibri" w:hAnsi="Calibri" w:eastAsia="宋体" w:cs="Calibri"/>
                <w:color w:val="auto"/>
                <w:sz w:val="24"/>
                <w:szCs w:val="24"/>
              </w:rPr>
            </w:pPr>
            <w:r>
              <w:rPr>
                <w:rFonts w:hint="default" w:ascii="Calibri" w:hAnsi="Calibri" w:eastAsia="宋体" w:cs="Calibri"/>
                <w:color w:val="auto"/>
                <w:sz w:val="24"/>
                <w:szCs w:val="24"/>
                <w:lang w:eastAsia="zh-CN"/>
              </w:rPr>
              <w:t>（</w:t>
            </w:r>
            <w:r>
              <w:rPr>
                <w:rFonts w:hint="default" w:ascii="Calibri" w:hAnsi="Calibri" w:cs="Calibri"/>
                <w:color w:val="auto"/>
                <w:sz w:val="24"/>
                <w:szCs w:val="24"/>
                <w:lang w:val="en-US" w:eastAsia="zh-CN"/>
              </w:rPr>
              <w:t>5</w:t>
            </w:r>
            <w:r>
              <w:rPr>
                <w:rFonts w:hint="default" w:ascii="Calibri" w:hAnsi="Calibri" w:eastAsia="宋体" w:cs="Calibri"/>
                <w:color w:val="auto"/>
                <w:sz w:val="24"/>
                <w:szCs w:val="24"/>
                <w:lang w:eastAsia="zh-CN"/>
              </w:rPr>
              <w:t>）</w:t>
            </w:r>
            <w:r>
              <w:rPr>
                <w:rFonts w:hint="default" w:ascii="Calibri" w:hAnsi="Calibri" w:eastAsia="宋体" w:cs="Calibri"/>
                <w:color w:val="auto"/>
                <w:sz w:val="24"/>
                <w:szCs w:val="24"/>
              </w:rPr>
              <w:t>对转移危险废物，必须按照国家有关规定申报登记，严格执行《危险废物转移管理办法》有关规定。</w:t>
            </w:r>
          </w:p>
          <w:p w14:paraId="4DAC75F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Calibri" w:hAnsi="Calibri" w:eastAsia="宋体" w:cs="Calibri"/>
                <w:color w:val="auto"/>
                <w:sz w:val="24"/>
                <w:szCs w:val="24"/>
              </w:rPr>
            </w:pPr>
            <w:r>
              <w:rPr>
                <w:rFonts w:hint="default" w:ascii="Calibri" w:hAnsi="Calibri" w:eastAsia="宋体" w:cs="Calibri"/>
                <w:color w:val="auto"/>
                <w:sz w:val="24"/>
                <w:szCs w:val="24"/>
                <w:lang w:eastAsia="zh-CN"/>
              </w:rPr>
              <w:t>（</w:t>
            </w:r>
            <w:r>
              <w:rPr>
                <w:rFonts w:hint="default" w:ascii="Calibri" w:hAnsi="Calibri" w:cs="Calibri"/>
                <w:color w:val="auto"/>
                <w:sz w:val="24"/>
                <w:szCs w:val="24"/>
                <w:lang w:val="en-US" w:eastAsia="zh-CN"/>
              </w:rPr>
              <w:t>6</w:t>
            </w:r>
            <w:r>
              <w:rPr>
                <w:rFonts w:hint="default" w:ascii="Calibri" w:hAnsi="Calibri" w:eastAsia="宋体" w:cs="Calibri"/>
                <w:color w:val="auto"/>
                <w:sz w:val="24"/>
                <w:szCs w:val="24"/>
                <w:lang w:eastAsia="zh-CN"/>
              </w:rPr>
              <w:t>）</w:t>
            </w:r>
            <w:r>
              <w:rPr>
                <w:rFonts w:hint="default" w:ascii="Calibri" w:hAnsi="Calibri" w:eastAsia="宋体" w:cs="Calibri"/>
                <w:color w:val="auto"/>
                <w:sz w:val="24"/>
                <w:szCs w:val="24"/>
              </w:rPr>
              <w:t>建立危废产生及转运台账。</w:t>
            </w:r>
          </w:p>
          <w:p w14:paraId="1815FAB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Calibri" w:hAnsi="Calibri" w:eastAsia="宋体" w:cs="Calibri"/>
                <w:color w:val="auto"/>
                <w:sz w:val="24"/>
                <w:szCs w:val="24"/>
              </w:rPr>
            </w:pPr>
            <w:r>
              <w:rPr>
                <w:rFonts w:hint="default" w:ascii="Calibri" w:hAnsi="Calibri" w:eastAsia="宋体" w:cs="Calibri"/>
                <w:color w:val="auto"/>
                <w:sz w:val="24"/>
                <w:szCs w:val="24"/>
                <w:lang w:eastAsia="zh-CN"/>
              </w:rPr>
              <w:t>（</w:t>
            </w:r>
            <w:r>
              <w:rPr>
                <w:rFonts w:hint="default" w:ascii="Calibri" w:hAnsi="Calibri" w:cs="Calibri"/>
                <w:color w:val="auto"/>
                <w:sz w:val="24"/>
                <w:szCs w:val="24"/>
                <w:lang w:val="en-US" w:eastAsia="zh-CN"/>
              </w:rPr>
              <w:t>7</w:t>
            </w:r>
            <w:r>
              <w:rPr>
                <w:rFonts w:hint="default" w:ascii="Calibri" w:hAnsi="Calibri" w:eastAsia="宋体" w:cs="Calibri"/>
                <w:color w:val="auto"/>
                <w:sz w:val="24"/>
                <w:szCs w:val="24"/>
                <w:lang w:eastAsia="zh-CN"/>
              </w:rPr>
              <w:t>）</w:t>
            </w:r>
            <w:r>
              <w:rPr>
                <w:rFonts w:hint="default" w:ascii="Calibri" w:hAnsi="Calibri" w:eastAsia="宋体" w:cs="Calibri"/>
                <w:color w:val="auto"/>
                <w:sz w:val="24"/>
                <w:szCs w:val="24"/>
              </w:rPr>
              <w:t>站区设置了监控系统，站内设一套遥视系统，对站内的电气设备及运行环境进行图像监视，并能向各级调度传送遥信、遥测、遥控、遥调等信息。可及时发现问题，避免事故发生。</w:t>
            </w:r>
          </w:p>
          <w:p w14:paraId="49EE067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Calibri" w:hAnsi="Calibri" w:eastAsia="宋体" w:cs="Calibri"/>
                <w:color w:val="auto"/>
                <w:sz w:val="24"/>
                <w:szCs w:val="24"/>
              </w:rPr>
            </w:pPr>
            <w:r>
              <w:rPr>
                <w:rFonts w:hint="default" w:ascii="Calibri" w:hAnsi="Calibri" w:eastAsia="宋体" w:cs="Calibri"/>
                <w:color w:val="auto"/>
                <w:sz w:val="24"/>
                <w:szCs w:val="24"/>
                <w:lang w:eastAsia="zh-CN"/>
              </w:rPr>
              <w:t>（</w:t>
            </w:r>
            <w:r>
              <w:rPr>
                <w:rFonts w:hint="default" w:ascii="Calibri" w:hAnsi="Calibri" w:cs="Calibri"/>
                <w:color w:val="auto"/>
                <w:sz w:val="24"/>
                <w:szCs w:val="24"/>
                <w:lang w:val="en-US" w:eastAsia="zh-CN"/>
              </w:rPr>
              <w:t>8</w:t>
            </w:r>
            <w:r>
              <w:rPr>
                <w:rFonts w:hint="default" w:ascii="Calibri" w:hAnsi="Calibri" w:eastAsia="宋体" w:cs="Calibri"/>
                <w:color w:val="auto"/>
                <w:sz w:val="24"/>
                <w:szCs w:val="24"/>
                <w:lang w:eastAsia="zh-CN"/>
              </w:rPr>
              <w:t>）</w:t>
            </w:r>
            <w:r>
              <w:rPr>
                <w:rFonts w:hint="default" w:ascii="Calibri" w:hAnsi="Calibri" w:eastAsia="宋体" w:cs="Calibri"/>
                <w:color w:val="auto"/>
                <w:sz w:val="24"/>
                <w:szCs w:val="24"/>
              </w:rPr>
              <w:t>建设单位应根据项目情况及特点编制企业突发环境风险事件应急预案送当地生态环境保护主管部门备案。</w:t>
            </w:r>
          </w:p>
          <w:p w14:paraId="160F0CAA">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7</w:t>
            </w:r>
            <w:r>
              <w:rPr>
                <w:rFonts w:hint="eastAsia" w:ascii="宋体" w:hAnsi="宋体" w:eastAsia="宋体" w:cs="宋体"/>
                <w:b/>
                <w:bCs/>
                <w:color w:val="auto"/>
                <w:sz w:val="24"/>
                <w:szCs w:val="24"/>
                <w:lang w:val="en-US" w:eastAsia="zh-CN"/>
              </w:rPr>
              <w:t>.6 分析结论</w:t>
            </w:r>
          </w:p>
          <w:p w14:paraId="19BFF9B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通过以上分析，本工程变电站运行期存在的主要事故油环境影响因素为站内主变压器内的变压器油事故排放，可能对环境产生一定的影响。</w:t>
            </w:r>
          </w:p>
          <w:p w14:paraId="50C6E14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ascii="宋体" w:hAnsi="宋体" w:cs="宋体"/>
                <w:bCs/>
                <w:color w:val="auto"/>
                <w:sz w:val="24"/>
                <w:szCs w:val="24"/>
              </w:rPr>
            </w:pPr>
            <w:r>
              <w:rPr>
                <w:rFonts w:hint="eastAsia" w:ascii="宋体" w:hAnsi="宋体" w:eastAsia="宋体" w:cs="宋体"/>
                <w:color w:val="auto"/>
                <w:sz w:val="24"/>
                <w:szCs w:val="24"/>
              </w:rPr>
              <w:t>通过设置满足事故排油容积要求的事故油池，废变压器油委托有相应危废处理资质的单位依法合规地进行回收、处置，不外排，同时加强管理、采取环境保护措施、应急措施等可将事故油环境影响降到最低，环境影响可接受。</w:t>
            </w:r>
          </w:p>
        </w:tc>
      </w:tr>
      <w:tr w14:paraId="1A682E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879" w:type="dxa"/>
            <w:noWrap w:val="0"/>
            <w:vAlign w:val="center"/>
          </w:tcPr>
          <w:p w14:paraId="3E170BB1">
            <w:pPr>
              <w:pStyle w:val="20"/>
              <w:adjustRightInd w:val="0"/>
              <w:snapToGrid w:val="0"/>
              <w:spacing w:before="0" w:beforeAutospacing="0" w:after="0" w:afterAutospacing="0"/>
              <w:jc w:val="center"/>
              <w:rPr>
                <w:rFonts w:cs="宋体"/>
                <w:bCs/>
                <w:color w:val="auto"/>
                <w:kern w:val="2"/>
                <w:sz w:val="24"/>
                <w:szCs w:val="24"/>
              </w:rPr>
            </w:pPr>
            <w:r>
              <w:rPr>
                <w:rFonts w:hint="eastAsia" w:cs="宋体"/>
                <w:bCs/>
                <w:color w:val="auto"/>
                <w:kern w:val="2"/>
                <w:sz w:val="24"/>
                <w:szCs w:val="24"/>
              </w:rPr>
              <w:t>选址选线环境合理性分析</w:t>
            </w:r>
          </w:p>
        </w:tc>
        <w:tc>
          <w:tcPr>
            <w:tcW w:w="8363" w:type="dxa"/>
            <w:noWrap w:val="0"/>
            <w:vAlign w:val="top"/>
          </w:tcPr>
          <w:p w14:paraId="0CD1BA7B">
            <w:pPr>
              <w:pStyle w:val="10"/>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lang w:val="en-US" w:eastAsia="zh-CN"/>
              </w:rPr>
            </w:pPr>
            <w:r>
              <w:rPr>
                <w:rFonts w:hint="eastAsia"/>
                <w:color w:val="auto"/>
                <w:lang w:val="en-US" w:eastAsia="zh-CN"/>
              </w:rPr>
              <w:t>根据《环境影响评价技术导则 输变电》（HJ24-2020），应按照《输变电建设项目环境保护技术要求》（HJ1113-2020）的规定进行选址选线环境合理性分析。本项目与《输变电建设项目环境保护技术要求》的选址选线环境合理性分析见表4-9。</w:t>
            </w:r>
          </w:p>
          <w:p w14:paraId="73874724">
            <w:pPr>
              <w:pStyle w:val="10"/>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b w:val="0"/>
                <w:bCs w:val="0"/>
                <w:color w:val="auto"/>
                <w:lang w:val="en-US" w:eastAsia="zh-CN"/>
              </w:rPr>
            </w:pPr>
            <w:r>
              <w:rPr>
                <w:rFonts w:hint="eastAsia"/>
                <w:b/>
                <w:bCs/>
                <w:color w:val="auto"/>
                <w:lang w:val="en-US" w:eastAsia="zh-CN"/>
              </w:rPr>
              <w:t>表4-9        与《输变电建设项目环境保护技术要求》的符合性分析</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456"/>
              <w:gridCol w:w="3315"/>
              <w:gridCol w:w="3236"/>
              <w:gridCol w:w="674"/>
            </w:tblGrid>
            <w:tr w14:paraId="78B1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280" w:type="pct"/>
                  <w:noWrap w:val="0"/>
                  <w:vAlign w:val="center"/>
                </w:tcPr>
                <w:p w14:paraId="5EE14D12">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2316" w:type="pct"/>
                  <w:gridSpan w:val="2"/>
                  <w:noWrap w:val="0"/>
                  <w:vAlign w:val="center"/>
                </w:tcPr>
                <w:p w14:paraId="5F2DC86A">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具体要求</w:t>
                  </w:r>
                </w:p>
              </w:tc>
              <w:tc>
                <w:tcPr>
                  <w:tcW w:w="1987" w:type="pct"/>
                  <w:noWrap w:val="0"/>
                  <w:vAlign w:val="center"/>
                </w:tcPr>
                <w:p w14:paraId="12D10B8C">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项目实际情况</w:t>
                  </w:r>
                </w:p>
              </w:tc>
              <w:tc>
                <w:tcPr>
                  <w:tcW w:w="414" w:type="pct"/>
                  <w:noWrap w:val="0"/>
                  <w:vAlign w:val="center"/>
                </w:tcPr>
                <w:p w14:paraId="3FC83223">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是否符合</w:t>
                  </w:r>
                </w:p>
              </w:tc>
            </w:tr>
            <w:tr w14:paraId="0389C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80" w:type="pct"/>
                  <w:noWrap w:val="0"/>
                  <w:vAlign w:val="center"/>
                </w:tcPr>
                <w:p w14:paraId="5B0A350E">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80" w:type="pct"/>
                  <w:vMerge w:val="restart"/>
                  <w:noWrap w:val="0"/>
                  <w:vAlign w:val="center"/>
                </w:tcPr>
                <w:p w14:paraId="65CDED12">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选址选线</w:t>
                  </w:r>
                </w:p>
              </w:tc>
              <w:tc>
                <w:tcPr>
                  <w:tcW w:w="2035" w:type="pct"/>
                  <w:noWrap w:val="0"/>
                  <w:vAlign w:val="center"/>
                </w:tcPr>
                <w:p w14:paraId="4F762C38">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工程选址选线应符合规划环境影响评价文件的要求</w:t>
                  </w:r>
                </w:p>
              </w:tc>
              <w:tc>
                <w:tcPr>
                  <w:tcW w:w="1987" w:type="pct"/>
                  <w:noWrap w:val="0"/>
                  <w:vAlign w:val="center"/>
                </w:tcPr>
                <w:p w14:paraId="3AF516D4">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无</w:t>
                  </w:r>
                </w:p>
              </w:tc>
              <w:tc>
                <w:tcPr>
                  <w:tcW w:w="414" w:type="pct"/>
                  <w:noWrap w:val="0"/>
                  <w:vAlign w:val="center"/>
                </w:tcPr>
                <w:p w14:paraId="02E7BB35">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297E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280" w:type="pct"/>
                  <w:noWrap w:val="0"/>
                  <w:vAlign w:val="center"/>
                </w:tcPr>
                <w:p w14:paraId="2681FD8D">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80" w:type="pct"/>
                  <w:vMerge w:val="continue"/>
                  <w:noWrap w:val="0"/>
                  <w:vAlign w:val="center"/>
                </w:tcPr>
                <w:p w14:paraId="69B1E3B1">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color w:val="auto"/>
                      <w:sz w:val="21"/>
                      <w:szCs w:val="21"/>
                    </w:rPr>
                  </w:pPr>
                </w:p>
              </w:tc>
              <w:tc>
                <w:tcPr>
                  <w:tcW w:w="2035" w:type="pct"/>
                  <w:noWrap w:val="0"/>
                  <w:vAlign w:val="center"/>
                </w:tcPr>
                <w:p w14:paraId="15FA4C7B">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输变电建设项目选址选线应符合生态保护红线管控要求，避让自然保护区、饮用水水源保护区等环境敏感区</w:t>
                  </w:r>
                </w:p>
              </w:tc>
              <w:tc>
                <w:tcPr>
                  <w:tcW w:w="1987" w:type="pct"/>
                  <w:noWrap w:val="0"/>
                  <w:vAlign w:val="center"/>
                </w:tcPr>
                <w:p w14:paraId="79ABADA7">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本项目选址不在生态保护红线管控区内，不涉及自然保护区、饮用水水源保护区等环境敏感区</w:t>
                  </w:r>
                  <w:r>
                    <w:rPr>
                      <w:rFonts w:hint="eastAsia" w:ascii="宋体" w:hAnsi="宋体" w:cs="宋体"/>
                      <w:color w:val="auto"/>
                      <w:sz w:val="21"/>
                      <w:szCs w:val="21"/>
                      <w:lang w:eastAsia="zh-CN"/>
                    </w:rPr>
                    <w:t>。</w:t>
                  </w:r>
                </w:p>
              </w:tc>
              <w:tc>
                <w:tcPr>
                  <w:tcW w:w="414" w:type="pct"/>
                  <w:noWrap w:val="0"/>
                  <w:vAlign w:val="center"/>
                </w:tcPr>
                <w:p w14:paraId="3AD637D2">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13A6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280" w:type="pct"/>
                  <w:noWrap w:val="0"/>
                  <w:vAlign w:val="center"/>
                </w:tcPr>
                <w:p w14:paraId="2CA77448">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80" w:type="pct"/>
                  <w:vMerge w:val="continue"/>
                  <w:noWrap w:val="0"/>
                  <w:vAlign w:val="center"/>
                </w:tcPr>
                <w:p w14:paraId="2297E9FC">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color w:val="auto"/>
                      <w:sz w:val="21"/>
                      <w:szCs w:val="21"/>
                    </w:rPr>
                  </w:pPr>
                </w:p>
              </w:tc>
              <w:tc>
                <w:tcPr>
                  <w:tcW w:w="2035" w:type="pct"/>
                  <w:noWrap w:val="0"/>
                  <w:vAlign w:val="center"/>
                </w:tcPr>
                <w:p w14:paraId="355818A7">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进入自然保护区的输电线路，应按照HJ19的要求开展生态现状调查，避让保护对象的集中分布区</w:t>
                  </w:r>
                </w:p>
              </w:tc>
              <w:tc>
                <w:tcPr>
                  <w:tcW w:w="1987" w:type="pct"/>
                  <w:noWrap w:val="0"/>
                  <w:vAlign w:val="center"/>
                </w:tcPr>
                <w:p w14:paraId="25C8F0AC">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本项目评价范围内不涉及自然保护区、饮用水水源保护区等环境敏感区</w:t>
                  </w:r>
                  <w:r>
                    <w:rPr>
                      <w:rFonts w:hint="eastAsia" w:ascii="宋体" w:hAnsi="宋体" w:cs="宋体"/>
                      <w:color w:val="auto"/>
                      <w:sz w:val="21"/>
                      <w:szCs w:val="21"/>
                      <w:lang w:eastAsia="zh-CN"/>
                    </w:rPr>
                    <w:t>。</w:t>
                  </w:r>
                </w:p>
              </w:tc>
              <w:tc>
                <w:tcPr>
                  <w:tcW w:w="414" w:type="pct"/>
                  <w:noWrap w:val="0"/>
                  <w:vAlign w:val="center"/>
                </w:tcPr>
                <w:p w14:paraId="3D72D518">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符合</w:t>
                  </w:r>
                </w:p>
              </w:tc>
            </w:tr>
            <w:tr w14:paraId="52F3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8" w:hRule="atLeast"/>
                <w:jc w:val="center"/>
              </w:trPr>
              <w:tc>
                <w:tcPr>
                  <w:tcW w:w="280" w:type="pct"/>
                  <w:noWrap w:val="0"/>
                  <w:vAlign w:val="center"/>
                </w:tcPr>
                <w:p w14:paraId="34DB7731">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default" w:ascii="Calibri" w:hAnsi="Calibri" w:eastAsia="宋体" w:cs="Calibri"/>
                      <w:color w:val="auto"/>
                      <w:sz w:val="21"/>
                      <w:szCs w:val="21"/>
                    </w:rPr>
                  </w:pPr>
                  <w:r>
                    <w:rPr>
                      <w:rFonts w:hint="default" w:ascii="Calibri" w:hAnsi="Calibri" w:eastAsia="宋体" w:cs="Calibri"/>
                      <w:color w:val="auto"/>
                      <w:sz w:val="21"/>
                      <w:szCs w:val="21"/>
                    </w:rPr>
                    <w:t>4</w:t>
                  </w:r>
                </w:p>
              </w:tc>
              <w:tc>
                <w:tcPr>
                  <w:tcW w:w="280" w:type="pct"/>
                  <w:vMerge w:val="continue"/>
                  <w:noWrap w:val="0"/>
                  <w:vAlign w:val="center"/>
                </w:tcPr>
                <w:p w14:paraId="3B11891A">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default" w:ascii="Calibri" w:hAnsi="Calibri" w:eastAsia="宋体" w:cs="Calibri"/>
                      <w:color w:val="auto"/>
                      <w:sz w:val="21"/>
                      <w:szCs w:val="21"/>
                    </w:rPr>
                  </w:pPr>
                </w:p>
              </w:tc>
              <w:tc>
                <w:tcPr>
                  <w:tcW w:w="2035" w:type="pct"/>
                  <w:noWrap w:val="0"/>
                  <w:vAlign w:val="center"/>
                </w:tcPr>
                <w:p w14:paraId="6EE8AA19">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default" w:ascii="Calibri" w:hAnsi="Calibri" w:eastAsia="宋体" w:cs="Calibri"/>
                      <w:color w:val="auto"/>
                      <w:sz w:val="21"/>
                      <w:szCs w:val="21"/>
                    </w:rPr>
                  </w:pPr>
                  <w:r>
                    <w:rPr>
                      <w:rFonts w:hint="default" w:ascii="Calibri" w:hAnsi="Calibri" w:eastAsia="宋体" w:cs="Calibri"/>
                      <w:color w:val="auto"/>
                      <w:sz w:val="21"/>
                      <w:szCs w:val="21"/>
                    </w:rPr>
                    <w:t>户外变电工程及规划架空进出线选址选线时，应关注以居住、医疗卫生、文化教育、科研、行政办公等为主要功能的区域，采取综合措施，减少电磁和声环境影响</w:t>
                  </w:r>
                </w:p>
              </w:tc>
              <w:tc>
                <w:tcPr>
                  <w:tcW w:w="1987" w:type="pct"/>
                  <w:noWrap w:val="0"/>
                  <w:vAlign w:val="center"/>
                </w:tcPr>
                <w:p w14:paraId="048F1F49">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rPr>
                    <w:t>本项目站址区域不涉及医疗卫生、文化教育、科研、行政办公等功能的区域，</w:t>
                  </w:r>
                  <w:r>
                    <w:rPr>
                      <w:rFonts w:hint="default" w:ascii="Calibri" w:hAnsi="Calibri" w:cs="Calibri"/>
                      <w:color w:val="auto"/>
                      <w:sz w:val="21"/>
                      <w:szCs w:val="21"/>
                      <w:lang w:val="en-US" w:eastAsia="zh-CN"/>
                    </w:rPr>
                    <w:t>不涉及</w:t>
                  </w:r>
                  <w:r>
                    <w:rPr>
                      <w:rFonts w:hint="default" w:ascii="Calibri" w:hAnsi="Calibri" w:eastAsia="宋体" w:cs="Calibri"/>
                      <w:color w:val="auto"/>
                      <w:sz w:val="21"/>
                      <w:szCs w:val="21"/>
                    </w:rPr>
                    <w:t>集中居住区</w:t>
                  </w:r>
                  <w:r>
                    <w:rPr>
                      <w:rFonts w:hint="default" w:ascii="Calibri" w:hAnsi="Calibri" w:cs="Calibri"/>
                      <w:color w:val="auto"/>
                      <w:sz w:val="21"/>
                      <w:szCs w:val="21"/>
                      <w:lang w:eastAsia="zh-CN"/>
                    </w:rPr>
                    <w:t>。</w:t>
                  </w:r>
                  <w:r>
                    <w:rPr>
                      <w:rFonts w:hint="default" w:ascii="Calibri" w:hAnsi="Calibri" w:cs="Calibri"/>
                      <w:color w:val="auto"/>
                      <w:sz w:val="21"/>
                      <w:szCs w:val="21"/>
                      <w:lang w:val="en-US" w:eastAsia="zh-CN"/>
                    </w:rPr>
                    <w:t>本项目变电站为户外式变电站。</w:t>
                  </w:r>
                </w:p>
              </w:tc>
              <w:tc>
                <w:tcPr>
                  <w:tcW w:w="414" w:type="pct"/>
                  <w:noWrap w:val="0"/>
                  <w:vAlign w:val="center"/>
                </w:tcPr>
                <w:p w14:paraId="3F40EBD0">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default" w:ascii="Calibri" w:hAnsi="Calibri" w:eastAsia="宋体" w:cs="Calibri"/>
                      <w:color w:val="auto"/>
                      <w:sz w:val="21"/>
                      <w:szCs w:val="21"/>
                    </w:rPr>
                  </w:pPr>
                  <w:r>
                    <w:rPr>
                      <w:rFonts w:hint="default" w:ascii="Calibri" w:hAnsi="Calibri" w:eastAsia="宋体" w:cs="Calibri"/>
                      <w:color w:val="auto"/>
                      <w:sz w:val="21"/>
                      <w:szCs w:val="21"/>
                    </w:rPr>
                    <w:t>符合</w:t>
                  </w:r>
                </w:p>
              </w:tc>
            </w:tr>
            <w:tr w14:paraId="69E5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280" w:type="pct"/>
                  <w:noWrap w:val="0"/>
                  <w:vAlign w:val="center"/>
                </w:tcPr>
                <w:p w14:paraId="14F0F293">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default" w:ascii="Calibri" w:hAnsi="Calibri" w:eastAsia="宋体" w:cs="Calibri"/>
                      <w:color w:val="auto"/>
                      <w:sz w:val="21"/>
                      <w:szCs w:val="21"/>
                    </w:rPr>
                  </w:pPr>
                  <w:r>
                    <w:rPr>
                      <w:rFonts w:hint="default" w:ascii="Calibri" w:hAnsi="Calibri" w:eastAsia="宋体" w:cs="Calibri"/>
                      <w:color w:val="auto"/>
                      <w:sz w:val="21"/>
                      <w:szCs w:val="21"/>
                    </w:rPr>
                    <w:t>5</w:t>
                  </w:r>
                </w:p>
              </w:tc>
              <w:tc>
                <w:tcPr>
                  <w:tcW w:w="280" w:type="pct"/>
                  <w:vMerge w:val="continue"/>
                  <w:noWrap w:val="0"/>
                  <w:vAlign w:val="center"/>
                </w:tcPr>
                <w:p w14:paraId="46B79658">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default" w:ascii="Calibri" w:hAnsi="Calibri" w:eastAsia="宋体" w:cs="Calibri"/>
                      <w:color w:val="auto"/>
                      <w:sz w:val="21"/>
                      <w:szCs w:val="21"/>
                    </w:rPr>
                  </w:pPr>
                </w:p>
              </w:tc>
              <w:tc>
                <w:tcPr>
                  <w:tcW w:w="2035" w:type="pct"/>
                  <w:noWrap w:val="0"/>
                  <w:vAlign w:val="center"/>
                </w:tcPr>
                <w:p w14:paraId="094D5345">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default" w:ascii="Calibri" w:hAnsi="Calibri" w:eastAsia="宋体" w:cs="Calibri"/>
                      <w:color w:val="auto"/>
                      <w:sz w:val="21"/>
                      <w:szCs w:val="21"/>
                    </w:rPr>
                  </w:pPr>
                  <w:r>
                    <w:rPr>
                      <w:rFonts w:hint="default" w:ascii="Calibri" w:hAnsi="Calibri" w:eastAsia="宋体" w:cs="Calibri"/>
                      <w:color w:val="auto"/>
                      <w:sz w:val="21"/>
                      <w:szCs w:val="21"/>
                    </w:rPr>
                    <w:t>输电线路宜避让集中林区，以减少林木砍伐，保护生态环境</w:t>
                  </w:r>
                </w:p>
              </w:tc>
              <w:tc>
                <w:tcPr>
                  <w:tcW w:w="1987" w:type="pct"/>
                  <w:noWrap w:val="0"/>
                  <w:vAlign w:val="center"/>
                </w:tcPr>
                <w:p w14:paraId="1B9B6C92">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本项目站内输电线路</w:t>
                  </w:r>
                  <w:r>
                    <w:rPr>
                      <w:rFonts w:hint="default" w:ascii="Calibri" w:hAnsi="Calibri" w:eastAsia="宋体" w:cs="Calibri"/>
                      <w:color w:val="auto"/>
                      <w:sz w:val="21"/>
                      <w:szCs w:val="21"/>
                      <w:lang w:val="en-US" w:eastAsia="zh-CN"/>
                    </w:rPr>
                    <w:t>用地类型为裸岩石砾地</w:t>
                  </w:r>
                  <w:r>
                    <w:rPr>
                      <w:rFonts w:hint="eastAsia" w:ascii="Calibri" w:hAnsi="Calibri" w:cs="Calibri"/>
                      <w:color w:val="auto"/>
                      <w:sz w:val="21"/>
                      <w:szCs w:val="21"/>
                      <w:lang w:val="en-US" w:eastAsia="zh-CN"/>
                    </w:rPr>
                    <w:t>和其他草地</w:t>
                  </w:r>
                  <w:r>
                    <w:rPr>
                      <w:rFonts w:hint="default" w:ascii="Calibri" w:hAnsi="Calibri" w:eastAsia="宋体" w:cs="Calibri"/>
                      <w:color w:val="auto"/>
                      <w:sz w:val="21"/>
                      <w:szCs w:val="21"/>
                    </w:rPr>
                    <w:t>，沿线无集中林区</w:t>
                  </w:r>
                  <w:r>
                    <w:rPr>
                      <w:rFonts w:hint="default" w:ascii="Calibri" w:hAnsi="Calibri" w:cs="Calibri"/>
                      <w:color w:val="auto"/>
                      <w:sz w:val="21"/>
                      <w:szCs w:val="21"/>
                      <w:lang w:eastAsia="zh-CN"/>
                    </w:rPr>
                    <w:t>。</w:t>
                  </w:r>
                </w:p>
              </w:tc>
              <w:tc>
                <w:tcPr>
                  <w:tcW w:w="414" w:type="pct"/>
                  <w:noWrap w:val="0"/>
                  <w:vAlign w:val="center"/>
                </w:tcPr>
                <w:p w14:paraId="61B614F9">
                  <w:pPr>
                    <w:pStyle w:val="35"/>
                    <w:keepNext w:val="0"/>
                    <w:keepLines w:val="0"/>
                    <w:pageBreakBefore w:val="0"/>
                    <w:widowControl w:val="0"/>
                    <w:kinsoku/>
                    <w:wordWrap/>
                    <w:overflowPunct/>
                    <w:topLinePunct w:val="0"/>
                    <w:autoSpaceDE w:val="0"/>
                    <w:autoSpaceDN w:val="0"/>
                    <w:bidi w:val="0"/>
                    <w:adjustRightInd w:val="0"/>
                    <w:snapToGrid w:val="0"/>
                    <w:textAlignment w:val="auto"/>
                    <w:rPr>
                      <w:rFonts w:hint="default" w:ascii="Calibri" w:hAnsi="Calibri" w:eastAsia="宋体" w:cs="Calibri"/>
                      <w:color w:val="auto"/>
                      <w:sz w:val="21"/>
                      <w:szCs w:val="21"/>
                    </w:rPr>
                  </w:pPr>
                  <w:r>
                    <w:rPr>
                      <w:rFonts w:hint="default" w:ascii="Calibri" w:hAnsi="Calibri" w:eastAsia="宋体" w:cs="Calibri"/>
                      <w:color w:val="auto"/>
                      <w:sz w:val="21"/>
                      <w:szCs w:val="21"/>
                    </w:rPr>
                    <w:t>符合</w:t>
                  </w:r>
                </w:p>
              </w:tc>
            </w:tr>
          </w:tbl>
          <w:p w14:paraId="5EDE3678">
            <w:pPr>
              <w:pStyle w:val="10"/>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Calibri" w:hAnsi="Calibri" w:eastAsia="宋体" w:cs="Calibri"/>
                <w:color w:val="auto"/>
                <w:lang w:val="en-US" w:eastAsia="zh-CN"/>
              </w:rPr>
            </w:pPr>
            <w:r>
              <w:rPr>
                <w:rFonts w:hint="default" w:ascii="Calibri" w:hAnsi="Calibri" w:eastAsia="宋体" w:cs="Calibri"/>
                <w:color w:val="auto"/>
                <w:lang w:val="en-US" w:eastAsia="zh-CN"/>
              </w:rPr>
              <w:t>本项目选址选线不存在环境制约因素，环境影响程度可接受，符合《输变电建设项目环境保护技术要求》（HJ1113-2020）中选址选线等相关技术要求，故本项目的选址选线环境合理。</w:t>
            </w:r>
            <w:r>
              <w:rPr>
                <w:rFonts w:hint="default" w:ascii="Calibri" w:hAnsi="Calibri" w:eastAsia="宋体" w:cs="Calibri"/>
                <w:i w:val="0"/>
                <w:iCs w:val="0"/>
                <w:caps w:val="0"/>
                <w:color w:val="auto"/>
                <w:spacing w:val="0"/>
                <w:sz w:val="24"/>
                <w:szCs w:val="24"/>
                <w:shd w:val="clear" w:fill="FFFFFF"/>
              </w:rPr>
              <w:t>经环境影响分析，变电站运行时周围不涉及的居民敏感目标，变电站运行对环境产生的影响可以接受。从环保角度分析，项目站址拟建区域不存在制约项目建设的环境因素。</w:t>
            </w:r>
          </w:p>
          <w:p w14:paraId="4514D289">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ascii="宋体" w:hAnsi="宋体" w:cs="宋体"/>
                <w:bCs/>
                <w:color w:val="auto"/>
                <w:sz w:val="24"/>
                <w:szCs w:val="24"/>
              </w:rPr>
            </w:pPr>
          </w:p>
          <w:p w14:paraId="4B24EAE4">
            <w:pPr>
              <w:pStyle w:val="18"/>
              <w:rPr>
                <w:rFonts w:ascii="宋体" w:hAnsi="宋体" w:cs="宋体"/>
                <w:bCs/>
                <w:color w:val="auto"/>
                <w:sz w:val="24"/>
                <w:szCs w:val="24"/>
              </w:rPr>
            </w:pPr>
          </w:p>
          <w:p w14:paraId="1BA8355C">
            <w:pPr>
              <w:pStyle w:val="18"/>
              <w:rPr>
                <w:rFonts w:ascii="宋体" w:hAnsi="宋体" w:cs="宋体"/>
                <w:bCs/>
                <w:color w:val="auto"/>
                <w:sz w:val="24"/>
                <w:szCs w:val="24"/>
              </w:rPr>
            </w:pPr>
          </w:p>
          <w:p w14:paraId="471CAF9D">
            <w:pPr>
              <w:pStyle w:val="18"/>
              <w:rPr>
                <w:rFonts w:ascii="宋体" w:hAnsi="宋体" w:cs="宋体"/>
                <w:bCs/>
                <w:color w:val="auto"/>
                <w:sz w:val="24"/>
                <w:szCs w:val="24"/>
              </w:rPr>
            </w:pPr>
          </w:p>
          <w:p w14:paraId="6753DCF8">
            <w:pPr>
              <w:pStyle w:val="18"/>
              <w:rPr>
                <w:rFonts w:ascii="宋体" w:hAnsi="宋体" w:cs="宋体"/>
                <w:bCs/>
                <w:color w:val="auto"/>
                <w:sz w:val="24"/>
                <w:szCs w:val="24"/>
              </w:rPr>
            </w:pPr>
          </w:p>
          <w:p w14:paraId="759EE563">
            <w:pPr>
              <w:pStyle w:val="18"/>
              <w:ind w:left="0" w:leftChars="0" w:firstLine="0" w:firstLineChars="0"/>
              <w:rPr>
                <w:rFonts w:ascii="宋体" w:hAnsi="宋体" w:cs="宋体"/>
                <w:bCs/>
                <w:color w:val="auto"/>
                <w:sz w:val="24"/>
                <w:szCs w:val="24"/>
              </w:rPr>
            </w:pPr>
          </w:p>
          <w:p w14:paraId="6A23CD75">
            <w:pPr>
              <w:pStyle w:val="18"/>
              <w:ind w:left="0" w:leftChars="0" w:firstLine="0" w:firstLineChars="0"/>
              <w:rPr>
                <w:rFonts w:ascii="宋体" w:hAnsi="宋体" w:cs="宋体"/>
                <w:bCs/>
                <w:color w:val="auto"/>
                <w:sz w:val="24"/>
                <w:szCs w:val="24"/>
              </w:rPr>
            </w:pPr>
          </w:p>
        </w:tc>
      </w:tr>
    </w:tbl>
    <w:p w14:paraId="6EB2684F">
      <w:pPr>
        <w:pStyle w:val="20"/>
        <w:jc w:val="center"/>
        <w:rPr>
          <w:rFonts w:ascii="黑体" w:hAnsi="黑体" w:eastAsia="黑体"/>
          <w:snapToGrid w:val="0"/>
          <w:color w:val="auto"/>
          <w:sz w:val="36"/>
          <w:szCs w:val="36"/>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425" w:num="1"/>
          <w:docGrid w:linePitch="312" w:charSpace="0"/>
        </w:sectPr>
      </w:pPr>
    </w:p>
    <w:p w14:paraId="5EBF4972">
      <w:pPr>
        <w:pStyle w:val="20"/>
        <w:adjustRightInd w:val="0"/>
        <w:snapToGrid w:val="0"/>
        <w:spacing w:before="0" w:beforeAutospacing="0" w:after="0" w:afterAutospacing="0" w:line="14" w:lineRule="auto"/>
        <w:jc w:val="center"/>
        <w:outlineLvl w:val="0"/>
        <w:rPr>
          <w:rFonts w:hint="eastAsia" w:ascii="黑体" w:hAnsi="黑体" w:eastAsia="黑体"/>
          <w:snapToGrid w:val="0"/>
          <w:color w:val="auto"/>
          <w:sz w:val="30"/>
          <w:szCs w:val="30"/>
        </w:rPr>
      </w:pPr>
    </w:p>
    <w:p w14:paraId="705109E8">
      <w:pPr>
        <w:pStyle w:val="20"/>
        <w:jc w:val="center"/>
        <w:outlineLvl w:val="0"/>
        <w:rPr>
          <w:rFonts w:ascii="黑体" w:hAnsi="黑体" w:eastAsia="黑体"/>
          <w:snapToGrid w:val="0"/>
          <w:color w:val="auto"/>
          <w:sz w:val="30"/>
          <w:szCs w:val="30"/>
        </w:rPr>
      </w:pPr>
      <w:bookmarkStart w:id="21" w:name="_Toc17884"/>
      <w:bookmarkStart w:id="22" w:name="_Toc4056"/>
      <w:r>
        <w:rPr>
          <w:rFonts w:hint="eastAsia" w:ascii="黑体" w:hAnsi="黑体" w:eastAsia="黑体"/>
          <w:snapToGrid w:val="0"/>
          <w:color w:val="auto"/>
          <w:sz w:val="30"/>
          <w:szCs w:val="30"/>
        </w:rPr>
        <w:t>五、主要生态环境保护措施</w:t>
      </w:r>
      <w:bookmarkEnd w:id="21"/>
      <w:bookmarkEnd w:id="22"/>
    </w:p>
    <w:tbl>
      <w:tblPr>
        <w:tblStyle w:val="22"/>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14:paraId="724DDC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53" w:type="dxa"/>
            <w:noWrap w:val="0"/>
            <w:tcMar>
              <w:left w:w="28" w:type="dxa"/>
              <w:right w:w="28" w:type="dxa"/>
            </w:tcMar>
            <w:vAlign w:val="center"/>
          </w:tcPr>
          <w:p w14:paraId="012FC1E1">
            <w:pPr>
              <w:adjustRightInd w:val="0"/>
              <w:snapToGrid w:val="0"/>
              <w:jc w:val="center"/>
              <w:rPr>
                <w:rFonts w:ascii="宋体" w:hAnsi="宋体"/>
                <w:bCs/>
                <w:color w:val="auto"/>
                <w:szCs w:val="21"/>
              </w:rPr>
            </w:pPr>
            <w:r>
              <w:rPr>
                <w:rFonts w:hint="eastAsia" w:ascii="宋体" w:hAnsi="宋体" w:cs="宋体"/>
                <w:bCs/>
                <w:color w:val="auto"/>
                <w:spacing w:val="10"/>
                <w:szCs w:val="21"/>
              </w:rPr>
              <w:t>施工期生态环境保护措施</w:t>
            </w:r>
          </w:p>
        </w:tc>
        <w:tc>
          <w:tcPr>
            <w:tcW w:w="8457" w:type="dxa"/>
            <w:noWrap w:val="0"/>
            <w:vAlign w:val="top"/>
          </w:tcPr>
          <w:p w14:paraId="32A23332">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val="0"/>
                <w:color w:val="auto"/>
                <w:sz w:val="24"/>
                <w:szCs w:val="24"/>
                <w:lang w:val="en-US" w:eastAsia="zh-CN"/>
              </w:rPr>
              <w:t>1 施工期生态环境保护措施</w:t>
            </w:r>
          </w:p>
          <w:p w14:paraId="1B0DEA15">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1.1 对占地影响的环境保护措施</w:t>
            </w:r>
          </w:p>
          <w:p w14:paraId="5BD04AD3">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加强对施工人员的环境保护意识教育，要求文明施工，</w:t>
            </w:r>
            <w:r>
              <w:rPr>
                <w:rFonts w:hint="eastAsia" w:ascii="宋体" w:hAnsi="宋体" w:eastAsia="宋体" w:cs="宋体"/>
                <w:bCs/>
                <w:color w:val="auto"/>
                <w:spacing w:val="0"/>
                <w:kern w:val="2"/>
                <w:sz w:val="24"/>
                <w:szCs w:val="24"/>
                <w:highlight w:val="none"/>
                <w:lang w:val="en-US" w:eastAsia="zh-CN" w:bidi="ar-SA"/>
              </w:rPr>
              <w:t>合理安排施工进度，尽量减少施工区域，缩短占地使用时间。</w:t>
            </w:r>
          </w:p>
          <w:p w14:paraId="5A579F0E">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1.2 对土壤</w:t>
            </w:r>
            <w:r>
              <w:rPr>
                <w:rFonts w:hint="eastAsia" w:ascii="宋体" w:hAnsi="宋体" w:eastAsia="宋体" w:cs="宋体"/>
                <w:b/>
                <w:bCs/>
                <w:color w:val="auto"/>
                <w:sz w:val="24"/>
                <w:szCs w:val="24"/>
                <w:lang w:val="en-US" w:eastAsia="zh-CN"/>
              </w:rPr>
              <w:t>影响的环境保护措施</w:t>
            </w:r>
          </w:p>
          <w:p w14:paraId="41019995">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Cs/>
                <w:color w:val="auto"/>
                <w:spacing w:val="0"/>
                <w:kern w:val="2"/>
                <w:sz w:val="24"/>
                <w:szCs w:val="24"/>
                <w:highlight w:val="none"/>
                <w:lang w:val="en-US" w:eastAsia="zh-CN" w:bidi="ar-SA"/>
              </w:rPr>
              <w:t>施工时应将表土收集堆放，合理控制施工机械和车辆对土壤的压力，避免土壤过度压实。</w:t>
            </w:r>
          </w:p>
          <w:p w14:paraId="2344C2FD">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1.</w:t>
            </w:r>
            <w:r>
              <w:rPr>
                <w:rFonts w:hint="eastAsia" w:ascii="宋体" w:hAnsi="宋体" w:cs="宋体"/>
                <w:b/>
                <w:bCs/>
                <w:color w:val="auto"/>
                <w:sz w:val="24"/>
                <w:szCs w:val="24"/>
                <w:lang w:val="en-US" w:eastAsia="zh-CN"/>
              </w:rPr>
              <w:t>3</w:t>
            </w:r>
            <w:r>
              <w:rPr>
                <w:rFonts w:hint="eastAsia" w:ascii="宋体" w:hAnsi="宋体" w:eastAsia="宋体" w:cs="宋体"/>
                <w:b/>
                <w:bCs/>
                <w:color w:val="auto"/>
                <w:sz w:val="24"/>
                <w:szCs w:val="24"/>
                <w:lang w:val="en-US" w:eastAsia="zh-CN"/>
              </w:rPr>
              <w:t xml:space="preserve"> 对植被影响的环境保护措施</w:t>
            </w:r>
          </w:p>
          <w:p w14:paraId="0EF98F77">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Cs/>
                <w:color w:val="auto"/>
                <w:spacing w:val="0"/>
                <w:kern w:val="2"/>
                <w:sz w:val="24"/>
                <w:szCs w:val="24"/>
                <w:highlight w:val="none"/>
                <w:lang w:val="en-US" w:eastAsia="zh-CN" w:bidi="ar-SA"/>
              </w:rPr>
              <w:t>施工时应将表土收集堆放，施工结束时覆在表层，以利恢复植被；尽量减少占用面积，开挖表土及时用于植被恢复，做好临时占地恢复工作‌‌。</w:t>
            </w:r>
          </w:p>
          <w:p w14:paraId="1054BECF">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w:t>
            </w:r>
            <w:r>
              <w:rPr>
                <w:rFonts w:hint="eastAsia" w:ascii="宋体" w:hAnsi="宋体" w:cs="宋体"/>
                <w:b/>
                <w:bCs/>
                <w:color w:val="auto"/>
                <w:sz w:val="24"/>
                <w:szCs w:val="24"/>
                <w:lang w:val="en-US" w:eastAsia="zh-CN"/>
              </w:rPr>
              <w:t>4</w:t>
            </w:r>
            <w:r>
              <w:rPr>
                <w:rFonts w:hint="eastAsia" w:ascii="宋体" w:hAnsi="宋体" w:eastAsia="宋体" w:cs="宋体"/>
                <w:b/>
                <w:bCs/>
                <w:color w:val="auto"/>
                <w:sz w:val="24"/>
                <w:szCs w:val="24"/>
                <w:lang w:val="en-US" w:eastAsia="zh-CN"/>
              </w:rPr>
              <w:t xml:space="preserve"> 对动物的环境保护措施</w:t>
            </w:r>
          </w:p>
          <w:p w14:paraId="2AFE1478">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施工机械属非连续性间歇排放，但由于噪声源相对集中，且多为裸露声源，故其有一定覆盖范围，施工区域的野生动物都将产生规避反应，迁往附近同类环境，动物迁徙能力强，且同类生境易于在附近找寻，故物种种群与数量不会受到明显影响，对野生动物的影响很小。禁止夜间施工，合理安排日间施工时间，减缓车辆行驶速度，禁止鸣笛，降低噪声对野生动物的影响。</w:t>
            </w:r>
          </w:p>
          <w:p w14:paraId="0A454337">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对</w:t>
            </w:r>
            <w:r>
              <w:rPr>
                <w:rFonts w:hint="eastAsia" w:ascii="宋体" w:hAnsi="宋体" w:eastAsia="宋体" w:cs="宋体"/>
                <w:bCs/>
                <w:color w:val="auto"/>
                <w:sz w:val="24"/>
                <w:szCs w:val="24"/>
                <w:lang w:val="en-US" w:eastAsia="zh-CN"/>
              </w:rPr>
              <w:t>施工开展人员野生动物保护法律法规的宣传，提高保护意识。制定文明施工行为规范，禁止捕捉野生动物等违法行为。</w:t>
            </w:r>
          </w:p>
          <w:p w14:paraId="47DF1BB8">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Calibri" w:hAnsi="Calibri" w:eastAsia="宋体" w:cs="Calibri"/>
                <w:color w:val="auto"/>
                <w:sz w:val="24"/>
                <w:szCs w:val="24"/>
                <w:lang w:val="en-US" w:eastAsia="zh-CN"/>
              </w:rPr>
            </w:pPr>
            <w:r>
              <w:rPr>
                <w:rFonts w:hint="default" w:ascii="Calibri" w:hAnsi="Calibri" w:eastAsia="宋体" w:cs="Calibri"/>
                <w:b/>
                <w:bCs/>
                <w:color w:val="auto"/>
                <w:sz w:val="24"/>
                <w:szCs w:val="24"/>
                <w:lang w:val="en-US" w:eastAsia="zh-CN"/>
              </w:rPr>
              <w:t>1.</w:t>
            </w:r>
            <w:r>
              <w:rPr>
                <w:rFonts w:hint="default" w:ascii="Calibri" w:hAnsi="Calibri" w:cs="Calibri"/>
                <w:b/>
                <w:bCs/>
                <w:color w:val="auto"/>
                <w:sz w:val="24"/>
                <w:szCs w:val="24"/>
                <w:lang w:val="en-US" w:eastAsia="zh-CN"/>
              </w:rPr>
              <w:t>5</w:t>
            </w:r>
            <w:r>
              <w:rPr>
                <w:rFonts w:hint="default" w:ascii="Calibri" w:hAnsi="Calibri" w:eastAsia="宋体" w:cs="Calibri"/>
                <w:b/>
                <w:bCs/>
                <w:color w:val="auto"/>
                <w:sz w:val="24"/>
                <w:szCs w:val="24"/>
                <w:lang w:val="en-US" w:eastAsia="zh-CN"/>
              </w:rPr>
              <w:t xml:space="preserve"> 对</w:t>
            </w:r>
            <w:r>
              <w:rPr>
                <w:rFonts w:hint="default" w:ascii="Calibri" w:hAnsi="Calibri" w:eastAsia="宋体" w:cs="Calibri"/>
                <w:b/>
                <w:bCs w:val="0"/>
                <w:color w:val="auto"/>
                <w:sz w:val="24"/>
                <w:szCs w:val="24"/>
                <w:lang w:val="en-US" w:eastAsia="zh-CN"/>
              </w:rPr>
              <w:t>水土流失</w:t>
            </w:r>
            <w:r>
              <w:rPr>
                <w:rFonts w:hint="default" w:ascii="Calibri" w:hAnsi="Calibri" w:cs="Calibri"/>
                <w:b/>
                <w:bCs w:val="0"/>
                <w:color w:val="auto"/>
                <w:sz w:val="24"/>
                <w:szCs w:val="24"/>
                <w:lang w:val="en-US" w:eastAsia="zh-CN"/>
              </w:rPr>
              <w:t>、防沙治沙</w:t>
            </w:r>
            <w:r>
              <w:rPr>
                <w:rFonts w:hint="default" w:ascii="Calibri" w:hAnsi="Calibri" w:eastAsia="宋体" w:cs="Calibri"/>
                <w:b/>
                <w:bCs w:val="0"/>
                <w:color w:val="auto"/>
                <w:sz w:val="24"/>
                <w:szCs w:val="24"/>
                <w:lang w:val="en-US" w:eastAsia="zh-CN"/>
              </w:rPr>
              <w:t>的</w:t>
            </w:r>
            <w:r>
              <w:rPr>
                <w:rFonts w:hint="default" w:ascii="Calibri" w:hAnsi="Calibri" w:eastAsia="宋体" w:cs="Calibri"/>
                <w:b/>
                <w:bCs/>
                <w:color w:val="auto"/>
                <w:sz w:val="24"/>
                <w:szCs w:val="24"/>
                <w:lang w:val="en-US" w:eastAsia="zh-CN"/>
              </w:rPr>
              <w:t>环境保护措施</w:t>
            </w:r>
          </w:p>
          <w:p w14:paraId="68E7AB07">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default" w:ascii="Calibri" w:hAnsi="Calibri" w:cs="Calibri"/>
                <w:bCs/>
                <w:color w:val="auto"/>
                <w:spacing w:val="10"/>
                <w:sz w:val="24"/>
                <w:szCs w:val="24"/>
                <w:lang w:val="en-US" w:eastAsia="zh-CN"/>
              </w:rPr>
            </w:pPr>
            <w:r>
              <w:rPr>
                <w:rFonts w:hint="default" w:ascii="Calibri" w:hAnsi="Calibri" w:cs="Calibri"/>
                <w:bCs/>
                <w:color w:val="auto"/>
                <w:spacing w:val="10"/>
                <w:sz w:val="24"/>
                <w:szCs w:val="24"/>
                <w:lang w:val="en-US" w:eastAsia="zh-CN"/>
              </w:rPr>
              <w:t>按照《中华人民共和国防沙治沙法》（2018年11月14日修订）有关规定以及《关于加强沙区建设项目环境影响评价工作的通知》（新环环评发〔2020〕138号）规定，项目实施过程中还应采取以下防沙治沙措施：</w:t>
            </w:r>
          </w:p>
          <w:p w14:paraId="721C20CF">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default" w:ascii="Calibri" w:hAnsi="Calibri" w:cs="Calibri"/>
                <w:bCs/>
                <w:color w:val="auto"/>
                <w:spacing w:val="10"/>
                <w:sz w:val="24"/>
                <w:szCs w:val="24"/>
                <w:lang w:val="en-US" w:eastAsia="zh-CN"/>
              </w:rPr>
            </w:pPr>
            <w:r>
              <w:rPr>
                <w:rFonts w:hint="default" w:ascii="Calibri" w:hAnsi="Calibri" w:cs="Calibri"/>
                <w:bCs/>
                <w:color w:val="auto"/>
                <w:spacing w:val="10"/>
                <w:sz w:val="24"/>
                <w:szCs w:val="24"/>
                <w:lang w:val="en-US" w:eastAsia="zh-CN"/>
              </w:rPr>
              <w:t>①根据当地工程经验，采用土地压实、洒水、结皮等措施；</w:t>
            </w:r>
          </w:p>
          <w:p w14:paraId="01372788">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default" w:ascii="Calibri" w:hAnsi="Calibri" w:cs="Calibri"/>
                <w:bCs/>
                <w:color w:val="auto"/>
                <w:spacing w:val="10"/>
                <w:sz w:val="24"/>
                <w:szCs w:val="24"/>
                <w:lang w:val="en-US" w:eastAsia="zh-CN"/>
              </w:rPr>
            </w:pPr>
            <w:r>
              <w:rPr>
                <w:rFonts w:hint="default" w:ascii="Calibri" w:hAnsi="Calibri" w:cs="Calibri"/>
                <w:bCs/>
                <w:color w:val="auto"/>
                <w:spacing w:val="10"/>
                <w:sz w:val="24"/>
                <w:szCs w:val="24"/>
                <w:lang w:val="en-US" w:eastAsia="zh-CN"/>
              </w:rPr>
              <w:t>②土方堆存过程中使用防尘网，并定期洒水抑尘；</w:t>
            </w:r>
          </w:p>
          <w:p w14:paraId="09E844FA">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default" w:ascii="Calibri" w:hAnsi="Calibri" w:cs="Calibri"/>
                <w:bCs/>
                <w:color w:val="auto"/>
                <w:spacing w:val="10"/>
                <w:sz w:val="24"/>
                <w:szCs w:val="24"/>
                <w:lang w:val="en-US" w:eastAsia="zh-CN"/>
              </w:rPr>
            </w:pPr>
            <w:r>
              <w:rPr>
                <w:rFonts w:hint="default" w:ascii="Calibri" w:hAnsi="Calibri" w:cs="Calibri"/>
                <w:bCs/>
                <w:color w:val="auto"/>
                <w:spacing w:val="10"/>
                <w:sz w:val="24"/>
                <w:szCs w:val="24"/>
                <w:lang w:val="en-US" w:eastAsia="zh-CN"/>
              </w:rPr>
              <w:t>③施工期间应划定施工活动范围，严格控制和管理运输车辆及重型机械的运行线路和范围，不得离开运输</w:t>
            </w:r>
            <w:r>
              <w:rPr>
                <w:rFonts w:hint="eastAsia" w:ascii="Calibri" w:hAnsi="Calibri" w:cs="Calibri"/>
                <w:bCs/>
                <w:color w:val="auto"/>
                <w:spacing w:val="10"/>
                <w:sz w:val="24"/>
                <w:szCs w:val="24"/>
                <w:lang w:val="en-US" w:eastAsia="zh-CN"/>
              </w:rPr>
              <w:t>道路</w:t>
            </w:r>
            <w:r>
              <w:rPr>
                <w:rFonts w:hint="default" w:ascii="Calibri" w:hAnsi="Calibri" w:cs="Calibri"/>
                <w:bCs/>
                <w:color w:val="auto"/>
                <w:spacing w:val="10"/>
                <w:sz w:val="24"/>
                <w:szCs w:val="24"/>
                <w:lang w:val="en-US" w:eastAsia="zh-CN"/>
              </w:rPr>
              <w:t>随意行驶，由专人负责，以防破坏土壤，加剧土地荒漠化；</w:t>
            </w:r>
          </w:p>
          <w:p w14:paraId="35CE2581">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default" w:ascii="Calibri" w:hAnsi="Calibri" w:cs="Calibri"/>
                <w:bCs/>
                <w:color w:val="auto"/>
                <w:spacing w:val="10"/>
                <w:sz w:val="24"/>
                <w:szCs w:val="24"/>
                <w:lang w:val="en-US" w:eastAsia="zh-CN"/>
              </w:rPr>
            </w:pPr>
            <w:r>
              <w:rPr>
                <w:rFonts w:hint="default" w:ascii="Calibri" w:hAnsi="Calibri" w:cs="Calibri"/>
                <w:bCs/>
                <w:color w:val="auto"/>
                <w:spacing w:val="10"/>
                <w:sz w:val="24"/>
                <w:szCs w:val="24"/>
                <w:lang w:val="en-US" w:eastAsia="zh-CN"/>
              </w:rPr>
              <w:t>④加强对施工现场和物料运输的管理，保持道路清洁，管控料堆和渣土堆放，防止扬尘污染。</w:t>
            </w:r>
          </w:p>
          <w:p w14:paraId="1AFA10FD">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default" w:ascii="Calibri" w:hAnsi="Calibri" w:cs="Calibri"/>
                <w:bCs/>
                <w:color w:val="auto"/>
                <w:spacing w:val="10"/>
                <w:sz w:val="24"/>
                <w:szCs w:val="24"/>
                <w:lang w:val="en-US" w:eastAsia="zh-CN"/>
              </w:rPr>
            </w:pPr>
            <w:r>
              <w:rPr>
                <w:rFonts w:hint="default" w:ascii="Calibri" w:hAnsi="Calibri" w:cs="Calibri"/>
                <w:bCs/>
                <w:color w:val="auto"/>
                <w:spacing w:val="10"/>
                <w:sz w:val="24"/>
                <w:szCs w:val="24"/>
                <w:lang w:val="en-US" w:eastAsia="zh-CN"/>
              </w:rPr>
              <w:t>⑤施工后及时清理现场，尽可能恢复原状地貌，做到“工完、料尽、场清、整洁”，恢复原有生态。</w:t>
            </w:r>
          </w:p>
          <w:p w14:paraId="702E37BA">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default" w:ascii="Calibri" w:hAnsi="Calibri" w:cs="Calibri"/>
                <w:bCs/>
                <w:color w:val="auto"/>
                <w:spacing w:val="10"/>
                <w:sz w:val="24"/>
                <w:szCs w:val="24"/>
                <w:lang w:val="en-US" w:eastAsia="zh-CN"/>
              </w:rPr>
            </w:pPr>
            <w:r>
              <w:rPr>
                <w:rFonts w:hint="default" w:ascii="Calibri" w:hAnsi="Calibri" w:cs="Calibri"/>
                <w:bCs/>
                <w:color w:val="auto"/>
                <w:spacing w:val="10"/>
                <w:sz w:val="24"/>
                <w:szCs w:val="24"/>
                <w:lang w:val="en-US" w:eastAsia="zh-CN"/>
              </w:rPr>
              <w:t>⑥合理规划临时工程的位置，尽可能减小扰动范围；临时施工场地在施工结束后及时清理施工垃圾，对施工场地进行平整、压实。</w:t>
            </w:r>
          </w:p>
          <w:p w14:paraId="014CDA5B">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default" w:ascii="Calibri" w:hAnsi="Calibri" w:cs="Calibri"/>
                <w:bCs/>
                <w:color w:val="auto"/>
                <w:spacing w:val="10"/>
                <w:sz w:val="24"/>
                <w:szCs w:val="24"/>
                <w:lang w:val="en-US" w:eastAsia="zh-CN"/>
              </w:rPr>
            </w:pPr>
            <w:r>
              <w:rPr>
                <w:rFonts w:hint="default" w:ascii="Calibri" w:hAnsi="Calibri" w:cs="Calibri"/>
                <w:bCs/>
                <w:color w:val="auto"/>
                <w:spacing w:val="10"/>
                <w:sz w:val="24"/>
                <w:szCs w:val="24"/>
                <w:lang w:val="en-US" w:eastAsia="zh-CN"/>
              </w:rPr>
              <w:t>⑦在土方开挖施工时，按照原土层顺序回填及覆盖，开挖回填，尽量不破坏表层土壤物理性质。</w:t>
            </w:r>
          </w:p>
          <w:p w14:paraId="4B9DA71A">
            <w:pPr>
              <w:keepNext w:val="0"/>
              <w:keepLines w:val="0"/>
              <w:pageBreakBefore w:val="0"/>
              <w:widowControl w:val="0"/>
              <w:kinsoku/>
              <w:wordWrap/>
              <w:overflowPunct/>
              <w:topLinePunct w:val="0"/>
              <w:autoSpaceDE/>
              <w:autoSpaceDN/>
              <w:bidi w:val="0"/>
              <w:adjustRightInd w:val="0"/>
              <w:snapToGrid w:val="0"/>
              <w:spacing w:line="480" w:lineRule="exact"/>
              <w:ind w:firstLine="520" w:firstLineChars="200"/>
              <w:textAlignment w:val="auto"/>
              <w:rPr>
                <w:rFonts w:hint="default" w:ascii="Calibri" w:hAnsi="Calibri" w:cs="Calibri"/>
                <w:bCs/>
                <w:color w:val="auto"/>
                <w:spacing w:val="10"/>
                <w:sz w:val="24"/>
                <w:szCs w:val="24"/>
                <w:lang w:val="en-US" w:eastAsia="zh-CN"/>
              </w:rPr>
            </w:pPr>
            <w:r>
              <w:rPr>
                <w:rFonts w:hint="default" w:ascii="Calibri" w:hAnsi="Calibri" w:cs="Calibri"/>
                <w:bCs/>
                <w:color w:val="auto"/>
                <w:spacing w:val="10"/>
                <w:sz w:val="24"/>
                <w:szCs w:val="24"/>
                <w:lang w:val="en-US" w:eastAsia="zh-CN"/>
              </w:rPr>
              <w:t>⑧加强防沙治沙法规宣传，对施工人员进行培训和教育，督促其自觉保护项目区周边植被。</w:t>
            </w:r>
          </w:p>
          <w:p w14:paraId="72D99727">
            <w:pPr>
              <w:keepNext w:val="0"/>
              <w:keepLines w:val="0"/>
              <w:pageBreakBefore w:val="0"/>
              <w:widowControl w:val="0"/>
              <w:kinsoku/>
              <w:wordWrap/>
              <w:overflowPunct/>
              <w:topLinePunct w:val="0"/>
              <w:autoSpaceDE/>
              <w:autoSpaceDN/>
              <w:bidi w:val="0"/>
              <w:spacing w:line="480" w:lineRule="exact"/>
              <w:ind w:firstLine="520" w:firstLineChars="200"/>
              <w:textAlignment w:val="auto"/>
              <w:rPr>
                <w:rFonts w:hint="default" w:ascii="Calibri" w:hAnsi="Calibri" w:eastAsia="宋体" w:cs="Calibri"/>
                <w:color w:val="auto"/>
                <w:sz w:val="24"/>
                <w:szCs w:val="24"/>
              </w:rPr>
            </w:pPr>
            <w:r>
              <w:rPr>
                <w:rFonts w:hint="default" w:ascii="Calibri" w:hAnsi="Calibri" w:eastAsia="宋体" w:cs="Calibri"/>
                <w:bCs/>
                <w:color w:val="auto"/>
                <w:spacing w:val="10"/>
                <w:sz w:val="24"/>
                <w:szCs w:val="24"/>
                <w:lang w:val="en-US" w:eastAsia="zh-CN"/>
              </w:rPr>
              <w:t>采取以上措施后，可防止区域土地沙化，项目建设对区域内生态环境的影响较小。</w:t>
            </w:r>
          </w:p>
          <w:p w14:paraId="4DECFC30">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Calibri" w:hAnsi="Calibri" w:cs="Calibri"/>
                <w:b/>
                <w:bCs/>
                <w:color w:val="auto"/>
                <w:sz w:val="24"/>
                <w:szCs w:val="24"/>
                <w:lang w:val="en-US" w:eastAsia="zh-CN"/>
              </w:rPr>
            </w:pPr>
            <w:r>
              <w:rPr>
                <w:rFonts w:hint="default" w:ascii="Calibri" w:hAnsi="Calibri" w:cs="Calibri"/>
                <w:b/>
                <w:bCs/>
                <w:color w:val="auto"/>
                <w:sz w:val="24"/>
                <w:szCs w:val="24"/>
                <w:lang w:val="en-US" w:eastAsia="zh-CN"/>
              </w:rPr>
              <w:t>1.6 水域环境保护措施</w:t>
            </w:r>
          </w:p>
          <w:p w14:paraId="5EAF5F1C">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Calibri" w:hAnsi="Calibri" w:eastAsia="宋体" w:cs="Calibri"/>
                <w:b w:val="0"/>
                <w:bCs w:val="0"/>
                <w:color w:val="auto"/>
                <w:kern w:val="2"/>
                <w:sz w:val="24"/>
                <w:szCs w:val="24"/>
                <w:lang w:val="en-US" w:eastAsia="zh-CN" w:bidi="ar-SA"/>
              </w:rPr>
            </w:pPr>
            <w:r>
              <w:rPr>
                <w:rFonts w:hint="default" w:ascii="Calibri" w:hAnsi="Calibri" w:eastAsia="宋体" w:cs="Calibri"/>
                <w:b w:val="0"/>
                <w:bCs w:val="0"/>
                <w:color w:val="auto"/>
                <w:kern w:val="2"/>
                <w:sz w:val="24"/>
                <w:szCs w:val="24"/>
                <w:lang w:val="en-US" w:eastAsia="zh-CN" w:bidi="ar-SA"/>
              </w:rPr>
              <w:t>施工期产生的生活污水、生活垃圾、弃土石方等严禁排入</w:t>
            </w:r>
            <w:r>
              <w:rPr>
                <w:rFonts w:hint="default" w:ascii="Calibri" w:hAnsi="Calibri" w:cs="Calibri"/>
                <w:b w:val="0"/>
                <w:bCs w:val="0"/>
                <w:color w:val="auto"/>
                <w:kern w:val="2"/>
                <w:sz w:val="24"/>
                <w:szCs w:val="24"/>
                <w:lang w:val="en-US" w:eastAsia="zh-CN" w:bidi="ar-SA"/>
              </w:rPr>
              <w:t>若羌河</w:t>
            </w:r>
            <w:r>
              <w:rPr>
                <w:rFonts w:hint="default" w:ascii="Calibri" w:hAnsi="Calibri" w:eastAsia="宋体" w:cs="Calibri"/>
                <w:b w:val="0"/>
                <w:bCs w:val="0"/>
                <w:color w:val="auto"/>
                <w:kern w:val="2"/>
                <w:sz w:val="24"/>
                <w:szCs w:val="24"/>
                <w:lang w:val="en-US" w:eastAsia="zh-CN" w:bidi="ar-SA"/>
              </w:rPr>
              <w:t>。</w:t>
            </w:r>
            <w:r>
              <w:rPr>
                <w:rFonts w:hint="default" w:ascii="Calibri" w:hAnsi="Calibri" w:cs="Calibri"/>
                <w:b w:val="0"/>
                <w:bCs w:val="0"/>
                <w:color w:val="auto"/>
                <w:kern w:val="2"/>
                <w:sz w:val="24"/>
                <w:szCs w:val="24"/>
                <w:lang w:val="en-US" w:eastAsia="zh-CN" w:bidi="ar-SA"/>
              </w:rPr>
              <w:t>若羌河</w:t>
            </w:r>
            <w:r>
              <w:rPr>
                <w:rFonts w:hint="default" w:ascii="Calibri" w:hAnsi="Calibri" w:eastAsia="宋体" w:cs="Calibri"/>
                <w:b w:val="0"/>
                <w:bCs w:val="0"/>
                <w:color w:val="auto"/>
                <w:kern w:val="2"/>
                <w:sz w:val="24"/>
                <w:szCs w:val="24"/>
                <w:lang w:val="en-US" w:eastAsia="zh-CN" w:bidi="ar-SA"/>
              </w:rPr>
              <w:t>水体功能主要为农业灌溉</w:t>
            </w:r>
            <w:r>
              <w:rPr>
                <w:rFonts w:hint="default" w:ascii="Calibri" w:hAnsi="Calibri" w:eastAsia="宋体" w:cs="Calibri"/>
                <w:b w:val="0"/>
                <w:bCs w:val="0"/>
                <w:color w:val="auto"/>
                <w:sz w:val="24"/>
                <w:szCs w:val="24"/>
                <w:lang w:eastAsia="zh-CN"/>
              </w:rPr>
              <w:t>（</w:t>
            </w:r>
            <w:r>
              <w:rPr>
                <w:rFonts w:hint="default" w:ascii="Calibri" w:hAnsi="Calibri" w:eastAsia="宋体" w:cs="Calibri"/>
                <w:b w:val="0"/>
                <w:bCs w:val="0"/>
                <w:color w:val="auto"/>
                <w:sz w:val="24"/>
                <w:szCs w:val="24"/>
                <w:lang w:val="en-US" w:eastAsia="zh-CN"/>
              </w:rPr>
              <w:t>输变电线路</w:t>
            </w:r>
            <w:r>
              <w:rPr>
                <w:rFonts w:hint="default" w:ascii="Calibri" w:hAnsi="Calibri" w:cs="Calibri"/>
                <w:b w:val="0"/>
                <w:bCs w:val="0"/>
                <w:color w:val="auto"/>
                <w:sz w:val="24"/>
                <w:szCs w:val="24"/>
                <w:lang w:val="en-US" w:eastAsia="zh-CN"/>
              </w:rPr>
              <w:t>途经</w:t>
            </w:r>
            <w:r>
              <w:rPr>
                <w:rFonts w:hint="default" w:ascii="Calibri" w:hAnsi="Calibri" w:eastAsia="宋体" w:cs="Calibri"/>
                <w:b w:val="0"/>
                <w:bCs w:val="0"/>
                <w:color w:val="auto"/>
                <w:sz w:val="24"/>
                <w:szCs w:val="24"/>
                <w:lang w:val="en-US" w:eastAsia="zh-CN"/>
              </w:rPr>
              <w:t>区域为</w:t>
            </w:r>
            <w:r>
              <w:rPr>
                <w:rFonts w:hint="eastAsia" w:ascii="Calibri" w:hAnsi="Calibri" w:cs="Calibri"/>
                <w:b w:val="0"/>
                <w:bCs w:val="0"/>
                <w:color w:val="auto"/>
                <w:sz w:val="24"/>
                <w:szCs w:val="24"/>
                <w:lang w:val="en-US" w:eastAsia="zh-CN"/>
              </w:rPr>
              <w:t>裸岩石砾地和其他草地</w:t>
            </w:r>
            <w:r>
              <w:rPr>
                <w:rFonts w:hint="default" w:ascii="Calibri" w:hAnsi="Calibri" w:eastAsia="宋体" w:cs="Calibri"/>
                <w:b w:val="0"/>
                <w:bCs w:val="0"/>
                <w:color w:val="auto"/>
                <w:sz w:val="24"/>
                <w:szCs w:val="24"/>
                <w:lang w:val="en-US" w:eastAsia="zh-CN"/>
              </w:rPr>
              <w:t>，不涉及农田</w:t>
            </w:r>
            <w:r>
              <w:rPr>
                <w:rFonts w:hint="default" w:ascii="Calibri" w:hAnsi="Calibri" w:eastAsia="宋体" w:cs="Calibri"/>
                <w:b w:val="0"/>
                <w:bCs w:val="0"/>
                <w:color w:val="auto"/>
                <w:sz w:val="24"/>
                <w:szCs w:val="24"/>
                <w:lang w:eastAsia="zh-CN"/>
              </w:rPr>
              <w:t>）</w:t>
            </w:r>
            <w:r>
              <w:rPr>
                <w:rFonts w:hint="default" w:ascii="Calibri" w:hAnsi="Calibri" w:eastAsia="宋体" w:cs="Calibri"/>
                <w:b w:val="0"/>
                <w:bCs w:val="0"/>
                <w:color w:val="auto"/>
                <w:kern w:val="2"/>
                <w:sz w:val="24"/>
                <w:szCs w:val="24"/>
                <w:lang w:val="en-US" w:eastAsia="zh-CN" w:bidi="ar-SA"/>
              </w:rPr>
              <w:t>，在跨越处上下游2km范围内不涉及饮用水源保护区、</w:t>
            </w:r>
            <w:r>
              <w:rPr>
                <w:rFonts w:hint="default" w:ascii="Calibri" w:hAnsi="Calibri" w:cs="Calibri"/>
                <w:b w:val="0"/>
                <w:bCs w:val="0"/>
                <w:color w:val="auto"/>
                <w:kern w:val="2"/>
                <w:sz w:val="24"/>
                <w:szCs w:val="24"/>
                <w:lang w:val="en-US" w:eastAsia="zh-CN" w:bidi="ar-SA"/>
              </w:rPr>
              <w:t>珍稀</w:t>
            </w:r>
            <w:r>
              <w:rPr>
                <w:rFonts w:hint="default" w:ascii="Calibri" w:hAnsi="Calibri" w:eastAsia="宋体" w:cs="Calibri"/>
                <w:b w:val="0"/>
                <w:bCs w:val="0"/>
                <w:color w:val="auto"/>
                <w:kern w:val="2"/>
                <w:sz w:val="24"/>
                <w:szCs w:val="24"/>
                <w:lang w:val="en-US" w:eastAsia="zh-CN" w:bidi="ar-SA"/>
              </w:rPr>
              <w:t>鱼类保护区等特殊生态敏感区，也无饮用水取水口等设施，该河段不属于泄洪引流区域，且对河道无施工扰动行为</w:t>
            </w:r>
            <w:r>
              <w:rPr>
                <w:rFonts w:hint="default" w:ascii="Calibri" w:hAnsi="Calibri" w:cs="Calibri"/>
                <w:b w:val="0"/>
                <w:bCs w:val="0"/>
                <w:color w:val="auto"/>
                <w:kern w:val="2"/>
                <w:sz w:val="24"/>
                <w:szCs w:val="24"/>
                <w:lang w:val="en-US" w:eastAsia="zh-CN" w:bidi="ar-SA"/>
              </w:rPr>
              <w:t>，</w:t>
            </w:r>
            <w:r>
              <w:rPr>
                <w:rFonts w:hint="default" w:ascii="Calibri" w:hAnsi="Calibri" w:cs="Calibri"/>
                <w:color w:val="auto"/>
                <w:kern w:val="0"/>
                <w:sz w:val="24"/>
                <w:szCs w:val="24"/>
                <w:lang w:val="en-US" w:eastAsia="zh-CN" w:bidi="ar"/>
              </w:rPr>
              <w:t>不在河道保护范围内立塔</w:t>
            </w:r>
            <w:r>
              <w:rPr>
                <w:rFonts w:hint="default" w:ascii="Calibri" w:hAnsi="Calibri" w:eastAsia="宋体" w:cs="Calibri"/>
                <w:b w:val="0"/>
                <w:bCs w:val="0"/>
                <w:color w:val="auto"/>
                <w:kern w:val="2"/>
                <w:sz w:val="24"/>
                <w:szCs w:val="24"/>
                <w:lang w:val="en-US" w:eastAsia="zh-CN" w:bidi="ar-SA"/>
              </w:rPr>
              <w:t>，不会改变该河段现有功能，对水环境影响较小。采取一档跨越河流，禁止向河流水体中排放固体废物、生活污水、泥浆废水，含油施工机械采取防止“跑冒滴漏"措施，防止油料污染水体。</w:t>
            </w:r>
          </w:p>
          <w:p w14:paraId="382F1F80">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Calibri" w:hAnsi="Calibri" w:eastAsia="宋体" w:cs="Calibri"/>
                <w:b/>
                <w:bCs/>
                <w:color w:val="auto"/>
                <w:sz w:val="24"/>
                <w:szCs w:val="24"/>
                <w:lang w:val="en-US" w:eastAsia="zh-CN"/>
              </w:rPr>
            </w:pPr>
            <w:r>
              <w:rPr>
                <w:rFonts w:hint="eastAsia" w:ascii="Calibri" w:hAnsi="Calibri" w:eastAsia="宋体" w:cs="Calibri"/>
                <w:b/>
                <w:bCs/>
                <w:color w:val="auto"/>
                <w:sz w:val="24"/>
                <w:szCs w:val="24"/>
                <w:lang w:val="en-US" w:eastAsia="zh-CN"/>
              </w:rPr>
              <w:t>1.7高山荒漠生态影响及恢复措施</w:t>
            </w:r>
          </w:p>
          <w:p w14:paraId="38BEFFD4">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Calibri" w:hAnsi="Calibri" w:cs="Calibri"/>
                <w:b w:val="0"/>
                <w:bCs w:val="0"/>
                <w:color w:val="auto"/>
                <w:kern w:val="2"/>
                <w:sz w:val="24"/>
                <w:szCs w:val="24"/>
                <w:lang w:val="en-US" w:eastAsia="zh-CN" w:bidi="ar-SA"/>
              </w:rPr>
            </w:pPr>
            <w:r>
              <w:rPr>
                <w:rFonts w:hint="eastAsia" w:ascii="Calibri" w:hAnsi="Calibri" w:cs="Calibri"/>
                <w:b w:val="0"/>
                <w:bCs w:val="0"/>
                <w:color w:val="auto"/>
                <w:kern w:val="2"/>
                <w:sz w:val="24"/>
                <w:szCs w:val="24"/>
                <w:lang w:val="en-US" w:eastAsia="zh-CN" w:bidi="ar-SA"/>
              </w:rPr>
              <w:t>高山荒漠生态系统是地球上最为脆弱的生态系统之一，高山荒漠区土壤疏松、植被覆盖度低，水土流失的本底敏感性就很高。施工扰动会使土壤侵蚀模数增长。</w:t>
            </w:r>
          </w:p>
          <w:p w14:paraId="69D3DC62">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Calibri" w:hAnsi="Calibri" w:cs="Calibri"/>
                <w:b w:val="0"/>
                <w:bCs w:val="0"/>
                <w:color w:val="auto"/>
                <w:kern w:val="2"/>
                <w:sz w:val="24"/>
                <w:szCs w:val="24"/>
                <w:lang w:val="en-US" w:eastAsia="zh-CN" w:bidi="ar-SA"/>
              </w:rPr>
            </w:pPr>
            <w:r>
              <w:rPr>
                <w:rFonts w:hint="eastAsia" w:ascii="Calibri" w:hAnsi="Calibri" w:cs="Calibri"/>
                <w:b w:val="0"/>
                <w:bCs w:val="0"/>
                <w:color w:val="auto"/>
                <w:kern w:val="2"/>
                <w:sz w:val="24"/>
                <w:szCs w:val="24"/>
                <w:lang w:val="en-US" w:eastAsia="zh-CN" w:bidi="ar-SA"/>
              </w:rPr>
              <w:t>恢复措施：减少对土壤的碾压和植被的破坏，做到“开挖一基，防护一基”。基坑开挖后，立即用防雨布覆盖裸露坡面。回填后，立即用砾石压盖或进行生态修复施工结束后，立即将保存的表土和生物结皮块回铺到所有扰动的区域（塔基区、施工便道等）。制定生态监测计划。监测指标包括：植被盖度、高度、物种多样性、生物结皮恢复度、土壤侵蚀状况、野生动物回归情况等。</w:t>
            </w:r>
          </w:p>
          <w:p w14:paraId="070474A7">
            <w:pPr>
              <w:keepNext w:val="0"/>
              <w:keepLines w:val="0"/>
              <w:pageBreakBefore w:val="0"/>
              <w:widowControl w:val="0"/>
              <w:kinsoku/>
              <w:wordWrap/>
              <w:overflowPunct/>
              <w:topLinePunct w:val="0"/>
              <w:autoSpaceDE/>
              <w:autoSpaceDN/>
              <w:bidi w:val="0"/>
              <w:adjustRightInd/>
              <w:snapToGrid/>
              <w:spacing w:line="480" w:lineRule="exact"/>
              <w:ind w:left="0" w:leftChars="0" w:firstLine="482" w:firstLineChars="200"/>
              <w:jc w:val="both"/>
              <w:textAlignment w:val="auto"/>
              <w:rPr>
                <w:rFonts w:hint="default" w:ascii="宋体" w:hAnsi="宋体" w:eastAsia="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2、</w:t>
            </w:r>
            <w:r>
              <w:rPr>
                <w:rFonts w:hint="eastAsia" w:ascii="宋体" w:hAnsi="宋体" w:eastAsia="宋体" w:cs="宋体"/>
                <w:b/>
                <w:bCs/>
                <w:color w:val="auto"/>
                <w:kern w:val="2"/>
                <w:sz w:val="24"/>
                <w:szCs w:val="24"/>
                <w:lang w:val="en-US" w:eastAsia="zh-CN" w:bidi="ar-SA"/>
              </w:rPr>
              <w:t>大气环境保护措施</w:t>
            </w:r>
          </w:p>
          <w:p w14:paraId="39555782">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加强对施工现场和物料运输的管理，保持道路清洁，管控料堆和渣土堆放，防止扬尘污染，运输采用带篷布的汽车</w:t>
            </w:r>
            <w:r>
              <w:rPr>
                <w:rFonts w:hint="eastAsia" w:ascii="宋体" w:hAnsi="宋体" w:cs="宋体"/>
                <w:color w:val="auto"/>
                <w:kern w:val="2"/>
                <w:sz w:val="24"/>
                <w:szCs w:val="24"/>
                <w:lang w:val="en-US" w:eastAsia="zh-CN" w:bidi="ar-SA"/>
              </w:rPr>
              <w:t>运输</w:t>
            </w:r>
            <w:r>
              <w:rPr>
                <w:rFonts w:hint="eastAsia" w:ascii="宋体" w:hAnsi="宋体" w:eastAsia="宋体" w:cs="宋体"/>
                <w:color w:val="auto"/>
                <w:kern w:val="2"/>
                <w:sz w:val="24"/>
                <w:szCs w:val="24"/>
                <w:lang w:val="en-US" w:eastAsia="zh-CN" w:bidi="ar-SA"/>
              </w:rPr>
              <w:t>，防止运输过程中物料散落造成扬尘。对易起尘的临时堆土、运输过程中的土石方等采取密闭式防尘布（网）进行苫盖，道路及施工面集中且有条件的地方宜采取洒水降水等有效措施，减少易造成大气污染的施工作业。对裸露地面进行覆盖，施工现场禁止将包装物、可燃垃圾等固体废弃物就地焚烧。通过落实上述措施，本项目可有效控制施工期扬尘的产生，对周边环境影响较小。</w:t>
            </w:r>
          </w:p>
          <w:p w14:paraId="051E8C9C">
            <w:pPr>
              <w:keepNext w:val="0"/>
              <w:keepLines w:val="0"/>
              <w:pageBreakBefore w:val="0"/>
              <w:widowControl w:val="0"/>
              <w:kinsoku/>
              <w:wordWrap/>
              <w:overflowPunct/>
              <w:topLinePunct w:val="0"/>
              <w:autoSpaceDE/>
              <w:autoSpaceDN/>
              <w:bidi w:val="0"/>
              <w:adjustRightInd/>
              <w:snapToGrid/>
              <w:spacing w:line="480" w:lineRule="exact"/>
              <w:ind w:left="0" w:leftChars="0" w:firstLine="482" w:firstLineChars="200"/>
              <w:jc w:val="both"/>
              <w:textAlignment w:val="auto"/>
              <w:rPr>
                <w:rFonts w:hint="default" w:ascii="Calibri" w:hAnsi="Calibri" w:eastAsia="宋体" w:cs="Calibri"/>
                <w:b/>
                <w:bCs/>
                <w:color w:val="auto"/>
                <w:kern w:val="2"/>
                <w:sz w:val="24"/>
                <w:szCs w:val="24"/>
                <w:lang w:val="en-US" w:eastAsia="zh-CN" w:bidi="ar-SA"/>
              </w:rPr>
            </w:pPr>
            <w:r>
              <w:rPr>
                <w:rFonts w:hint="eastAsia" w:ascii="Calibri" w:hAnsi="Calibri" w:cs="Calibri"/>
                <w:b/>
                <w:bCs/>
                <w:color w:val="auto"/>
                <w:kern w:val="2"/>
                <w:sz w:val="24"/>
                <w:szCs w:val="24"/>
                <w:lang w:val="en-US" w:eastAsia="zh-CN" w:bidi="ar-SA"/>
              </w:rPr>
              <w:t>3、</w:t>
            </w:r>
            <w:r>
              <w:rPr>
                <w:rFonts w:hint="default" w:ascii="Calibri" w:hAnsi="Calibri" w:eastAsia="宋体" w:cs="Calibri"/>
                <w:b/>
                <w:bCs/>
                <w:color w:val="auto"/>
                <w:kern w:val="2"/>
                <w:sz w:val="24"/>
                <w:szCs w:val="24"/>
                <w:lang w:val="en-US" w:eastAsia="zh-CN" w:bidi="ar-SA"/>
              </w:rPr>
              <w:t>水环境保护措施</w:t>
            </w:r>
          </w:p>
          <w:p w14:paraId="71B16603">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default" w:ascii="Calibri" w:hAnsi="Calibri" w:eastAsia="宋体" w:cs="Calibri"/>
                <w:color w:val="auto"/>
                <w:kern w:val="2"/>
                <w:sz w:val="24"/>
                <w:szCs w:val="24"/>
                <w:highlight w:val="none"/>
                <w:lang w:val="en-US" w:eastAsia="zh-CN" w:bidi="ar-SA"/>
              </w:rPr>
            </w:pPr>
            <w:r>
              <w:rPr>
                <w:rFonts w:hint="default" w:ascii="Calibri" w:hAnsi="Calibri" w:cs="Calibri"/>
                <w:color w:val="auto"/>
                <w:kern w:val="2"/>
                <w:sz w:val="24"/>
                <w:szCs w:val="24"/>
                <w:highlight w:val="none"/>
                <w:lang w:val="en-US" w:eastAsia="zh-CN" w:bidi="ar-SA"/>
              </w:rPr>
              <w:t>施工期</w:t>
            </w:r>
            <w:r>
              <w:rPr>
                <w:rFonts w:hint="default" w:ascii="Calibri" w:hAnsi="Calibri" w:eastAsia="宋体" w:cs="Calibri"/>
                <w:color w:val="auto"/>
                <w:kern w:val="2"/>
                <w:sz w:val="24"/>
                <w:szCs w:val="24"/>
                <w:highlight w:val="none"/>
                <w:lang w:val="en-US" w:eastAsia="zh-CN" w:bidi="ar-SA"/>
              </w:rPr>
              <w:t>生活污水新建一体化污水处理设施</w:t>
            </w:r>
            <w:r>
              <w:rPr>
                <w:rFonts w:hint="default" w:ascii="Calibri" w:hAnsi="Calibri" w:cs="Calibri"/>
                <w:color w:val="auto"/>
                <w:kern w:val="2"/>
                <w:sz w:val="24"/>
                <w:szCs w:val="24"/>
                <w:highlight w:val="none"/>
                <w:lang w:val="en-US" w:eastAsia="zh-CN" w:bidi="ar-SA"/>
              </w:rPr>
              <w:t>（处理能力3m³/d，容积2</w:t>
            </w:r>
            <w:r>
              <w:rPr>
                <w:rFonts w:hint="default" w:ascii="Calibri" w:hAnsi="Calibri" w:eastAsia="宋体" w:cs="Calibri"/>
                <w:color w:val="auto"/>
                <w:kern w:val="2"/>
                <w:sz w:val="24"/>
                <w:szCs w:val="24"/>
                <w:highlight w:val="none"/>
                <w:lang w:val="en-US" w:eastAsia="zh-CN" w:bidi="ar-SA"/>
              </w:rPr>
              <w:t>0</w:t>
            </w:r>
            <w:r>
              <w:rPr>
                <w:rFonts w:hint="default" w:ascii="Calibri" w:hAnsi="Calibri" w:cs="Calibri"/>
                <w:color w:val="auto"/>
                <w:kern w:val="2"/>
                <w:sz w:val="24"/>
                <w:szCs w:val="24"/>
                <w:highlight w:val="none"/>
                <w:lang w:val="en-US" w:eastAsia="zh-CN" w:bidi="ar-SA"/>
              </w:rPr>
              <w:t>m³）</w:t>
            </w:r>
            <w:r>
              <w:rPr>
                <w:rFonts w:hint="default" w:ascii="Calibri" w:hAnsi="Calibri" w:eastAsia="宋体" w:cs="Calibri"/>
                <w:color w:val="auto"/>
                <w:kern w:val="2"/>
                <w:sz w:val="24"/>
                <w:szCs w:val="24"/>
                <w:highlight w:val="none"/>
                <w:lang w:val="en-US" w:eastAsia="zh-CN" w:bidi="ar-SA"/>
              </w:rPr>
              <w:t>，生活污水排放执行《农村生活污水处理排放标准》</w:t>
            </w:r>
            <w:r>
              <w:rPr>
                <w:rFonts w:hint="eastAsia" w:ascii="Calibri" w:hAnsi="Calibri" w:cs="Calibri"/>
                <w:color w:val="auto"/>
                <w:kern w:val="2"/>
                <w:sz w:val="24"/>
                <w:szCs w:val="24"/>
                <w:highlight w:val="none"/>
                <w:lang w:val="en-US" w:eastAsia="zh-CN" w:bidi="ar-SA"/>
              </w:rPr>
              <w:t>（</w:t>
            </w:r>
            <w:r>
              <w:rPr>
                <w:rFonts w:hint="default" w:ascii="Calibri" w:hAnsi="Calibri" w:eastAsia="宋体" w:cs="Calibri"/>
                <w:color w:val="auto"/>
                <w:kern w:val="2"/>
                <w:sz w:val="24"/>
                <w:szCs w:val="24"/>
                <w:highlight w:val="none"/>
                <w:lang w:val="en-US" w:eastAsia="zh-CN" w:bidi="ar-SA"/>
              </w:rPr>
              <w:t>DB654275-2019</w:t>
            </w:r>
            <w:r>
              <w:rPr>
                <w:rFonts w:hint="eastAsia" w:ascii="Calibri" w:hAnsi="Calibri" w:cs="Calibri"/>
                <w:color w:val="auto"/>
                <w:kern w:val="2"/>
                <w:sz w:val="24"/>
                <w:szCs w:val="24"/>
                <w:highlight w:val="none"/>
                <w:lang w:val="en-US" w:eastAsia="zh-CN" w:bidi="ar-SA"/>
              </w:rPr>
              <w:t>）</w:t>
            </w:r>
            <w:r>
              <w:rPr>
                <w:rFonts w:hint="default" w:ascii="Calibri" w:hAnsi="Calibri" w:eastAsia="宋体" w:cs="Calibri"/>
                <w:color w:val="auto"/>
                <w:kern w:val="2"/>
                <w:sz w:val="24"/>
                <w:szCs w:val="24"/>
                <w:highlight w:val="none"/>
                <w:lang w:val="en-US" w:eastAsia="zh-CN" w:bidi="ar-SA"/>
              </w:rPr>
              <w:t>。</w:t>
            </w:r>
            <w:r>
              <w:rPr>
                <w:rFonts w:hint="default" w:ascii="Calibri" w:hAnsi="Calibri" w:cs="Calibri"/>
                <w:color w:val="auto"/>
                <w:kern w:val="2"/>
                <w:sz w:val="24"/>
                <w:szCs w:val="24"/>
                <w:highlight w:val="none"/>
                <w:lang w:val="en-US" w:eastAsia="zh-CN" w:bidi="ar-SA"/>
              </w:rPr>
              <w:t>项目建成后，</w:t>
            </w:r>
            <w:r>
              <w:rPr>
                <w:rFonts w:hint="default" w:ascii="Calibri" w:hAnsi="Calibri" w:eastAsia="宋体" w:cs="Calibri"/>
                <w:color w:val="auto"/>
                <w:kern w:val="2"/>
                <w:sz w:val="24"/>
                <w:szCs w:val="24"/>
                <w:highlight w:val="none"/>
                <w:lang w:val="en-US" w:eastAsia="zh-CN" w:bidi="ar-SA"/>
              </w:rPr>
              <w:t>将临建工程均拆除。</w:t>
            </w:r>
          </w:p>
          <w:p w14:paraId="2F1CFC25">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default" w:ascii="Calibri" w:hAnsi="Calibri" w:eastAsia="宋体" w:cs="Calibri"/>
                <w:color w:val="auto"/>
                <w:kern w:val="2"/>
                <w:sz w:val="24"/>
                <w:szCs w:val="24"/>
                <w:highlight w:val="none"/>
                <w:lang w:val="en-US" w:eastAsia="zh-CN" w:bidi="ar-SA"/>
              </w:rPr>
            </w:pPr>
            <w:r>
              <w:rPr>
                <w:rFonts w:hint="default" w:ascii="Calibri" w:hAnsi="Calibri" w:cs="Calibri"/>
                <w:color w:val="auto"/>
                <w:kern w:val="2"/>
                <w:sz w:val="24"/>
                <w:szCs w:val="24"/>
                <w:highlight w:val="none"/>
                <w:lang w:val="en-US" w:eastAsia="zh-CN" w:bidi="ar-SA"/>
              </w:rPr>
              <w:t>产生</w:t>
            </w:r>
            <w:r>
              <w:rPr>
                <w:rFonts w:hint="default" w:ascii="Calibri" w:hAnsi="Calibri" w:eastAsia="宋体" w:cs="Calibri"/>
                <w:color w:val="auto"/>
                <w:kern w:val="2"/>
                <w:sz w:val="24"/>
                <w:szCs w:val="24"/>
                <w:highlight w:val="none"/>
                <w:lang w:val="en-US" w:eastAsia="zh-CN" w:bidi="ar-SA"/>
              </w:rPr>
              <w:t>少量施工养护废水，用于洒水抑尘或自然蒸干。</w:t>
            </w:r>
          </w:p>
          <w:p w14:paraId="192E7FBA">
            <w:pPr>
              <w:keepNext w:val="0"/>
              <w:keepLines w:val="0"/>
              <w:pageBreakBefore w:val="0"/>
              <w:widowControl w:val="0"/>
              <w:kinsoku/>
              <w:wordWrap/>
              <w:overflowPunct/>
              <w:topLinePunct w:val="0"/>
              <w:autoSpaceDE/>
              <w:autoSpaceDN/>
              <w:bidi w:val="0"/>
              <w:adjustRightInd/>
              <w:snapToGrid/>
              <w:spacing w:line="480" w:lineRule="exact"/>
              <w:ind w:left="0" w:leftChars="0" w:firstLine="482" w:firstLineChars="200"/>
              <w:jc w:val="both"/>
              <w:textAlignment w:val="auto"/>
              <w:rPr>
                <w:rFonts w:hint="default" w:ascii="Calibri" w:hAnsi="Calibri" w:eastAsia="宋体" w:cs="Calibri"/>
                <w:b/>
                <w:bCs/>
                <w:color w:val="auto"/>
                <w:kern w:val="2"/>
                <w:sz w:val="24"/>
                <w:szCs w:val="24"/>
                <w:lang w:val="en-US" w:eastAsia="zh-CN" w:bidi="ar-SA"/>
              </w:rPr>
            </w:pPr>
            <w:r>
              <w:rPr>
                <w:rFonts w:hint="eastAsia" w:ascii="Calibri" w:hAnsi="Calibri" w:cs="Calibri"/>
                <w:b/>
                <w:bCs/>
                <w:color w:val="auto"/>
                <w:kern w:val="2"/>
                <w:sz w:val="24"/>
                <w:szCs w:val="24"/>
                <w:lang w:val="en-US" w:eastAsia="zh-CN" w:bidi="ar-SA"/>
              </w:rPr>
              <w:t>4、</w:t>
            </w:r>
            <w:r>
              <w:rPr>
                <w:rFonts w:hint="default" w:ascii="Calibri" w:hAnsi="Calibri" w:eastAsia="宋体" w:cs="Calibri"/>
                <w:b/>
                <w:bCs/>
                <w:color w:val="auto"/>
                <w:kern w:val="2"/>
                <w:sz w:val="24"/>
                <w:szCs w:val="24"/>
                <w:lang w:val="en-US" w:eastAsia="zh-CN" w:bidi="ar-SA"/>
              </w:rPr>
              <w:t>声环境防治措施</w:t>
            </w:r>
          </w:p>
          <w:p w14:paraId="04416A8D">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default" w:ascii="Calibri" w:hAnsi="Calibri" w:eastAsia="宋体" w:cs="Calibri"/>
                <w:color w:val="auto"/>
                <w:kern w:val="2"/>
                <w:sz w:val="24"/>
                <w:szCs w:val="24"/>
                <w:lang w:val="en-US" w:eastAsia="zh-CN" w:bidi="ar-SA"/>
              </w:rPr>
            </w:pPr>
            <w:r>
              <w:rPr>
                <w:rFonts w:hint="default" w:ascii="Calibri" w:hAnsi="Calibri" w:eastAsia="宋体" w:cs="Calibri"/>
                <w:color w:val="auto"/>
                <w:kern w:val="2"/>
                <w:sz w:val="24"/>
                <w:szCs w:val="24"/>
                <w:lang w:val="en-US" w:eastAsia="zh-CN" w:bidi="ar-SA"/>
              </w:rPr>
              <w:t>避免在同一地点安排大量动力机械设备，以避免局部声级过高。对动力机械设备进行定期维修、养护、避免设备因部件松动的振动或消声器的损坏而加大其工作时声级。遵守作业规定，减少碰撞噪声，减少人为噪声。施工设备应采用低噪声环保型。本项目输电线路沿线无声环境敏感点，周边较为空旷，施工设备产生的噪声通过落实上述措施后对周边环境影响较小，在可接受范围内。</w:t>
            </w:r>
          </w:p>
          <w:p w14:paraId="37E7946E">
            <w:pPr>
              <w:keepNext w:val="0"/>
              <w:keepLines w:val="0"/>
              <w:pageBreakBefore w:val="0"/>
              <w:widowControl w:val="0"/>
              <w:kinsoku/>
              <w:wordWrap/>
              <w:overflowPunct/>
              <w:topLinePunct w:val="0"/>
              <w:autoSpaceDE/>
              <w:autoSpaceDN/>
              <w:bidi w:val="0"/>
              <w:adjustRightInd/>
              <w:snapToGrid/>
              <w:spacing w:line="480" w:lineRule="exact"/>
              <w:ind w:left="0" w:leftChars="0" w:firstLine="482" w:firstLineChars="200"/>
              <w:jc w:val="both"/>
              <w:textAlignment w:val="auto"/>
              <w:rPr>
                <w:rFonts w:hint="default" w:ascii="Calibri" w:hAnsi="Calibri" w:eastAsia="宋体" w:cs="Calibri"/>
                <w:b/>
                <w:bCs/>
                <w:color w:val="auto"/>
                <w:kern w:val="2"/>
                <w:sz w:val="24"/>
                <w:szCs w:val="24"/>
                <w:lang w:val="en-US" w:eastAsia="zh-CN" w:bidi="ar-SA"/>
              </w:rPr>
            </w:pPr>
            <w:r>
              <w:rPr>
                <w:rFonts w:hint="eastAsia" w:ascii="Calibri" w:hAnsi="Calibri" w:cs="Calibri"/>
                <w:b/>
                <w:bCs/>
                <w:color w:val="auto"/>
                <w:kern w:val="2"/>
                <w:sz w:val="24"/>
                <w:szCs w:val="24"/>
                <w:lang w:val="en-US" w:eastAsia="zh-CN" w:bidi="ar-SA"/>
              </w:rPr>
              <w:t>5、</w:t>
            </w:r>
            <w:r>
              <w:rPr>
                <w:rFonts w:hint="default" w:ascii="Calibri" w:hAnsi="Calibri" w:eastAsia="宋体" w:cs="Calibri"/>
                <w:b/>
                <w:bCs/>
                <w:color w:val="auto"/>
                <w:kern w:val="2"/>
                <w:sz w:val="24"/>
                <w:szCs w:val="24"/>
                <w:lang w:val="en-US" w:eastAsia="zh-CN" w:bidi="ar-SA"/>
              </w:rPr>
              <w:t>固体废物防治措施</w:t>
            </w:r>
          </w:p>
          <w:p w14:paraId="5740F68C">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default" w:ascii="Calibri" w:hAnsi="Calibri" w:eastAsia="宋体" w:cs="Calibri"/>
                <w:color w:val="auto"/>
                <w:kern w:val="2"/>
                <w:sz w:val="24"/>
                <w:szCs w:val="24"/>
                <w:lang w:val="en-US" w:eastAsia="zh-CN" w:bidi="ar-SA"/>
              </w:rPr>
            </w:pPr>
            <w:r>
              <w:rPr>
                <w:rFonts w:hint="default" w:ascii="Calibri" w:hAnsi="Calibri" w:eastAsia="宋体" w:cs="Calibri"/>
                <w:color w:val="auto"/>
                <w:kern w:val="2"/>
                <w:sz w:val="24"/>
                <w:szCs w:val="24"/>
                <w:lang w:val="en-US" w:eastAsia="zh-CN" w:bidi="ar-SA"/>
              </w:rPr>
              <w:t>线路建设施工场地应及时进行清理和固体废物清运。</w:t>
            </w:r>
          </w:p>
          <w:p w14:paraId="7CD7F537">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default" w:ascii="Calibri" w:hAnsi="Calibri" w:eastAsia="宋体" w:cs="Calibri"/>
                <w:color w:val="auto"/>
                <w:kern w:val="2"/>
                <w:sz w:val="24"/>
                <w:szCs w:val="24"/>
                <w:lang w:val="en-US" w:eastAsia="zh-CN" w:bidi="ar-SA"/>
              </w:rPr>
            </w:pPr>
            <w:r>
              <w:rPr>
                <w:rFonts w:hint="default" w:ascii="Calibri" w:hAnsi="Calibri" w:eastAsia="宋体" w:cs="Calibri"/>
                <w:color w:val="auto"/>
                <w:kern w:val="2"/>
                <w:sz w:val="24"/>
                <w:szCs w:val="24"/>
                <w:lang w:val="en-US" w:eastAsia="zh-CN" w:bidi="ar-SA"/>
              </w:rPr>
              <w:t>为避免施工垃圾对环境造成影响，在工程施工前应做好施工机构及施工人员的环保培训。明确要求施工过程中的建筑垃圾及生活垃圾应分别收集堆放。施工垃圾及时清运。</w:t>
            </w:r>
          </w:p>
          <w:p w14:paraId="6D77FBFD">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default" w:ascii="Calibri" w:hAnsi="Calibri" w:eastAsia="宋体" w:cs="Calibri"/>
                <w:color w:val="auto"/>
                <w:kern w:val="2"/>
                <w:sz w:val="24"/>
                <w:szCs w:val="24"/>
                <w:lang w:val="en-US" w:eastAsia="zh-CN" w:bidi="ar-SA"/>
              </w:rPr>
            </w:pPr>
            <w:r>
              <w:rPr>
                <w:rFonts w:hint="default" w:ascii="Calibri" w:hAnsi="Calibri" w:eastAsia="宋体" w:cs="Calibri"/>
                <w:color w:val="auto"/>
                <w:kern w:val="2"/>
                <w:sz w:val="24"/>
                <w:szCs w:val="24"/>
                <w:lang w:val="en-US" w:eastAsia="zh-CN" w:bidi="ar-SA"/>
              </w:rPr>
              <w:t>施工结束后应及时清理工程的临时占地，做好后期的恢复工程。剥离的表土就近堆存，用作后期的绿化覆土和临时占地的恢复。</w:t>
            </w:r>
          </w:p>
          <w:p w14:paraId="727F5577">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default" w:ascii="Calibri" w:hAnsi="Calibri" w:eastAsia="宋体" w:cs="Calibri"/>
                <w:color w:val="auto"/>
                <w:kern w:val="2"/>
                <w:sz w:val="24"/>
                <w:szCs w:val="24"/>
                <w:lang w:val="en-US" w:eastAsia="zh-CN" w:bidi="ar-SA"/>
              </w:rPr>
            </w:pPr>
            <w:r>
              <w:rPr>
                <w:rFonts w:hint="default" w:ascii="Calibri" w:hAnsi="Calibri" w:eastAsia="宋体" w:cs="Calibri"/>
                <w:color w:val="auto"/>
                <w:kern w:val="2"/>
                <w:sz w:val="24"/>
                <w:szCs w:val="24"/>
                <w:lang w:val="en-US" w:eastAsia="zh-CN" w:bidi="ar-SA"/>
              </w:rPr>
              <w:t>可回收利用的全部回收利用，不可回收利用的，按建筑垃圾统一收集后清运至建筑垃圾填埋场填埋处置。</w:t>
            </w:r>
          </w:p>
          <w:p w14:paraId="24613AB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hAnsi="宋体" w:cs="宋体"/>
                <w:bCs/>
                <w:color w:val="auto"/>
                <w:spacing w:val="10"/>
                <w:sz w:val="24"/>
                <w:szCs w:val="24"/>
              </w:rPr>
            </w:pPr>
            <w:r>
              <w:rPr>
                <w:rFonts w:hint="default" w:ascii="Calibri" w:hAnsi="Calibri" w:eastAsia="宋体" w:cs="Calibri"/>
                <w:color w:val="auto"/>
                <w:kern w:val="2"/>
                <w:sz w:val="24"/>
                <w:szCs w:val="24"/>
                <w:lang w:val="en-US" w:eastAsia="zh-CN" w:bidi="ar-SA"/>
              </w:rPr>
              <w:t>项目施工期对环境产生的上述影响，均为可逆的、短期的，项目建成后，影响即自行消除。建设单位和施工单位在施工过程中</w:t>
            </w:r>
            <w:r>
              <w:rPr>
                <w:rFonts w:hint="default" w:ascii="Calibri" w:hAnsi="Calibri" w:cs="Calibri"/>
                <w:color w:val="auto"/>
                <w:kern w:val="2"/>
                <w:sz w:val="24"/>
                <w:szCs w:val="24"/>
                <w:lang w:val="en-US" w:eastAsia="zh-CN" w:bidi="ar-SA"/>
              </w:rPr>
              <w:t>要</w:t>
            </w:r>
            <w:r>
              <w:rPr>
                <w:rFonts w:hint="default" w:ascii="Calibri" w:hAnsi="Calibri" w:eastAsia="宋体" w:cs="Calibri"/>
                <w:color w:val="auto"/>
                <w:kern w:val="2"/>
                <w:sz w:val="24"/>
                <w:szCs w:val="24"/>
                <w:lang w:val="en-US" w:eastAsia="zh-CN" w:bidi="ar-SA"/>
              </w:rPr>
              <w:t>切实落实对施工产生的噪声、扬尘、废水、固体废弃物的管理和防治措施，施工期的环境影响较小，在可控范围内。</w:t>
            </w:r>
          </w:p>
        </w:tc>
      </w:tr>
      <w:tr w14:paraId="477E63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753" w:type="dxa"/>
            <w:noWrap w:val="0"/>
            <w:tcMar>
              <w:left w:w="28" w:type="dxa"/>
              <w:right w:w="28" w:type="dxa"/>
            </w:tcMar>
            <w:vAlign w:val="center"/>
          </w:tcPr>
          <w:p w14:paraId="657215C5">
            <w:pPr>
              <w:adjustRightInd w:val="0"/>
              <w:snapToGrid w:val="0"/>
              <w:jc w:val="center"/>
              <w:rPr>
                <w:rFonts w:ascii="宋体" w:hAnsi="宋体" w:cs="宋体"/>
                <w:bCs/>
                <w:color w:val="auto"/>
                <w:spacing w:val="10"/>
                <w:szCs w:val="21"/>
              </w:rPr>
            </w:pPr>
            <w:r>
              <w:rPr>
                <w:rFonts w:hint="eastAsia" w:ascii="宋体" w:hAnsi="宋体" w:cs="宋体"/>
                <w:bCs/>
                <w:color w:val="auto"/>
                <w:spacing w:val="10"/>
                <w:szCs w:val="21"/>
              </w:rPr>
              <w:t>运营期生态环境保护措施</w:t>
            </w:r>
          </w:p>
        </w:tc>
        <w:tc>
          <w:tcPr>
            <w:tcW w:w="8457" w:type="dxa"/>
            <w:noWrap w:val="0"/>
            <w:vAlign w:val="top"/>
          </w:tcPr>
          <w:p w14:paraId="0057B010">
            <w:pPr>
              <w:pStyle w:val="36"/>
              <w:keepNext w:val="0"/>
              <w:keepLines w:val="0"/>
              <w:pageBreakBefore w:val="0"/>
              <w:numPr>
                <w:ilvl w:val="0"/>
                <w:numId w:val="0"/>
              </w:numPr>
              <w:kinsoku/>
              <w:wordWrap/>
              <w:overflowPunct/>
              <w:topLinePunct w:val="0"/>
              <w:bidi w:val="0"/>
              <w:spacing w:line="480" w:lineRule="exact"/>
              <w:ind w:firstLine="482" w:firstLineChars="200"/>
              <w:jc w:val="both"/>
              <w:textAlignment w:val="auto"/>
              <w:rPr>
                <w:rFonts w:hint="default" w:ascii="Calibri" w:hAnsi="Calibri" w:eastAsia="宋体" w:cs="Calibri"/>
                <w:color w:val="auto"/>
                <w:lang w:val="en-US" w:eastAsia="zh-CN"/>
              </w:rPr>
            </w:pPr>
            <w:r>
              <w:rPr>
                <w:rFonts w:hint="eastAsia" w:ascii="Calibri" w:hAnsi="Calibri" w:eastAsia="宋体" w:cs="Calibri"/>
                <w:b/>
                <w:color w:val="auto"/>
                <w:kern w:val="0"/>
                <w:sz w:val="24"/>
                <w:szCs w:val="21"/>
                <w:lang w:val="en-US" w:eastAsia="zh-CN" w:bidi="ar-SA"/>
              </w:rPr>
              <w:t>一、</w:t>
            </w:r>
            <w:r>
              <w:rPr>
                <w:rFonts w:hint="default" w:ascii="Calibri" w:hAnsi="Calibri" w:eastAsia="宋体" w:cs="Calibri"/>
                <w:color w:val="auto"/>
                <w:lang w:val="en-US" w:eastAsia="zh-CN"/>
              </w:rPr>
              <w:t>生态环境保护措施</w:t>
            </w:r>
          </w:p>
          <w:p w14:paraId="0BD436C3">
            <w:pPr>
              <w:pStyle w:val="10"/>
              <w:keepNext w:val="0"/>
              <w:keepLines w:val="0"/>
              <w:pageBreakBefore w:val="0"/>
              <w:kinsoku/>
              <w:wordWrap/>
              <w:overflowPunct/>
              <w:topLinePunct w:val="0"/>
              <w:bidi w:val="0"/>
              <w:spacing w:line="480" w:lineRule="exact"/>
              <w:ind w:firstLine="480" w:firstLineChars="200"/>
              <w:jc w:val="both"/>
              <w:textAlignment w:val="auto"/>
              <w:rPr>
                <w:rFonts w:hint="default" w:ascii="Calibri" w:hAnsi="Calibri" w:eastAsia="宋体" w:cs="Calibri"/>
                <w:color w:val="auto"/>
                <w:lang w:val="en-US" w:eastAsia="zh-CN"/>
              </w:rPr>
            </w:pPr>
            <w:r>
              <w:rPr>
                <w:rFonts w:hint="default" w:ascii="Calibri" w:hAnsi="Calibri" w:eastAsia="宋体" w:cs="Calibri"/>
                <w:b w:val="0"/>
                <w:bCs w:val="0"/>
                <w:color w:val="auto"/>
                <w:kern w:val="2"/>
                <w:sz w:val="24"/>
                <w:szCs w:val="24"/>
                <w:lang w:val="en-US" w:eastAsia="zh-CN" w:bidi="ar-SA"/>
              </w:rPr>
              <w:t>本项目输电线路</w:t>
            </w:r>
            <w:r>
              <w:rPr>
                <w:rFonts w:hint="default" w:ascii="Calibri" w:hAnsi="Calibri" w:cs="Calibri"/>
                <w:b w:val="0"/>
                <w:bCs w:val="0"/>
                <w:color w:val="auto"/>
                <w:kern w:val="2"/>
                <w:sz w:val="24"/>
                <w:szCs w:val="24"/>
                <w:lang w:val="en-US" w:eastAsia="zh-CN" w:bidi="ar-SA"/>
              </w:rPr>
              <w:t>、变电站</w:t>
            </w:r>
            <w:r>
              <w:rPr>
                <w:rFonts w:hint="default" w:ascii="Calibri" w:hAnsi="Calibri" w:eastAsia="宋体" w:cs="Calibri"/>
                <w:b w:val="0"/>
                <w:bCs w:val="0"/>
                <w:color w:val="auto"/>
                <w:kern w:val="2"/>
                <w:sz w:val="24"/>
                <w:szCs w:val="24"/>
                <w:lang w:val="en-US" w:eastAsia="zh-CN" w:bidi="ar-SA"/>
              </w:rPr>
              <w:t>建设工程，巡查期间工作人员会对线路沿线造成局部扰动，但扰动较轻微，很快能自然恢复。</w:t>
            </w:r>
          </w:p>
          <w:p w14:paraId="6D0684D8">
            <w:pPr>
              <w:pStyle w:val="36"/>
              <w:keepNext w:val="0"/>
              <w:keepLines w:val="0"/>
              <w:pageBreakBefore w:val="0"/>
              <w:numPr>
                <w:ilvl w:val="0"/>
                <w:numId w:val="0"/>
              </w:numPr>
              <w:kinsoku/>
              <w:wordWrap/>
              <w:overflowPunct/>
              <w:topLinePunct w:val="0"/>
              <w:bidi w:val="0"/>
              <w:spacing w:line="480" w:lineRule="exact"/>
              <w:ind w:firstLine="482" w:firstLineChars="200"/>
              <w:jc w:val="both"/>
              <w:textAlignment w:val="auto"/>
              <w:rPr>
                <w:rFonts w:hint="default" w:ascii="Calibri" w:hAnsi="Calibri" w:eastAsia="宋体" w:cs="Calibri"/>
                <w:color w:val="auto"/>
                <w:lang w:val="en-US" w:eastAsia="zh-CN"/>
              </w:rPr>
            </w:pPr>
            <w:r>
              <w:rPr>
                <w:rFonts w:hint="eastAsia" w:ascii="Calibri" w:hAnsi="Calibri" w:eastAsia="宋体" w:cs="Calibri"/>
                <w:b/>
                <w:color w:val="auto"/>
                <w:kern w:val="0"/>
                <w:sz w:val="24"/>
                <w:szCs w:val="21"/>
                <w:lang w:val="en-US" w:eastAsia="zh-CN" w:bidi="ar-SA"/>
              </w:rPr>
              <w:t>二、</w:t>
            </w:r>
            <w:r>
              <w:rPr>
                <w:rFonts w:hint="default" w:ascii="Calibri" w:hAnsi="Calibri" w:eastAsia="宋体" w:cs="Calibri"/>
                <w:color w:val="auto"/>
                <w:lang w:val="en-US" w:eastAsia="zh-CN"/>
              </w:rPr>
              <w:t>电磁环境保护措施</w:t>
            </w:r>
          </w:p>
          <w:p w14:paraId="551255CE">
            <w:pPr>
              <w:keepNext w:val="0"/>
              <w:keepLines w:val="0"/>
              <w:pageBreakBefore w:val="0"/>
              <w:widowControl/>
              <w:kinsoku/>
              <w:wordWrap/>
              <w:overflowPunct/>
              <w:topLinePunct w:val="0"/>
              <w:autoSpaceDE/>
              <w:autoSpaceDN/>
              <w:bidi w:val="0"/>
              <w:adjustRightInd/>
              <w:snapToGrid/>
              <w:spacing w:before="0" w:line="480" w:lineRule="exact"/>
              <w:ind w:firstLine="480" w:firstLineChars="200"/>
              <w:jc w:val="both"/>
              <w:textAlignment w:val="auto"/>
              <w:rPr>
                <w:rFonts w:hint="default" w:ascii="Calibri" w:hAnsi="Calibri" w:eastAsia="宋体" w:cs="Calibri"/>
                <w:b w:val="0"/>
                <w:bCs w:val="0"/>
                <w:color w:val="auto"/>
                <w:kern w:val="2"/>
                <w:sz w:val="24"/>
                <w:szCs w:val="24"/>
                <w:lang w:val="en-US" w:eastAsia="zh-CN" w:bidi="ar-SA"/>
              </w:rPr>
            </w:pPr>
            <w:r>
              <w:rPr>
                <w:rFonts w:hint="default" w:ascii="Calibri" w:hAnsi="Calibri" w:eastAsia="宋体" w:cs="Calibri"/>
                <w:b w:val="0"/>
                <w:bCs w:val="0"/>
                <w:color w:val="auto"/>
                <w:kern w:val="2"/>
                <w:sz w:val="24"/>
                <w:szCs w:val="24"/>
                <w:lang w:val="en-US" w:eastAsia="zh-CN" w:bidi="ar-SA"/>
              </w:rPr>
              <w:t>（1）本项目主要电磁环境污染源为</w:t>
            </w:r>
            <w:r>
              <w:rPr>
                <w:rFonts w:hint="default" w:ascii="Calibri" w:hAnsi="Calibri" w:cs="Calibri"/>
                <w:b w:val="0"/>
                <w:bCs w:val="0"/>
                <w:color w:val="auto"/>
                <w:kern w:val="2"/>
                <w:sz w:val="24"/>
                <w:szCs w:val="24"/>
                <w:lang w:val="en-US" w:eastAsia="zh-CN" w:bidi="ar-SA"/>
              </w:rPr>
              <w:t>输变电线路及变电站产生的</w:t>
            </w:r>
            <w:r>
              <w:rPr>
                <w:rFonts w:hint="default" w:ascii="Calibri" w:hAnsi="Calibri" w:eastAsia="宋体" w:cs="Calibri"/>
                <w:b w:val="0"/>
                <w:bCs w:val="0"/>
                <w:color w:val="auto"/>
                <w:kern w:val="2"/>
                <w:sz w:val="24"/>
                <w:szCs w:val="24"/>
                <w:lang w:val="en-US" w:eastAsia="zh-CN" w:bidi="ar-SA"/>
              </w:rPr>
              <w:t>工频电场</w:t>
            </w:r>
            <w:r>
              <w:rPr>
                <w:rFonts w:hint="default" w:ascii="Calibri" w:hAnsi="Calibri" w:cs="Calibri"/>
                <w:b w:val="0"/>
                <w:bCs w:val="0"/>
                <w:color w:val="auto"/>
                <w:kern w:val="2"/>
                <w:sz w:val="24"/>
                <w:szCs w:val="24"/>
                <w:lang w:val="en-US" w:eastAsia="zh-CN" w:bidi="ar-SA"/>
              </w:rPr>
              <w:t>、</w:t>
            </w:r>
            <w:r>
              <w:rPr>
                <w:rFonts w:hint="default" w:ascii="Calibri" w:hAnsi="Calibri" w:eastAsia="宋体" w:cs="Calibri"/>
                <w:b w:val="0"/>
                <w:bCs w:val="0"/>
                <w:color w:val="auto"/>
                <w:kern w:val="2"/>
                <w:sz w:val="24"/>
                <w:szCs w:val="24"/>
                <w:lang w:val="en-US" w:eastAsia="zh-CN" w:bidi="ar-SA"/>
              </w:rPr>
              <w:t>工频磁场，选用优质设备及配件，</w:t>
            </w:r>
            <w:r>
              <w:rPr>
                <w:rFonts w:hint="default" w:ascii="Calibri" w:hAnsi="Calibri" w:cs="Calibri"/>
                <w:b w:val="0"/>
                <w:bCs w:val="0"/>
                <w:color w:val="auto"/>
                <w:kern w:val="2"/>
                <w:sz w:val="24"/>
                <w:szCs w:val="24"/>
                <w:lang w:val="en-US" w:eastAsia="zh-CN" w:bidi="ar-SA"/>
              </w:rPr>
              <w:t>减轻线路对</w:t>
            </w:r>
            <w:r>
              <w:rPr>
                <w:rFonts w:hint="default" w:ascii="Calibri" w:hAnsi="Calibri" w:eastAsia="宋体" w:cs="Calibri"/>
                <w:b w:val="0"/>
                <w:bCs w:val="0"/>
                <w:color w:val="auto"/>
                <w:kern w:val="2"/>
                <w:sz w:val="24"/>
                <w:szCs w:val="24"/>
                <w:lang w:val="en-US" w:eastAsia="zh-CN" w:bidi="ar-SA"/>
              </w:rPr>
              <w:t>电磁环境</w:t>
            </w:r>
            <w:r>
              <w:rPr>
                <w:rFonts w:hint="default" w:ascii="Calibri" w:hAnsi="Calibri" w:cs="Calibri"/>
                <w:b w:val="0"/>
                <w:bCs w:val="0"/>
                <w:color w:val="auto"/>
                <w:kern w:val="2"/>
                <w:sz w:val="24"/>
                <w:szCs w:val="24"/>
                <w:lang w:val="en-US" w:eastAsia="zh-CN" w:bidi="ar-SA"/>
              </w:rPr>
              <w:t>的</w:t>
            </w:r>
            <w:r>
              <w:rPr>
                <w:rFonts w:hint="default" w:ascii="Calibri" w:hAnsi="Calibri" w:eastAsia="宋体" w:cs="Calibri"/>
                <w:b w:val="0"/>
                <w:bCs w:val="0"/>
                <w:color w:val="auto"/>
                <w:kern w:val="2"/>
                <w:sz w:val="24"/>
                <w:szCs w:val="24"/>
                <w:lang w:val="en-US" w:eastAsia="zh-CN" w:bidi="ar-SA"/>
              </w:rPr>
              <w:t>影响；</w:t>
            </w:r>
          </w:p>
          <w:p w14:paraId="7227121E">
            <w:pPr>
              <w:keepNext w:val="0"/>
              <w:keepLines w:val="0"/>
              <w:pageBreakBefore w:val="0"/>
              <w:widowControl/>
              <w:kinsoku/>
              <w:wordWrap/>
              <w:overflowPunct/>
              <w:topLinePunct w:val="0"/>
              <w:autoSpaceDE/>
              <w:autoSpaceDN/>
              <w:bidi w:val="0"/>
              <w:adjustRightInd/>
              <w:snapToGrid/>
              <w:spacing w:before="0" w:line="480" w:lineRule="exact"/>
              <w:ind w:firstLine="480" w:firstLineChars="200"/>
              <w:jc w:val="both"/>
              <w:textAlignment w:val="auto"/>
              <w:rPr>
                <w:rFonts w:hint="default" w:ascii="Calibri" w:hAnsi="Calibri" w:eastAsia="宋体" w:cs="Calibri"/>
                <w:b w:val="0"/>
                <w:bCs w:val="0"/>
                <w:color w:val="auto"/>
                <w:kern w:val="2"/>
                <w:sz w:val="24"/>
                <w:szCs w:val="24"/>
                <w:lang w:val="en-US" w:eastAsia="zh-CN" w:bidi="ar-SA"/>
              </w:rPr>
            </w:pPr>
            <w:r>
              <w:rPr>
                <w:rFonts w:hint="default" w:ascii="Calibri" w:hAnsi="Calibri" w:eastAsia="宋体" w:cs="Calibri"/>
                <w:b w:val="0"/>
                <w:bCs w:val="0"/>
                <w:color w:val="auto"/>
                <w:kern w:val="2"/>
                <w:sz w:val="24"/>
                <w:szCs w:val="24"/>
                <w:lang w:val="en-US" w:eastAsia="zh-CN" w:bidi="ar-SA"/>
              </w:rPr>
              <w:t>（2）制定安全操作规程，加强职工安全教育，加强营运期线路沿线</w:t>
            </w:r>
            <w:r>
              <w:rPr>
                <w:rFonts w:hint="default" w:ascii="Calibri" w:hAnsi="Calibri" w:cs="Calibri"/>
                <w:b w:val="0"/>
                <w:bCs w:val="0"/>
                <w:color w:val="auto"/>
                <w:kern w:val="2"/>
                <w:sz w:val="24"/>
                <w:szCs w:val="24"/>
                <w:lang w:val="en-US" w:eastAsia="zh-CN" w:bidi="ar-SA"/>
              </w:rPr>
              <w:t>和变电站的</w:t>
            </w:r>
            <w:r>
              <w:rPr>
                <w:rFonts w:hint="default" w:ascii="Calibri" w:hAnsi="Calibri" w:eastAsia="宋体" w:cs="Calibri"/>
                <w:b w:val="0"/>
                <w:bCs w:val="0"/>
                <w:color w:val="auto"/>
                <w:kern w:val="2"/>
                <w:sz w:val="24"/>
                <w:szCs w:val="24"/>
                <w:lang w:val="en-US" w:eastAsia="zh-CN" w:bidi="ar-SA"/>
              </w:rPr>
              <w:t>工频电场</w:t>
            </w:r>
            <w:r>
              <w:rPr>
                <w:rFonts w:hint="default" w:ascii="Calibri" w:hAnsi="Calibri" w:cs="Calibri"/>
                <w:b w:val="0"/>
                <w:bCs w:val="0"/>
                <w:color w:val="auto"/>
                <w:kern w:val="2"/>
                <w:sz w:val="24"/>
                <w:szCs w:val="24"/>
                <w:lang w:val="en-US" w:eastAsia="zh-CN" w:bidi="ar-SA"/>
              </w:rPr>
              <w:t>、</w:t>
            </w:r>
            <w:r>
              <w:rPr>
                <w:rFonts w:hint="default" w:ascii="Calibri" w:hAnsi="Calibri" w:eastAsia="宋体" w:cs="Calibri"/>
                <w:b w:val="0"/>
                <w:bCs w:val="0"/>
                <w:color w:val="auto"/>
                <w:kern w:val="2"/>
                <w:sz w:val="24"/>
                <w:szCs w:val="24"/>
                <w:lang w:val="en-US" w:eastAsia="zh-CN" w:bidi="ar-SA"/>
              </w:rPr>
              <w:t>工频磁场监测；</w:t>
            </w:r>
          </w:p>
          <w:p w14:paraId="178DC7B5">
            <w:pPr>
              <w:keepNext w:val="0"/>
              <w:keepLines w:val="0"/>
              <w:pageBreakBefore w:val="0"/>
              <w:widowControl/>
              <w:kinsoku/>
              <w:wordWrap/>
              <w:overflowPunct/>
              <w:topLinePunct w:val="0"/>
              <w:autoSpaceDE/>
              <w:autoSpaceDN/>
              <w:bidi w:val="0"/>
              <w:adjustRightInd/>
              <w:snapToGrid/>
              <w:spacing w:before="0" w:line="480" w:lineRule="exact"/>
              <w:ind w:firstLine="480" w:firstLineChars="200"/>
              <w:jc w:val="both"/>
              <w:textAlignment w:val="auto"/>
              <w:rPr>
                <w:rFonts w:hint="default" w:ascii="Calibri" w:hAnsi="Calibri" w:eastAsia="宋体" w:cs="Calibri"/>
                <w:b w:val="0"/>
                <w:bCs w:val="0"/>
                <w:color w:val="auto"/>
                <w:kern w:val="2"/>
                <w:sz w:val="24"/>
                <w:szCs w:val="24"/>
                <w:lang w:val="en-US" w:eastAsia="zh-CN" w:bidi="ar-SA"/>
              </w:rPr>
            </w:pPr>
            <w:r>
              <w:rPr>
                <w:rFonts w:hint="default" w:ascii="Calibri" w:hAnsi="Calibri" w:eastAsia="宋体" w:cs="Calibri"/>
                <w:b w:val="0"/>
                <w:bCs w:val="0"/>
                <w:color w:val="auto"/>
                <w:kern w:val="2"/>
                <w:sz w:val="24"/>
                <w:szCs w:val="24"/>
                <w:lang w:val="en-US" w:eastAsia="zh-CN" w:bidi="ar-SA"/>
              </w:rPr>
              <w:t>（</w:t>
            </w:r>
            <w:r>
              <w:rPr>
                <w:rFonts w:hint="default" w:ascii="Calibri" w:hAnsi="Calibri" w:cs="Calibri"/>
                <w:b w:val="0"/>
                <w:bCs w:val="0"/>
                <w:color w:val="auto"/>
                <w:kern w:val="2"/>
                <w:sz w:val="24"/>
                <w:szCs w:val="24"/>
                <w:lang w:val="en-US" w:eastAsia="zh-CN" w:bidi="ar-SA"/>
              </w:rPr>
              <w:t>3</w:t>
            </w:r>
            <w:r>
              <w:rPr>
                <w:rFonts w:hint="default" w:ascii="Calibri" w:hAnsi="Calibri" w:eastAsia="宋体" w:cs="Calibri"/>
                <w:b w:val="0"/>
                <w:bCs w:val="0"/>
                <w:color w:val="auto"/>
                <w:kern w:val="2"/>
                <w:sz w:val="24"/>
                <w:szCs w:val="24"/>
                <w:lang w:val="en-US" w:eastAsia="zh-CN" w:bidi="ar-SA"/>
              </w:rPr>
              <w:t>）设立电磁防护安警示全标志，禁止无关人员靠近带电架构。</w:t>
            </w:r>
          </w:p>
          <w:p w14:paraId="0388E32A">
            <w:pPr>
              <w:keepNext w:val="0"/>
              <w:keepLines w:val="0"/>
              <w:pageBreakBefore w:val="0"/>
              <w:widowControl/>
              <w:kinsoku/>
              <w:wordWrap/>
              <w:overflowPunct/>
              <w:topLinePunct w:val="0"/>
              <w:autoSpaceDE/>
              <w:autoSpaceDN/>
              <w:bidi w:val="0"/>
              <w:adjustRightInd/>
              <w:snapToGrid/>
              <w:spacing w:before="0" w:line="480" w:lineRule="exact"/>
              <w:ind w:firstLine="480" w:firstLineChars="200"/>
              <w:jc w:val="both"/>
              <w:textAlignment w:val="auto"/>
              <w:rPr>
                <w:rFonts w:hint="default" w:ascii="Calibri" w:hAnsi="Calibri" w:eastAsia="宋体" w:cs="Calibri"/>
                <w:b w:val="0"/>
                <w:bCs w:val="0"/>
                <w:color w:val="auto"/>
                <w:kern w:val="2"/>
                <w:sz w:val="24"/>
                <w:szCs w:val="24"/>
                <w:lang w:val="en-US" w:eastAsia="zh-CN" w:bidi="ar-SA"/>
              </w:rPr>
            </w:pPr>
            <w:r>
              <w:rPr>
                <w:rFonts w:hint="default" w:ascii="Calibri" w:hAnsi="Calibri" w:eastAsia="宋体" w:cs="Calibri"/>
                <w:b w:val="0"/>
                <w:bCs w:val="0"/>
                <w:color w:val="auto"/>
                <w:kern w:val="2"/>
                <w:sz w:val="24"/>
                <w:szCs w:val="24"/>
                <w:lang w:val="en-US" w:eastAsia="zh-CN" w:bidi="ar-SA"/>
              </w:rPr>
              <w:t>通过落实上述措施，本项目运营期线路产生的电磁场对周边环境影响较小，在可接受范围内。</w:t>
            </w:r>
          </w:p>
          <w:p w14:paraId="48039D76">
            <w:pPr>
              <w:pStyle w:val="36"/>
              <w:keepNext w:val="0"/>
              <w:keepLines w:val="0"/>
              <w:pageBreakBefore w:val="0"/>
              <w:widowControl w:val="0"/>
              <w:numPr>
                <w:ilvl w:val="0"/>
                <w:numId w:val="0"/>
              </w:numPr>
              <w:kinsoku/>
              <w:wordWrap/>
              <w:overflowPunct/>
              <w:topLinePunct w:val="0"/>
              <w:bidi w:val="0"/>
              <w:spacing w:line="480" w:lineRule="exact"/>
              <w:ind w:firstLine="482" w:firstLineChars="200"/>
              <w:jc w:val="both"/>
              <w:textAlignment w:val="auto"/>
              <w:rPr>
                <w:rFonts w:hint="default" w:ascii="Calibri" w:hAnsi="Calibri" w:eastAsia="宋体" w:cs="Calibri"/>
                <w:color w:val="auto"/>
                <w:lang w:val="en-US" w:eastAsia="zh-CN"/>
              </w:rPr>
            </w:pPr>
            <w:r>
              <w:rPr>
                <w:rFonts w:hint="eastAsia" w:ascii="Calibri" w:hAnsi="Calibri" w:eastAsia="宋体" w:cs="Calibri"/>
                <w:b/>
                <w:color w:val="auto"/>
                <w:kern w:val="0"/>
                <w:sz w:val="24"/>
                <w:szCs w:val="21"/>
                <w:lang w:val="en-US" w:eastAsia="zh-CN" w:bidi="ar-SA"/>
              </w:rPr>
              <w:t>三、</w:t>
            </w:r>
            <w:r>
              <w:rPr>
                <w:rFonts w:hint="default" w:ascii="Calibri" w:hAnsi="Calibri" w:eastAsia="宋体" w:cs="Calibri"/>
                <w:color w:val="auto"/>
                <w:lang w:val="en-US" w:eastAsia="zh-CN"/>
              </w:rPr>
              <w:t>声环境保护措施</w:t>
            </w:r>
          </w:p>
          <w:p w14:paraId="11891692">
            <w:pPr>
              <w:pStyle w:val="10"/>
              <w:keepNext w:val="0"/>
              <w:keepLines w:val="0"/>
              <w:pageBreakBefore w:val="0"/>
              <w:widowControl w:val="0"/>
              <w:kinsoku/>
              <w:wordWrap/>
              <w:overflowPunct/>
              <w:topLinePunct w:val="0"/>
              <w:bidi w:val="0"/>
              <w:spacing w:line="480" w:lineRule="exact"/>
              <w:ind w:firstLine="480" w:firstLineChars="200"/>
              <w:jc w:val="both"/>
              <w:textAlignment w:val="auto"/>
              <w:rPr>
                <w:rFonts w:hint="default" w:ascii="Calibri" w:hAnsi="Calibri" w:eastAsia="宋体" w:cs="Calibri"/>
                <w:color w:val="auto"/>
                <w:lang w:val="en-US" w:eastAsia="zh-CN"/>
              </w:rPr>
            </w:pPr>
            <w:r>
              <w:rPr>
                <w:rFonts w:hint="default" w:ascii="Calibri" w:hAnsi="Calibri" w:eastAsia="宋体" w:cs="Calibri"/>
                <w:color w:val="auto"/>
                <w:lang w:val="en-US" w:eastAsia="zh-CN"/>
              </w:rPr>
              <w:t>优化输电线路的导线特性，如提高表面光洁度、适当加大导线截面直径等，降低线路噪声水平。输电线路正常运行下，两侧随距离延伸，噪声逐渐衰减，线路运行时声环境符合《声环境质量标准》（GB3096-2008）2类标准。</w:t>
            </w:r>
          </w:p>
          <w:p w14:paraId="68603618">
            <w:pPr>
              <w:pStyle w:val="10"/>
              <w:keepNext w:val="0"/>
              <w:keepLines w:val="0"/>
              <w:pageBreakBefore w:val="0"/>
              <w:widowControl w:val="0"/>
              <w:kinsoku/>
              <w:wordWrap/>
              <w:overflowPunct/>
              <w:topLinePunct w:val="0"/>
              <w:bidi w:val="0"/>
              <w:spacing w:line="480" w:lineRule="exact"/>
              <w:ind w:firstLine="480" w:firstLineChars="200"/>
              <w:jc w:val="both"/>
              <w:textAlignment w:val="auto"/>
              <w:rPr>
                <w:rFonts w:hint="default" w:ascii="Calibri" w:hAnsi="Calibri" w:eastAsia="宋体" w:cs="Calibri"/>
                <w:color w:val="auto"/>
                <w:lang w:val="en-US" w:eastAsia="zh-CN"/>
              </w:rPr>
            </w:pPr>
            <w:r>
              <w:rPr>
                <w:rFonts w:hint="default" w:ascii="Calibri" w:hAnsi="Calibri" w:cs="Calibri"/>
                <w:color w:val="auto"/>
                <w:lang w:val="en-US" w:eastAsia="zh-CN"/>
              </w:rPr>
              <w:t>变电站属于户外式变电站，墙体材料选用吸声材料，可降低主变压器噪声对外环境的影响，满足《工业企业厂界环境噪声排放标准》</w:t>
            </w:r>
            <w:r>
              <w:rPr>
                <w:rFonts w:hint="eastAsia" w:ascii="Calibri" w:hAnsi="Calibri" w:cs="Calibri"/>
                <w:color w:val="auto"/>
                <w:lang w:val="en-US" w:eastAsia="zh-CN"/>
              </w:rPr>
              <w:t>（</w:t>
            </w:r>
            <w:r>
              <w:rPr>
                <w:rFonts w:hint="default" w:ascii="Calibri" w:hAnsi="Calibri" w:cs="Calibri"/>
                <w:color w:val="auto"/>
                <w:lang w:val="en-US" w:eastAsia="zh-CN"/>
              </w:rPr>
              <w:t>GB12348-2008)2类标准。</w:t>
            </w:r>
          </w:p>
          <w:p w14:paraId="3593B0B2">
            <w:pPr>
              <w:pStyle w:val="10"/>
              <w:keepNext w:val="0"/>
              <w:keepLines w:val="0"/>
              <w:pageBreakBefore w:val="0"/>
              <w:widowControl w:val="0"/>
              <w:kinsoku/>
              <w:wordWrap/>
              <w:overflowPunct/>
              <w:topLinePunct w:val="0"/>
              <w:bidi w:val="0"/>
              <w:spacing w:line="480" w:lineRule="exact"/>
              <w:ind w:firstLine="480" w:firstLineChars="200"/>
              <w:jc w:val="both"/>
              <w:textAlignment w:val="auto"/>
              <w:rPr>
                <w:rFonts w:hint="default" w:ascii="Calibri" w:hAnsi="Calibri" w:eastAsia="宋体" w:cs="Calibri"/>
                <w:color w:val="auto"/>
                <w:lang w:val="en-US" w:eastAsia="zh-CN"/>
              </w:rPr>
            </w:pPr>
            <w:r>
              <w:rPr>
                <w:rFonts w:hint="default" w:ascii="Calibri" w:hAnsi="Calibri" w:eastAsia="宋体" w:cs="Calibri"/>
                <w:color w:val="auto"/>
                <w:lang w:val="en-US" w:eastAsia="zh-CN"/>
              </w:rPr>
              <w:t>本项目投运后输电线路</w:t>
            </w:r>
            <w:r>
              <w:rPr>
                <w:rFonts w:hint="default" w:ascii="Calibri" w:hAnsi="Calibri" w:cs="Calibri"/>
                <w:color w:val="auto"/>
                <w:lang w:val="en-US" w:eastAsia="zh-CN"/>
              </w:rPr>
              <w:t>及变电站</w:t>
            </w:r>
            <w:r>
              <w:rPr>
                <w:rFonts w:hint="default" w:ascii="Calibri" w:hAnsi="Calibri" w:eastAsia="宋体" w:cs="Calibri"/>
                <w:color w:val="auto"/>
                <w:lang w:val="en-US" w:eastAsia="zh-CN"/>
              </w:rPr>
              <w:t>噪声对周围环境产生的影响可接受。</w:t>
            </w:r>
          </w:p>
          <w:p w14:paraId="3FFEBB24">
            <w:pPr>
              <w:pStyle w:val="36"/>
              <w:keepNext w:val="0"/>
              <w:keepLines w:val="0"/>
              <w:pageBreakBefore w:val="0"/>
              <w:widowControl w:val="0"/>
              <w:numPr>
                <w:ilvl w:val="0"/>
                <w:numId w:val="0"/>
              </w:numPr>
              <w:kinsoku/>
              <w:wordWrap/>
              <w:overflowPunct/>
              <w:topLinePunct w:val="0"/>
              <w:bidi w:val="0"/>
              <w:spacing w:line="480" w:lineRule="exact"/>
              <w:ind w:firstLine="482" w:firstLineChars="200"/>
              <w:jc w:val="both"/>
              <w:textAlignment w:val="auto"/>
              <w:rPr>
                <w:rFonts w:hint="default" w:ascii="Calibri" w:hAnsi="Calibri" w:eastAsia="宋体" w:cs="Calibri"/>
                <w:color w:val="auto"/>
                <w:lang w:val="en-US" w:eastAsia="zh-CN"/>
              </w:rPr>
            </w:pPr>
            <w:r>
              <w:rPr>
                <w:rFonts w:hint="eastAsia" w:ascii="Calibri" w:hAnsi="Calibri" w:eastAsia="宋体" w:cs="Calibri"/>
                <w:b/>
                <w:color w:val="auto"/>
                <w:kern w:val="0"/>
                <w:sz w:val="24"/>
                <w:szCs w:val="21"/>
                <w:lang w:val="en-US" w:eastAsia="zh-CN" w:bidi="ar-SA"/>
              </w:rPr>
              <w:t>四、</w:t>
            </w:r>
            <w:r>
              <w:rPr>
                <w:rFonts w:hint="default" w:ascii="Calibri" w:hAnsi="Calibri" w:eastAsia="宋体" w:cs="Calibri"/>
                <w:color w:val="auto"/>
                <w:lang w:val="en-US" w:eastAsia="zh-CN"/>
              </w:rPr>
              <w:t>固体废物</w:t>
            </w:r>
          </w:p>
          <w:p w14:paraId="7F7D7240">
            <w:pPr>
              <w:pStyle w:val="10"/>
              <w:keepNext w:val="0"/>
              <w:keepLines w:val="0"/>
              <w:pageBreakBefore w:val="0"/>
              <w:widowControl w:val="0"/>
              <w:kinsoku/>
              <w:wordWrap/>
              <w:overflowPunct/>
              <w:topLinePunct w:val="0"/>
              <w:bidi w:val="0"/>
              <w:spacing w:line="480" w:lineRule="exact"/>
              <w:ind w:firstLine="480" w:firstLineChars="200"/>
              <w:jc w:val="both"/>
              <w:textAlignment w:val="auto"/>
              <w:rPr>
                <w:rFonts w:hint="default" w:ascii="Calibri" w:hAnsi="Calibri" w:eastAsia="宋体" w:cs="Calibri"/>
                <w:color w:val="auto"/>
                <w:sz w:val="24"/>
                <w:szCs w:val="24"/>
              </w:rPr>
            </w:pPr>
            <w:r>
              <w:rPr>
                <w:rFonts w:hint="default" w:ascii="Calibri" w:hAnsi="Calibri" w:eastAsia="宋体" w:cs="Calibri"/>
                <w:color w:val="auto"/>
                <w:lang w:val="en-US" w:eastAsia="zh-CN"/>
              </w:rPr>
              <w:t>输电线路运营期</w:t>
            </w:r>
            <w:r>
              <w:rPr>
                <w:rFonts w:hint="default" w:ascii="Calibri" w:hAnsi="Calibri" w:cs="Calibri"/>
                <w:color w:val="auto"/>
                <w:lang w:val="en-US" w:eastAsia="zh-CN"/>
              </w:rPr>
              <w:t>更换</w:t>
            </w:r>
            <w:r>
              <w:rPr>
                <w:rFonts w:hint="default" w:ascii="Calibri" w:hAnsi="Calibri" w:eastAsia="宋体" w:cs="Calibri"/>
                <w:color w:val="auto"/>
                <w:lang w:val="en-US" w:eastAsia="zh-CN"/>
              </w:rPr>
              <w:t>的少量废弃绝缘子由建设单位或线路运维单位回收处置。</w:t>
            </w:r>
            <w:r>
              <w:rPr>
                <w:rFonts w:hint="default" w:ascii="Calibri" w:hAnsi="Calibri" w:cs="Calibri"/>
                <w:color w:val="auto"/>
                <w:sz w:val="24"/>
              </w:rPr>
              <w:t>变电站</w:t>
            </w:r>
            <w:r>
              <w:rPr>
                <w:rFonts w:hint="default" w:ascii="Calibri" w:hAnsi="Calibri" w:cs="Calibri"/>
                <w:color w:val="auto"/>
                <w:sz w:val="24"/>
                <w:highlight w:val="none"/>
              </w:rPr>
              <w:t>内的变压器、电抗器等设备，为了绝缘和冷却的需要，在变压器外壳内装有大量的变压器油，一般只有检修及事故情况下才会产生</w:t>
            </w:r>
            <w:r>
              <w:rPr>
                <w:rFonts w:hint="default" w:ascii="Calibri" w:hAnsi="Calibri" w:cs="Calibri"/>
                <w:color w:val="auto"/>
                <w:sz w:val="24"/>
                <w:highlight w:val="none"/>
                <w:lang w:val="en-US" w:eastAsia="zh-CN"/>
              </w:rPr>
              <w:t>事故废油</w:t>
            </w:r>
            <w:r>
              <w:rPr>
                <w:rFonts w:hint="default" w:ascii="Calibri" w:hAnsi="Calibri" w:cs="Calibri"/>
                <w:color w:val="auto"/>
                <w:sz w:val="24"/>
                <w:highlight w:val="none"/>
              </w:rPr>
              <w:t>。</w:t>
            </w:r>
            <w:r>
              <w:rPr>
                <w:rFonts w:hint="default" w:ascii="Calibri" w:hAnsi="Calibri" w:cs="Calibri"/>
                <w:color w:val="auto"/>
                <w:sz w:val="24"/>
                <w:lang w:val="en-US" w:eastAsia="zh-CN"/>
              </w:rPr>
              <w:t>11</w:t>
            </w:r>
            <w:r>
              <w:rPr>
                <w:rFonts w:hint="default" w:ascii="Calibri" w:hAnsi="Calibri" w:cs="Calibri"/>
                <w:color w:val="auto"/>
                <w:sz w:val="24"/>
              </w:rPr>
              <w:t>0kV变电站采用免维护蓄电池，变电站运行和检修时，无酸性废水排放，但是会产生</w:t>
            </w:r>
            <w:r>
              <w:rPr>
                <w:rFonts w:hint="eastAsia" w:ascii="Calibri" w:hAnsi="Calibri" w:cs="Calibri"/>
                <w:color w:val="auto"/>
                <w:sz w:val="24"/>
                <w:lang w:eastAsia="zh-CN"/>
              </w:rPr>
              <w:t>废铅酸蓄电池</w:t>
            </w:r>
            <w:r>
              <w:rPr>
                <w:rFonts w:hint="default" w:ascii="Calibri" w:hAnsi="Calibri" w:cs="Calibri"/>
                <w:color w:val="auto"/>
                <w:sz w:val="24"/>
              </w:rPr>
              <w:t>。</w:t>
            </w:r>
            <w:r>
              <w:rPr>
                <w:rFonts w:hint="default" w:ascii="Calibri" w:hAnsi="Calibri" w:cs="Calibri"/>
                <w:color w:val="auto"/>
                <w:sz w:val="24"/>
                <w:lang w:val="en-US" w:eastAsia="zh-CN"/>
              </w:rPr>
              <w:t>事故废油和废电池</w:t>
            </w:r>
            <w:r>
              <w:rPr>
                <w:rFonts w:hint="default" w:ascii="Calibri" w:hAnsi="Calibri" w:cs="Calibri"/>
                <w:color w:val="auto"/>
                <w:lang w:val="en-US" w:eastAsia="zh-CN"/>
              </w:rPr>
              <w:t>维修时直接交由有资质的单位拉运处置。</w:t>
            </w:r>
            <w:r>
              <w:rPr>
                <w:rFonts w:hint="default" w:ascii="Calibri" w:hAnsi="Calibri" w:eastAsia="宋体" w:cs="Calibri"/>
                <w:color w:val="auto"/>
                <w:sz w:val="24"/>
                <w:szCs w:val="24"/>
              </w:rPr>
              <w:t>事故油池，有效容积为</w:t>
            </w:r>
            <w:r>
              <w:rPr>
                <w:rFonts w:hint="eastAsia" w:ascii="Calibri" w:hAnsi="Calibri" w:cs="Calibri"/>
                <w:color w:val="auto"/>
                <w:kern w:val="0"/>
                <w:sz w:val="24"/>
                <w:szCs w:val="24"/>
                <w:lang w:val="en-US" w:eastAsia="zh-CN" w:bidi="ar-SA"/>
              </w:rPr>
              <w:t>36</w:t>
            </w:r>
            <w:r>
              <w:rPr>
                <w:rFonts w:hint="default" w:ascii="Calibri" w:hAnsi="Calibri" w:cs="Calibri"/>
                <w:color w:val="auto"/>
                <w:sz w:val="24"/>
                <w:szCs w:val="24"/>
                <w:lang w:eastAsia="zh-CN"/>
              </w:rPr>
              <w:t>m³</w:t>
            </w:r>
            <w:r>
              <w:rPr>
                <w:rFonts w:hint="default" w:ascii="Calibri" w:hAnsi="Calibri" w:eastAsia="宋体" w:cs="Calibri"/>
                <w:color w:val="auto"/>
                <w:sz w:val="24"/>
                <w:szCs w:val="24"/>
              </w:rPr>
              <w:t>。</w:t>
            </w:r>
            <w:r>
              <w:rPr>
                <w:rFonts w:hint="default" w:ascii="Calibri" w:hAnsi="Calibri" w:cs="Calibri"/>
                <w:color w:val="auto"/>
                <w:kern w:val="0"/>
                <w:sz w:val="24"/>
                <w:szCs w:val="24"/>
                <w:lang w:val="en-US" w:eastAsia="zh-CN" w:bidi="ar-SA"/>
              </w:rPr>
              <w:t>事故油池及危险废物贮存库</w:t>
            </w:r>
            <w:r>
              <w:rPr>
                <w:rFonts w:hint="default" w:ascii="Calibri" w:hAnsi="Calibri" w:eastAsia="宋体" w:cs="Calibri"/>
                <w:color w:val="auto"/>
                <w:kern w:val="0"/>
                <w:sz w:val="24"/>
                <w:szCs w:val="24"/>
                <w:lang w:val="en-US" w:eastAsia="zh-CN" w:bidi="ar-SA"/>
              </w:rPr>
              <w:t>应进行基础防渗，防渗层为至少1m厚黏土层</w:t>
            </w:r>
            <w:r>
              <w:rPr>
                <w:rFonts w:hint="eastAsia"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渗透系数不大于10</w:t>
            </w:r>
            <w:r>
              <w:rPr>
                <w:rFonts w:hint="eastAsia" w:ascii="Calibri" w:hAnsi="Calibri" w:cs="Calibri"/>
                <w:color w:val="auto"/>
                <w:sz w:val="21"/>
                <w:szCs w:val="21"/>
                <w:vertAlign w:val="superscript"/>
                <w:lang w:eastAsia="zh-CN"/>
              </w:rPr>
              <w:t>-</w:t>
            </w:r>
            <w:r>
              <w:rPr>
                <w:rFonts w:hint="default" w:ascii="Calibri" w:hAnsi="Calibri" w:cs="Calibri"/>
                <w:color w:val="auto"/>
                <w:kern w:val="0"/>
                <w:sz w:val="24"/>
                <w:szCs w:val="24"/>
                <w:vertAlign w:val="superscript"/>
                <w:lang w:val="en-US" w:eastAsia="zh-CN" w:bidi="ar-SA"/>
              </w:rPr>
              <w:t>7</w:t>
            </w:r>
            <w:r>
              <w:rPr>
                <w:rFonts w:hint="default" w:ascii="Calibri" w:hAnsi="Calibri" w:eastAsia="宋体" w:cs="Calibri"/>
                <w:color w:val="auto"/>
                <w:kern w:val="0"/>
                <w:sz w:val="24"/>
                <w:szCs w:val="24"/>
                <w:lang w:val="en-US" w:eastAsia="zh-CN" w:bidi="ar-SA"/>
              </w:rPr>
              <w:t>cm</w:t>
            </w:r>
            <w:r>
              <w:rPr>
                <w:rFonts w:hint="default"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s</w:t>
            </w:r>
            <w:r>
              <w:rPr>
                <w:rFonts w:hint="eastAsia"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，或至少2mm厚高密度聚乙烯膜等人工防渗材料</w:t>
            </w:r>
            <w:r>
              <w:rPr>
                <w:rFonts w:hint="eastAsia"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透系数不大于10</w:t>
            </w:r>
            <w:r>
              <w:rPr>
                <w:rFonts w:hint="eastAsia" w:ascii="Calibri" w:hAnsi="Calibri" w:cs="Calibri"/>
                <w:color w:val="auto"/>
                <w:sz w:val="21"/>
                <w:szCs w:val="21"/>
                <w:vertAlign w:val="superscript"/>
                <w:lang w:eastAsia="zh-CN"/>
              </w:rPr>
              <w:t>-</w:t>
            </w:r>
            <w:r>
              <w:rPr>
                <w:rFonts w:hint="default" w:ascii="Calibri" w:hAnsi="Calibri" w:eastAsia="宋体" w:cs="Calibri"/>
                <w:color w:val="auto"/>
                <w:kern w:val="0"/>
                <w:sz w:val="24"/>
                <w:szCs w:val="24"/>
                <w:vertAlign w:val="superscript"/>
                <w:lang w:val="en-US" w:eastAsia="zh-CN" w:bidi="ar-SA"/>
              </w:rPr>
              <w:t>10</w:t>
            </w:r>
            <w:r>
              <w:rPr>
                <w:rFonts w:hint="default" w:ascii="Calibri" w:hAnsi="Calibri" w:eastAsia="宋体" w:cs="Calibri"/>
                <w:color w:val="auto"/>
                <w:kern w:val="0"/>
                <w:sz w:val="24"/>
                <w:szCs w:val="24"/>
                <w:lang w:val="en-US" w:eastAsia="zh-CN" w:bidi="ar-SA"/>
              </w:rPr>
              <w:t>cm</w:t>
            </w:r>
            <w:r>
              <w:rPr>
                <w:rFonts w:hint="default" w:ascii="Calibri" w:hAnsi="Calibri" w:cs="Calibri"/>
                <w:color w:val="auto"/>
                <w:kern w:val="0"/>
                <w:sz w:val="24"/>
                <w:szCs w:val="24"/>
                <w:lang w:val="en-US" w:eastAsia="zh-CN" w:bidi="ar-SA"/>
              </w:rPr>
              <w:t>/</w:t>
            </w:r>
            <w:r>
              <w:rPr>
                <w:rFonts w:hint="default" w:ascii="Calibri" w:hAnsi="Calibri" w:eastAsia="宋体" w:cs="Calibri"/>
                <w:color w:val="auto"/>
                <w:kern w:val="0"/>
                <w:sz w:val="24"/>
                <w:szCs w:val="24"/>
                <w:lang w:val="en-US" w:eastAsia="zh-CN" w:bidi="ar-SA"/>
              </w:rPr>
              <w:t>s</w:t>
            </w:r>
            <w:r>
              <w:rPr>
                <w:rFonts w:hint="eastAsia" w:ascii="Calibri" w:hAnsi="Calibri" w:cs="Calibri"/>
                <w:color w:val="auto"/>
                <w:kern w:val="0"/>
                <w:sz w:val="24"/>
                <w:szCs w:val="24"/>
                <w:lang w:val="en-US" w:eastAsia="zh-CN" w:bidi="ar-SA"/>
              </w:rPr>
              <w:t>）</w:t>
            </w:r>
            <w:r>
              <w:rPr>
                <w:rFonts w:hint="default" w:ascii="Calibri" w:hAnsi="Calibri" w:eastAsia="宋体" w:cs="Calibri"/>
                <w:color w:val="auto"/>
                <w:sz w:val="24"/>
                <w:szCs w:val="24"/>
              </w:rPr>
              <w:t>，综合防渗措施能满足《危险废物贮存污染控制标准》（GB18597-20</w:t>
            </w:r>
            <w:r>
              <w:rPr>
                <w:rFonts w:hint="default" w:ascii="Calibri" w:hAnsi="Calibri" w:cs="Calibri"/>
                <w:color w:val="auto"/>
                <w:sz w:val="24"/>
                <w:szCs w:val="24"/>
                <w:lang w:val="en-US" w:eastAsia="zh-CN"/>
              </w:rPr>
              <w:t>23</w:t>
            </w:r>
            <w:r>
              <w:rPr>
                <w:rFonts w:hint="default" w:ascii="Calibri" w:hAnsi="Calibri" w:eastAsia="宋体" w:cs="Calibri"/>
                <w:color w:val="auto"/>
                <w:sz w:val="24"/>
                <w:szCs w:val="24"/>
              </w:rPr>
              <w:t>）。</w:t>
            </w:r>
          </w:p>
          <w:p w14:paraId="0F0349B3">
            <w:pPr>
              <w:pStyle w:val="10"/>
              <w:keepNext w:val="0"/>
              <w:keepLines w:val="0"/>
              <w:pageBreakBefore w:val="0"/>
              <w:widowControl w:val="0"/>
              <w:kinsoku/>
              <w:wordWrap/>
              <w:overflowPunct/>
              <w:topLinePunct w:val="0"/>
              <w:bidi w:val="0"/>
              <w:spacing w:line="480" w:lineRule="exact"/>
              <w:ind w:firstLine="480" w:firstLineChars="200"/>
              <w:jc w:val="both"/>
              <w:textAlignment w:val="auto"/>
              <w:rPr>
                <w:rFonts w:hint="default" w:ascii="Calibri" w:hAnsi="Calibri" w:cs="Calibri"/>
                <w:b/>
                <w:bCs/>
                <w:color w:val="auto"/>
                <w:highlight w:val="none"/>
                <w:lang w:val="en-US" w:eastAsia="zh-CN" w:bidi="ar-SA"/>
              </w:rPr>
            </w:pPr>
            <w:r>
              <w:rPr>
                <w:rFonts w:hint="default" w:ascii="Calibri" w:hAnsi="Calibri" w:cs="Calibri"/>
                <w:color w:val="auto"/>
                <w:sz w:val="24"/>
                <w:lang w:val="en-US" w:eastAsia="zh-CN"/>
              </w:rPr>
              <w:t>危险废物贮存库依托可行性：为防止本项目事故状态下，有资质单位未能及时拉运危险废物，本项目使用新建的危险废物贮存库，贮存能力为</w:t>
            </w:r>
            <w:r>
              <w:rPr>
                <w:rFonts w:hint="eastAsia" w:ascii="Calibri" w:hAnsi="Calibri" w:cs="Calibri"/>
                <w:color w:val="auto"/>
                <w:sz w:val="24"/>
                <w:lang w:val="en-US" w:eastAsia="zh-CN"/>
              </w:rPr>
              <w:t>1</w:t>
            </w:r>
            <w:r>
              <w:rPr>
                <w:rFonts w:hint="default" w:ascii="Calibri" w:hAnsi="Calibri" w:cs="Calibri"/>
                <w:color w:val="auto"/>
                <w:sz w:val="24"/>
                <w:lang w:val="en-US" w:eastAsia="zh-CN"/>
              </w:rPr>
              <w:t>t。</w:t>
            </w:r>
            <w:r>
              <w:rPr>
                <w:rFonts w:hint="default" w:ascii="Calibri" w:hAnsi="Calibri" w:eastAsia="宋体" w:cs="Calibri"/>
                <w:color w:val="auto"/>
                <w:kern w:val="0"/>
                <w:sz w:val="24"/>
                <w:szCs w:val="24"/>
                <w:vertAlign w:val="baseline"/>
                <w:lang w:val="en-US" w:eastAsia="zh-CN" w:bidi="ar-SA"/>
              </w:rPr>
              <w:t>本项目危险废物最不利的情况下为</w:t>
            </w:r>
            <w:r>
              <w:rPr>
                <w:rFonts w:hint="default" w:ascii="Calibri" w:hAnsi="Calibri" w:cs="Calibri"/>
                <w:color w:val="auto"/>
                <w:kern w:val="0"/>
                <w:sz w:val="24"/>
                <w:szCs w:val="24"/>
                <w:vertAlign w:val="baseline"/>
                <w:lang w:val="en-US" w:eastAsia="zh-CN" w:bidi="ar-SA"/>
              </w:rPr>
              <w:t>0.</w:t>
            </w:r>
            <w:r>
              <w:rPr>
                <w:rFonts w:hint="eastAsia" w:ascii="Calibri" w:hAnsi="Calibri" w:cs="Calibri"/>
                <w:color w:val="auto"/>
                <w:kern w:val="0"/>
                <w:sz w:val="24"/>
                <w:szCs w:val="24"/>
                <w:vertAlign w:val="baseline"/>
                <w:lang w:val="en-US" w:eastAsia="zh-CN" w:bidi="ar-SA"/>
              </w:rPr>
              <w:t>5</w:t>
            </w:r>
            <w:r>
              <w:rPr>
                <w:rFonts w:hint="default" w:ascii="Calibri" w:hAnsi="Calibri" w:eastAsia="宋体" w:cs="Calibri"/>
                <w:color w:val="auto"/>
                <w:kern w:val="0"/>
                <w:sz w:val="24"/>
                <w:szCs w:val="24"/>
                <w:vertAlign w:val="baseline"/>
                <w:lang w:val="en-US" w:eastAsia="zh-CN" w:bidi="ar-SA"/>
              </w:rPr>
              <w:t>t/a，</w:t>
            </w:r>
            <w:r>
              <w:rPr>
                <w:rFonts w:hint="default" w:ascii="Calibri" w:hAnsi="Calibri" w:eastAsia="宋体" w:cs="Calibri"/>
                <w:color w:val="auto"/>
                <w:kern w:val="0"/>
                <w:sz w:val="24"/>
                <w:szCs w:val="24"/>
                <w:lang w:val="en-US" w:eastAsia="zh-CN" w:bidi="ar-SA"/>
              </w:rPr>
              <w:t>因此，危险废物贮存间可满足本项目危险废物的贮存，贮存能力、距离可行。</w:t>
            </w:r>
          </w:p>
          <w:p w14:paraId="1078AE83">
            <w:pPr>
              <w:pStyle w:val="10"/>
              <w:keepNext w:val="0"/>
              <w:keepLines w:val="0"/>
              <w:pageBreakBefore w:val="0"/>
              <w:widowControl w:val="0"/>
              <w:kinsoku/>
              <w:wordWrap/>
              <w:overflowPunct/>
              <w:topLinePunct w:val="0"/>
              <w:bidi w:val="0"/>
              <w:spacing w:line="480" w:lineRule="exact"/>
              <w:ind w:firstLine="480" w:firstLineChars="200"/>
              <w:jc w:val="both"/>
              <w:textAlignment w:val="auto"/>
              <w:rPr>
                <w:rFonts w:hint="default" w:ascii="Calibri" w:hAnsi="Calibri" w:cs="Calibri"/>
                <w:b w:val="0"/>
                <w:color w:val="auto"/>
                <w:highlight w:val="none"/>
                <w:lang w:val="en-US" w:eastAsia="zh-CN" w:bidi="ar-SA"/>
              </w:rPr>
            </w:pPr>
            <w:r>
              <w:rPr>
                <w:rFonts w:hint="default" w:ascii="Calibri" w:hAnsi="Calibri" w:cs="Calibri"/>
                <w:b w:val="0"/>
                <w:color w:val="auto"/>
                <w:highlight w:val="none"/>
                <w:lang w:val="en-US" w:eastAsia="zh-CN" w:bidi="ar-SA"/>
              </w:rPr>
              <w:t>本项目变电站为无人值守站，运营期仅检修人员产生少量生活垃圾，检修完毕后集中收集随检修人员带回至就近垃圾收集站处理。</w:t>
            </w:r>
          </w:p>
          <w:p w14:paraId="0AE5C804">
            <w:pPr>
              <w:pStyle w:val="10"/>
              <w:keepNext w:val="0"/>
              <w:keepLines w:val="0"/>
              <w:pageBreakBefore w:val="0"/>
              <w:widowControl w:val="0"/>
              <w:kinsoku/>
              <w:wordWrap/>
              <w:overflowPunct/>
              <w:topLinePunct w:val="0"/>
              <w:bidi w:val="0"/>
              <w:spacing w:line="480" w:lineRule="exact"/>
              <w:ind w:firstLine="482" w:firstLineChars="200"/>
              <w:jc w:val="both"/>
              <w:textAlignment w:val="auto"/>
              <w:rPr>
                <w:rFonts w:hint="default" w:ascii="Calibri" w:hAnsi="Calibri" w:cs="Calibri"/>
                <w:b/>
                <w:bCs/>
                <w:color w:val="auto"/>
                <w:sz w:val="24"/>
                <w:szCs w:val="24"/>
                <w:lang w:val="en-US" w:eastAsia="zh-CN"/>
              </w:rPr>
            </w:pPr>
            <w:r>
              <w:rPr>
                <w:rFonts w:hint="default" w:ascii="Calibri" w:hAnsi="Calibri" w:cs="Calibri"/>
                <w:b/>
                <w:bCs/>
                <w:color w:val="auto"/>
                <w:sz w:val="24"/>
                <w:szCs w:val="24"/>
                <w:lang w:val="en-US" w:eastAsia="zh-CN"/>
              </w:rPr>
              <w:t>五、生活污水</w:t>
            </w:r>
          </w:p>
          <w:p w14:paraId="212232B0">
            <w:pPr>
              <w:pStyle w:val="10"/>
              <w:keepNext w:val="0"/>
              <w:keepLines w:val="0"/>
              <w:pageBreakBefore w:val="0"/>
              <w:widowControl w:val="0"/>
              <w:kinsoku/>
              <w:wordWrap/>
              <w:overflowPunct/>
              <w:topLinePunct w:val="0"/>
              <w:bidi w:val="0"/>
              <w:spacing w:line="480" w:lineRule="exact"/>
              <w:ind w:firstLine="480" w:firstLineChars="200"/>
              <w:jc w:val="both"/>
              <w:textAlignment w:val="auto"/>
              <w:rPr>
                <w:rFonts w:ascii="宋体" w:hAnsi="宋体" w:cs="宋体"/>
                <w:bCs/>
                <w:color w:val="auto"/>
                <w:spacing w:val="10"/>
                <w:sz w:val="24"/>
                <w:szCs w:val="24"/>
              </w:rPr>
            </w:pPr>
            <w:r>
              <w:rPr>
                <w:rFonts w:hint="eastAsia" w:ascii="Calibri" w:hAnsi="Calibri" w:cs="Calibri"/>
                <w:b w:val="0"/>
                <w:color w:val="auto"/>
                <w:highlight w:val="none"/>
                <w:lang w:val="en-US" w:eastAsia="zh-CN" w:bidi="ar-SA"/>
              </w:rPr>
              <w:t>运营期变电站</w:t>
            </w:r>
            <w:r>
              <w:rPr>
                <w:rFonts w:hint="default" w:ascii="Calibri" w:hAnsi="Calibri" w:cs="Calibri"/>
                <w:b w:val="0"/>
                <w:color w:val="auto"/>
                <w:highlight w:val="none"/>
                <w:lang w:val="en-US" w:eastAsia="zh-CN" w:bidi="ar-SA"/>
              </w:rPr>
              <w:t>不设固定劳动人员，检修人员定期巡检，不在站内食宿，无生活污水产生。</w:t>
            </w:r>
          </w:p>
        </w:tc>
      </w:tr>
      <w:tr w14:paraId="122FF2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2" w:hRule="atLeast"/>
          <w:jc w:val="center"/>
        </w:trPr>
        <w:tc>
          <w:tcPr>
            <w:tcW w:w="753" w:type="dxa"/>
            <w:noWrap w:val="0"/>
            <w:vAlign w:val="center"/>
          </w:tcPr>
          <w:p w14:paraId="0C108A46">
            <w:pPr>
              <w:adjustRightInd w:val="0"/>
              <w:snapToGrid w:val="0"/>
              <w:jc w:val="center"/>
              <w:rPr>
                <w:rFonts w:ascii="宋体" w:hAnsi="宋体" w:cs="宋体"/>
                <w:bCs/>
                <w:color w:val="auto"/>
                <w:spacing w:val="10"/>
                <w:szCs w:val="21"/>
              </w:rPr>
            </w:pPr>
            <w:r>
              <w:rPr>
                <w:rFonts w:hint="eastAsia" w:ascii="宋体" w:hAnsi="宋体"/>
                <w:bCs/>
                <w:color w:val="auto"/>
                <w:szCs w:val="21"/>
              </w:rPr>
              <w:t>其他</w:t>
            </w:r>
          </w:p>
        </w:tc>
        <w:tc>
          <w:tcPr>
            <w:tcW w:w="8457" w:type="dxa"/>
            <w:noWrap w:val="0"/>
            <w:vAlign w:val="top"/>
          </w:tcPr>
          <w:p w14:paraId="317743AE">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auto"/>
              <w:rPr>
                <w:rFonts w:hint="eastAsia" w:ascii="宋体" w:hAnsi="宋体" w:eastAsia="宋体" w:cs="宋体"/>
                <w:b/>
                <w:color w:val="auto"/>
                <w:kern w:val="0"/>
                <w:sz w:val="24"/>
                <w:szCs w:val="21"/>
                <w:lang w:val="en-US" w:eastAsia="zh-CN" w:bidi="ar-SA"/>
              </w:rPr>
            </w:pPr>
            <w:r>
              <w:rPr>
                <w:rFonts w:hint="eastAsia" w:ascii="宋体" w:hAnsi="宋体" w:eastAsia="宋体" w:cs="宋体"/>
                <w:b/>
                <w:color w:val="auto"/>
                <w:kern w:val="0"/>
                <w:sz w:val="24"/>
                <w:szCs w:val="21"/>
                <w:lang w:val="en-US" w:eastAsia="zh-CN" w:bidi="ar-SA"/>
              </w:rPr>
              <w:t>5.1</w:t>
            </w:r>
            <w:r>
              <w:rPr>
                <w:rFonts w:hint="eastAsia" w:ascii="宋体" w:hAnsi="宋体" w:cs="宋体"/>
                <w:b/>
                <w:color w:val="auto"/>
                <w:kern w:val="0"/>
                <w:sz w:val="24"/>
                <w:szCs w:val="21"/>
                <w:lang w:val="en-US" w:eastAsia="zh-CN" w:bidi="ar-SA"/>
              </w:rPr>
              <w:t xml:space="preserve"> </w:t>
            </w:r>
            <w:r>
              <w:rPr>
                <w:rFonts w:hint="eastAsia" w:ascii="宋体" w:hAnsi="宋体" w:eastAsia="宋体" w:cs="宋体"/>
                <w:b/>
                <w:color w:val="auto"/>
                <w:kern w:val="0"/>
                <w:sz w:val="24"/>
                <w:szCs w:val="21"/>
                <w:lang w:val="en-US" w:eastAsia="zh-CN" w:bidi="ar-SA"/>
              </w:rPr>
              <w:t>环境管理</w:t>
            </w:r>
          </w:p>
          <w:p w14:paraId="73B0C522">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加强环境管理和环境监测是执行有关环境保护法规的重要手段，也是实现建设项目社会效益、经济效益、环境效益协调发展的必要保障。通过环境管理和环境监测，可以监控本项目对区域地表水、环境空气、声环境和生态环境的影响，为本区域的环境管理、污染防治和生态保护提供依据。</w:t>
            </w:r>
          </w:p>
          <w:p w14:paraId="7C05B4A8">
            <w:pPr>
              <w:keepNext w:val="0"/>
              <w:keepLines w:val="0"/>
              <w:pageBreakBefore w:val="0"/>
              <w:widowControl w:val="0"/>
              <w:numPr>
                <w:ilvl w:val="0"/>
                <w:numId w:val="0"/>
              </w:numPr>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（1）环境管理机构</w:t>
            </w:r>
          </w:p>
          <w:p w14:paraId="0B8930B3">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本项目的环境管理应设专门的环境管理机构负责，建设单位或运营单位应配备必要的专职或兼职人员，负责环境保护管理工作。</w:t>
            </w:r>
          </w:p>
          <w:p w14:paraId="4E6E8EA5">
            <w:pPr>
              <w:keepNext w:val="0"/>
              <w:keepLines w:val="0"/>
              <w:pageBreakBefore w:val="0"/>
              <w:widowControl w:val="0"/>
              <w:numPr>
                <w:ilvl w:val="0"/>
                <w:numId w:val="0"/>
              </w:numPr>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（2）施工期环境管理</w:t>
            </w:r>
          </w:p>
          <w:p w14:paraId="46E7AB4C">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根据《中华人民共和国环境保护法》和《建设项目环境保护管理条例》，建设单位必须把环境保护工作纳入计划，建立环境保护责任制度，采取有效措施，防治环境破坏。</w:t>
            </w:r>
          </w:p>
          <w:p w14:paraId="3D34066E">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①施工招标中应对投标单位提出施工期间的环保要求，如废污水处理、防尘降噪、固废处理、生态保护等情况均应按设计文件和环评要求执行。</w:t>
            </w:r>
          </w:p>
          <w:p w14:paraId="18329C45">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②建设单位施工合同应涵盖</w:t>
            </w:r>
            <w:r>
              <w:rPr>
                <w:rFonts w:hint="eastAsia" w:ascii="宋体" w:hAnsi="宋体" w:cs="宋体"/>
                <w:color w:val="auto"/>
                <w:kern w:val="2"/>
                <w:sz w:val="24"/>
                <w:szCs w:val="24"/>
                <w:lang w:val="en-US" w:eastAsia="zh-CN" w:bidi="ar-SA"/>
              </w:rPr>
              <w:t>环境基础设施建设</w:t>
            </w:r>
            <w:r>
              <w:rPr>
                <w:rFonts w:hint="eastAsia" w:ascii="宋体" w:hAnsi="宋体" w:eastAsia="宋体" w:cs="宋体"/>
                <w:color w:val="auto"/>
                <w:kern w:val="2"/>
                <w:sz w:val="24"/>
                <w:szCs w:val="24"/>
                <w:lang w:val="en-US" w:eastAsia="zh-CN" w:bidi="ar-SA"/>
              </w:rPr>
              <w:t>内容并配置相应资金情况。</w:t>
            </w:r>
          </w:p>
          <w:p w14:paraId="322DAF2F">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③监督施工单位，使设计、施工过程的各项环境保护措施与主体工程同步实施。</w:t>
            </w:r>
          </w:p>
          <w:p w14:paraId="729355B3">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④在施工过程中要根据建设进度检查本工程实际建设规模、地点或者防治污染、防止生态破坏的措施与环评文件、批复文件或环境保护设施设计要求的一致性，发生变动的，建设单位应在变动前开展环境影响分析情况，重大变动的需及时报批环评文件。</w:t>
            </w:r>
          </w:p>
          <w:p w14:paraId="5C9B85B9">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⑤提高管理人员和施工人员的环保意识，要求各施工单位根据制定的环保培训和宣传计划，分批次、分阶段地对职工进行环保教育。</w:t>
            </w:r>
          </w:p>
          <w:p w14:paraId="1CCFF3CC">
            <w:pPr>
              <w:keepNext w:val="0"/>
              <w:keepLines w:val="0"/>
              <w:pageBreakBefore w:val="0"/>
              <w:widowControl w:val="0"/>
              <w:numPr>
                <w:ilvl w:val="0"/>
                <w:numId w:val="0"/>
              </w:numPr>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（3）环境保护设施竣工验收</w:t>
            </w:r>
          </w:p>
          <w:p w14:paraId="46D9F392">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根据《建设项目环境保护管理条例》，本项目的建设应执行污染治理设施与主体工程同时设计、同时施工、同时投产使用的“三同时”制度。“建设项目竣工环境保护验收调查报告表”主要内容应包括：</w:t>
            </w:r>
          </w:p>
          <w:p w14:paraId="494AA422">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①实际工程内容及变动情况。</w:t>
            </w:r>
          </w:p>
          <w:p w14:paraId="17D0D9C4">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②环境保护目标基本情况及变动情况。</w:t>
            </w:r>
          </w:p>
          <w:p w14:paraId="1F99B517">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③环境影响报告表及批复提出的环保措施及设施落实情况。</w:t>
            </w:r>
          </w:p>
          <w:p w14:paraId="5B81033B">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④环境质量和环境监测因子达标情况。</w:t>
            </w:r>
          </w:p>
          <w:p w14:paraId="1E5ED154">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⑤环境管理与监测计划落实情况。</w:t>
            </w:r>
          </w:p>
          <w:p w14:paraId="4FFB95FF">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⑥环境保护投资落实情况。</w:t>
            </w:r>
          </w:p>
          <w:p w14:paraId="7AD4EF7F">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（4）运营期环境管理</w:t>
            </w:r>
          </w:p>
          <w:p w14:paraId="3D95C3BE">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工程运营期，建设单位或运营单位全面负责工程运行期的各项环境保护工作。</w:t>
            </w:r>
          </w:p>
          <w:p w14:paraId="15FDF7F3">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①制定和实施各项环境管理计划。</w:t>
            </w:r>
          </w:p>
          <w:p w14:paraId="2842C9CE">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②组织和落实项目运营期的环境监测、监督工作，委托有资质的单位承担本工程的环境监测工作。</w:t>
            </w:r>
          </w:p>
          <w:p w14:paraId="5CC9455D">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③建立环境管理和环境监测技术文件。</w:t>
            </w:r>
          </w:p>
          <w:p w14:paraId="28FEC92E">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④检查各环保设施运行情况，及时处理出现的问题，保证环保设施的正常运行。</w:t>
            </w:r>
          </w:p>
          <w:p w14:paraId="3DF1A32C">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⑤不定期地巡查线路各段，特别是环境保护对象，</w:t>
            </w:r>
            <w:r>
              <w:rPr>
                <w:rFonts w:hint="eastAsia" w:ascii="宋体" w:hAnsi="宋体" w:cs="宋体"/>
                <w:color w:val="auto"/>
                <w:kern w:val="2"/>
                <w:sz w:val="24"/>
                <w:szCs w:val="24"/>
                <w:lang w:val="en-US" w:eastAsia="zh-CN" w:bidi="ar-SA"/>
              </w:rPr>
              <w:t>保证</w:t>
            </w:r>
            <w:r>
              <w:rPr>
                <w:rFonts w:hint="eastAsia" w:ascii="宋体" w:hAnsi="宋体" w:eastAsia="宋体" w:cs="宋体"/>
                <w:color w:val="auto"/>
                <w:kern w:val="2"/>
                <w:sz w:val="24"/>
                <w:szCs w:val="24"/>
                <w:lang w:val="en-US" w:eastAsia="zh-CN" w:bidi="ar-SA"/>
              </w:rPr>
              <w:t>生态环境不被破坏</w:t>
            </w:r>
            <w:r>
              <w:rPr>
                <w:rFonts w:hint="eastAsia" w:ascii="宋体" w:hAnsi="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生态环境与项目运行相协调。</w:t>
            </w:r>
          </w:p>
          <w:p w14:paraId="141953D6">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⑥针对线路附近由静电引起的电场刺激等实际影响，建设单位或负责运营的单位应在线路附近设置警示标志，并建立该类影响的应对机制，如及时采取塔基接地等防静电措施。</w:t>
            </w:r>
          </w:p>
          <w:p w14:paraId="2BD4D05A">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⑦参照《企业事业单位环境信息公开办法</w:t>
            </w:r>
            <w:r>
              <w:rPr>
                <w:rFonts w:hint="eastAsia" w:ascii="宋体" w:hAnsi="宋体" w:cs="宋体"/>
                <w:color w:val="auto"/>
                <w:kern w:val="2"/>
                <w:sz w:val="24"/>
                <w:szCs w:val="24"/>
                <w:lang w:val="en-US" w:eastAsia="zh-CN" w:bidi="ar-SA"/>
              </w:rPr>
              <w:t>》《</w:t>
            </w:r>
            <w:r>
              <w:rPr>
                <w:rFonts w:hint="eastAsia" w:ascii="宋体" w:hAnsi="宋体" w:eastAsia="宋体" w:cs="宋体"/>
                <w:color w:val="auto"/>
                <w:kern w:val="2"/>
                <w:sz w:val="24"/>
                <w:szCs w:val="24"/>
                <w:lang w:val="en-US" w:eastAsia="zh-CN" w:bidi="ar-SA"/>
              </w:rPr>
              <w:t>建设项目环境影响评价信息公开机制方案》等要求，及时公开环境信息。</w:t>
            </w:r>
          </w:p>
          <w:p w14:paraId="7072CF8E">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auto"/>
              <w:rPr>
                <w:rFonts w:hint="eastAsia" w:ascii="宋体" w:hAnsi="宋体" w:eastAsia="宋体" w:cs="宋体"/>
                <w:b/>
                <w:color w:val="auto"/>
                <w:kern w:val="0"/>
                <w:sz w:val="24"/>
                <w:szCs w:val="21"/>
                <w:lang w:val="en-US" w:eastAsia="zh-CN" w:bidi="ar-SA"/>
              </w:rPr>
            </w:pPr>
            <w:r>
              <w:rPr>
                <w:rFonts w:hint="eastAsia" w:ascii="宋体" w:hAnsi="宋体" w:eastAsia="宋体" w:cs="宋体"/>
                <w:b/>
                <w:color w:val="auto"/>
                <w:kern w:val="0"/>
                <w:sz w:val="24"/>
                <w:szCs w:val="21"/>
                <w:lang w:val="en-US" w:eastAsia="zh-CN" w:bidi="ar-SA"/>
              </w:rPr>
              <w:t>5.2</w:t>
            </w:r>
            <w:r>
              <w:rPr>
                <w:rFonts w:hint="eastAsia" w:ascii="宋体" w:hAnsi="宋体" w:cs="宋体"/>
                <w:b/>
                <w:color w:val="auto"/>
                <w:kern w:val="0"/>
                <w:sz w:val="24"/>
                <w:szCs w:val="21"/>
                <w:lang w:val="en-US" w:eastAsia="zh-CN" w:bidi="ar-SA"/>
              </w:rPr>
              <w:t xml:space="preserve"> </w:t>
            </w:r>
            <w:r>
              <w:rPr>
                <w:rFonts w:hint="eastAsia" w:ascii="宋体" w:hAnsi="宋体" w:eastAsia="宋体" w:cs="宋体"/>
                <w:b/>
                <w:color w:val="auto"/>
                <w:kern w:val="0"/>
                <w:sz w:val="24"/>
                <w:szCs w:val="21"/>
                <w:lang w:val="en-US" w:eastAsia="zh-CN" w:bidi="ar-SA"/>
              </w:rPr>
              <w:t>监测计划</w:t>
            </w:r>
          </w:p>
          <w:p w14:paraId="0C4B0DD6">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根据</w:t>
            </w:r>
            <w:r>
              <w:rPr>
                <w:rFonts w:hint="eastAsia" w:ascii="宋体" w:hAnsi="宋体" w:eastAsia="宋体" w:cs="宋体"/>
                <w:color w:val="auto"/>
                <w:kern w:val="2"/>
                <w:sz w:val="24"/>
                <w:szCs w:val="24"/>
                <w:lang w:val="en-US" w:eastAsia="zh-CN" w:bidi="ar-SA"/>
              </w:rPr>
              <w:t>《环境影响评价技术导则 输变电》（HJ 24-2020），</w:t>
            </w:r>
            <w:r>
              <w:rPr>
                <w:rFonts w:hint="eastAsia" w:ascii="宋体" w:hAnsi="宋体" w:cs="宋体"/>
                <w:color w:val="auto"/>
                <w:kern w:val="2"/>
                <w:sz w:val="24"/>
                <w:szCs w:val="24"/>
                <w:lang w:val="en-US" w:eastAsia="zh-CN" w:bidi="ar-SA"/>
              </w:rPr>
              <w:t>监测范围参考环评评价范围，</w:t>
            </w:r>
            <w:r>
              <w:rPr>
                <w:rFonts w:hint="eastAsia" w:ascii="宋体" w:hAnsi="宋体" w:eastAsia="宋体" w:cs="宋体"/>
                <w:color w:val="auto"/>
                <w:kern w:val="2"/>
                <w:sz w:val="24"/>
                <w:szCs w:val="24"/>
                <w:lang w:val="en-US" w:eastAsia="zh-CN" w:bidi="ar-SA"/>
              </w:rPr>
              <w:t>制定本项目的监测计划，具体内容见表5-</w:t>
            </w:r>
            <w:r>
              <w:rPr>
                <w:rFonts w:hint="eastAsia" w:ascii="宋体" w:hAnsi="宋体" w:cs="宋体"/>
                <w:color w:val="auto"/>
                <w:kern w:val="2"/>
                <w:sz w:val="24"/>
                <w:szCs w:val="24"/>
                <w:lang w:val="en-US" w:eastAsia="zh-CN" w:bidi="ar-SA"/>
              </w:rPr>
              <w:t>1</w:t>
            </w:r>
            <w:r>
              <w:rPr>
                <w:rFonts w:hint="eastAsia" w:ascii="宋体" w:hAnsi="宋体" w:eastAsia="宋体" w:cs="宋体"/>
                <w:color w:val="auto"/>
                <w:kern w:val="2"/>
                <w:sz w:val="24"/>
                <w:szCs w:val="24"/>
                <w:lang w:val="en-US" w:eastAsia="zh-CN" w:bidi="ar-SA"/>
              </w:rPr>
              <w:t>。</w:t>
            </w:r>
          </w:p>
          <w:p w14:paraId="73EB9C76">
            <w:pPr>
              <w:keepNext w:val="0"/>
              <w:keepLines w:val="0"/>
              <w:pageBreakBefore w:val="0"/>
              <w:widowControl w:val="0"/>
              <w:kinsoku/>
              <w:wordWrap/>
              <w:overflowPunct/>
              <w:topLinePunct w:val="0"/>
              <w:bidi w:val="0"/>
              <w:spacing w:line="480" w:lineRule="exact"/>
              <w:ind w:left="0" w:leftChars="0" w:firstLine="482" w:firstLineChars="200"/>
              <w:jc w:val="center"/>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表5-</w:t>
            </w:r>
            <w:r>
              <w:rPr>
                <w:rFonts w:hint="eastAsia" w:ascii="宋体" w:hAnsi="宋体" w:cs="宋体"/>
                <w:b/>
                <w:bCs/>
                <w:color w:val="auto"/>
                <w:kern w:val="2"/>
                <w:sz w:val="24"/>
                <w:szCs w:val="24"/>
                <w:lang w:val="en-US" w:eastAsia="zh-CN" w:bidi="ar-SA"/>
              </w:rPr>
              <w:t>1</w:t>
            </w:r>
            <w:r>
              <w:rPr>
                <w:rFonts w:hint="eastAsia" w:ascii="宋体" w:hAnsi="宋体" w:eastAsia="宋体" w:cs="宋体"/>
                <w:b/>
                <w:bCs/>
                <w:color w:val="auto"/>
                <w:kern w:val="2"/>
                <w:sz w:val="24"/>
                <w:szCs w:val="24"/>
                <w:lang w:val="en-US" w:eastAsia="zh-CN" w:bidi="ar-SA"/>
              </w:rPr>
              <w:t xml:space="preserve">        环境监测计划一览表</w:t>
            </w:r>
          </w:p>
          <w:tbl>
            <w:tblPr>
              <w:tblStyle w:val="2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98"/>
              <w:gridCol w:w="881"/>
              <w:gridCol w:w="1950"/>
              <w:gridCol w:w="1624"/>
              <w:gridCol w:w="2104"/>
              <w:gridCol w:w="1361"/>
            </w:tblGrid>
            <w:tr w14:paraId="6F1EA2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76" w:hRule="atLeast"/>
                <w:jc w:val="center"/>
              </w:trPr>
              <w:tc>
                <w:tcPr>
                  <w:tcW w:w="181" w:type="pct"/>
                  <w:noWrap w:val="0"/>
                  <w:vAlign w:val="center"/>
                </w:tcPr>
                <w:p w14:paraId="09D370E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Calibri" w:hAnsi="Calibri" w:eastAsia="宋体" w:cs="Calibri"/>
                      <w:color w:val="auto"/>
                      <w:kern w:val="0"/>
                      <w:sz w:val="21"/>
                      <w:szCs w:val="21"/>
                      <w:lang w:val="en-US" w:eastAsia="zh-CN" w:bidi="ar-SA"/>
                    </w:rPr>
                  </w:pPr>
                  <w:r>
                    <w:rPr>
                      <w:rFonts w:hint="default" w:ascii="Calibri" w:hAnsi="Calibri" w:eastAsia="宋体" w:cs="Calibri"/>
                      <w:color w:val="auto"/>
                      <w:kern w:val="0"/>
                      <w:sz w:val="21"/>
                      <w:szCs w:val="21"/>
                      <w:lang w:val="en-US" w:eastAsia="zh-CN" w:bidi="ar-SA"/>
                    </w:rPr>
                    <w:t>环境要素</w:t>
                  </w:r>
                </w:p>
              </w:tc>
              <w:tc>
                <w:tcPr>
                  <w:tcW w:w="536" w:type="pct"/>
                  <w:noWrap w:val="0"/>
                  <w:vAlign w:val="center"/>
                </w:tcPr>
                <w:p w14:paraId="3975471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Calibri" w:hAnsi="Calibri" w:eastAsia="宋体" w:cs="Calibri"/>
                      <w:color w:val="auto"/>
                      <w:kern w:val="0"/>
                      <w:sz w:val="21"/>
                      <w:szCs w:val="21"/>
                      <w:lang w:val="en-US" w:eastAsia="zh-CN" w:bidi="ar-SA"/>
                    </w:rPr>
                  </w:pPr>
                  <w:r>
                    <w:rPr>
                      <w:rFonts w:hint="default" w:ascii="Calibri" w:hAnsi="Calibri" w:eastAsia="宋体" w:cs="Calibri"/>
                      <w:color w:val="auto"/>
                      <w:kern w:val="0"/>
                      <w:sz w:val="21"/>
                      <w:szCs w:val="21"/>
                      <w:lang w:val="en-US" w:eastAsia="zh-CN" w:bidi="ar-SA"/>
                    </w:rPr>
                    <w:t>监测因子</w:t>
                  </w:r>
                </w:p>
              </w:tc>
              <w:tc>
                <w:tcPr>
                  <w:tcW w:w="1186" w:type="pct"/>
                  <w:noWrap w:val="0"/>
                  <w:vAlign w:val="center"/>
                </w:tcPr>
                <w:p w14:paraId="0BBCA0F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Calibri" w:hAnsi="Calibri" w:eastAsia="宋体" w:cs="Calibri"/>
                      <w:color w:val="auto"/>
                      <w:kern w:val="0"/>
                      <w:sz w:val="21"/>
                      <w:szCs w:val="21"/>
                      <w:lang w:val="en-US" w:eastAsia="zh-CN" w:bidi="ar-SA"/>
                    </w:rPr>
                  </w:pPr>
                  <w:r>
                    <w:rPr>
                      <w:rFonts w:hint="default" w:ascii="Calibri" w:hAnsi="Calibri" w:eastAsia="宋体" w:cs="Calibri"/>
                      <w:color w:val="auto"/>
                      <w:kern w:val="0"/>
                      <w:sz w:val="21"/>
                      <w:szCs w:val="21"/>
                      <w:lang w:val="en-US" w:eastAsia="zh-CN" w:bidi="ar-SA"/>
                    </w:rPr>
                    <w:t>监测点位</w:t>
                  </w:r>
                </w:p>
              </w:tc>
              <w:tc>
                <w:tcPr>
                  <w:tcW w:w="988" w:type="pct"/>
                  <w:noWrap w:val="0"/>
                  <w:vAlign w:val="center"/>
                </w:tcPr>
                <w:p w14:paraId="7AFEC11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Calibri" w:hAnsi="Calibri" w:eastAsia="宋体" w:cs="Calibri"/>
                      <w:color w:val="auto"/>
                      <w:kern w:val="0"/>
                      <w:sz w:val="21"/>
                      <w:szCs w:val="21"/>
                      <w:lang w:val="en-US" w:eastAsia="zh-CN" w:bidi="ar-SA"/>
                    </w:rPr>
                  </w:pPr>
                  <w:r>
                    <w:rPr>
                      <w:rFonts w:hint="default" w:ascii="Calibri" w:hAnsi="Calibri" w:eastAsia="宋体" w:cs="Calibri"/>
                      <w:color w:val="auto"/>
                      <w:kern w:val="0"/>
                      <w:sz w:val="21"/>
                      <w:szCs w:val="21"/>
                      <w:lang w:val="en-US" w:eastAsia="zh-CN" w:bidi="ar-SA"/>
                    </w:rPr>
                    <w:t>监测方法</w:t>
                  </w:r>
                </w:p>
              </w:tc>
              <w:tc>
                <w:tcPr>
                  <w:tcW w:w="1280" w:type="pct"/>
                  <w:noWrap w:val="0"/>
                  <w:vAlign w:val="center"/>
                </w:tcPr>
                <w:p w14:paraId="0AEEDBA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Calibri" w:hAnsi="Calibri" w:eastAsia="宋体" w:cs="Calibri"/>
                      <w:color w:val="auto"/>
                      <w:kern w:val="0"/>
                      <w:sz w:val="21"/>
                      <w:szCs w:val="21"/>
                      <w:lang w:val="en-US" w:eastAsia="zh-CN" w:bidi="ar-SA"/>
                    </w:rPr>
                  </w:pPr>
                  <w:r>
                    <w:rPr>
                      <w:rFonts w:hint="default" w:ascii="Calibri" w:hAnsi="Calibri" w:eastAsia="宋体" w:cs="Calibri"/>
                      <w:color w:val="auto"/>
                      <w:kern w:val="0"/>
                      <w:sz w:val="21"/>
                      <w:szCs w:val="21"/>
                      <w:lang w:val="en-US" w:eastAsia="zh-CN" w:bidi="ar-SA"/>
                    </w:rPr>
                    <w:t>执行标准</w:t>
                  </w:r>
                </w:p>
              </w:tc>
              <w:tc>
                <w:tcPr>
                  <w:tcW w:w="828" w:type="pct"/>
                  <w:noWrap w:val="0"/>
                  <w:vAlign w:val="center"/>
                </w:tcPr>
                <w:p w14:paraId="6CC744A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Calibri" w:hAnsi="Calibri" w:eastAsia="宋体" w:cs="Calibri"/>
                      <w:color w:val="auto"/>
                      <w:kern w:val="0"/>
                      <w:sz w:val="21"/>
                      <w:szCs w:val="21"/>
                      <w:lang w:val="en-US" w:eastAsia="zh-CN" w:bidi="ar-SA"/>
                    </w:rPr>
                  </w:pPr>
                  <w:r>
                    <w:rPr>
                      <w:rFonts w:hint="default" w:ascii="Calibri" w:hAnsi="Calibri" w:eastAsia="宋体" w:cs="Calibri"/>
                      <w:color w:val="auto"/>
                      <w:kern w:val="0"/>
                      <w:sz w:val="21"/>
                      <w:szCs w:val="21"/>
                      <w:lang w:val="en-US" w:eastAsia="zh-CN" w:bidi="ar-SA"/>
                    </w:rPr>
                    <w:t>监测频次</w:t>
                  </w:r>
                </w:p>
              </w:tc>
            </w:tr>
            <w:tr w14:paraId="670E68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81" w:type="pct"/>
                  <w:noWrap w:val="0"/>
                  <w:vAlign w:val="center"/>
                </w:tcPr>
                <w:p w14:paraId="0625DD5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Calibri" w:hAnsi="Calibri" w:eastAsia="宋体" w:cs="Calibri"/>
                      <w:color w:val="auto"/>
                      <w:kern w:val="0"/>
                      <w:sz w:val="21"/>
                      <w:szCs w:val="21"/>
                      <w:lang w:val="en-US" w:eastAsia="zh-CN" w:bidi="ar-SA"/>
                    </w:rPr>
                  </w:pPr>
                  <w:r>
                    <w:rPr>
                      <w:rFonts w:hint="default" w:ascii="Calibri" w:hAnsi="Calibri" w:eastAsia="宋体" w:cs="Calibri"/>
                      <w:color w:val="auto"/>
                      <w:kern w:val="0"/>
                      <w:sz w:val="21"/>
                      <w:szCs w:val="21"/>
                      <w:lang w:val="en-US" w:eastAsia="zh-CN" w:bidi="ar-SA"/>
                    </w:rPr>
                    <w:t>电磁环境</w:t>
                  </w:r>
                </w:p>
              </w:tc>
              <w:tc>
                <w:tcPr>
                  <w:tcW w:w="536" w:type="pct"/>
                  <w:noWrap w:val="0"/>
                  <w:vAlign w:val="center"/>
                </w:tcPr>
                <w:p w14:paraId="3E76389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Calibri" w:hAnsi="Calibri" w:eastAsia="宋体" w:cs="Calibri"/>
                      <w:color w:val="auto"/>
                      <w:kern w:val="0"/>
                      <w:sz w:val="21"/>
                      <w:szCs w:val="21"/>
                      <w:lang w:val="en-US" w:eastAsia="zh-CN" w:bidi="ar-SA"/>
                    </w:rPr>
                  </w:pPr>
                  <w:r>
                    <w:rPr>
                      <w:rFonts w:hint="default" w:ascii="Calibri" w:hAnsi="Calibri" w:eastAsia="宋体" w:cs="Calibri"/>
                      <w:color w:val="auto"/>
                      <w:kern w:val="0"/>
                      <w:sz w:val="21"/>
                      <w:szCs w:val="21"/>
                      <w:lang w:val="en-US" w:eastAsia="zh-CN" w:bidi="ar-SA"/>
                    </w:rPr>
                    <w:t>工频电场强度、</w:t>
                  </w:r>
                </w:p>
                <w:p w14:paraId="1FF0302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Calibri" w:hAnsi="Calibri" w:eastAsia="宋体" w:cs="Calibri"/>
                      <w:color w:val="auto"/>
                      <w:kern w:val="0"/>
                      <w:sz w:val="21"/>
                      <w:szCs w:val="21"/>
                      <w:lang w:val="en-US" w:eastAsia="zh-CN" w:bidi="ar-SA"/>
                    </w:rPr>
                  </w:pPr>
                  <w:r>
                    <w:rPr>
                      <w:rFonts w:hint="default" w:ascii="Calibri" w:hAnsi="Calibri" w:eastAsia="宋体" w:cs="Calibri"/>
                      <w:color w:val="auto"/>
                      <w:kern w:val="0"/>
                      <w:sz w:val="21"/>
                      <w:szCs w:val="21"/>
                      <w:lang w:val="en-US" w:eastAsia="zh-CN" w:bidi="ar-SA"/>
                    </w:rPr>
                    <w:t>工频磁感应强度</w:t>
                  </w:r>
                </w:p>
              </w:tc>
              <w:tc>
                <w:tcPr>
                  <w:tcW w:w="1186" w:type="pct"/>
                  <w:noWrap w:val="0"/>
                  <w:vAlign w:val="center"/>
                </w:tcPr>
                <w:p w14:paraId="60050BE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Calibri" w:hAnsi="Calibri" w:eastAsia="宋体" w:cs="Calibri"/>
                      <w:color w:val="auto"/>
                      <w:kern w:val="0"/>
                      <w:sz w:val="21"/>
                      <w:szCs w:val="21"/>
                      <w:lang w:val="en-US" w:eastAsia="zh-CN" w:bidi="ar-SA"/>
                    </w:rPr>
                  </w:pPr>
                  <w:r>
                    <w:rPr>
                      <w:rFonts w:hint="default" w:ascii="Calibri" w:hAnsi="Calibri" w:eastAsia="宋体" w:cs="Calibri"/>
                      <w:color w:val="auto"/>
                      <w:sz w:val="21"/>
                    </w:rPr>
                    <w:t>新建变电站</w:t>
                  </w:r>
                  <w:r>
                    <w:rPr>
                      <w:rFonts w:hint="eastAsia" w:ascii="Calibri" w:hAnsi="Calibri" w:cs="Calibri"/>
                      <w:color w:val="auto"/>
                      <w:sz w:val="21"/>
                      <w:lang w:val="en-US" w:eastAsia="zh-CN"/>
                    </w:rPr>
                    <w:t>围墙四周</w:t>
                  </w:r>
                  <w:r>
                    <w:rPr>
                      <w:rFonts w:hint="default" w:ascii="Calibri" w:hAnsi="Calibri" w:eastAsia="宋体" w:cs="Calibri"/>
                      <w:color w:val="auto"/>
                      <w:sz w:val="21"/>
                    </w:rPr>
                    <w:t>、</w:t>
                  </w:r>
                  <w:r>
                    <w:rPr>
                      <w:rFonts w:hint="eastAsia" w:ascii="Calibri" w:hAnsi="Calibri" w:cs="Calibri"/>
                      <w:color w:val="auto"/>
                      <w:sz w:val="21"/>
                      <w:lang w:val="en-US" w:eastAsia="zh-CN"/>
                    </w:rPr>
                    <w:t>变电站围墙外断面监测路径、</w:t>
                  </w:r>
                  <w:r>
                    <w:rPr>
                      <w:rFonts w:hint="default" w:ascii="Calibri" w:hAnsi="Calibri" w:eastAsia="宋体" w:cs="Calibri"/>
                      <w:color w:val="auto"/>
                      <w:sz w:val="21"/>
                    </w:rPr>
                    <w:t>线路沿线</w:t>
                  </w:r>
                </w:p>
              </w:tc>
              <w:tc>
                <w:tcPr>
                  <w:tcW w:w="988" w:type="pct"/>
                  <w:noWrap w:val="0"/>
                  <w:vAlign w:val="center"/>
                </w:tcPr>
                <w:p w14:paraId="4A738F7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Calibri" w:hAnsi="Calibri" w:eastAsia="宋体" w:cs="Calibri"/>
                      <w:color w:val="auto"/>
                      <w:kern w:val="0"/>
                      <w:sz w:val="21"/>
                      <w:szCs w:val="21"/>
                      <w:lang w:val="en-US" w:eastAsia="zh-CN" w:bidi="ar-SA"/>
                    </w:rPr>
                  </w:pPr>
                  <w:r>
                    <w:rPr>
                      <w:rFonts w:hint="default" w:ascii="Calibri" w:hAnsi="Calibri" w:eastAsia="宋体" w:cs="Calibri"/>
                      <w:color w:val="auto"/>
                      <w:kern w:val="0"/>
                      <w:sz w:val="21"/>
                      <w:szCs w:val="21"/>
                      <w:lang w:val="en-US" w:eastAsia="zh-CN" w:bidi="ar-SA"/>
                    </w:rPr>
                    <w:t>《交流输变电工程电磁环境监测方法</w:t>
                  </w:r>
                  <w:r>
                    <w:rPr>
                      <w:rFonts w:hint="eastAsia" w:ascii="Calibri" w:hAnsi="Calibri" w:cs="Calibri"/>
                      <w:color w:val="auto"/>
                      <w:kern w:val="0"/>
                      <w:sz w:val="21"/>
                      <w:szCs w:val="21"/>
                      <w:lang w:val="en-US" w:eastAsia="zh-CN" w:bidi="ar-SA"/>
                    </w:rPr>
                    <w:t>（试行）》（</w:t>
                  </w:r>
                  <w:r>
                    <w:rPr>
                      <w:rFonts w:hint="default" w:ascii="Calibri" w:hAnsi="Calibri" w:eastAsia="宋体" w:cs="Calibri"/>
                      <w:color w:val="auto"/>
                      <w:kern w:val="0"/>
                      <w:sz w:val="21"/>
                      <w:szCs w:val="21"/>
                      <w:lang w:val="en-US" w:eastAsia="zh-CN" w:bidi="ar-SA"/>
                    </w:rPr>
                    <w:t>HJ 681—2013</w:t>
                  </w:r>
                  <w:r>
                    <w:rPr>
                      <w:rFonts w:hint="eastAsia" w:ascii="Calibri" w:hAnsi="Calibri" w:cs="Calibri"/>
                      <w:color w:val="auto"/>
                      <w:kern w:val="0"/>
                      <w:sz w:val="21"/>
                      <w:szCs w:val="21"/>
                      <w:lang w:val="en-US" w:eastAsia="zh-CN" w:bidi="ar-SA"/>
                    </w:rPr>
                    <w:t>）</w:t>
                  </w:r>
                </w:p>
              </w:tc>
              <w:tc>
                <w:tcPr>
                  <w:tcW w:w="1280" w:type="pct"/>
                  <w:noWrap w:val="0"/>
                  <w:vAlign w:val="center"/>
                </w:tcPr>
                <w:p w14:paraId="3DB9FFA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Calibri" w:hAnsi="Calibri" w:eastAsia="宋体" w:cs="Calibri"/>
                      <w:color w:val="auto"/>
                      <w:kern w:val="0"/>
                      <w:sz w:val="21"/>
                      <w:szCs w:val="21"/>
                      <w:lang w:val="en-US" w:eastAsia="zh-CN" w:bidi="ar-SA"/>
                    </w:rPr>
                  </w:pPr>
                  <w:r>
                    <w:rPr>
                      <w:rFonts w:hint="default" w:ascii="Calibri" w:hAnsi="Calibri" w:eastAsia="宋体" w:cs="Calibri"/>
                      <w:color w:val="auto"/>
                      <w:kern w:val="0"/>
                      <w:sz w:val="21"/>
                      <w:szCs w:val="21"/>
                      <w:lang w:val="en-US" w:eastAsia="zh-CN" w:bidi="ar-SA"/>
                    </w:rPr>
                    <w:t>《电磁环境控制限值》（GB8702-2014），50Hz频率下，环境中工频电场强度的公众曝露控制限值为4kV/m，工频磁感应强度的公众曝露控制限值为100μT</w:t>
                  </w:r>
                  <w:r>
                    <w:rPr>
                      <w:rFonts w:hint="eastAsia" w:ascii="Calibri" w:hAnsi="Calibri" w:eastAsia="宋体" w:cs="Calibri"/>
                      <w:color w:val="auto"/>
                      <w:kern w:val="0"/>
                      <w:sz w:val="21"/>
                      <w:szCs w:val="21"/>
                      <w:lang w:val="en-US" w:eastAsia="zh-CN" w:bidi="ar-SA"/>
                    </w:rPr>
                    <w:t>，架空输电线路线下的耕地、园地、牧草地、畜禽饲养地、养殖水面、道路等场所，其频率50Hz的电场强度控制限值为10kV/m</w:t>
                  </w:r>
                </w:p>
              </w:tc>
              <w:tc>
                <w:tcPr>
                  <w:tcW w:w="828" w:type="pct"/>
                  <w:noWrap w:val="0"/>
                  <w:vAlign w:val="center"/>
                </w:tcPr>
                <w:p w14:paraId="7382CE4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Calibri" w:hAnsi="Calibri" w:eastAsia="宋体" w:cs="Calibri"/>
                      <w:color w:val="auto"/>
                      <w:kern w:val="0"/>
                      <w:sz w:val="21"/>
                      <w:szCs w:val="21"/>
                      <w:lang w:val="en-US" w:eastAsia="zh-CN" w:bidi="ar-SA"/>
                    </w:rPr>
                  </w:pPr>
                  <w:r>
                    <w:rPr>
                      <w:rFonts w:hint="default" w:ascii="Calibri" w:hAnsi="Calibri" w:eastAsia="宋体" w:cs="Calibri"/>
                      <w:color w:val="auto"/>
                      <w:kern w:val="0"/>
                      <w:sz w:val="21"/>
                      <w:szCs w:val="21"/>
                      <w:lang w:val="en-US" w:eastAsia="zh-CN" w:bidi="ar-SA"/>
                    </w:rPr>
                    <w:t>验收监测一次；投诉监测一次。</w:t>
                  </w:r>
                </w:p>
              </w:tc>
            </w:tr>
            <w:tr w14:paraId="2EF68D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81" w:type="pct"/>
                  <w:noWrap w:val="0"/>
                  <w:vAlign w:val="center"/>
                </w:tcPr>
                <w:p w14:paraId="2389887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Calibri" w:hAnsi="Calibri" w:eastAsia="宋体" w:cs="Calibri"/>
                      <w:color w:val="auto"/>
                      <w:kern w:val="0"/>
                      <w:sz w:val="21"/>
                      <w:szCs w:val="21"/>
                      <w:lang w:val="en-US" w:eastAsia="zh-CN" w:bidi="ar-SA"/>
                    </w:rPr>
                  </w:pPr>
                  <w:r>
                    <w:rPr>
                      <w:rFonts w:hint="default" w:ascii="Calibri" w:hAnsi="Calibri" w:eastAsia="宋体" w:cs="Calibri"/>
                      <w:color w:val="auto"/>
                      <w:kern w:val="0"/>
                      <w:sz w:val="21"/>
                      <w:szCs w:val="21"/>
                      <w:lang w:val="en-US" w:eastAsia="zh-CN" w:bidi="ar-SA"/>
                    </w:rPr>
                    <w:t>噪声</w:t>
                  </w:r>
                </w:p>
              </w:tc>
              <w:tc>
                <w:tcPr>
                  <w:tcW w:w="536" w:type="pct"/>
                  <w:noWrap w:val="0"/>
                  <w:vAlign w:val="center"/>
                </w:tcPr>
                <w:p w14:paraId="198C39DD">
                  <w:pPr>
                    <w:pStyle w:val="1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Calibri" w:hAnsi="Calibri" w:eastAsia="宋体" w:cs="Calibri"/>
                      <w:color w:val="auto"/>
                      <w:kern w:val="0"/>
                      <w:sz w:val="21"/>
                      <w:szCs w:val="21"/>
                      <w:lang w:val="en-US" w:eastAsia="zh-CN" w:bidi="ar-SA"/>
                    </w:rPr>
                  </w:pPr>
                  <w:r>
                    <w:rPr>
                      <w:rFonts w:hint="default" w:ascii="Calibri" w:hAnsi="Calibri" w:eastAsia="宋体" w:cs="Calibri"/>
                      <w:color w:val="auto"/>
                      <w:sz w:val="21"/>
                      <w:szCs w:val="21"/>
                      <w:highlight w:val="none"/>
                    </w:rPr>
                    <w:t>噪声</w:t>
                  </w:r>
                </w:p>
              </w:tc>
              <w:tc>
                <w:tcPr>
                  <w:tcW w:w="1186" w:type="pct"/>
                  <w:noWrap w:val="0"/>
                  <w:vAlign w:val="center"/>
                </w:tcPr>
                <w:p w14:paraId="05375E6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Calibri" w:hAnsi="Calibri" w:eastAsia="宋体" w:cs="Calibri"/>
                      <w:color w:val="auto"/>
                      <w:kern w:val="0"/>
                      <w:sz w:val="21"/>
                      <w:szCs w:val="21"/>
                      <w:lang w:val="en-US" w:eastAsia="zh-CN" w:bidi="ar-SA"/>
                    </w:rPr>
                  </w:pPr>
                  <w:r>
                    <w:rPr>
                      <w:rFonts w:hint="default" w:ascii="Calibri" w:hAnsi="Calibri" w:eastAsia="宋体" w:cs="Calibri"/>
                      <w:color w:val="auto"/>
                      <w:kern w:val="2"/>
                      <w:sz w:val="21"/>
                      <w:szCs w:val="21"/>
                      <w:lang w:val="en-US" w:eastAsia="zh-CN" w:bidi="ar-SA"/>
                    </w:rPr>
                    <w:t>变电站站址四周布点测点、输电线路沿线选择有代表性的点位进行监测。监测点位及要求应满足《建设项目竣工环境保护验收技术规范 输变电》</w:t>
                  </w:r>
                  <w:r>
                    <w:rPr>
                      <w:rFonts w:hint="eastAsia" w:ascii="Calibri" w:hAnsi="Calibri" w:cs="Calibri"/>
                      <w:color w:val="auto"/>
                      <w:kern w:val="2"/>
                      <w:sz w:val="21"/>
                      <w:szCs w:val="21"/>
                      <w:lang w:val="en-US" w:eastAsia="zh-CN" w:bidi="ar-SA"/>
                    </w:rPr>
                    <w:t>（</w:t>
                  </w:r>
                  <w:r>
                    <w:rPr>
                      <w:rFonts w:hint="default" w:ascii="Calibri" w:hAnsi="Calibri" w:eastAsia="宋体" w:cs="Calibri"/>
                      <w:color w:val="auto"/>
                      <w:kern w:val="2"/>
                      <w:sz w:val="21"/>
                      <w:szCs w:val="21"/>
                      <w:lang w:val="en-US" w:eastAsia="zh-CN" w:bidi="ar-SA"/>
                    </w:rPr>
                    <w:t>HJ705-2020</w:t>
                  </w:r>
                  <w:r>
                    <w:rPr>
                      <w:rFonts w:hint="eastAsia" w:ascii="Calibri" w:hAnsi="Calibri" w:cs="Calibri"/>
                      <w:color w:val="auto"/>
                      <w:kern w:val="2"/>
                      <w:sz w:val="21"/>
                      <w:szCs w:val="21"/>
                      <w:lang w:val="en-US" w:eastAsia="zh-CN" w:bidi="ar-SA"/>
                    </w:rPr>
                    <w:t>）</w:t>
                  </w:r>
                  <w:r>
                    <w:rPr>
                      <w:rFonts w:hint="default" w:ascii="Calibri" w:hAnsi="Calibri" w:eastAsia="宋体" w:cs="Calibri"/>
                      <w:color w:val="auto"/>
                      <w:kern w:val="2"/>
                      <w:sz w:val="21"/>
                      <w:szCs w:val="21"/>
                      <w:lang w:val="en-US" w:eastAsia="zh-CN" w:bidi="ar-SA"/>
                    </w:rPr>
                    <w:t>。</w:t>
                  </w:r>
                </w:p>
              </w:tc>
              <w:tc>
                <w:tcPr>
                  <w:tcW w:w="988" w:type="pct"/>
                  <w:noWrap w:val="0"/>
                  <w:vAlign w:val="center"/>
                </w:tcPr>
                <w:p w14:paraId="5D4A109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Calibri" w:hAnsi="Calibri" w:eastAsia="宋体" w:cs="Calibri"/>
                      <w:color w:val="auto"/>
                      <w:kern w:val="0"/>
                      <w:sz w:val="21"/>
                      <w:szCs w:val="21"/>
                      <w:lang w:val="en-US" w:eastAsia="zh-CN" w:bidi="ar-SA"/>
                    </w:rPr>
                  </w:pPr>
                  <w:r>
                    <w:rPr>
                      <w:rFonts w:hint="default" w:ascii="Calibri" w:hAnsi="Calibri" w:eastAsia="宋体" w:cs="Calibri"/>
                      <w:color w:val="auto"/>
                      <w:sz w:val="21"/>
                      <w:szCs w:val="21"/>
                      <w:lang w:val="en-US" w:eastAsia="zh-CN"/>
                    </w:rPr>
                    <w:t>《声环境质量标准》（GB3096-2008）、</w:t>
                  </w:r>
                  <w:r>
                    <w:rPr>
                      <w:rFonts w:hint="default" w:ascii="Calibri" w:hAnsi="Calibri" w:eastAsia="宋体" w:cs="Calibri"/>
                      <w:color w:val="auto"/>
                      <w:sz w:val="21"/>
                      <w:szCs w:val="21"/>
                      <w:lang w:eastAsia="zh-CN"/>
                    </w:rPr>
                    <w:t>《工业企业厂界环境噪声排放标准</w:t>
                  </w:r>
                  <w:r>
                    <w:rPr>
                      <w:rFonts w:hint="default" w:ascii="Calibri" w:hAnsi="Calibri" w:eastAsia="宋体" w:cs="Calibri"/>
                      <w:color w:val="auto"/>
                      <w:sz w:val="21"/>
                      <w:szCs w:val="21"/>
                      <w:highlight w:val="none"/>
                      <w:lang w:eastAsia="zh-CN"/>
                    </w:rPr>
                    <w:t>》（GB 12348—2008 ）</w:t>
                  </w:r>
                </w:p>
              </w:tc>
              <w:tc>
                <w:tcPr>
                  <w:tcW w:w="1280" w:type="pct"/>
                  <w:noWrap w:val="0"/>
                  <w:vAlign w:val="center"/>
                </w:tcPr>
                <w:p w14:paraId="51E460D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Calibri" w:hAnsi="Calibri" w:eastAsia="宋体" w:cs="Calibri"/>
                      <w:color w:val="auto"/>
                      <w:kern w:val="0"/>
                      <w:sz w:val="21"/>
                      <w:szCs w:val="21"/>
                      <w:highlight w:val="none"/>
                      <w:lang w:eastAsia="zh-CN"/>
                    </w:rPr>
                  </w:pPr>
                  <w:r>
                    <w:rPr>
                      <w:rFonts w:hint="default" w:ascii="Calibri" w:hAnsi="Calibri" w:eastAsia="宋体" w:cs="Calibri"/>
                      <w:color w:val="auto"/>
                      <w:spacing w:val="-14"/>
                      <w:sz w:val="21"/>
                      <w:szCs w:val="21"/>
                      <w:highlight w:val="none"/>
                      <w:lang w:val="en-US" w:eastAsia="zh-CN"/>
                    </w:rPr>
                    <w:t>输变电线路执行</w:t>
                  </w:r>
                  <w:r>
                    <w:rPr>
                      <w:rFonts w:hint="default" w:ascii="Calibri" w:hAnsi="Calibri" w:eastAsia="宋体" w:cs="Calibri"/>
                      <w:color w:val="auto"/>
                      <w:sz w:val="21"/>
                      <w:lang w:val="en-US" w:eastAsia="zh-CN"/>
                    </w:rPr>
                    <w:t>《声环境质量标准》（GB3096-2008）2类标准</w:t>
                  </w:r>
                  <w:r>
                    <w:rPr>
                      <w:rFonts w:hint="default" w:ascii="Calibri" w:hAnsi="Calibri" w:eastAsia="宋体" w:cs="Calibri"/>
                      <w:color w:val="auto"/>
                      <w:spacing w:val="-14"/>
                      <w:sz w:val="21"/>
                      <w:szCs w:val="21"/>
                      <w:highlight w:val="none"/>
                      <w:lang w:val="en-US" w:eastAsia="zh-CN"/>
                    </w:rPr>
                    <w:t>；变电站执行《工业企业厂界环境噪声排放标准》</w:t>
                  </w:r>
                  <w:r>
                    <w:rPr>
                      <w:rFonts w:hint="eastAsia" w:ascii="Calibri" w:hAnsi="Calibri" w:cs="Calibri"/>
                      <w:color w:val="auto"/>
                      <w:spacing w:val="-14"/>
                      <w:sz w:val="21"/>
                      <w:szCs w:val="21"/>
                      <w:highlight w:val="none"/>
                      <w:lang w:val="en-US" w:eastAsia="zh-CN"/>
                    </w:rPr>
                    <w:t>（</w:t>
                  </w:r>
                  <w:r>
                    <w:rPr>
                      <w:rFonts w:hint="default" w:ascii="Calibri" w:hAnsi="Calibri" w:eastAsia="宋体" w:cs="Calibri"/>
                      <w:color w:val="auto"/>
                      <w:spacing w:val="-14"/>
                      <w:sz w:val="21"/>
                      <w:szCs w:val="21"/>
                      <w:highlight w:val="none"/>
                      <w:lang w:val="en-US" w:eastAsia="zh-CN"/>
                    </w:rPr>
                    <w:t>GB12348-2008)2类标准。</w:t>
                  </w:r>
                </w:p>
              </w:tc>
              <w:tc>
                <w:tcPr>
                  <w:tcW w:w="828" w:type="pct"/>
                  <w:noWrap w:val="0"/>
                  <w:vAlign w:val="center"/>
                </w:tcPr>
                <w:p w14:paraId="6D59A34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Calibri" w:hAnsi="Calibri" w:eastAsia="宋体" w:cs="Calibri"/>
                      <w:color w:val="auto"/>
                      <w:sz w:val="21"/>
                      <w:szCs w:val="21"/>
                      <w:highlight w:val="none"/>
                    </w:rPr>
                  </w:pPr>
                  <w:r>
                    <w:rPr>
                      <w:rFonts w:hint="default" w:ascii="Calibri" w:hAnsi="Calibri" w:eastAsia="宋体" w:cs="Calibri"/>
                      <w:color w:val="auto"/>
                      <w:sz w:val="21"/>
                      <w:szCs w:val="21"/>
                      <w:highlight w:val="none"/>
                    </w:rPr>
                    <w:t>竣工环保验收</w:t>
                  </w:r>
                  <w:r>
                    <w:rPr>
                      <w:rFonts w:hint="default" w:ascii="Calibri" w:hAnsi="Calibri" w:eastAsia="宋体" w:cs="Calibri"/>
                      <w:color w:val="auto"/>
                      <w:sz w:val="21"/>
                      <w:szCs w:val="21"/>
                      <w:highlight w:val="none"/>
                      <w:lang w:eastAsia="zh-CN"/>
                    </w:rPr>
                    <w:t>时</w:t>
                  </w:r>
                  <w:r>
                    <w:rPr>
                      <w:rFonts w:hint="default" w:ascii="Calibri" w:hAnsi="Calibri" w:eastAsia="宋体" w:cs="Calibri"/>
                      <w:color w:val="auto"/>
                      <w:sz w:val="21"/>
                      <w:szCs w:val="21"/>
                      <w:highlight w:val="none"/>
                    </w:rPr>
                    <w:t>监测一次，出现环保投诉时建设单位组织开展监测</w:t>
                  </w:r>
                  <w:r>
                    <w:rPr>
                      <w:rFonts w:hint="default" w:ascii="Calibri" w:hAnsi="Calibri" w:eastAsia="宋体" w:cs="Calibri"/>
                      <w:color w:val="auto"/>
                      <w:sz w:val="21"/>
                      <w:szCs w:val="21"/>
                      <w:highlight w:val="none"/>
                      <w:lang w:eastAsia="zh-CN"/>
                    </w:rPr>
                    <w:t>；</w:t>
                  </w:r>
                  <w:r>
                    <w:rPr>
                      <w:rFonts w:hint="default" w:ascii="Calibri" w:hAnsi="Calibri" w:eastAsia="宋体" w:cs="Calibri"/>
                      <w:color w:val="auto"/>
                      <w:kern w:val="0"/>
                      <w:sz w:val="21"/>
                      <w:szCs w:val="21"/>
                      <w:lang w:val="en-US" w:eastAsia="zh-CN" w:bidi="ar-SA"/>
                    </w:rPr>
                    <w:t>变电站主要声源大修前后开展噪声监测。</w:t>
                  </w:r>
                </w:p>
              </w:tc>
            </w:tr>
            <w:tr w14:paraId="75EF77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81" w:type="pct"/>
                  <w:noWrap w:val="0"/>
                  <w:vAlign w:val="center"/>
                </w:tcPr>
                <w:p w14:paraId="1D88021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Calibri" w:hAnsi="Calibri" w:eastAsia="宋体" w:cs="Calibri"/>
                      <w:color w:val="auto"/>
                      <w:kern w:val="0"/>
                      <w:sz w:val="21"/>
                      <w:szCs w:val="21"/>
                      <w:lang w:val="en-US" w:eastAsia="zh-CN" w:bidi="ar-SA"/>
                    </w:rPr>
                  </w:pPr>
                  <w:r>
                    <w:rPr>
                      <w:rFonts w:hint="eastAsia" w:ascii="Calibri" w:hAnsi="Calibri" w:cs="Calibri"/>
                      <w:color w:val="auto"/>
                      <w:kern w:val="0"/>
                      <w:sz w:val="21"/>
                      <w:szCs w:val="21"/>
                      <w:lang w:val="en-US" w:eastAsia="zh-CN" w:bidi="ar-SA"/>
                    </w:rPr>
                    <w:t>生态环境</w:t>
                  </w:r>
                </w:p>
              </w:tc>
              <w:tc>
                <w:tcPr>
                  <w:tcW w:w="536" w:type="pct"/>
                  <w:noWrap w:val="0"/>
                  <w:vAlign w:val="center"/>
                </w:tcPr>
                <w:p w14:paraId="5A2C0226">
                  <w:pPr>
                    <w:pStyle w:val="1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Calibri" w:hAnsi="Calibri" w:eastAsia="宋体" w:cs="Calibri"/>
                      <w:color w:val="auto"/>
                      <w:sz w:val="21"/>
                      <w:szCs w:val="21"/>
                      <w:highlight w:val="none"/>
                    </w:rPr>
                  </w:pPr>
                  <w:r>
                    <w:rPr>
                      <w:rFonts w:hint="default" w:ascii="Calibri" w:hAnsi="Calibri" w:eastAsia="宋体" w:cs="Calibri"/>
                      <w:color w:val="auto"/>
                      <w:sz w:val="21"/>
                      <w:szCs w:val="21"/>
                      <w:highlight w:val="none"/>
                    </w:rPr>
                    <w:t>生态保护与恢复措施</w:t>
                  </w:r>
                </w:p>
              </w:tc>
              <w:tc>
                <w:tcPr>
                  <w:tcW w:w="4282" w:type="pct"/>
                  <w:gridSpan w:val="4"/>
                  <w:noWrap w:val="0"/>
                  <w:vAlign w:val="center"/>
                </w:tcPr>
                <w:p w14:paraId="29C7E75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Calibri" w:hAnsi="Calibri" w:eastAsia="宋体" w:cs="Calibri"/>
                      <w:color w:val="auto"/>
                      <w:sz w:val="21"/>
                      <w:szCs w:val="21"/>
                      <w:highlight w:val="none"/>
                    </w:rPr>
                  </w:pPr>
                  <w:r>
                    <w:rPr>
                      <w:rFonts w:hint="eastAsia"/>
                      <w:color w:val="auto"/>
                      <w:sz w:val="21"/>
                      <w:szCs w:val="21"/>
                      <w:lang w:eastAsia="zh-CN"/>
                    </w:rPr>
                    <w:t>废土回填，</w:t>
                  </w:r>
                  <w:r>
                    <w:rPr>
                      <w:color w:val="auto"/>
                      <w:sz w:val="21"/>
                      <w:szCs w:val="21"/>
                    </w:rPr>
                    <w:t>所有</w:t>
                  </w:r>
                  <w:r>
                    <w:rPr>
                      <w:rFonts w:hint="eastAsia"/>
                      <w:color w:val="auto"/>
                      <w:sz w:val="21"/>
                      <w:szCs w:val="21"/>
                      <w:lang w:val="en-US" w:eastAsia="zh-CN"/>
                    </w:rPr>
                    <w:t>临时</w:t>
                  </w:r>
                  <w:r>
                    <w:rPr>
                      <w:color w:val="auto"/>
                      <w:sz w:val="21"/>
                      <w:szCs w:val="21"/>
                    </w:rPr>
                    <w:t>建筑拆除，清除固废，平整场地，恢复其土地原貌</w:t>
                  </w:r>
                  <w:r>
                    <w:rPr>
                      <w:rFonts w:hint="eastAsia"/>
                      <w:color w:val="auto"/>
                      <w:sz w:val="21"/>
                      <w:szCs w:val="21"/>
                    </w:rPr>
                    <w:t>及</w:t>
                  </w:r>
                  <w:r>
                    <w:rPr>
                      <w:rFonts w:hint="eastAsia"/>
                      <w:color w:val="auto"/>
                      <w:sz w:val="21"/>
                      <w:szCs w:val="21"/>
                      <w:lang w:val="en-US" w:eastAsia="zh-CN"/>
                    </w:rPr>
                    <w:t>草地</w:t>
                  </w:r>
                  <w:r>
                    <w:rPr>
                      <w:rFonts w:hint="eastAsia"/>
                      <w:color w:val="auto"/>
                      <w:sz w:val="21"/>
                      <w:szCs w:val="21"/>
                    </w:rPr>
                    <w:t>恢复</w:t>
                  </w:r>
                </w:p>
              </w:tc>
            </w:tr>
          </w:tbl>
          <w:p w14:paraId="4156A368">
            <w:pPr>
              <w:keepNext w:val="0"/>
              <w:keepLines w:val="0"/>
              <w:pageBreakBefore w:val="0"/>
              <w:widowControl w:val="0"/>
              <w:kinsoku/>
              <w:wordWrap/>
              <w:overflowPunct/>
              <w:topLinePunct w:val="0"/>
              <w:autoSpaceDE w:val="0"/>
              <w:autoSpaceDN w:val="0"/>
              <w:bidi w:val="0"/>
              <w:adjustRightInd w:val="0"/>
              <w:snapToGrid w:val="0"/>
              <w:spacing w:line="480" w:lineRule="exact"/>
              <w:ind w:firstLine="482" w:firstLineChars="200"/>
              <w:jc w:val="both"/>
              <w:textAlignment w:val="auto"/>
              <w:rPr>
                <w:rFonts w:hint="default" w:ascii="宋体" w:hAnsi="宋体" w:eastAsia="宋体" w:cs="宋体"/>
                <w:b/>
                <w:color w:val="auto"/>
                <w:kern w:val="0"/>
                <w:sz w:val="24"/>
                <w:szCs w:val="21"/>
                <w:lang w:val="en-US" w:eastAsia="zh-CN" w:bidi="ar-SA"/>
              </w:rPr>
            </w:pPr>
            <w:r>
              <w:rPr>
                <w:rFonts w:hint="eastAsia" w:ascii="宋体" w:hAnsi="宋体" w:eastAsia="宋体" w:cs="宋体"/>
                <w:b/>
                <w:color w:val="auto"/>
                <w:kern w:val="0"/>
                <w:sz w:val="24"/>
                <w:szCs w:val="21"/>
                <w:lang w:val="en-US" w:eastAsia="zh-CN" w:bidi="ar-SA"/>
              </w:rPr>
              <w:t>5.3 项目全生命周期生态环境保护措施</w:t>
            </w:r>
          </w:p>
          <w:p w14:paraId="6AE1017E">
            <w:pPr>
              <w:keepNext w:val="0"/>
              <w:keepLines w:val="0"/>
              <w:pageBreakBefore w:val="0"/>
              <w:widowControl w:val="0"/>
              <w:kinsoku/>
              <w:wordWrap/>
              <w:overflowPunct/>
              <w:topLinePunct w:val="0"/>
              <w:bidi w:val="0"/>
              <w:spacing w:line="480" w:lineRule="exact"/>
              <w:ind w:left="0" w:leftChars="0" w:firstLine="482" w:firstLineChars="200"/>
              <w:jc w:val="both"/>
              <w:textAlignment w:val="auto"/>
              <w:rPr>
                <w:rFonts w:hint="default"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5.3.1设计选线阶段</w:t>
            </w:r>
          </w:p>
          <w:p w14:paraId="3DD290B4">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建设单位与设计单位在工程规划选线区域、拟定的塔基点位，工程可行性研究和初步设计阶段从源头上最大限度地减少工程对生态空间的占用和干扰。</w:t>
            </w:r>
          </w:p>
          <w:p w14:paraId="0068EA15">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具体措施：路径优化：利用“卫星遥感+GIS+无人机”技术，优化路径，尽量沿已有道路、坡地走线，减少新开通道，避免占地草地，减少生态破碎化；在鸟类活动频繁区域，优先采用紧凑型塔、增加对地高度敷设方式，减少对鸟类的碰撞风险和栖息地占用。</w:t>
            </w:r>
          </w:p>
          <w:p w14:paraId="7B5AB5DB">
            <w:pPr>
              <w:keepNext w:val="0"/>
              <w:keepLines w:val="0"/>
              <w:pageBreakBefore w:val="0"/>
              <w:widowControl w:val="0"/>
              <w:kinsoku/>
              <w:wordWrap/>
              <w:overflowPunct/>
              <w:topLinePunct w:val="0"/>
              <w:bidi w:val="0"/>
              <w:spacing w:line="480" w:lineRule="exact"/>
              <w:ind w:left="0" w:leftChars="0" w:firstLine="482" w:firstLineChars="200"/>
              <w:jc w:val="both"/>
              <w:textAlignment w:val="auto"/>
              <w:rPr>
                <w:rFonts w:hint="default"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5.3.2施工阶段生态保护与恢复措施</w:t>
            </w:r>
          </w:p>
          <w:p w14:paraId="03803FEA">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施工单位对施工人员进行环保知识和操作规范培训，实行持证上岗，有效控制施工活动对植被的破坏、水土的流失和对野生动物的惊扰；确保施工废水、固废得到妥善处理。</w:t>
            </w:r>
          </w:p>
          <w:p w14:paraId="7A49D80B">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 措施内容：塔基开挖后及时砌筑护坡、挡土墙、排水沟；临时堆土场采用编织袋挡墙和苫盖措施；边坡采用挂网客土喷播、植生袋等快速复绿技术；施工结束后立即进行土地整治，用原生表土和乡土植物种进行植被恢复。</w:t>
            </w:r>
          </w:p>
          <w:p w14:paraId="675C62F6">
            <w:pPr>
              <w:keepNext w:val="0"/>
              <w:keepLines w:val="0"/>
              <w:pageBreakBefore w:val="0"/>
              <w:widowControl w:val="0"/>
              <w:kinsoku/>
              <w:wordWrap/>
              <w:overflowPunct/>
              <w:topLinePunct w:val="0"/>
              <w:bidi w:val="0"/>
              <w:spacing w:line="480" w:lineRule="exact"/>
              <w:ind w:left="0" w:leftChars="0" w:firstLine="482" w:firstLineChars="200"/>
              <w:jc w:val="both"/>
              <w:textAlignment w:val="auto"/>
              <w:rPr>
                <w:rFonts w:hint="default"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5.3.3运营阶段生态监测与维护措施</w:t>
            </w:r>
          </w:p>
          <w:p w14:paraId="7DD1286A">
            <w:pPr>
              <w:keepNext w:val="0"/>
              <w:keepLines w:val="0"/>
              <w:pageBreakBefore w:val="0"/>
              <w:widowControl w:val="0"/>
              <w:kinsoku/>
              <w:wordWrap/>
              <w:overflowPunct/>
              <w:topLinePunct w:val="0"/>
              <w:bidi w:val="0"/>
              <w:spacing w:line="480" w:lineRule="exact"/>
              <w:ind w:left="0" w:leftChars="0" w:firstLine="480" w:firstLineChars="200"/>
              <w:jc w:val="both"/>
              <w:textAlignment w:val="auto"/>
              <w:rPr>
                <w:rFonts w:hint="default"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运维单位将生态监测和维护纳入电网运行的日常规章制度和年度工作计划，确保生态修复效果的长期稳定，有效降低工程对动物、植物等长期影响，维护电网沿线区域的生态健康和生物多样性。</w:t>
            </w:r>
          </w:p>
          <w:p w14:paraId="48374891">
            <w:pPr>
              <w:keepNext w:val="0"/>
              <w:keepLines w:val="0"/>
              <w:pageBreakBefore w:val="0"/>
              <w:widowControl w:val="0"/>
              <w:kinsoku/>
              <w:wordWrap/>
              <w:overflowPunct/>
              <w:topLinePunct w:val="0"/>
              <w:bidi w:val="0"/>
              <w:spacing w:line="480" w:lineRule="exact"/>
              <w:ind w:left="0" w:leftChars="0" w:firstLine="480" w:firstLineChars="200"/>
              <w:jc w:val="both"/>
              <w:textAlignment w:val="auto"/>
            </w:pPr>
            <w:r>
              <w:rPr>
                <w:rFonts w:hint="eastAsia" w:ascii="宋体" w:hAnsi="宋体" w:eastAsia="宋体" w:cs="宋体"/>
                <w:color w:val="auto"/>
                <w:kern w:val="2"/>
                <w:sz w:val="24"/>
                <w:szCs w:val="24"/>
                <w:lang w:val="en-US" w:eastAsia="zh-CN" w:bidi="ar-SA"/>
              </w:rPr>
              <w:t>措施内容：定期调查项目区域的植被覆盖率、植物种类、生长状况，评估生态恢复成效，必要时进行补植补种，按照环评批复要求，对线路沿线的工频电场、工频磁场和噪声进行定期监测，确保符合国家标准，并向社会公开监测结果。</w:t>
            </w:r>
          </w:p>
        </w:tc>
      </w:tr>
      <w:tr w14:paraId="507358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noWrap w:val="0"/>
            <w:vAlign w:val="center"/>
          </w:tcPr>
          <w:p w14:paraId="24416612">
            <w:pPr>
              <w:adjustRightInd w:val="0"/>
              <w:snapToGrid w:val="0"/>
              <w:jc w:val="center"/>
              <w:rPr>
                <w:rFonts w:ascii="宋体" w:hAnsi="宋体" w:cs="宋体"/>
                <w:bCs/>
                <w:color w:val="auto"/>
                <w:spacing w:val="10"/>
                <w:szCs w:val="21"/>
              </w:rPr>
            </w:pPr>
            <w:r>
              <w:rPr>
                <w:rFonts w:hint="eastAsia" w:ascii="宋体" w:hAnsi="宋体"/>
                <w:bCs/>
                <w:color w:val="auto"/>
                <w:szCs w:val="21"/>
              </w:rPr>
              <w:t>环保投资</w:t>
            </w:r>
          </w:p>
        </w:tc>
        <w:tc>
          <w:tcPr>
            <w:tcW w:w="8457" w:type="dxa"/>
            <w:noWrap w:val="0"/>
            <w:vAlign w:val="top"/>
          </w:tcPr>
          <w:p w14:paraId="50AA81EE">
            <w:pPr>
              <w:pStyle w:val="10"/>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Calibri" w:hAnsi="Calibri" w:cs="Calibri"/>
                <w:color w:val="auto"/>
                <w:lang w:val="en-US" w:eastAsia="zh-CN"/>
              </w:rPr>
            </w:pPr>
            <w:r>
              <w:rPr>
                <w:rFonts w:hint="default" w:ascii="Calibri" w:hAnsi="Calibri" w:cs="Calibri"/>
                <w:color w:val="auto"/>
                <w:lang w:val="en-US" w:eastAsia="zh-CN"/>
              </w:rPr>
              <w:t>项目总投资</w:t>
            </w:r>
            <w:r>
              <w:rPr>
                <w:rFonts w:hint="eastAsia" w:ascii="Calibri" w:hAnsi="Calibri" w:cs="Calibri"/>
                <w:color w:val="auto"/>
                <w:lang w:val="en-US" w:eastAsia="zh-CN"/>
              </w:rPr>
              <w:t>11550</w:t>
            </w:r>
            <w:r>
              <w:rPr>
                <w:rFonts w:hint="default" w:ascii="Calibri" w:hAnsi="Calibri" w:cs="Calibri"/>
                <w:color w:val="auto"/>
                <w:lang w:val="en-US" w:eastAsia="zh-CN"/>
              </w:rPr>
              <w:t>万元，其中环保投资</w:t>
            </w:r>
            <w:r>
              <w:rPr>
                <w:rFonts w:hint="eastAsia" w:ascii="Calibri" w:hAnsi="Calibri" w:cs="Calibri"/>
                <w:color w:val="auto"/>
                <w:lang w:val="en-US" w:eastAsia="zh-CN"/>
              </w:rPr>
              <w:t>199</w:t>
            </w:r>
            <w:r>
              <w:rPr>
                <w:rFonts w:hint="default" w:ascii="Calibri" w:hAnsi="Calibri" w:cs="Calibri"/>
                <w:color w:val="auto"/>
                <w:lang w:val="en-US" w:eastAsia="zh-CN"/>
              </w:rPr>
              <w:t>万元，占总投资的1.7％，环保投资情况见下表。</w:t>
            </w:r>
          </w:p>
          <w:p w14:paraId="1727C07D">
            <w:pPr>
              <w:pStyle w:val="10"/>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Calibri" w:hAnsi="Calibri" w:eastAsia="宋体" w:cs="Calibri"/>
                <w:b/>
                <w:bCs/>
                <w:color w:val="auto"/>
                <w:kern w:val="2"/>
                <w:sz w:val="24"/>
                <w:szCs w:val="24"/>
                <w:lang w:val="en-US" w:eastAsia="zh-CN" w:bidi="ar-SA"/>
              </w:rPr>
            </w:pPr>
            <w:r>
              <w:rPr>
                <w:rFonts w:hint="default" w:ascii="Calibri" w:hAnsi="Calibri" w:eastAsia="宋体" w:cs="Calibri"/>
                <w:b/>
                <w:bCs/>
                <w:color w:val="auto"/>
                <w:kern w:val="2"/>
                <w:sz w:val="24"/>
                <w:szCs w:val="24"/>
                <w:lang w:val="en-US" w:eastAsia="zh-CN" w:bidi="ar-SA"/>
              </w:rPr>
              <w:t>表5-3         环保投资估算一览表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1465"/>
              <w:gridCol w:w="4535"/>
              <w:gridCol w:w="1740"/>
            </w:tblGrid>
            <w:tr w14:paraId="2C551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97" w:type="pct"/>
                  <w:noWrap w:val="0"/>
                  <w:vAlign w:val="center"/>
                </w:tcPr>
                <w:p w14:paraId="64201ACC">
                  <w:pPr>
                    <w:pStyle w:val="35"/>
                    <w:bidi w:val="0"/>
                    <w:rPr>
                      <w:rFonts w:hint="default" w:ascii="Calibri" w:hAnsi="Calibri" w:cs="Calibri"/>
                      <w:color w:val="auto"/>
                    </w:rPr>
                  </w:pPr>
                  <w:r>
                    <w:rPr>
                      <w:rFonts w:hint="default" w:ascii="Calibri" w:hAnsi="Calibri" w:cs="Calibri"/>
                      <w:color w:val="auto"/>
                    </w:rPr>
                    <w:t>序号</w:t>
                  </w:r>
                </w:p>
              </w:tc>
              <w:tc>
                <w:tcPr>
                  <w:tcW w:w="890" w:type="pct"/>
                  <w:noWrap w:val="0"/>
                  <w:vAlign w:val="center"/>
                </w:tcPr>
                <w:p w14:paraId="1EB33F6F">
                  <w:pPr>
                    <w:pStyle w:val="35"/>
                    <w:bidi w:val="0"/>
                    <w:rPr>
                      <w:rFonts w:hint="default" w:ascii="Calibri" w:hAnsi="Calibri" w:cs="Calibri"/>
                      <w:color w:val="auto"/>
                    </w:rPr>
                  </w:pPr>
                  <w:r>
                    <w:rPr>
                      <w:rFonts w:hint="default" w:ascii="Calibri" w:hAnsi="Calibri" w:cs="Calibri"/>
                      <w:color w:val="auto"/>
                    </w:rPr>
                    <w:t>治理项目</w:t>
                  </w:r>
                </w:p>
              </w:tc>
              <w:tc>
                <w:tcPr>
                  <w:tcW w:w="2754" w:type="pct"/>
                  <w:noWrap w:val="0"/>
                  <w:vAlign w:val="center"/>
                </w:tcPr>
                <w:p w14:paraId="437D7668">
                  <w:pPr>
                    <w:pStyle w:val="35"/>
                    <w:bidi w:val="0"/>
                    <w:rPr>
                      <w:rFonts w:hint="default" w:ascii="Calibri" w:hAnsi="Calibri" w:cs="Calibri"/>
                      <w:color w:val="auto"/>
                    </w:rPr>
                  </w:pPr>
                  <w:r>
                    <w:rPr>
                      <w:rFonts w:hint="default" w:ascii="Calibri" w:hAnsi="Calibri" w:cs="Calibri"/>
                      <w:color w:val="auto"/>
                    </w:rPr>
                    <w:t>环保措施</w:t>
                  </w:r>
                </w:p>
              </w:tc>
              <w:tc>
                <w:tcPr>
                  <w:tcW w:w="1057" w:type="pct"/>
                  <w:noWrap w:val="0"/>
                  <w:vAlign w:val="center"/>
                </w:tcPr>
                <w:p w14:paraId="3A3A0CF0">
                  <w:pPr>
                    <w:pStyle w:val="35"/>
                    <w:bidi w:val="0"/>
                    <w:rPr>
                      <w:rFonts w:hint="default" w:ascii="Calibri" w:hAnsi="Calibri" w:cs="Calibri"/>
                      <w:color w:val="auto"/>
                    </w:rPr>
                  </w:pPr>
                  <w:r>
                    <w:rPr>
                      <w:rFonts w:hint="default" w:ascii="Calibri" w:hAnsi="Calibri" w:cs="Calibri"/>
                      <w:color w:val="auto"/>
                    </w:rPr>
                    <w:t>投资估算（万元）</w:t>
                  </w:r>
                </w:p>
              </w:tc>
            </w:tr>
            <w:tr w14:paraId="3388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97" w:type="pct"/>
                  <w:noWrap w:val="0"/>
                  <w:vAlign w:val="center"/>
                </w:tcPr>
                <w:p w14:paraId="70A3A158">
                  <w:pPr>
                    <w:pStyle w:val="35"/>
                    <w:bidi w:val="0"/>
                    <w:rPr>
                      <w:rFonts w:hint="default" w:ascii="Calibri" w:hAnsi="Calibri" w:eastAsia="宋体" w:cs="Calibri"/>
                      <w:color w:val="auto"/>
                      <w:lang w:val="en-US" w:eastAsia="zh-CN"/>
                    </w:rPr>
                  </w:pPr>
                  <w:r>
                    <w:rPr>
                      <w:rFonts w:hint="default" w:ascii="Calibri" w:hAnsi="Calibri" w:cs="Calibri"/>
                      <w:color w:val="auto"/>
                      <w:lang w:val="en-US" w:eastAsia="zh-CN"/>
                    </w:rPr>
                    <w:t>1</w:t>
                  </w:r>
                </w:p>
              </w:tc>
              <w:tc>
                <w:tcPr>
                  <w:tcW w:w="890" w:type="pct"/>
                  <w:noWrap w:val="0"/>
                  <w:vAlign w:val="center"/>
                </w:tcPr>
                <w:p w14:paraId="07702660">
                  <w:pPr>
                    <w:pStyle w:val="35"/>
                    <w:bidi w:val="0"/>
                    <w:rPr>
                      <w:rFonts w:hint="default" w:ascii="Calibri" w:hAnsi="Calibri" w:cs="Calibri"/>
                      <w:color w:val="auto"/>
                    </w:rPr>
                  </w:pPr>
                  <w:r>
                    <w:rPr>
                      <w:rFonts w:hint="default" w:ascii="Calibri" w:hAnsi="Calibri" w:cs="Calibri"/>
                      <w:color w:val="auto"/>
                    </w:rPr>
                    <w:t>废气污染防治措施</w:t>
                  </w:r>
                </w:p>
              </w:tc>
              <w:tc>
                <w:tcPr>
                  <w:tcW w:w="2754" w:type="pct"/>
                  <w:noWrap w:val="0"/>
                  <w:vAlign w:val="center"/>
                </w:tcPr>
                <w:p w14:paraId="774CD1C1">
                  <w:pPr>
                    <w:pStyle w:val="35"/>
                    <w:bidi w:val="0"/>
                    <w:rPr>
                      <w:rFonts w:hint="default" w:ascii="Calibri" w:hAnsi="Calibri" w:cs="Calibri"/>
                      <w:color w:val="auto"/>
                    </w:rPr>
                  </w:pPr>
                  <w:r>
                    <w:rPr>
                      <w:rFonts w:hint="default" w:ascii="Calibri" w:hAnsi="Calibri" w:cs="Calibri"/>
                      <w:color w:val="auto"/>
                    </w:rPr>
                    <w:t>施工期洒水降尘</w:t>
                  </w:r>
                  <w:r>
                    <w:rPr>
                      <w:rFonts w:hint="default" w:ascii="Calibri" w:hAnsi="Calibri" w:cs="Calibri"/>
                      <w:color w:val="auto"/>
                      <w:lang w:eastAsia="zh-CN"/>
                    </w:rPr>
                    <w:t>、</w:t>
                  </w:r>
                  <w:r>
                    <w:rPr>
                      <w:rFonts w:hint="default" w:ascii="Calibri" w:hAnsi="Calibri" w:cs="Calibri"/>
                      <w:color w:val="auto"/>
                    </w:rPr>
                    <w:t>防尘网苫盖</w:t>
                  </w:r>
                </w:p>
              </w:tc>
              <w:tc>
                <w:tcPr>
                  <w:tcW w:w="1057" w:type="pct"/>
                  <w:noWrap w:val="0"/>
                  <w:vAlign w:val="center"/>
                </w:tcPr>
                <w:p w14:paraId="50CAA24C">
                  <w:pPr>
                    <w:pStyle w:val="35"/>
                    <w:bidi w:val="0"/>
                    <w:rPr>
                      <w:rFonts w:hint="default" w:ascii="Calibri" w:hAnsi="Calibri" w:eastAsia="宋体" w:cs="Calibri"/>
                      <w:color w:val="auto"/>
                      <w:lang w:val="en-US" w:eastAsia="zh-CN"/>
                    </w:rPr>
                  </w:pPr>
                  <w:r>
                    <w:rPr>
                      <w:rFonts w:hint="default" w:ascii="Calibri" w:hAnsi="Calibri" w:cs="Calibri"/>
                      <w:color w:val="auto"/>
                      <w:lang w:val="en-US" w:eastAsia="zh-CN"/>
                    </w:rPr>
                    <w:t>35</w:t>
                  </w:r>
                </w:p>
              </w:tc>
            </w:tr>
            <w:tr w14:paraId="1BD6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97" w:type="pct"/>
                  <w:tcBorders>
                    <w:bottom w:val="single" w:color="auto" w:sz="4" w:space="0"/>
                  </w:tcBorders>
                  <w:noWrap w:val="0"/>
                  <w:vAlign w:val="center"/>
                </w:tcPr>
                <w:p w14:paraId="06CF552E">
                  <w:pPr>
                    <w:pStyle w:val="35"/>
                    <w:bidi w:val="0"/>
                    <w:rPr>
                      <w:rFonts w:hint="default" w:ascii="Calibri" w:hAnsi="Calibri" w:eastAsia="宋体" w:cs="Calibri"/>
                      <w:color w:val="auto"/>
                      <w:lang w:val="en-US" w:eastAsia="zh-CN"/>
                    </w:rPr>
                  </w:pPr>
                  <w:r>
                    <w:rPr>
                      <w:rFonts w:hint="default" w:ascii="Calibri" w:hAnsi="Calibri" w:cs="Calibri"/>
                      <w:color w:val="auto"/>
                      <w:lang w:val="en-US" w:eastAsia="zh-CN"/>
                    </w:rPr>
                    <w:t>2</w:t>
                  </w:r>
                </w:p>
              </w:tc>
              <w:tc>
                <w:tcPr>
                  <w:tcW w:w="890" w:type="pct"/>
                  <w:noWrap w:val="0"/>
                  <w:vAlign w:val="center"/>
                </w:tcPr>
                <w:p w14:paraId="5A8B3F64">
                  <w:pPr>
                    <w:pStyle w:val="35"/>
                    <w:bidi w:val="0"/>
                    <w:rPr>
                      <w:rFonts w:hint="default" w:ascii="Calibri" w:hAnsi="Calibri" w:cs="Calibri"/>
                      <w:color w:val="auto"/>
                    </w:rPr>
                  </w:pPr>
                  <w:r>
                    <w:rPr>
                      <w:rFonts w:hint="default" w:ascii="Calibri" w:hAnsi="Calibri" w:cs="Calibri"/>
                      <w:color w:val="auto"/>
                    </w:rPr>
                    <w:t>噪声污染治理</w:t>
                  </w:r>
                </w:p>
              </w:tc>
              <w:tc>
                <w:tcPr>
                  <w:tcW w:w="2754" w:type="pct"/>
                  <w:noWrap w:val="0"/>
                  <w:vAlign w:val="center"/>
                </w:tcPr>
                <w:p w14:paraId="5F16FE81">
                  <w:pPr>
                    <w:pStyle w:val="35"/>
                    <w:bidi w:val="0"/>
                    <w:rPr>
                      <w:rFonts w:hint="default" w:ascii="Calibri" w:hAnsi="Calibri" w:cs="Calibri"/>
                      <w:color w:val="auto"/>
                    </w:rPr>
                  </w:pPr>
                  <w:r>
                    <w:rPr>
                      <w:rFonts w:hint="default" w:ascii="Calibri" w:hAnsi="Calibri" w:cs="Calibri"/>
                      <w:color w:val="auto"/>
                      <w:lang w:val="en-US" w:eastAsia="zh-CN"/>
                    </w:rPr>
                    <w:t>施工期</w:t>
                  </w:r>
                  <w:r>
                    <w:rPr>
                      <w:rFonts w:hint="default" w:ascii="Calibri" w:hAnsi="Calibri" w:cs="Calibri"/>
                      <w:color w:val="auto"/>
                    </w:rPr>
                    <w:t>低噪设备等</w:t>
                  </w:r>
                </w:p>
              </w:tc>
              <w:tc>
                <w:tcPr>
                  <w:tcW w:w="1057" w:type="pct"/>
                  <w:noWrap w:val="0"/>
                  <w:vAlign w:val="center"/>
                </w:tcPr>
                <w:p w14:paraId="2792487B">
                  <w:pPr>
                    <w:pStyle w:val="35"/>
                    <w:bidi w:val="0"/>
                    <w:rPr>
                      <w:rFonts w:hint="default" w:ascii="Calibri" w:hAnsi="Calibri" w:eastAsia="宋体" w:cs="Calibri"/>
                      <w:color w:val="auto"/>
                      <w:lang w:val="en-US" w:eastAsia="zh-CN"/>
                    </w:rPr>
                  </w:pPr>
                  <w:r>
                    <w:rPr>
                      <w:rFonts w:hint="default" w:ascii="Calibri" w:hAnsi="Calibri" w:cs="Calibri"/>
                      <w:color w:val="auto"/>
                      <w:lang w:val="en-US" w:eastAsia="zh-CN"/>
                    </w:rPr>
                    <w:t>20</w:t>
                  </w:r>
                </w:p>
              </w:tc>
            </w:tr>
            <w:tr w14:paraId="20712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jc w:val="center"/>
              </w:trPr>
              <w:tc>
                <w:tcPr>
                  <w:tcW w:w="297" w:type="pct"/>
                  <w:noWrap w:val="0"/>
                  <w:vAlign w:val="center"/>
                </w:tcPr>
                <w:p w14:paraId="0B3DDC72">
                  <w:pPr>
                    <w:pStyle w:val="35"/>
                    <w:bidi w:val="0"/>
                    <w:rPr>
                      <w:rFonts w:hint="default" w:ascii="Calibri" w:hAnsi="Calibri" w:eastAsia="宋体" w:cs="Calibri"/>
                      <w:color w:val="auto"/>
                      <w:lang w:val="en-US" w:eastAsia="zh-CN"/>
                    </w:rPr>
                  </w:pPr>
                  <w:r>
                    <w:rPr>
                      <w:rFonts w:hint="default" w:ascii="Calibri" w:hAnsi="Calibri" w:cs="Calibri"/>
                      <w:color w:val="auto"/>
                      <w:lang w:val="en-US" w:eastAsia="zh-CN"/>
                    </w:rPr>
                    <w:t>3</w:t>
                  </w:r>
                </w:p>
              </w:tc>
              <w:tc>
                <w:tcPr>
                  <w:tcW w:w="890" w:type="pct"/>
                  <w:noWrap w:val="0"/>
                  <w:vAlign w:val="center"/>
                </w:tcPr>
                <w:p w14:paraId="0266FC32">
                  <w:pPr>
                    <w:pStyle w:val="35"/>
                    <w:bidi w:val="0"/>
                    <w:rPr>
                      <w:rFonts w:hint="default" w:ascii="Calibri" w:hAnsi="Calibri" w:cs="Calibri"/>
                      <w:color w:val="auto"/>
                    </w:rPr>
                  </w:pPr>
                  <w:r>
                    <w:rPr>
                      <w:rFonts w:hint="default" w:ascii="Calibri" w:hAnsi="Calibri" w:cs="Calibri"/>
                      <w:color w:val="auto"/>
                    </w:rPr>
                    <w:t>固废治理</w:t>
                  </w:r>
                </w:p>
              </w:tc>
              <w:tc>
                <w:tcPr>
                  <w:tcW w:w="2754" w:type="pct"/>
                  <w:noWrap w:val="0"/>
                  <w:vAlign w:val="center"/>
                </w:tcPr>
                <w:p w14:paraId="1A88D4DF">
                  <w:pPr>
                    <w:pStyle w:val="35"/>
                    <w:bidi w:val="0"/>
                    <w:rPr>
                      <w:rFonts w:hint="default" w:ascii="Calibri" w:hAnsi="Calibri" w:cs="Calibri"/>
                      <w:color w:val="auto"/>
                      <w:lang w:eastAsia="zh-CN"/>
                    </w:rPr>
                  </w:pPr>
                  <w:r>
                    <w:rPr>
                      <w:rFonts w:hint="default" w:ascii="Calibri" w:hAnsi="Calibri" w:cs="Calibri"/>
                      <w:color w:val="auto"/>
                      <w:lang w:val="en-US" w:eastAsia="zh-CN"/>
                    </w:rPr>
                    <w:t>施工</w:t>
                  </w:r>
                  <w:r>
                    <w:rPr>
                      <w:rFonts w:hint="default" w:ascii="Calibri" w:hAnsi="Calibri" w:cs="Calibri"/>
                      <w:color w:val="auto"/>
                    </w:rPr>
                    <w:t>垃圾收集、清运</w:t>
                  </w:r>
                  <w:r>
                    <w:rPr>
                      <w:rFonts w:hint="default" w:ascii="Calibri" w:hAnsi="Calibri" w:cs="Calibri"/>
                      <w:color w:val="auto"/>
                      <w:lang w:eastAsia="zh-CN"/>
                    </w:rPr>
                    <w:t>；</w:t>
                  </w:r>
                </w:p>
                <w:p w14:paraId="0CB23648">
                  <w:pPr>
                    <w:pStyle w:val="35"/>
                    <w:bidi w:val="0"/>
                    <w:rPr>
                      <w:rFonts w:hint="default" w:ascii="Calibri" w:hAnsi="Calibri" w:cs="Calibri"/>
                      <w:color w:val="auto"/>
                      <w:lang w:val="en-US" w:eastAsia="zh-CN"/>
                    </w:rPr>
                  </w:pPr>
                  <w:r>
                    <w:rPr>
                      <w:rFonts w:hint="default" w:ascii="Calibri" w:hAnsi="Calibri" w:cs="Calibri"/>
                      <w:color w:val="auto"/>
                      <w:lang w:val="en-US" w:eastAsia="zh-CN"/>
                    </w:rPr>
                    <w:t>变电站事故废油收集池、危险废物贮存库。</w:t>
                  </w:r>
                </w:p>
              </w:tc>
              <w:tc>
                <w:tcPr>
                  <w:tcW w:w="1057" w:type="pct"/>
                  <w:noWrap w:val="0"/>
                  <w:vAlign w:val="center"/>
                </w:tcPr>
                <w:p w14:paraId="1075856D">
                  <w:pPr>
                    <w:pStyle w:val="35"/>
                    <w:bidi w:val="0"/>
                    <w:rPr>
                      <w:rFonts w:hint="default" w:ascii="Calibri" w:hAnsi="Calibri" w:eastAsia="宋体" w:cs="Calibri"/>
                      <w:color w:val="auto"/>
                      <w:lang w:val="en-US" w:eastAsia="zh-CN"/>
                    </w:rPr>
                  </w:pPr>
                  <w:r>
                    <w:rPr>
                      <w:rFonts w:hint="default" w:ascii="Calibri" w:hAnsi="Calibri" w:cs="Calibri"/>
                      <w:color w:val="auto"/>
                      <w:lang w:val="en-US" w:eastAsia="zh-CN"/>
                    </w:rPr>
                    <w:t>45</w:t>
                  </w:r>
                </w:p>
              </w:tc>
            </w:tr>
            <w:tr w14:paraId="24D9A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297" w:type="pct"/>
                  <w:noWrap w:val="0"/>
                  <w:vAlign w:val="center"/>
                </w:tcPr>
                <w:p w14:paraId="12BC4AEC">
                  <w:pPr>
                    <w:pStyle w:val="35"/>
                    <w:bidi w:val="0"/>
                    <w:rPr>
                      <w:rFonts w:hint="default" w:ascii="Calibri" w:hAnsi="Calibri" w:eastAsia="宋体" w:cs="Calibri"/>
                      <w:color w:val="auto"/>
                      <w:lang w:val="en-US" w:eastAsia="zh-CN"/>
                    </w:rPr>
                  </w:pPr>
                  <w:r>
                    <w:rPr>
                      <w:rFonts w:hint="default" w:ascii="Calibri" w:hAnsi="Calibri" w:cs="Calibri"/>
                      <w:color w:val="auto"/>
                      <w:lang w:val="en-US" w:eastAsia="zh-CN"/>
                    </w:rPr>
                    <w:t>4</w:t>
                  </w:r>
                </w:p>
              </w:tc>
              <w:tc>
                <w:tcPr>
                  <w:tcW w:w="890" w:type="pct"/>
                  <w:noWrap w:val="0"/>
                  <w:vAlign w:val="center"/>
                </w:tcPr>
                <w:p w14:paraId="1AD59308">
                  <w:pPr>
                    <w:pStyle w:val="35"/>
                    <w:bidi w:val="0"/>
                    <w:rPr>
                      <w:rFonts w:hint="default" w:ascii="Calibri" w:hAnsi="Calibri" w:cs="Calibri"/>
                      <w:color w:val="auto"/>
                    </w:rPr>
                  </w:pPr>
                  <w:r>
                    <w:rPr>
                      <w:rFonts w:hint="default" w:ascii="Calibri" w:hAnsi="Calibri" w:cs="Calibri"/>
                      <w:color w:val="auto"/>
                    </w:rPr>
                    <w:t>生态保护</w:t>
                  </w:r>
                </w:p>
              </w:tc>
              <w:tc>
                <w:tcPr>
                  <w:tcW w:w="2754" w:type="pct"/>
                  <w:noWrap w:val="0"/>
                  <w:vAlign w:val="center"/>
                </w:tcPr>
                <w:p w14:paraId="2A8160F2">
                  <w:pPr>
                    <w:pStyle w:val="35"/>
                    <w:bidi w:val="0"/>
                    <w:rPr>
                      <w:rFonts w:hint="default" w:ascii="Calibri" w:hAnsi="Calibri" w:cs="Calibri"/>
                      <w:color w:val="auto"/>
                    </w:rPr>
                  </w:pPr>
                  <w:r>
                    <w:rPr>
                      <w:rFonts w:hint="default" w:ascii="Calibri" w:hAnsi="Calibri" w:cs="Calibri"/>
                      <w:color w:val="auto"/>
                    </w:rPr>
                    <w:t>生态恢复</w:t>
                  </w:r>
                </w:p>
              </w:tc>
              <w:tc>
                <w:tcPr>
                  <w:tcW w:w="1057" w:type="pct"/>
                  <w:noWrap w:val="0"/>
                  <w:vAlign w:val="center"/>
                </w:tcPr>
                <w:p w14:paraId="18DA07A7">
                  <w:pPr>
                    <w:pStyle w:val="35"/>
                    <w:bidi w:val="0"/>
                    <w:rPr>
                      <w:rFonts w:hint="default" w:ascii="Calibri" w:hAnsi="Calibri" w:eastAsia="宋体" w:cs="Calibri"/>
                      <w:color w:val="auto"/>
                      <w:lang w:val="en-US" w:eastAsia="zh-CN"/>
                    </w:rPr>
                  </w:pPr>
                  <w:r>
                    <w:rPr>
                      <w:rFonts w:hint="default" w:ascii="Calibri" w:hAnsi="Calibri" w:cs="Calibri"/>
                      <w:color w:val="auto"/>
                      <w:lang w:val="en-US" w:eastAsia="zh-CN"/>
                    </w:rPr>
                    <w:t>80</w:t>
                  </w:r>
                </w:p>
              </w:tc>
            </w:tr>
            <w:tr w14:paraId="2C74D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97" w:type="pct"/>
                  <w:noWrap w:val="0"/>
                  <w:vAlign w:val="center"/>
                </w:tcPr>
                <w:p w14:paraId="46B7E6C4">
                  <w:pPr>
                    <w:pStyle w:val="35"/>
                    <w:bidi w:val="0"/>
                    <w:rPr>
                      <w:rFonts w:hint="default" w:ascii="Calibri" w:hAnsi="Calibri" w:eastAsia="宋体" w:cs="Calibri"/>
                      <w:color w:val="auto"/>
                      <w:lang w:val="en-US" w:eastAsia="zh-CN"/>
                    </w:rPr>
                  </w:pPr>
                  <w:r>
                    <w:rPr>
                      <w:rFonts w:hint="default" w:ascii="Calibri" w:hAnsi="Calibri" w:eastAsia="宋体" w:cs="Calibri"/>
                      <w:color w:val="auto"/>
                      <w:lang w:val="en-US" w:eastAsia="zh-CN"/>
                    </w:rPr>
                    <w:t>5</w:t>
                  </w:r>
                </w:p>
              </w:tc>
              <w:tc>
                <w:tcPr>
                  <w:tcW w:w="890" w:type="pct"/>
                  <w:noWrap w:val="0"/>
                  <w:vAlign w:val="center"/>
                </w:tcPr>
                <w:p w14:paraId="067F8436">
                  <w:pPr>
                    <w:pStyle w:val="35"/>
                    <w:bidi w:val="0"/>
                    <w:rPr>
                      <w:rFonts w:hint="default" w:ascii="Calibri" w:hAnsi="Calibri" w:eastAsia="宋体" w:cs="Calibri"/>
                      <w:color w:val="auto"/>
                      <w:lang w:val="en-US" w:eastAsia="zh-CN"/>
                    </w:rPr>
                  </w:pPr>
                  <w:r>
                    <w:rPr>
                      <w:rFonts w:hint="default" w:ascii="Calibri" w:hAnsi="Calibri" w:cs="Calibri"/>
                      <w:color w:val="auto"/>
                      <w:lang w:val="en-US" w:eastAsia="zh-CN"/>
                    </w:rPr>
                    <w:t>风险防范</w:t>
                  </w:r>
                </w:p>
              </w:tc>
              <w:tc>
                <w:tcPr>
                  <w:tcW w:w="2754" w:type="pct"/>
                  <w:noWrap w:val="0"/>
                  <w:vAlign w:val="center"/>
                </w:tcPr>
                <w:p w14:paraId="00F6D2A7">
                  <w:pPr>
                    <w:pStyle w:val="35"/>
                    <w:bidi w:val="0"/>
                    <w:rPr>
                      <w:rFonts w:hint="default" w:ascii="Calibri" w:hAnsi="Calibri" w:eastAsia="宋体" w:cs="Calibri"/>
                      <w:color w:val="auto"/>
                      <w:lang w:val="en-US" w:eastAsia="zh-CN"/>
                    </w:rPr>
                  </w:pPr>
                  <w:r>
                    <w:rPr>
                      <w:rFonts w:hint="default" w:ascii="Calibri" w:hAnsi="Calibri" w:cs="Calibri"/>
                      <w:color w:val="auto"/>
                      <w:lang w:val="en-US" w:eastAsia="zh-CN"/>
                    </w:rPr>
                    <w:t>警示标识牌、</w:t>
                  </w:r>
                  <w:r>
                    <w:rPr>
                      <w:rFonts w:hint="default" w:ascii="Calibri" w:hAnsi="Calibri" w:cs="Calibri"/>
                      <w:color w:val="auto"/>
                      <w:kern w:val="0"/>
                      <w:sz w:val="21"/>
                      <w:szCs w:val="21"/>
                      <w:lang w:val="en-US" w:eastAsia="zh-CN" w:bidi="ar-SA"/>
                    </w:rPr>
                    <w:t>事故油池、危险废物贮存库</w:t>
                  </w:r>
                  <w:r>
                    <w:rPr>
                      <w:rFonts w:hint="default" w:ascii="Calibri" w:hAnsi="Calibri" w:eastAsia="宋体" w:cs="Calibri"/>
                      <w:color w:val="auto"/>
                      <w:kern w:val="0"/>
                      <w:sz w:val="21"/>
                      <w:szCs w:val="21"/>
                      <w:lang w:val="en-US" w:eastAsia="zh-CN" w:bidi="ar-SA"/>
                    </w:rPr>
                    <w:t>应进行基础防渗，防渗层为至少1m厚黏土层</w:t>
                  </w:r>
                  <w:r>
                    <w:rPr>
                      <w:rFonts w:hint="eastAsia" w:ascii="Calibri" w:hAnsi="Calibri" w:cs="Calibri"/>
                      <w:color w:val="auto"/>
                      <w:kern w:val="0"/>
                      <w:sz w:val="21"/>
                      <w:szCs w:val="21"/>
                      <w:lang w:val="en-US" w:eastAsia="zh-CN" w:bidi="ar-SA"/>
                    </w:rPr>
                    <w:t>（</w:t>
                  </w:r>
                  <w:r>
                    <w:rPr>
                      <w:rFonts w:hint="default" w:ascii="Calibri" w:hAnsi="Calibri" w:eastAsia="宋体" w:cs="Calibri"/>
                      <w:color w:val="auto"/>
                      <w:kern w:val="0"/>
                      <w:sz w:val="21"/>
                      <w:szCs w:val="21"/>
                      <w:lang w:val="en-US" w:eastAsia="zh-CN" w:bidi="ar-SA"/>
                    </w:rPr>
                    <w:t>渗透系数不大于10</w:t>
                  </w:r>
                  <w:r>
                    <w:rPr>
                      <w:rFonts w:hint="eastAsia" w:ascii="Calibri" w:hAnsi="Calibri" w:cs="Calibri"/>
                      <w:color w:val="auto"/>
                      <w:sz w:val="21"/>
                      <w:szCs w:val="21"/>
                      <w:vertAlign w:val="superscript"/>
                      <w:lang w:eastAsia="zh-CN"/>
                    </w:rPr>
                    <w:t>-</w:t>
                  </w:r>
                  <w:r>
                    <w:rPr>
                      <w:rFonts w:hint="default" w:ascii="Calibri" w:hAnsi="Calibri" w:cs="Calibri"/>
                      <w:color w:val="auto"/>
                      <w:kern w:val="0"/>
                      <w:sz w:val="21"/>
                      <w:szCs w:val="21"/>
                      <w:vertAlign w:val="superscript"/>
                      <w:lang w:val="en-US" w:eastAsia="zh-CN" w:bidi="ar-SA"/>
                    </w:rPr>
                    <w:t>7</w:t>
                  </w:r>
                  <w:r>
                    <w:rPr>
                      <w:rFonts w:hint="default" w:ascii="Calibri" w:hAnsi="Calibri" w:eastAsia="宋体" w:cs="Calibri"/>
                      <w:color w:val="auto"/>
                      <w:kern w:val="0"/>
                      <w:sz w:val="21"/>
                      <w:szCs w:val="21"/>
                      <w:lang w:val="en-US" w:eastAsia="zh-CN" w:bidi="ar-SA"/>
                    </w:rPr>
                    <w:t>cm</w:t>
                  </w:r>
                  <w:r>
                    <w:rPr>
                      <w:rFonts w:hint="default" w:ascii="Calibri" w:hAnsi="Calibri" w:cs="Calibri"/>
                      <w:color w:val="auto"/>
                      <w:kern w:val="0"/>
                      <w:sz w:val="21"/>
                      <w:szCs w:val="21"/>
                      <w:lang w:val="en-US" w:eastAsia="zh-CN" w:bidi="ar-SA"/>
                    </w:rPr>
                    <w:t>/</w:t>
                  </w:r>
                  <w:r>
                    <w:rPr>
                      <w:rFonts w:hint="default" w:ascii="Calibri" w:hAnsi="Calibri" w:eastAsia="宋体" w:cs="Calibri"/>
                      <w:color w:val="auto"/>
                      <w:kern w:val="0"/>
                      <w:sz w:val="21"/>
                      <w:szCs w:val="21"/>
                      <w:lang w:val="en-US" w:eastAsia="zh-CN" w:bidi="ar-SA"/>
                    </w:rPr>
                    <w:t>s</w:t>
                  </w:r>
                  <w:r>
                    <w:rPr>
                      <w:rFonts w:hint="eastAsia" w:ascii="Calibri" w:hAnsi="Calibri" w:cs="Calibri"/>
                      <w:color w:val="auto"/>
                      <w:kern w:val="0"/>
                      <w:sz w:val="21"/>
                      <w:szCs w:val="21"/>
                      <w:lang w:val="en-US" w:eastAsia="zh-CN" w:bidi="ar-SA"/>
                    </w:rPr>
                    <w:t>）</w:t>
                  </w:r>
                  <w:r>
                    <w:rPr>
                      <w:rFonts w:hint="default" w:ascii="Calibri" w:hAnsi="Calibri" w:eastAsia="宋体" w:cs="Calibri"/>
                      <w:color w:val="auto"/>
                      <w:kern w:val="0"/>
                      <w:sz w:val="21"/>
                      <w:szCs w:val="21"/>
                      <w:lang w:val="en-US" w:eastAsia="zh-CN" w:bidi="ar-SA"/>
                    </w:rPr>
                    <w:t>，或至少2mm厚高密度聚乙烯膜等人工防渗材料</w:t>
                  </w:r>
                  <w:r>
                    <w:rPr>
                      <w:rFonts w:hint="eastAsia" w:ascii="Calibri" w:hAnsi="Calibri" w:cs="Calibri"/>
                      <w:color w:val="auto"/>
                      <w:kern w:val="0"/>
                      <w:sz w:val="21"/>
                      <w:szCs w:val="21"/>
                      <w:lang w:val="en-US" w:eastAsia="zh-CN" w:bidi="ar-SA"/>
                    </w:rPr>
                    <w:t>（</w:t>
                  </w:r>
                  <w:r>
                    <w:rPr>
                      <w:rFonts w:hint="default" w:ascii="Calibri" w:hAnsi="Calibri" w:eastAsia="宋体" w:cs="Calibri"/>
                      <w:color w:val="auto"/>
                      <w:kern w:val="0"/>
                      <w:sz w:val="21"/>
                      <w:szCs w:val="21"/>
                      <w:lang w:val="en-US" w:eastAsia="zh-CN" w:bidi="ar-SA"/>
                    </w:rPr>
                    <w:t>透系数不大于10</w:t>
                  </w:r>
                  <w:r>
                    <w:rPr>
                      <w:rFonts w:hint="eastAsia" w:ascii="Calibri" w:hAnsi="Calibri" w:cs="Calibri"/>
                      <w:color w:val="auto"/>
                      <w:sz w:val="21"/>
                      <w:szCs w:val="21"/>
                      <w:vertAlign w:val="superscript"/>
                      <w:lang w:eastAsia="zh-CN"/>
                    </w:rPr>
                    <w:t>-</w:t>
                  </w:r>
                  <w:r>
                    <w:rPr>
                      <w:rFonts w:hint="default" w:ascii="Calibri" w:hAnsi="Calibri" w:eastAsia="宋体" w:cs="Calibri"/>
                      <w:color w:val="auto"/>
                      <w:kern w:val="0"/>
                      <w:sz w:val="21"/>
                      <w:szCs w:val="21"/>
                      <w:vertAlign w:val="superscript"/>
                      <w:lang w:val="en-US" w:eastAsia="zh-CN" w:bidi="ar-SA"/>
                    </w:rPr>
                    <w:t>10</w:t>
                  </w:r>
                  <w:r>
                    <w:rPr>
                      <w:rFonts w:hint="default" w:ascii="Calibri" w:hAnsi="Calibri" w:eastAsia="宋体" w:cs="Calibri"/>
                      <w:color w:val="auto"/>
                      <w:kern w:val="0"/>
                      <w:sz w:val="21"/>
                      <w:szCs w:val="21"/>
                      <w:lang w:val="en-US" w:eastAsia="zh-CN" w:bidi="ar-SA"/>
                    </w:rPr>
                    <w:t>cm</w:t>
                  </w:r>
                  <w:r>
                    <w:rPr>
                      <w:rFonts w:hint="default" w:ascii="Calibri" w:hAnsi="Calibri" w:cs="Calibri"/>
                      <w:color w:val="auto"/>
                      <w:kern w:val="0"/>
                      <w:sz w:val="21"/>
                      <w:szCs w:val="21"/>
                      <w:lang w:val="en-US" w:eastAsia="zh-CN" w:bidi="ar-SA"/>
                    </w:rPr>
                    <w:t>/</w:t>
                  </w:r>
                  <w:r>
                    <w:rPr>
                      <w:rFonts w:hint="default" w:ascii="Calibri" w:hAnsi="Calibri" w:eastAsia="宋体" w:cs="Calibri"/>
                      <w:color w:val="auto"/>
                      <w:kern w:val="0"/>
                      <w:sz w:val="21"/>
                      <w:szCs w:val="21"/>
                      <w:lang w:val="en-US" w:eastAsia="zh-CN" w:bidi="ar-SA"/>
                    </w:rPr>
                    <w:t>s</w:t>
                  </w:r>
                  <w:r>
                    <w:rPr>
                      <w:rFonts w:hint="eastAsia" w:ascii="Calibri" w:hAnsi="Calibri" w:cs="Calibri"/>
                      <w:color w:val="auto"/>
                      <w:kern w:val="0"/>
                      <w:sz w:val="21"/>
                      <w:szCs w:val="21"/>
                      <w:lang w:val="en-US" w:eastAsia="zh-CN" w:bidi="ar-SA"/>
                    </w:rPr>
                    <w:t>）</w:t>
                  </w:r>
                  <w:r>
                    <w:rPr>
                      <w:rFonts w:hint="default" w:ascii="Calibri" w:hAnsi="Calibri" w:eastAsia="宋体" w:cs="Calibri"/>
                      <w:color w:val="auto"/>
                      <w:sz w:val="21"/>
                      <w:szCs w:val="21"/>
                    </w:rPr>
                    <w:t>，综合防渗措施能满足《危险废物贮存污染控制标准》（GB18597-20</w:t>
                  </w:r>
                  <w:r>
                    <w:rPr>
                      <w:rFonts w:hint="default" w:ascii="Calibri" w:hAnsi="Calibri" w:cs="Calibri"/>
                      <w:color w:val="auto"/>
                      <w:sz w:val="21"/>
                      <w:szCs w:val="21"/>
                      <w:lang w:val="en-US" w:eastAsia="zh-CN"/>
                    </w:rPr>
                    <w:t>23</w:t>
                  </w:r>
                  <w:r>
                    <w:rPr>
                      <w:rFonts w:hint="default" w:ascii="Calibri" w:hAnsi="Calibri" w:eastAsia="宋体" w:cs="Calibri"/>
                      <w:color w:val="auto"/>
                      <w:sz w:val="21"/>
                      <w:szCs w:val="21"/>
                    </w:rPr>
                    <w:t>）</w:t>
                  </w:r>
                  <w:r>
                    <w:rPr>
                      <w:rFonts w:hint="default" w:ascii="Calibri" w:hAnsi="Calibri" w:cs="Calibri"/>
                      <w:color w:val="auto"/>
                      <w:lang w:val="en-US" w:eastAsia="zh-CN"/>
                    </w:rPr>
                    <w:t>、危废委托处置。</w:t>
                  </w:r>
                </w:p>
              </w:tc>
              <w:tc>
                <w:tcPr>
                  <w:tcW w:w="1057" w:type="pct"/>
                  <w:noWrap w:val="0"/>
                  <w:vAlign w:val="center"/>
                </w:tcPr>
                <w:p w14:paraId="6A44C069">
                  <w:pPr>
                    <w:pStyle w:val="35"/>
                    <w:bidi w:val="0"/>
                    <w:rPr>
                      <w:rFonts w:hint="default" w:ascii="Calibri" w:hAnsi="Calibri" w:cs="Calibri"/>
                      <w:color w:val="auto"/>
                      <w:lang w:val="en-US" w:eastAsia="zh-CN"/>
                    </w:rPr>
                  </w:pPr>
                  <w:r>
                    <w:rPr>
                      <w:rFonts w:hint="default" w:ascii="Calibri" w:hAnsi="Calibri" w:cs="Calibri"/>
                      <w:color w:val="auto"/>
                      <w:lang w:val="en-US" w:eastAsia="zh-CN"/>
                    </w:rPr>
                    <w:t>4</w:t>
                  </w:r>
                </w:p>
              </w:tc>
            </w:tr>
            <w:tr w14:paraId="0E6C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69" w:hRule="atLeast"/>
                <w:jc w:val="center"/>
              </w:trPr>
              <w:tc>
                <w:tcPr>
                  <w:tcW w:w="297" w:type="pct"/>
                  <w:noWrap w:val="0"/>
                  <w:vAlign w:val="center"/>
                </w:tcPr>
                <w:p w14:paraId="0603C1CC">
                  <w:pPr>
                    <w:pStyle w:val="35"/>
                    <w:bidi w:val="0"/>
                    <w:rPr>
                      <w:rFonts w:hint="default" w:ascii="Calibri" w:hAnsi="Calibri" w:eastAsia="宋体" w:cs="Calibri"/>
                      <w:color w:val="auto"/>
                      <w:lang w:val="en-US" w:eastAsia="zh-CN"/>
                    </w:rPr>
                  </w:pPr>
                  <w:r>
                    <w:rPr>
                      <w:rFonts w:hint="default" w:ascii="Calibri" w:hAnsi="Calibri" w:cs="Calibri"/>
                      <w:color w:val="auto"/>
                      <w:lang w:val="en-US" w:eastAsia="zh-CN"/>
                    </w:rPr>
                    <w:t>6</w:t>
                  </w:r>
                </w:p>
              </w:tc>
              <w:tc>
                <w:tcPr>
                  <w:tcW w:w="890" w:type="pct"/>
                  <w:noWrap w:val="0"/>
                  <w:vAlign w:val="center"/>
                </w:tcPr>
                <w:p w14:paraId="19E6001D">
                  <w:pPr>
                    <w:pStyle w:val="35"/>
                    <w:bidi w:val="0"/>
                    <w:rPr>
                      <w:rFonts w:hint="default" w:ascii="Calibri" w:hAnsi="Calibri" w:cs="Calibri"/>
                      <w:color w:val="auto"/>
                      <w:lang w:val="en-US" w:eastAsia="zh-CN"/>
                    </w:rPr>
                  </w:pPr>
                  <w:r>
                    <w:rPr>
                      <w:rFonts w:hint="default" w:ascii="Calibri" w:hAnsi="Calibri" w:cs="Calibri"/>
                      <w:color w:val="auto"/>
                      <w:lang w:val="en-US" w:eastAsia="zh-CN"/>
                    </w:rPr>
                    <w:t>其他环保手续办理、环保监测</w:t>
                  </w:r>
                </w:p>
              </w:tc>
              <w:tc>
                <w:tcPr>
                  <w:tcW w:w="2754" w:type="pct"/>
                  <w:noWrap w:val="0"/>
                  <w:vAlign w:val="center"/>
                </w:tcPr>
                <w:p w14:paraId="357C85A5">
                  <w:pPr>
                    <w:pStyle w:val="35"/>
                    <w:bidi w:val="0"/>
                    <w:rPr>
                      <w:rFonts w:hint="default" w:ascii="Calibri" w:hAnsi="Calibri" w:cs="Calibri"/>
                      <w:color w:val="auto"/>
                      <w:lang w:val="en-US" w:eastAsia="zh-CN"/>
                    </w:rPr>
                  </w:pPr>
                  <w:r>
                    <w:rPr>
                      <w:rFonts w:hint="eastAsia" w:ascii="Calibri" w:hAnsi="Calibri" w:cs="Calibri"/>
                      <w:color w:val="auto"/>
                      <w:lang w:val="en-US" w:eastAsia="zh-CN"/>
                    </w:rPr>
                    <w:t>环评手续办理、</w:t>
                  </w:r>
                  <w:r>
                    <w:rPr>
                      <w:rFonts w:hint="default" w:ascii="Calibri" w:hAnsi="Calibri" w:cs="Calibri"/>
                      <w:color w:val="auto"/>
                      <w:lang w:val="en-US" w:eastAsia="zh-CN"/>
                    </w:rPr>
                    <w:t>项目竣工环境保护验收、水土保持、环境定期监测</w:t>
                  </w:r>
                </w:p>
              </w:tc>
              <w:tc>
                <w:tcPr>
                  <w:tcW w:w="1057" w:type="pct"/>
                  <w:noWrap w:val="0"/>
                  <w:vAlign w:val="center"/>
                </w:tcPr>
                <w:p w14:paraId="072A709E">
                  <w:pPr>
                    <w:pStyle w:val="35"/>
                    <w:bidi w:val="0"/>
                    <w:rPr>
                      <w:rFonts w:hint="default" w:ascii="Calibri" w:hAnsi="Calibri" w:cs="Calibri"/>
                      <w:color w:val="auto"/>
                      <w:lang w:val="en-US" w:eastAsia="zh-CN"/>
                    </w:rPr>
                  </w:pPr>
                  <w:r>
                    <w:rPr>
                      <w:rFonts w:hint="default" w:ascii="Calibri" w:hAnsi="Calibri" w:cs="Calibri"/>
                      <w:color w:val="auto"/>
                      <w:lang w:val="en-US" w:eastAsia="zh-CN"/>
                    </w:rPr>
                    <w:t>20</w:t>
                  </w:r>
                </w:p>
              </w:tc>
            </w:tr>
            <w:tr w14:paraId="45E3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942" w:type="pct"/>
                  <w:gridSpan w:val="3"/>
                  <w:noWrap w:val="0"/>
                  <w:vAlign w:val="center"/>
                </w:tcPr>
                <w:p w14:paraId="7F864145">
                  <w:pPr>
                    <w:pStyle w:val="35"/>
                    <w:bidi w:val="0"/>
                    <w:rPr>
                      <w:rFonts w:hint="default" w:ascii="Calibri" w:hAnsi="Calibri" w:cs="Calibri"/>
                      <w:color w:val="auto"/>
                    </w:rPr>
                  </w:pPr>
                  <w:r>
                    <w:rPr>
                      <w:rFonts w:hint="default" w:ascii="Calibri" w:hAnsi="Calibri" w:cs="Calibri"/>
                      <w:color w:val="auto"/>
                    </w:rPr>
                    <w:t>合计</w:t>
                  </w:r>
                </w:p>
              </w:tc>
              <w:tc>
                <w:tcPr>
                  <w:tcW w:w="1057" w:type="pct"/>
                  <w:noWrap w:val="0"/>
                  <w:vAlign w:val="center"/>
                </w:tcPr>
                <w:p w14:paraId="67EE7578">
                  <w:pPr>
                    <w:pStyle w:val="35"/>
                    <w:bidi w:val="0"/>
                    <w:rPr>
                      <w:rFonts w:hint="default" w:ascii="Calibri" w:hAnsi="Calibri" w:eastAsia="宋体" w:cs="Calibri"/>
                      <w:color w:val="auto"/>
                      <w:lang w:val="en-US" w:eastAsia="zh-CN"/>
                    </w:rPr>
                  </w:pPr>
                  <w:r>
                    <w:rPr>
                      <w:rFonts w:hint="default" w:ascii="Calibri" w:hAnsi="Calibri" w:cs="Calibri"/>
                      <w:color w:val="auto"/>
                      <w:lang w:val="en-US" w:eastAsia="zh-CN"/>
                    </w:rPr>
                    <w:t>199</w:t>
                  </w:r>
                </w:p>
              </w:tc>
            </w:tr>
          </w:tbl>
          <w:p w14:paraId="3B344FC9">
            <w:pPr>
              <w:keepNext w:val="0"/>
              <w:keepLines w:val="0"/>
              <w:pageBreakBefore w:val="0"/>
              <w:widowControl w:val="0"/>
              <w:kinsoku/>
              <w:wordWrap/>
              <w:overflowPunct/>
              <w:topLinePunct w:val="0"/>
              <w:autoSpaceDE/>
              <w:autoSpaceDN/>
              <w:bidi w:val="0"/>
              <w:adjustRightInd w:val="0"/>
              <w:snapToGrid w:val="0"/>
              <w:spacing w:line="520" w:lineRule="exact"/>
              <w:ind w:firstLine="520" w:firstLineChars="200"/>
              <w:textAlignment w:val="auto"/>
              <w:rPr>
                <w:rFonts w:ascii="宋体" w:hAnsi="宋体" w:cs="宋体"/>
                <w:bCs/>
                <w:color w:val="auto"/>
                <w:spacing w:val="10"/>
                <w:sz w:val="24"/>
                <w:szCs w:val="24"/>
              </w:rPr>
            </w:pPr>
          </w:p>
        </w:tc>
      </w:tr>
    </w:tbl>
    <w:p w14:paraId="1499947B">
      <w:pPr>
        <w:rPr>
          <w:color w:val="auto"/>
        </w:rPr>
        <w:sectPr>
          <w:pgSz w:w="11907" w:h="16840"/>
          <w:pgMar w:top="1440" w:right="1797" w:bottom="1440" w:left="1797" w:header="851" w:footer="1077" w:gutter="0"/>
          <w:pgBorders>
            <w:top w:val="none" w:sz="0" w:space="0"/>
            <w:left w:val="none" w:sz="0" w:space="0"/>
            <w:bottom w:val="none" w:sz="0" w:space="0"/>
            <w:right w:val="none" w:sz="0" w:space="0"/>
          </w:pgBorders>
          <w:pgNumType w:fmt="decimal"/>
          <w:cols w:space="425" w:num="1"/>
          <w:docGrid w:linePitch="312" w:charSpace="0"/>
        </w:sectPr>
      </w:pPr>
    </w:p>
    <w:p w14:paraId="269F558E">
      <w:pPr>
        <w:pStyle w:val="20"/>
        <w:jc w:val="center"/>
        <w:outlineLvl w:val="0"/>
        <w:rPr>
          <w:rFonts w:ascii="黑体" w:hAnsi="黑体" w:eastAsia="黑体"/>
          <w:snapToGrid w:val="0"/>
          <w:color w:val="auto"/>
          <w:sz w:val="30"/>
          <w:szCs w:val="30"/>
        </w:rPr>
      </w:pPr>
      <w:bookmarkStart w:id="23" w:name="_Toc26861"/>
      <w:bookmarkStart w:id="24" w:name="_Toc20456"/>
      <w:r>
        <w:rPr>
          <w:rFonts w:hint="eastAsia" w:ascii="黑体" w:hAnsi="黑体" w:eastAsia="黑体"/>
          <w:snapToGrid w:val="0"/>
          <w:color w:val="auto"/>
          <w:sz w:val="30"/>
          <w:szCs w:val="30"/>
        </w:rPr>
        <w:t>六、生态环境保护措施监督检查清单</w:t>
      </w:r>
      <w:bookmarkEnd w:id="23"/>
      <w:bookmarkEnd w:id="24"/>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2170"/>
        <w:gridCol w:w="2115"/>
        <w:gridCol w:w="2115"/>
        <w:gridCol w:w="2044"/>
      </w:tblGrid>
      <w:tr w14:paraId="64416D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41" w:type="pct"/>
            <w:vMerge w:val="restart"/>
            <w:tcBorders>
              <w:tl2br w:val="single" w:color="auto" w:sz="4" w:space="0"/>
            </w:tcBorders>
            <w:noWrap w:val="0"/>
            <w:vAlign w:val="top"/>
          </w:tcPr>
          <w:p w14:paraId="63224C17">
            <w:pPr>
              <w:pStyle w:val="20"/>
              <w:adjustRightInd w:val="0"/>
              <w:snapToGrid w:val="0"/>
              <w:spacing w:before="72" w:beforeLines="30" w:beforeAutospacing="0" w:after="0" w:afterAutospacing="0"/>
              <w:jc w:val="center"/>
              <w:outlineLvl w:val="0"/>
              <w:rPr>
                <w:rFonts w:hint="default" w:ascii="Calibri" w:hAnsi="Calibri" w:eastAsia="宋体" w:cs="Calibri"/>
                <w:color w:val="auto"/>
                <w:kern w:val="2"/>
                <w:sz w:val="21"/>
                <w:szCs w:val="21"/>
              </w:rPr>
            </w:pPr>
            <w:r>
              <w:rPr>
                <w:rFonts w:hint="default" w:ascii="Calibri" w:hAnsi="Calibri" w:eastAsia="宋体" w:cs="Calibri"/>
                <w:color w:val="auto"/>
                <w:kern w:val="2"/>
                <w:sz w:val="21"/>
                <w:szCs w:val="21"/>
              </w:rPr>
              <w:t xml:space="preserve"> </w:t>
            </w:r>
            <w:r>
              <w:rPr>
                <w:rFonts w:hint="default" w:ascii="Calibri" w:hAnsi="Calibri" w:cs="Calibri"/>
                <w:color w:val="auto"/>
                <w:kern w:val="2"/>
                <w:sz w:val="21"/>
                <w:szCs w:val="21"/>
                <w:lang w:val="en-US" w:eastAsia="zh-CN"/>
              </w:rPr>
              <w:t>内    容</w:t>
            </w:r>
            <w:r>
              <w:rPr>
                <w:rFonts w:hint="default" w:ascii="Calibri" w:hAnsi="Calibri" w:eastAsia="宋体" w:cs="Calibri"/>
                <w:color w:val="auto"/>
                <w:kern w:val="2"/>
                <w:sz w:val="21"/>
                <w:szCs w:val="21"/>
              </w:rPr>
              <w:t xml:space="preserve">      </w:t>
            </w:r>
          </w:p>
          <w:p w14:paraId="6F3B7582">
            <w:pPr>
              <w:pStyle w:val="20"/>
              <w:adjustRightInd w:val="0"/>
              <w:snapToGrid w:val="0"/>
              <w:spacing w:before="72" w:beforeLines="30" w:beforeAutospacing="0" w:after="0" w:afterAutospacing="0"/>
              <w:jc w:val="center"/>
              <w:outlineLvl w:val="0"/>
              <w:rPr>
                <w:rFonts w:hint="default" w:ascii="Calibri" w:hAnsi="Calibri" w:eastAsia="宋体" w:cs="Calibri"/>
                <w:color w:val="auto"/>
                <w:kern w:val="2"/>
                <w:sz w:val="21"/>
                <w:szCs w:val="21"/>
              </w:rPr>
            </w:pPr>
            <w:r>
              <w:rPr>
                <w:rFonts w:hint="default" w:ascii="Calibri" w:hAnsi="Calibri" w:eastAsia="宋体" w:cs="Calibri"/>
                <w:color w:val="auto"/>
                <w:kern w:val="2"/>
                <w:sz w:val="21"/>
                <w:szCs w:val="21"/>
              </w:rPr>
              <w:t xml:space="preserve">             </w:t>
            </w:r>
            <w:bookmarkStart w:id="25" w:name="_Toc6954"/>
            <w:bookmarkStart w:id="26" w:name="_Toc29310"/>
            <w:bookmarkStart w:id="27" w:name="_Toc25979"/>
            <w:r>
              <w:rPr>
                <w:rFonts w:hint="default" w:ascii="Calibri" w:hAnsi="Calibri" w:cs="Calibri"/>
                <w:color w:val="auto"/>
                <w:kern w:val="2"/>
                <w:sz w:val="21"/>
                <w:szCs w:val="21"/>
                <w:lang w:val="en-US" w:eastAsia="zh-CN"/>
              </w:rPr>
              <w:t xml:space="preserve">   </w:t>
            </w:r>
            <w:bookmarkEnd w:id="25"/>
            <w:bookmarkEnd w:id="26"/>
            <w:bookmarkEnd w:id="27"/>
          </w:p>
          <w:p w14:paraId="0073F1EC">
            <w:pPr>
              <w:pStyle w:val="20"/>
              <w:adjustRightInd w:val="0"/>
              <w:snapToGrid w:val="0"/>
              <w:spacing w:before="0" w:beforeAutospacing="0" w:after="0" w:afterAutospacing="0" w:line="14" w:lineRule="auto"/>
              <w:outlineLvl w:val="0"/>
              <w:rPr>
                <w:rFonts w:hint="default" w:ascii="Calibri" w:hAnsi="Calibri" w:eastAsia="宋体" w:cs="Calibri"/>
                <w:color w:val="auto"/>
                <w:kern w:val="2"/>
                <w:sz w:val="21"/>
                <w:szCs w:val="21"/>
              </w:rPr>
            </w:pPr>
            <w:r>
              <w:rPr>
                <w:rFonts w:hint="default" w:ascii="Calibri" w:hAnsi="Calibri" w:eastAsia="宋体" w:cs="Calibri"/>
                <w:color w:val="auto"/>
                <w:kern w:val="2"/>
                <w:sz w:val="21"/>
                <w:szCs w:val="21"/>
              </w:rPr>
              <w:t xml:space="preserve">  </w:t>
            </w:r>
          </w:p>
          <w:p w14:paraId="197F3C7D">
            <w:pPr>
              <w:pStyle w:val="20"/>
              <w:adjustRightInd w:val="0"/>
              <w:snapToGrid w:val="0"/>
              <w:spacing w:before="0" w:beforeAutospacing="0" w:after="0" w:afterAutospacing="0"/>
              <w:outlineLvl w:val="0"/>
              <w:rPr>
                <w:rFonts w:hint="default" w:ascii="Calibri" w:hAnsi="Calibri" w:eastAsia="宋体" w:cs="Calibri"/>
                <w:color w:val="auto"/>
                <w:kern w:val="2"/>
                <w:sz w:val="21"/>
                <w:szCs w:val="21"/>
              </w:rPr>
            </w:pPr>
            <w:bookmarkStart w:id="28" w:name="_Toc26147"/>
            <w:bookmarkStart w:id="29" w:name="_Toc5119"/>
            <w:bookmarkStart w:id="30" w:name="_Toc8973"/>
            <w:r>
              <w:rPr>
                <w:rFonts w:hint="default" w:ascii="Calibri" w:hAnsi="Calibri" w:eastAsia="宋体" w:cs="Calibri"/>
                <w:color w:val="auto"/>
                <w:kern w:val="2"/>
                <w:sz w:val="21"/>
                <w:szCs w:val="21"/>
              </w:rPr>
              <w:t>要素</w:t>
            </w:r>
            <w:bookmarkEnd w:id="28"/>
            <w:bookmarkEnd w:id="29"/>
            <w:bookmarkEnd w:id="30"/>
          </w:p>
        </w:tc>
        <w:tc>
          <w:tcPr>
            <w:tcW w:w="2364" w:type="pct"/>
            <w:gridSpan w:val="2"/>
            <w:noWrap w:val="0"/>
            <w:vAlign w:val="center"/>
          </w:tcPr>
          <w:p w14:paraId="0AFA2414">
            <w:pPr>
              <w:pStyle w:val="20"/>
              <w:adjustRightInd w:val="0"/>
              <w:snapToGrid w:val="0"/>
              <w:spacing w:before="0" w:beforeAutospacing="0" w:after="0" w:afterAutospacing="0"/>
              <w:jc w:val="center"/>
              <w:outlineLvl w:val="0"/>
              <w:rPr>
                <w:rFonts w:hint="default" w:ascii="Calibri" w:hAnsi="Calibri" w:eastAsia="宋体" w:cs="Calibri"/>
                <w:color w:val="auto"/>
                <w:kern w:val="2"/>
                <w:sz w:val="21"/>
                <w:szCs w:val="21"/>
              </w:rPr>
            </w:pPr>
            <w:bookmarkStart w:id="31" w:name="_Toc18056"/>
            <w:bookmarkStart w:id="32" w:name="_Toc27840"/>
            <w:bookmarkStart w:id="33" w:name="_Toc1066"/>
            <w:r>
              <w:rPr>
                <w:rFonts w:hint="default" w:ascii="Calibri" w:hAnsi="Calibri" w:eastAsia="宋体" w:cs="Calibri"/>
                <w:color w:val="auto"/>
                <w:kern w:val="2"/>
                <w:sz w:val="21"/>
                <w:szCs w:val="21"/>
              </w:rPr>
              <w:t>施工期</w:t>
            </w:r>
            <w:bookmarkEnd w:id="31"/>
            <w:bookmarkEnd w:id="32"/>
            <w:bookmarkEnd w:id="33"/>
          </w:p>
        </w:tc>
        <w:tc>
          <w:tcPr>
            <w:tcW w:w="2293" w:type="pct"/>
            <w:gridSpan w:val="2"/>
            <w:noWrap w:val="0"/>
            <w:vAlign w:val="center"/>
          </w:tcPr>
          <w:p w14:paraId="488D8DDD">
            <w:pPr>
              <w:pStyle w:val="20"/>
              <w:adjustRightInd w:val="0"/>
              <w:snapToGrid w:val="0"/>
              <w:spacing w:before="0" w:beforeAutospacing="0" w:after="0" w:afterAutospacing="0"/>
              <w:jc w:val="center"/>
              <w:outlineLvl w:val="0"/>
              <w:rPr>
                <w:rFonts w:hint="default" w:ascii="Calibri" w:hAnsi="Calibri" w:eastAsia="宋体" w:cs="Calibri"/>
                <w:color w:val="auto"/>
                <w:kern w:val="2"/>
                <w:sz w:val="21"/>
                <w:szCs w:val="21"/>
              </w:rPr>
            </w:pPr>
            <w:bookmarkStart w:id="34" w:name="_Toc17347"/>
            <w:bookmarkStart w:id="35" w:name="_Toc23986"/>
            <w:bookmarkStart w:id="36" w:name="_Toc9678"/>
            <w:r>
              <w:rPr>
                <w:rFonts w:hint="default" w:ascii="Calibri" w:hAnsi="Calibri" w:eastAsia="宋体" w:cs="Calibri"/>
                <w:color w:val="auto"/>
                <w:kern w:val="2"/>
                <w:sz w:val="21"/>
                <w:szCs w:val="21"/>
              </w:rPr>
              <w:t>运营期</w:t>
            </w:r>
            <w:bookmarkEnd w:id="34"/>
            <w:bookmarkEnd w:id="35"/>
            <w:bookmarkEnd w:id="36"/>
          </w:p>
        </w:tc>
      </w:tr>
      <w:tr w14:paraId="46082D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41" w:type="pct"/>
            <w:vMerge w:val="continue"/>
            <w:noWrap w:val="0"/>
            <w:vAlign w:val="top"/>
          </w:tcPr>
          <w:p w14:paraId="2625156D">
            <w:pPr>
              <w:pStyle w:val="20"/>
              <w:adjustRightInd w:val="0"/>
              <w:snapToGrid w:val="0"/>
              <w:spacing w:before="0" w:beforeAutospacing="0" w:after="0" w:afterAutospacing="0"/>
              <w:ind w:firstLine="840"/>
              <w:jc w:val="center"/>
              <w:outlineLvl w:val="0"/>
              <w:rPr>
                <w:rFonts w:hint="default" w:ascii="Calibri" w:hAnsi="Calibri" w:eastAsia="宋体" w:cs="Calibri"/>
                <w:color w:val="auto"/>
                <w:kern w:val="2"/>
                <w:sz w:val="21"/>
                <w:szCs w:val="21"/>
              </w:rPr>
            </w:pPr>
          </w:p>
        </w:tc>
        <w:tc>
          <w:tcPr>
            <w:tcW w:w="1201" w:type="pct"/>
            <w:noWrap w:val="0"/>
            <w:vAlign w:val="center"/>
          </w:tcPr>
          <w:p w14:paraId="43B87E3F">
            <w:pPr>
              <w:pStyle w:val="20"/>
              <w:adjustRightInd w:val="0"/>
              <w:snapToGrid w:val="0"/>
              <w:spacing w:before="0" w:beforeAutospacing="0" w:after="0" w:afterAutospacing="0"/>
              <w:jc w:val="center"/>
              <w:outlineLvl w:val="0"/>
              <w:rPr>
                <w:rFonts w:hint="default" w:ascii="Calibri" w:hAnsi="Calibri" w:eastAsia="宋体" w:cs="Calibri"/>
                <w:color w:val="auto"/>
                <w:kern w:val="2"/>
                <w:sz w:val="21"/>
                <w:szCs w:val="21"/>
              </w:rPr>
            </w:pPr>
            <w:bookmarkStart w:id="37" w:name="_Toc25845"/>
            <w:bookmarkStart w:id="38" w:name="_Toc12106"/>
            <w:bookmarkStart w:id="39" w:name="_Toc12373"/>
            <w:r>
              <w:rPr>
                <w:rFonts w:hint="default" w:ascii="Calibri" w:hAnsi="Calibri" w:eastAsia="宋体" w:cs="Calibri"/>
                <w:color w:val="auto"/>
                <w:kern w:val="2"/>
                <w:sz w:val="21"/>
                <w:szCs w:val="21"/>
              </w:rPr>
              <w:t>环境保护措施</w:t>
            </w:r>
            <w:bookmarkEnd w:id="37"/>
            <w:bookmarkEnd w:id="38"/>
            <w:bookmarkEnd w:id="39"/>
          </w:p>
        </w:tc>
        <w:tc>
          <w:tcPr>
            <w:tcW w:w="1162" w:type="pct"/>
            <w:noWrap w:val="0"/>
            <w:vAlign w:val="center"/>
          </w:tcPr>
          <w:p w14:paraId="5F9A3ABD">
            <w:pPr>
              <w:pStyle w:val="20"/>
              <w:adjustRightInd w:val="0"/>
              <w:snapToGrid w:val="0"/>
              <w:spacing w:before="0" w:beforeAutospacing="0" w:after="0" w:afterAutospacing="0"/>
              <w:jc w:val="center"/>
              <w:outlineLvl w:val="0"/>
              <w:rPr>
                <w:rFonts w:hint="default" w:ascii="Calibri" w:hAnsi="Calibri" w:eastAsia="宋体" w:cs="Calibri"/>
                <w:color w:val="auto"/>
                <w:kern w:val="2"/>
                <w:sz w:val="21"/>
                <w:szCs w:val="21"/>
              </w:rPr>
            </w:pPr>
            <w:bookmarkStart w:id="40" w:name="_Toc18312"/>
            <w:bookmarkStart w:id="41" w:name="_Toc20384"/>
            <w:bookmarkStart w:id="42" w:name="_Toc5499"/>
            <w:r>
              <w:rPr>
                <w:rFonts w:hint="default" w:ascii="Calibri" w:hAnsi="Calibri" w:eastAsia="宋体" w:cs="Calibri"/>
                <w:color w:val="auto"/>
                <w:kern w:val="2"/>
                <w:sz w:val="21"/>
                <w:szCs w:val="21"/>
              </w:rPr>
              <w:t>验收要求</w:t>
            </w:r>
            <w:bookmarkEnd w:id="40"/>
            <w:bookmarkEnd w:id="41"/>
            <w:bookmarkEnd w:id="42"/>
          </w:p>
        </w:tc>
        <w:tc>
          <w:tcPr>
            <w:tcW w:w="1162" w:type="pct"/>
            <w:noWrap w:val="0"/>
            <w:vAlign w:val="center"/>
          </w:tcPr>
          <w:p w14:paraId="0A977344">
            <w:pPr>
              <w:pStyle w:val="20"/>
              <w:adjustRightInd w:val="0"/>
              <w:snapToGrid w:val="0"/>
              <w:spacing w:before="0" w:beforeAutospacing="0" w:after="0" w:afterAutospacing="0"/>
              <w:jc w:val="center"/>
              <w:outlineLvl w:val="0"/>
              <w:rPr>
                <w:rFonts w:hint="default" w:ascii="Calibri" w:hAnsi="Calibri" w:eastAsia="宋体" w:cs="Calibri"/>
                <w:color w:val="auto"/>
                <w:kern w:val="2"/>
                <w:sz w:val="21"/>
                <w:szCs w:val="21"/>
              </w:rPr>
            </w:pPr>
            <w:bookmarkStart w:id="43" w:name="_Toc23278"/>
            <w:bookmarkStart w:id="44" w:name="_Toc9830"/>
            <w:bookmarkStart w:id="45" w:name="_Toc24626"/>
            <w:r>
              <w:rPr>
                <w:rFonts w:hint="default" w:ascii="Calibri" w:hAnsi="Calibri" w:eastAsia="宋体" w:cs="Calibri"/>
                <w:color w:val="auto"/>
                <w:kern w:val="2"/>
                <w:sz w:val="21"/>
                <w:szCs w:val="21"/>
              </w:rPr>
              <w:t>环境保护措施</w:t>
            </w:r>
            <w:bookmarkEnd w:id="43"/>
            <w:bookmarkEnd w:id="44"/>
            <w:bookmarkEnd w:id="45"/>
          </w:p>
        </w:tc>
        <w:tc>
          <w:tcPr>
            <w:tcW w:w="1130" w:type="pct"/>
            <w:noWrap w:val="0"/>
            <w:vAlign w:val="center"/>
          </w:tcPr>
          <w:p w14:paraId="350C5F6D">
            <w:pPr>
              <w:pStyle w:val="20"/>
              <w:adjustRightInd w:val="0"/>
              <w:snapToGrid w:val="0"/>
              <w:spacing w:before="0" w:beforeAutospacing="0" w:after="0" w:afterAutospacing="0"/>
              <w:jc w:val="center"/>
              <w:outlineLvl w:val="0"/>
              <w:rPr>
                <w:rFonts w:hint="default" w:ascii="Calibri" w:hAnsi="Calibri" w:eastAsia="宋体" w:cs="Calibri"/>
                <w:color w:val="auto"/>
                <w:kern w:val="2"/>
                <w:sz w:val="21"/>
                <w:szCs w:val="21"/>
              </w:rPr>
            </w:pPr>
            <w:bookmarkStart w:id="46" w:name="_Toc12223"/>
            <w:bookmarkStart w:id="47" w:name="_Toc8685"/>
            <w:bookmarkStart w:id="48" w:name="_Toc17105"/>
            <w:r>
              <w:rPr>
                <w:rFonts w:hint="default" w:ascii="Calibri" w:hAnsi="Calibri" w:eastAsia="宋体" w:cs="Calibri"/>
                <w:color w:val="auto"/>
                <w:kern w:val="2"/>
                <w:sz w:val="21"/>
                <w:szCs w:val="21"/>
              </w:rPr>
              <w:t>验收要求</w:t>
            </w:r>
            <w:bookmarkEnd w:id="46"/>
            <w:bookmarkEnd w:id="47"/>
            <w:bookmarkEnd w:id="48"/>
          </w:p>
        </w:tc>
      </w:tr>
      <w:tr w14:paraId="7536E9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41" w:type="pct"/>
            <w:noWrap w:val="0"/>
            <w:vAlign w:val="center"/>
          </w:tcPr>
          <w:p w14:paraId="733B3BB1">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rPr>
              <w:t>陆生生态</w:t>
            </w:r>
          </w:p>
        </w:tc>
        <w:tc>
          <w:tcPr>
            <w:tcW w:w="1201" w:type="pct"/>
            <w:noWrap w:val="0"/>
            <w:vAlign w:val="center"/>
          </w:tcPr>
          <w:p w14:paraId="2F92A993">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尽量减少占地范围，减少扰动面积，作业区四周设置彩带控制作业范围；做好表土剥离，分类存放和回填利用；减少地表开挖裸露时间，对牵张场等临时占地区域，施工结束后清理平整，对扰动区域适当洒水增湿</w:t>
            </w:r>
            <w:r>
              <w:rPr>
                <w:rFonts w:hint="default" w:ascii="Calibri" w:hAnsi="Calibri" w:eastAsia="宋体" w:cs="Calibri"/>
                <w:color w:val="auto"/>
                <w:sz w:val="21"/>
                <w:szCs w:val="21"/>
                <w:lang w:eastAsia="zh-CN"/>
              </w:rPr>
              <w:t>。</w:t>
            </w:r>
          </w:p>
        </w:tc>
        <w:tc>
          <w:tcPr>
            <w:tcW w:w="1162" w:type="pct"/>
            <w:noWrap w:val="0"/>
            <w:vAlign w:val="center"/>
          </w:tcPr>
          <w:p w14:paraId="5D12F88B">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施工临时占地采取平整。</w:t>
            </w:r>
          </w:p>
        </w:tc>
        <w:tc>
          <w:tcPr>
            <w:tcW w:w="1162" w:type="pct"/>
            <w:noWrap w:val="0"/>
            <w:vAlign w:val="center"/>
          </w:tcPr>
          <w:p w14:paraId="3149CBFC">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输电线路塔基处采取土地平整、压实结皮，塔杆四周巡检。</w:t>
            </w:r>
          </w:p>
        </w:tc>
        <w:tc>
          <w:tcPr>
            <w:tcW w:w="1130" w:type="pct"/>
            <w:noWrap w:val="0"/>
            <w:vAlign w:val="center"/>
          </w:tcPr>
          <w:p w14:paraId="2036A024">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输电线路塔基处采取土地平整，压实结皮，不新设巡检道路。</w:t>
            </w:r>
          </w:p>
        </w:tc>
      </w:tr>
      <w:tr w14:paraId="1D5BF7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41" w:type="pct"/>
            <w:noWrap w:val="0"/>
            <w:vAlign w:val="center"/>
          </w:tcPr>
          <w:p w14:paraId="2E8EC91D">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rPr>
              <w:t>水生生态</w:t>
            </w:r>
          </w:p>
        </w:tc>
        <w:tc>
          <w:tcPr>
            <w:tcW w:w="1201" w:type="pct"/>
            <w:noWrap w:val="0"/>
            <w:vAlign w:val="center"/>
          </w:tcPr>
          <w:p w14:paraId="5D03E1E8">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rPr>
              <w:t>施工场地、塔基远离水体。</w:t>
            </w:r>
          </w:p>
        </w:tc>
        <w:tc>
          <w:tcPr>
            <w:tcW w:w="1162" w:type="pct"/>
            <w:noWrap w:val="0"/>
            <w:vAlign w:val="center"/>
          </w:tcPr>
          <w:p w14:paraId="33737E24">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rPr>
              <w:t>施工场地、塔基设置远离水体，施工阶段未向水体排放污水、倾倒垃圾等。</w:t>
            </w:r>
          </w:p>
        </w:tc>
        <w:tc>
          <w:tcPr>
            <w:tcW w:w="1162" w:type="pct"/>
            <w:noWrap w:val="0"/>
            <w:vAlign w:val="center"/>
          </w:tcPr>
          <w:p w14:paraId="3681AA85">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c>
          <w:tcPr>
            <w:tcW w:w="1130" w:type="pct"/>
            <w:noWrap w:val="0"/>
            <w:vAlign w:val="center"/>
          </w:tcPr>
          <w:p w14:paraId="42827353">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r>
      <w:tr w14:paraId="5A242E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41" w:type="pct"/>
            <w:noWrap w:val="0"/>
            <w:vAlign w:val="center"/>
          </w:tcPr>
          <w:p w14:paraId="08D76003">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rPr>
              <w:t>地表水环境</w:t>
            </w:r>
          </w:p>
        </w:tc>
        <w:tc>
          <w:tcPr>
            <w:tcW w:w="1201" w:type="pct"/>
            <w:noWrap w:val="0"/>
            <w:vAlign w:val="center"/>
          </w:tcPr>
          <w:p w14:paraId="7C966FDE">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kern w:val="2"/>
                <w:sz w:val="21"/>
                <w:szCs w:val="21"/>
                <w:highlight w:val="none"/>
                <w:lang w:val="en-US" w:eastAsia="zh-CN" w:bidi="ar-SA"/>
              </w:rPr>
              <w:t>一体化污水处理设施（处理能力</w:t>
            </w:r>
            <w:r>
              <w:rPr>
                <w:rFonts w:hint="eastAsia" w:ascii="Calibri" w:hAnsi="Calibri" w:cs="Calibri"/>
                <w:color w:val="auto"/>
                <w:kern w:val="2"/>
                <w:sz w:val="21"/>
                <w:szCs w:val="21"/>
                <w:highlight w:val="none"/>
                <w:lang w:val="en-US" w:eastAsia="zh-CN" w:bidi="ar-SA"/>
              </w:rPr>
              <w:t>3</w:t>
            </w:r>
            <w:r>
              <w:rPr>
                <w:rFonts w:hint="default" w:ascii="Calibri" w:hAnsi="Calibri" w:eastAsia="宋体" w:cs="Calibri"/>
                <w:color w:val="auto"/>
                <w:kern w:val="2"/>
                <w:sz w:val="21"/>
                <w:szCs w:val="21"/>
                <w:highlight w:val="none"/>
                <w:lang w:val="en-US" w:eastAsia="zh-CN" w:bidi="ar-SA"/>
              </w:rPr>
              <w:t>m³/</w:t>
            </w:r>
            <w:r>
              <w:rPr>
                <w:rFonts w:hint="eastAsia" w:ascii="Calibri" w:hAnsi="Calibri" w:cs="Calibri"/>
                <w:color w:val="auto"/>
                <w:kern w:val="2"/>
                <w:sz w:val="21"/>
                <w:szCs w:val="21"/>
                <w:highlight w:val="none"/>
                <w:lang w:val="en-US" w:eastAsia="zh-CN" w:bidi="ar-SA"/>
              </w:rPr>
              <w:t>d</w:t>
            </w:r>
            <w:r>
              <w:rPr>
                <w:rFonts w:hint="default" w:ascii="Calibri" w:hAnsi="Calibri" w:eastAsia="宋体" w:cs="Calibri"/>
                <w:color w:val="auto"/>
                <w:kern w:val="2"/>
                <w:sz w:val="21"/>
                <w:szCs w:val="21"/>
                <w:highlight w:val="none"/>
                <w:lang w:val="en-US" w:eastAsia="zh-CN" w:bidi="ar-SA"/>
              </w:rPr>
              <w:t>，容积</w:t>
            </w:r>
            <w:r>
              <w:rPr>
                <w:rFonts w:hint="eastAsia" w:ascii="Calibri" w:hAnsi="Calibri" w:cs="Calibri"/>
                <w:color w:val="auto"/>
                <w:kern w:val="2"/>
                <w:sz w:val="21"/>
                <w:szCs w:val="21"/>
                <w:highlight w:val="none"/>
                <w:lang w:val="en-US" w:eastAsia="zh-CN" w:bidi="ar-SA"/>
              </w:rPr>
              <w:t>2</w:t>
            </w:r>
            <w:r>
              <w:rPr>
                <w:rFonts w:hint="default" w:ascii="Calibri" w:hAnsi="Calibri" w:eastAsia="宋体" w:cs="Calibri"/>
                <w:color w:val="auto"/>
                <w:kern w:val="2"/>
                <w:sz w:val="21"/>
                <w:szCs w:val="21"/>
                <w:highlight w:val="none"/>
                <w:lang w:val="en-US" w:eastAsia="zh-CN" w:bidi="ar-SA"/>
              </w:rPr>
              <w:t>0m³）</w:t>
            </w:r>
          </w:p>
        </w:tc>
        <w:tc>
          <w:tcPr>
            <w:tcW w:w="1162" w:type="pct"/>
            <w:noWrap w:val="0"/>
            <w:vAlign w:val="center"/>
          </w:tcPr>
          <w:p w14:paraId="7C39CA77">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lang w:val="en-US"/>
              </w:rPr>
            </w:pPr>
            <w:r>
              <w:rPr>
                <w:rFonts w:hint="default" w:ascii="Calibri" w:hAnsi="Calibri" w:eastAsia="宋体" w:cs="Calibri"/>
                <w:color w:val="auto"/>
                <w:sz w:val="21"/>
                <w:szCs w:val="21"/>
                <w:lang w:val="en-US" w:eastAsia="zh-CN"/>
              </w:rPr>
              <w:t>施工营地无遗留废水。</w:t>
            </w:r>
            <w:r>
              <w:rPr>
                <w:rFonts w:hint="default" w:ascii="Calibri" w:hAnsi="Calibri" w:cs="Calibri"/>
                <w:color w:val="auto"/>
                <w:sz w:val="21"/>
                <w:szCs w:val="21"/>
                <w:lang w:val="en-US" w:eastAsia="zh-CN"/>
              </w:rPr>
              <w:t>临建工程拆除。</w:t>
            </w:r>
          </w:p>
        </w:tc>
        <w:tc>
          <w:tcPr>
            <w:tcW w:w="1162" w:type="pct"/>
            <w:noWrap w:val="0"/>
            <w:vAlign w:val="center"/>
          </w:tcPr>
          <w:p w14:paraId="32499F1C">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c>
          <w:tcPr>
            <w:tcW w:w="1130" w:type="pct"/>
            <w:noWrap w:val="0"/>
            <w:vAlign w:val="center"/>
          </w:tcPr>
          <w:p w14:paraId="130B1A3E">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r>
      <w:tr w14:paraId="73C567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41" w:type="pct"/>
            <w:noWrap w:val="0"/>
            <w:vAlign w:val="center"/>
          </w:tcPr>
          <w:p w14:paraId="6E8D74AE">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rPr>
              <w:t>地下水及土壤环境</w:t>
            </w:r>
          </w:p>
        </w:tc>
        <w:tc>
          <w:tcPr>
            <w:tcW w:w="1201" w:type="pct"/>
            <w:noWrap w:val="0"/>
            <w:vAlign w:val="center"/>
          </w:tcPr>
          <w:p w14:paraId="7764C05F">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c>
          <w:tcPr>
            <w:tcW w:w="1162" w:type="pct"/>
            <w:noWrap w:val="0"/>
            <w:vAlign w:val="center"/>
          </w:tcPr>
          <w:p w14:paraId="6662BAC8">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c>
          <w:tcPr>
            <w:tcW w:w="1162" w:type="pct"/>
            <w:noWrap w:val="0"/>
            <w:vAlign w:val="center"/>
          </w:tcPr>
          <w:p w14:paraId="19F36D0E">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c>
          <w:tcPr>
            <w:tcW w:w="1130" w:type="pct"/>
            <w:noWrap w:val="0"/>
            <w:vAlign w:val="center"/>
          </w:tcPr>
          <w:p w14:paraId="2C602D86">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r>
      <w:tr w14:paraId="1DFF60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41" w:type="pct"/>
            <w:noWrap w:val="0"/>
            <w:vAlign w:val="center"/>
          </w:tcPr>
          <w:p w14:paraId="5A752374">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rPr>
              <w:t>声环境</w:t>
            </w:r>
          </w:p>
        </w:tc>
        <w:tc>
          <w:tcPr>
            <w:tcW w:w="1201" w:type="pct"/>
            <w:noWrap w:val="0"/>
            <w:vAlign w:val="center"/>
          </w:tcPr>
          <w:p w14:paraId="628FC60C">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采用噪声较低的生产设备，并加强</w:t>
            </w:r>
            <w:r>
              <w:rPr>
                <w:rFonts w:hint="default" w:ascii="Calibri" w:hAnsi="Calibri" w:eastAsia="宋体" w:cs="Calibri"/>
                <w:color w:val="auto"/>
                <w:sz w:val="21"/>
                <w:szCs w:val="21"/>
                <w:lang w:eastAsia="zh-CN"/>
              </w:rPr>
              <w:t>维护</w:t>
            </w:r>
            <w:r>
              <w:rPr>
                <w:rFonts w:hint="default" w:ascii="Calibri" w:hAnsi="Calibri" w:eastAsia="宋体" w:cs="Calibri"/>
                <w:color w:val="auto"/>
                <w:sz w:val="21"/>
                <w:szCs w:val="21"/>
              </w:rPr>
              <w:t>保养，避免深夜运输，禁止夜间高噪声施工等</w:t>
            </w:r>
            <w:r>
              <w:rPr>
                <w:rFonts w:hint="default" w:ascii="Calibri" w:hAnsi="Calibri" w:eastAsia="宋体" w:cs="Calibri"/>
                <w:color w:val="auto"/>
                <w:sz w:val="21"/>
                <w:szCs w:val="21"/>
                <w:lang w:eastAsia="zh-CN"/>
              </w:rPr>
              <w:t>。</w:t>
            </w:r>
          </w:p>
        </w:tc>
        <w:tc>
          <w:tcPr>
            <w:tcW w:w="1162" w:type="pct"/>
            <w:noWrap w:val="0"/>
            <w:vAlign w:val="center"/>
          </w:tcPr>
          <w:p w14:paraId="1FDF3B7F">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满足《建筑施工场界环境噪声排放标准》（GB12523-2011）</w:t>
            </w:r>
            <w:r>
              <w:rPr>
                <w:rFonts w:hint="default" w:ascii="Calibri" w:hAnsi="Calibri" w:eastAsia="宋体" w:cs="Calibri"/>
                <w:color w:val="auto"/>
                <w:sz w:val="21"/>
                <w:szCs w:val="21"/>
                <w:lang w:eastAsia="zh-CN"/>
              </w:rPr>
              <w:t>。</w:t>
            </w:r>
          </w:p>
        </w:tc>
        <w:tc>
          <w:tcPr>
            <w:tcW w:w="1162" w:type="pct"/>
            <w:noWrap w:val="0"/>
            <w:vAlign w:val="center"/>
          </w:tcPr>
          <w:p w14:paraId="39A1308C">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c>
          <w:tcPr>
            <w:tcW w:w="1130" w:type="pct"/>
            <w:noWrap w:val="0"/>
            <w:vAlign w:val="center"/>
          </w:tcPr>
          <w:p w14:paraId="13F133E0">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lang w:val="en-US" w:eastAsia="zh-CN"/>
              </w:rPr>
            </w:pPr>
            <w:r>
              <w:rPr>
                <w:rFonts w:hint="default" w:ascii="Calibri" w:hAnsi="Calibri" w:cs="Calibri"/>
                <w:color w:val="auto"/>
                <w:spacing w:val="-14"/>
                <w:sz w:val="21"/>
                <w:szCs w:val="21"/>
                <w:highlight w:val="none"/>
                <w:lang w:val="en-US" w:eastAsia="zh-CN"/>
              </w:rPr>
              <w:t>输变电线路执行《声环境质量标准》（GB3096-2008）2类标准</w:t>
            </w:r>
            <w:r>
              <w:rPr>
                <w:rFonts w:hint="default" w:ascii="Calibri" w:hAnsi="Calibri" w:eastAsia="宋体" w:cs="Calibri"/>
                <w:color w:val="auto"/>
                <w:spacing w:val="-14"/>
                <w:sz w:val="21"/>
                <w:szCs w:val="21"/>
                <w:highlight w:val="none"/>
                <w:lang w:val="en-US" w:eastAsia="zh-CN"/>
              </w:rPr>
              <w:t>；变电站执行《工业企业厂界环境噪声排放标准》</w:t>
            </w:r>
            <w:r>
              <w:rPr>
                <w:rFonts w:hint="eastAsia" w:ascii="Calibri" w:hAnsi="Calibri" w:cs="Calibri"/>
                <w:color w:val="auto"/>
                <w:spacing w:val="-14"/>
                <w:sz w:val="21"/>
                <w:szCs w:val="21"/>
                <w:highlight w:val="none"/>
                <w:lang w:val="en-US" w:eastAsia="zh-CN"/>
              </w:rPr>
              <w:t>（</w:t>
            </w:r>
            <w:r>
              <w:rPr>
                <w:rFonts w:hint="default" w:ascii="Calibri" w:hAnsi="Calibri" w:eastAsia="宋体" w:cs="Calibri"/>
                <w:color w:val="auto"/>
                <w:spacing w:val="-14"/>
                <w:sz w:val="21"/>
                <w:szCs w:val="21"/>
                <w:highlight w:val="none"/>
                <w:lang w:val="en-US" w:eastAsia="zh-CN"/>
              </w:rPr>
              <w:t>GB12348-2008)</w:t>
            </w:r>
            <w:r>
              <w:rPr>
                <w:rFonts w:hint="default" w:ascii="Calibri" w:hAnsi="Calibri" w:cs="Calibri"/>
                <w:color w:val="auto"/>
                <w:spacing w:val="-14"/>
                <w:sz w:val="21"/>
                <w:szCs w:val="21"/>
                <w:highlight w:val="none"/>
                <w:lang w:val="en-US" w:eastAsia="zh-CN"/>
              </w:rPr>
              <w:t>2</w:t>
            </w:r>
            <w:r>
              <w:rPr>
                <w:rFonts w:hint="default" w:ascii="Calibri" w:hAnsi="Calibri" w:eastAsia="宋体" w:cs="Calibri"/>
                <w:color w:val="auto"/>
                <w:spacing w:val="-14"/>
                <w:sz w:val="21"/>
                <w:szCs w:val="21"/>
                <w:highlight w:val="none"/>
                <w:lang w:val="en-US" w:eastAsia="zh-CN"/>
              </w:rPr>
              <w:t>类标准。</w:t>
            </w:r>
          </w:p>
        </w:tc>
      </w:tr>
      <w:tr w14:paraId="4AF14F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41" w:type="pct"/>
            <w:noWrap w:val="0"/>
            <w:vAlign w:val="center"/>
          </w:tcPr>
          <w:p w14:paraId="2139490F">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rPr>
              <w:t>振动</w:t>
            </w:r>
          </w:p>
        </w:tc>
        <w:tc>
          <w:tcPr>
            <w:tcW w:w="1201" w:type="pct"/>
            <w:noWrap w:val="0"/>
            <w:vAlign w:val="center"/>
          </w:tcPr>
          <w:p w14:paraId="7276D3F4">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c>
          <w:tcPr>
            <w:tcW w:w="1162" w:type="pct"/>
            <w:noWrap w:val="0"/>
            <w:vAlign w:val="center"/>
          </w:tcPr>
          <w:p w14:paraId="2E488028">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c>
          <w:tcPr>
            <w:tcW w:w="1162" w:type="pct"/>
            <w:noWrap w:val="0"/>
            <w:vAlign w:val="center"/>
          </w:tcPr>
          <w:p w14:paraId="48377D44">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c>
          <w:tcPr>
            <w:tcW w:w="1130" w:type="pct"/>
            <w:noWrap w:val="0"/>
            <w:vAlign w:val="center"/>
          </w:tcPr>
          <w:p w14:paraId="6F8CE286">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r>
      <w:tr w14:paraId="418040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41" w:type="pct"/>
            <w:noWrap w:val="0"/>
            <w:vAlign w:val="center"/>
          </w:tcPr>
          <w:p w14:paraId="1B42F0AD">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rPr>
              <w:t>大气环境</w:t>
            </w:r>
          </w:p>
        </w:tc>
        <w:tc>
          <w:tcPr>
            <w:tcW w:w="1201" w:type="pct"/>
            <w:noWrap w:val="0"/>
            <w:vAlign w:val="center"/>
          </w:tcPr>
          <w:p w14:paraId="475078EB">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施工设置挡风墙、物料苫盖，加强运输车辆管理，如限载、限速，对道路进行洒水降尘</w:t>
            </w:r>
            <w:r>
              <w:rPr>
                <w:rFonts w:hint="default" w:ascii="Calibri" w:hAnsi="Calibri" w:eastAsia="宋体" w:cs="Calibri"/>
                <w:color w:val="auto"/>
                <w:sz w:val="21"/>
                <w:szCs w:val="21"/>
                <w:lang w:eastAsia="zh-CN"/>
              </w:rPr>
              <w:t>。</w:t>
            </w:r>
          </w:p>
        </w:tc>
        <w:tc>
          <w:tcPr>
            <w:tcW w:w="1162" w:type="pct"/>
            <w:noWrap w:val="0"/>
            <w:vAlign w:val="center"/>
          </w:tcPr>
          <w:p w14:paraId="7DB9E379">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lang w:eastAsia="zh-CN"/>
              </w:rPr>
            </w:pPr>
            <w:r>
              <w:rPr>
                <w:rFonts w:hint="default" w:ascii="Calibri" w:hAnsi="Calibri" w:eastAsia="宋体" w:cs="Calibri"/>
                <w:color w:val="auto"/>
                <w:sz w:val="21"/>
                <w:szCs w:val="21"/>
              </w:rPr>
              <w:t>执行《大气污染物综合排放标准》（GB16297-1996）表2中的二级标准</w:t>
            </w:r>
            <w:r>
              <w:rPr>
                <w:rFonts w:hint="default" w:ascii="Calibri" w:hAnsi="Calibri" w:eastAsia="宋体" w:cs="Calibri"/>
                <w:color w:val="auto"/>
                <w:sz w:val="21"/>
                <w:szCs w:val="21"/>
                <w:lang w:eastAsia="zh-CN"/>
              </w:rPr>
              <w:t>。</w:t>
            </w:r>
          </w:p>
        </w:tc>
        <w:tc>
          <w:tcPr>
            <w:tcW w:w="1162" w:type="pct"/>
            <w:noWrap w:val="0"/>
            <w:vAlign w:val="center"/>
          </w:tcPr>
          <w:p w14:paraId="0F2CC771">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c>
          <w:tcPr>
            <w:tcW w:w="1130" w:type="pct"/>
            <w:noWrap w:val="0"/>
            <w:vAlign w:val="center"/>
          </w:tcPr>
          <w:p w14:paraId="0C1DA82A">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r>
      <w:tr w14:paraId="6201CE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41" w:type="pct"/>
            <w:noWrap w:val="0"/>
            <w:vAlign w:val="center"/>
          </w:tcPr>
          <w:p w14:paraId="4DD39EE3">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rPr>
              <w:t>固体废物</w:t>
            </w:r>
          </w:p>
        </w:tc>
        <w:tc>
          <w:tcPr>
            <w:tcW w:w="1201" w:type="pct"/>
            <w:noWrap w:val="0"/>
            <w:vAlign w:val="center"/>
          </w:tcPr>
          <w:p w14:paraId="720488EF">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收集后按环卫部门规定清运至指定地点处理。运输需加盖篷布，禁超载，防散落。</w:t>
            </w:r>
          </w:p>
        </w:tc>
        <w:tc>
          <w:tcPr>
            <w:tcW w:w="1162" w:type="pct"/>
            <w:noWrap w:val="0"/>
            <w:vAlign w:val="center"/>
          </w:tcPr>
          <w:p w14:paraId="07483956">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妥善处置。</w:t>
            </w:r>
          </w:p>
        </w:tc>
        <w:tc>
          <w:tcPr>
            <w:tcW w:w="1162" w:type="pct"/>
            <w:noWrap w:val="0"/>
            <w:vAlign w:val="center"/>
          </w:tcPr>
          <w:p w14:paraId="7C766095">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lang w:val="en-US"/>
              </w:rPr>
            </w:pPr>
            <w:r>
              <w:rPr>
                <w:rFonts w:hint="default" w:ascii="Calibri" w:hAnsi="Calibri" w:cs="Calibri"/>
                <w:color w:val="auto"/>
                <w:kern w:val="0"/>
                <w:sz w:val="21"/>
                <w:szCs w:val="21"/>
                <w:lang w:val="en-US" w:eastAsia="zh-CN" w:bidi="ar-SA"/>
              </w:rPr>
              <w:t>事故油池及危险废物贮存库</w:t>
            </w:r>
            <w:r>
              <w:rPr>
                <w:rFonts w:hint="default" w:ascii="Calibri" w:hAnsi="Calibri" w:eastAsia="宋体" w:cs="Calibri"/>
                <w:color w:val="auto"/>
                <w:kern w:val="0"/>
                <w:sz w:val="21"/>
                <w:szCs w:val="21"/>
                <w:lang w:val="en-US" w:eastAsia="zh-CN" w:bidi="ar-SA"/>
              </w:rPr>
              <w:t>应进行基础防渗，防渗层为至少1m厚黏土层</w:t>
            </w:r>
            <w:r>
              <w:rPr>
                <w:rFonts w:hint="eastAsia" w:ascii="Calibri" w:hAnsi="Calibri" w:cs="Calibri"/>
                <w:color w:val="auto"/>
                <w:kern w:val="0"/>
                <w:sz w:val="21"/>
                <w:szCs w:val="21"/>
                <w:lang w:val="en-US" w:eastAsia="zh-CN" w:bidi="ar-SA"/>
              </w:rPr>
              <w:t>（</w:t>
            </w:r>
            <w:r>
              <w:rPr>
                <w:rFonts w:hint="default" w:ascii="Calibri" w:hAnsi="Calibri" w:eastAsia="宋体" w:cs="Calibri"/>
                <w:color w:val="auto"/>
                <w:kern w:val="0"/>
                <w:sz w:val="21"/>
                <w:szCs w:val="21"/>
                <w:lang w:val="en-US" w:eastAsia="zh-CN" w:bidi="ar-SA"/>
              </w:rPr>
              <w:t>渗透系数不大于10</w:t>
            </w:r>
            <w:r>
              <w:rPr>
                <w:rFonts w:hint="eastAsia" w:ascii="Calibri" w:hAnsi="Calibri" w:cs="Calibri"/>
                <w:color w:val="auto"/>
                <w:sz w:val="21"/>
                <w:szCs w:val="21"/>
                <w:vertAlign w:val="superscript"/>
                <w:lang w:eastAsia="zh-CN"/>
              </w:rPr>
              <w:t>-</w:t>
            </w:r>
            <w:r>
              <w:rPr>
                <w:rFonts w:hint="default" w:ascii="Calibri" w:hAnsi="Calibri" w:cs="Calibri"/>
                <w:color w:val="auto"/>
                <w:kern w:val="0"/>
                <w:sz w:val="21"/>
                <w:szCs w:val="21"/>
                <w:vertAlign w:val="superscript"/>
                <w:lang w:val="en-US" w:eastAsia="zh-CN" w:bidi="ar-SA"/>
              </w:rPr>
              <w:t>7</w:t>
            </w:r>
            <w:r>
              <w:rPr>
                <w:rFonts w:hint="default" w:ascii="Calibri" w:hAnsi="Calibri" w:eastAsia="宋体" w:cs="Calibri"/>
                <w:color w:val="auto"/>
                <w:kern w:val="0"/>
                <w:sz w:val="21"/>
                <w:szCs w:val="21"/>
                <w:lang w:val="en-US" w:eastAsia="zh-CN" w:bidi="ar-SA"/>
              </w:rPr>
              <w:t>cm</w:t>
            </w:r>
            <w:r>
              <w:rPr>
                <w:rFonts w:hint="default" w:ascii="Calibri" w:hAnsi="Calibri" w:cs="Calibri"/>
                <w:color w:val="auto"/>
                <w:kern w:val="0"/>
                <w:sz w:val="21"/>
                <w:szCs w:val="21"/>
                <w:lang w:val="en-US" w:eastAsia="zh-CN" w:bidi="ar-SA"/>
              </w:rPr>
              <w:t>/</w:t>
            </w:r>
            <w:r>
              <w:rPr>
                <w:rFonts w:hint="default" w:ascii="Calibri" w:hAnsi="Calibri" w:eastAsia="宋体" w:cs="Calibri"/>
                <w:color w:val="auto"/>
                <w:kern w:val="0"/>
                <w:sz w:val="21"/>
                <w:szCs w:val="21"/>
                <w:lang w:val="en-US" w:eastAsia="zh-CN" w:bidi="ar-SA"/>
              </w:rPr>
              <w:t>s</w:t>
            </w:r>
            <w:r>
              <w:rPr>
                <w:rFonts w:hint="eastAsia" w:ascii="Calibri" w:hAnsi="Calibri" w:cs="Calibri"/>
                <w:color w:val="auto"/>
                <w:kern w:val="0"/>
                <w:sz w:val="21"/>
                <w:szCs w:val="21"/>
                <w:lang w:val="en-US" w:eastAsia="zh-CN" w:bidi="ar-SA"/>
              </w:rPr>
              <w:t>）</w:t>
            </w:r>
            <w:r>
              <w:rPr>
                <w:rFonts w:hint="default" w:ascii="Calibri" w:hAnsi="Calibri" w:eastAsia="宋体" w:cs="Calibri"/>
                <w:color w:val="auto"/>
                <w:kern w:val="0"/>
                <w:sz w:val="21"/>
                <w:szCs w:val="21"/>
                <w:lang w:val="en-US" w:eastAsia="zh-CN" w:bidi="ar-SA"/>
              </w:rPr>
              <w:t>，或至少2mm厚高密度聚乙烯膜等人工防渗材料</w:t>
            </w:r>
            <w:r>
              <w:rPr>
                <w:rFonts w:hint="eastAsia" w:ascii="Calibri" w:hAnsi="Calibri" w:cs="Calibri"/>
                <w:color w:val="auto"/>
                <w:kern w:val="0"/>
                <w:sz w:val="21"/>
                <w:szCs w:val="21"/>
                <w:lang w:val="en-US" w:eastAsia="zh-CN" w:bidi="ar-SA"/>
              </w:rPr>
              <w:t>（</w:t>
            </w:r>
            <w:r>
              <w:rPr>
                <w:rFonts w:hint="default" w:ascii="Calibri" w:hAnsi="Calibri" w:eastAsia="宋体" w:cs="Calibri"/>
                <w:color w:val="auto"/>
                <w:kern w:val="0"/>
                <w:sz w:val="21"/>
                <w:szCs w:val="21"/>
                <w:lang w:val="en-US" w:eastAsia="zh-CN" w:bidi="ar-SA"/>
              </w:rPr>
              <w:t>透系数不大于10</w:t>
            </w:r>
            <w:r>
              <w:rPr>
                <w:rFonts w:hint="eastAsia" w:ascii="Calibri" w:hAnsi="Calibri" w:cs="Calibri"/>
                <w:color w:val="auto"/>
                <w:sz w:val="21"/>
                <w:szCs w:val="21"/>
                <w:vertAlign w:val="superscript"/>
                <w:lang w:eastAsia="zh-CN"/>
              </w:rPr>
              <w:t>-</w:t>
            </w:r>
            <w:r>
              <w:rPr>
                <w:rFonts w:hint="default" w:ascii="Calibri" w:hAnsi="Calibri" w:eastAsia="宋体" w:cs="Calibri"/>
                <w:color w:val="auto"/>
                <w:kern w:val="0"/>
                <w:sz w:val="21"/>
                <w:szCs w:val="21"/>
                <w:vertAlign w:val="superscript"/>
                <w:lang w:val="en-US" w:eastAsia="zh-CN" w:bidi="ar-SA"/>
              </w:rPr>
              <w:t>10</w:t>
            </w:r>
            <w:r>
              <w:rPr>
                <w:rFonts w:hint="default" w:ascii="Calibri" w:hAnsi="Calibri" w:eastAsia="宋体" w:cs="Calibri"/>
                <w:color w:val="auto"/>
                <w:kern w:val="0"/>
                <w:sz w:val="21"/>
                <w:szCs w:val="21"/>
                <w:lang w:val="en-US" w:eastAsia="zh-CN" w:bidi="ar-SA"/>
              </w:rPr>
              <w:t>cm</w:t>
            </w:r>
            <w:r>
              <w:rPr>
                <w:rFonts w:hint="default" w:ascii="Calibri" w:hAnsi="Calibri" w:cs="Calibri"/>
                <w:color w:val="auto"/>
                <w:kern w:val="0"/>
                <w:sz w:val="21"/>
                <w:szCs w:val="21"/>
                <w:lang w:val="en-US" w:eastAsia="zh-CN" w:bidi="ar-SA"/>
              </w:rPr>
              <w:t>/</w:t>
            </w:r>
            <w:r>
              <w:rPr>
                <w:rFonts w:hint="default" w:ascii="Calibri" w:hAnsi="Calibri" w:eastAsia="宋体" w:cs="Calibri"/>
                <w:color w:val="auto"/>
                <w:kern w:val="0"/>
                <w:sz w:val="21"/>
                <w:szCs w:val="21"/>
                <w:lang w:val="en-US" w:eastAsia="zh-CN" w:bidi="ar-SA"/>
              </w:rPr>
              <w:t>s</w:t>
            </w:r>
            <w:r>
              <w:rPr>
                <w:rFonts w:hint="eastAsia" w:ascii="Calibri" w:hAnsi="Calibri" w:cs="Calibri"/>
                <w:color w:val="auto"/>
                <w:kern w:val="0"/>
                <w:sz w:val="21"/>
                <w:szCs w:val="21"/>
                <w:lang w:val="en-US" w:eastAsia="zh-CN" w:bidi="ar-SA"/>
              </w:rPr>
              <w:t>）</w:t>
            </w:r>
            <w:r>
              <w:rPr>
                <w:rFonts w:hint="default" w:ascii="Calibri" w:hAnsi="Calibri" w:eastAsia="宋体" w:cs="Calibri"/>
                <w:color w:val="auto"/>
                <w:sz w:val="21"/>
                <w:szCs w:val="21"/>
              </w:rPr>
              <w:t>，综合防渗措施能满足《危险废物贮存污染控制标准》（GB18597-20</w:t>
            </w:r>
            <w:r>
              <w:rPr>
                <w:rFonts w:hint="default" w:ascii="Calibri" w:hAnsi="Calibri" w:cs="Calibri"/>
                <w:color w:val="auto"/>
                <w:sz w:val="21"/>
                <w:szCs w:val="21"/>
                <w:lang w:val="en-US" w:eastAsia="zh-CN"/>
              </w:rPr>
              <w:t>23</w:t>
            </w:r>
            <w:r>
              <w:rPr>
                <w:rFonts w:hint="default" w:ascii="Calibri" w:hAnsi="Calibri" w:eastAsia="宋体" w:cs="Calibri"/>
                <w:color w:val="auto"/>
                <w:sz w:val="21"/>
                <w:szCs w:val="21"/>
              </w:rPr>
              <w:t>）。</w:t>
            </w:r>
            <w:r>
              <w:rPr>
                <w:rFonts w:hint="eastAsia" w:ascii="Calibri" w:hAnsi="Calibri" w:cs="Calibri"/>
                <w:color w:val="auto"/>
                <w:sz w:val="21"/>
                <w:szCs w:val="21"/>
                <w:lang w:val="en-US" w:eastAsia="zh-CN"/>
              </w:rPr>
              <w:t>废变压器油</w:t>
            </w:r>
            <w:r>
              <w:rPr>
                <w:rFonts w:hint="default" w:ascii="Calibri" w:hAnsi="Calibri" w:cs="Calibri"/>
                <w:color w:val="auto"/>
                <w:sz w:val="21"/>
                <w:szCs w:val="21"/>
                <w:lang w:val="en-US" w:eastAsia="zh-CN"/>
              </w:rPr>
              <w:t>、</w:t>
            </w:r>
            <w:r>
              <w:rPr>
                <w:rFonts w:hint="eastAsia" w:ascii="Calibri" w:hAnsi="Calibri" w:cs="Calibri"/>
                <w:color w:val="auto"/>
                <w:sz w:val="21"/>
                <w:szCs w:val="21"/>
                <w:lang w:eastAsia="zh-CN"/>
              </w:rPr>
              <w:t>废铅酸蓄电池</w:t>
            </w:r>
            <w:r>
              <w:rPr>
                <w:rFonts w:hint="default" w:ascii="Calibri" w:hAnsi="Calibri" w:cs="Calibri"/>
                <w:color w:val="auto"/>
                <w:sz w:val="21"/>
                <w:szCs w:val="21"/>
              </w:rPr>
              <w:t>由有资质单位回收处理。</w:t>
            </w:r>
          </w:p>
        </w:tc>
        <w:tc>
          <w:tcPr>
            <w:tcW w:w="1130" w:type="pct"/>
            <w:noWrap w:val="0"/>
            <w:vAlign w:val="center"/>
          </w:tcPr>
          <w:p w14:paraId="49C87637">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cs="Calibri"/>
                <w:color w:val="auto"/>
                <w:sz w:val="21"/>
                <w:szCs w:val="21"/>
                <w:highlight w:val="none"/>
                <w:lang w:val="en-US" w:eastAsia="zh-CN"/>
              </w:rPr>
              <w:t>固废得到妥善处理，不会对周边环境造成危害。</w:t>
            </w:r>
          </w:p>
        </w:tc>
      </w:tr>
      <w:tr w14:paraId="7035B4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41" w:type="pct"/>
            <w:noWrap w:val="0"/>
            <w:vAlign w:val="center"/>
          </w:tcPr>
          <w:p w14:paraId="1DC2ED0E">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rPr>
              <w:t>电磁环境</w:t>
            </w:r>
          </w:p>
        </w:tc>
        <w:tc>
          <w:tcPr>
            <w:tcW w:w="1201" w:type="pct"/>
            <w:noWrap w:val="0"/>
            <w:vAlign w:val="center"/>
          </w:tcPr>
          <w:p w14:paraId="151E0329">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c>
          <w:tcPr>
            <w:tcW w:w="1162" w:type="pct"/>
            <w:noWrap w:val="0"/>
            <w:vAlign w:val="center"/>
          </w:tcPr>
          <w:p w14:paraId="4F6E7967">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c>
          <w:tcPr>
            <w:tcW w:w="1162" w:type="pct"/>
            <w:noWrap w:val="0"/>
            <w:vAlign w:val="center"/>
          </w:tcPr>
          <w:p w14:paraId="63D7DC45">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选用优质设备及配件；做好警示和防护指示标志。</w:t>
            </w:r>
          </w:p>
        </w:tc>
        <w:tc>
          <w:tcPr>
            <w:tcW w:w="1130" w:type="pct"/>
            <w:noWrap w:val="0"/>
            <w:vAlign w:val="center"/>
          </w:tcPr>
          <w:p w14:paraId="2F040886">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根据《电磁环境控制限值》（GB8702-2014），50Hz频率下，环境中工频电场强度的公众曝露控制限值为4kV/m，工频磁感应强度的公众曝露控制限值为100μT</w:t>
            </w:r>
            <w:r>
              <w:rPr>
                <w:rFonts w:hint="default" w:ascii="Calibri" w:hAnsi="Calibri" w:cs="Calibri"/>
                <w:color w:val="auto"/>
                <w:sz w:val="21"/>
                <w:szCs w:val="21"/>
                <w:lang w:val="en-US" w:eastAsia="zh-CN"/>
              </w:rPr>
              <w:t>，磁场强度80A/m</w:t>
            </w:r>
            <w:r>
              <w:rPr>
                <w:rFonts w:hint="default" w:ascii="Calibri" w:hAnsi="Calibri" w:eastAsia="宋体" w:cs="Calibri"/>
                <w:color w:val="auto"/>
                <w:sz w:val="21"/>
                <w:szCs w:val="21"/>
                <w:lang w:val="en-US" w:eastAsia="zh-CN"/>
              </w:rPr>
              <w:t>；架空输电线路线下的耕地、园地、牧草地、畜禽饲养地、养殖水面、道路等场所，其频率50Hz的电场强度控制限值为10kV/m，且应给出警示和防护指示标志。</w:t>
            </w:r>
          </w:p>
        </w:tc>
      </w:tr>
      <w:tr w14:paraId="3D532C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41" w:type="pct"/>
            <w:noWrap w:val="0"/>
            <w:vAlign w:val="center"/>
          </w:tcPr>
          <w:p w14:paraId="235E6DA1">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rPr>
              <w:t>环境风险</w:t>
            </w:r>
          </w:p>
        </w:tc>
        <w:tc>
          <w:tcPr>
            <w:tcW w:w="1201" w:type="pct"/>
            <w:noWrap w:val="0"/>
            <w:vAlign w:val="center"/>
          </w:tcPr>
          <w:p w14:paraId="0968B6E4">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c>
          <w:tcPr>
            <w:tcW w:w="1162" w:type="pct"/>
            <w:noWrap w:val="0"/>
            <w:vAlign w:val="center"/>
          </w:tcPr>
          <w:p w14:paraId="34C2C2E4">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c>
          <w:tcPr>
            <w:tcW w:w="2293" w:type="pct"/>
            <w:gridSpan w:val="2"/>
            <w:noWrap w:val="0"/>
            <w:vAlign w:val="center"/>
          </w:tcPr>
          <w:p w14:paraId="4826AC55">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做好环境保护设施的维护和运行管理，加强巡查和检查。</w:t>
            </w:r>
          </w:p>
        </w:tc>
      </w:tr>
      <w:tr w14:paraId="12AB4E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41" w:type="pct"/>
            <w:noWrap w:val="0"/>
            <w:vAlign w:val="center"/>
          </w:tcPr>
          <w:p w14:paraId="3F9EBBDC">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rPr>
              <w:t>环境监测</w:t>
            </w:r>
          </w:p>
        </w:tc>
        <w:tc>
          <w:tcPr>
            <w:tcW w:w="1201" w:type="pct"/>
            <w:noWrap w:val="0"/>
            <w:vAlign w:val="center"/>
          </w:tcPr>
          <w:p w14:paraId="040B746E">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c>
          <w:tcPr>
            <w:tcW w:w="1162" w:type="pct"/>
            <w:noWrap w:val="0"/>
            <w:vAlign w:val="center"/>
          </w:tcPr>
          <w:p w14:paraId="7E4CB8E3">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c>
          <w:tcPr>
            <w:tcW w:w="2293" w:type="pct"/>
            <w:gridSpan w:val="2"/>
            <w:noWrap w:val="0"/>
            <w:vAlign w:val="center"/>
          </w:tcPr>
          <w:p w14:paraId="605FCBB6">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建设项目环保竣工验收监测一次，变电站主要声源大修前后开展噪声监测</w:t>
            </w:r>
            <w:r>
              <w:rPr>
                <w:rFonts w:hint="default" w:ascii="Calibri" w:hAnsi="Calibri" w:cs="Calibri"/>
                <w:color w:val="auto"/>
                <w:sz w:val="21"/>
                <w:szCs w:val="21"/>
                <w:lang w:val="en-US" w:eastAsia="zh-CN"/>
              </w:rPr>
              <w:t>，</w:t>
            </w:r>
            <w:r>
              <w:rPr>
                <w:rFonts w:hint="default" w:ascii="Calibri" w:hAnsi="Calibri" w:eastAsia="宋体" w:cs="Calibri"/>
                <w:color w:val="auto"/>
                <w:sz w:val="21"/>
                <w:szCs w:val="21"/>
                <w:lang w:val="en-US" w:eastAsia="zh-CN"/>
              </w:rPr>
              <w:t>建设单位组织开展定期监测，监测记录完整。</w:t>
            </w:r>
          </w:p>
        </w:tc>
      </w:tr>
      <w:tr w14:paraId="5D837F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41" w:type="pct"/>
            <w:noWrap w:val="0"/>
            <w:vAlign w:val="center"/>
          </w:tcPr>
          <w:p w14:paraId="0B2E6B9D">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rPr>
              <w:t>其他</w:t>
            </w:r>
          </w:p>
        </w:tc>
        <w:tc>
          <w:tcPr>
            <w:tcW w:w="1201" w:type="pct"/>
            <w:noWrap w:val="0"/>
            <w:vAlign w:val="center"/>
          </w:tcPr>
          <w:p w14:paraId="04243277">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c>
          <w:tcPr>
            <w:tcW w:w="1162" w:type="pct"/>
            <w:noWrap w:val="0"/>
            <w:vAlign w:val="center"/>
          </w:tcPr>
          <w:p w14:paraId="28EAF2DA">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c>
          <w:tcPr>
            <w:tcW w:w="1162" w:type="pct"/>
            <w:noWrap w:val="0"/>
            <w:vAlign w:val="center"/>
          </w:tcPr>
          <w:p w14:paraId="752A79C6">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c>
          <w:tcPr>
            <w:tcW w:w="1130" w:type="pct"/>
            <w:noWrap w:val="0"/>
            <w:vAlign w:val="center"/>
          </w:tcPr>
          <w:p w14:paraId="5254EF8D">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w:t>
            </w:r>
          </w:p>
        </w:tc>
      </w:tr>
    </w:tbl>
    <w:p w14:paraId="4BAC00E9">
      <w:pPr>
        <w:pStyle w:val="20"/>
        <w:jc w:val="center"/>
        <w:outlineLvl w:val="0"/>
        <w:rPr>
          <w:rFonts w:ascii="黑体" w:hAnsi="黑体" w:eastAsia="黑体"/>
          <w:snapToGrid w:val="0"/>
          <w:color w:val="auto"/>
          <w:sz w:val="30"/>
          <w:szCs w:val="30"/>
        </w:rPr>
      </w:pPr>
    </w:p>
    <w:p w14:paraId="3C7774ED">
      <w:pPr>
        <w:pStyle w:val="20"/>
        <w:spacing w:before="0" w:beforeAutospacing="0" w:line="14" w:lineRule="auto"/>
        <w:jc w:val="center"/>
        <w:outlineLvl w:val="0"/>
        <w:rPr>
          <w:rFonts w:hint="eastAsia" w:ascii="黑体" w:hAnsi="黑体" w:eastAsia="黑体"/>
          <w:snapToGrid w:val="0"/>
          <w:color w:val="auto"/>
          <w:sz w:val="30"/>
          <w:szCs w:val="30"/>
        </w:rPr>
      </w:pPr>
      <w:r>
        <w:rPr>
          <w:rFonts w:ascii="黑体" w:hAnsi="黑体" w:eastAsia="黑体"/>
          <w:snapToGrid w:val="0"/>
          <w:color w:val="auto"/>
          <w:sz w:val="30"/>
          <w:szCs w:val="30"/>
        </w:rPr>
        <w:br w:type="page"/>
      </w:r>
    </w:p>
    <w:p w14:paraId="2CFDB313">
      <w:pPr>
        <w:pStyle w:val="20"/>
        <w:spacing w:before="192" w:beforeLines="80" w:beforeAutospacing="0"/>
        <w:jc w:val="center"/>
        <w:outlineLvl w:val="0"/>
        <w:rPr>
          <w:rFonts w:ascii="黑体" w:hAnsi="黑体" w:eastAsia="黑体"/>
          <w:snapToGrid w:val="0"/>
          <w:color w:val="auto"/>
          <w:sz w:val="30"/>
          <w:szCs w:val="30"/>
        </w:rPr>
      </w:pPr>
      <w:bookmarkStart w:id="49" w:name="_Toc27091"/>
      <w:bookmarkStart w:id="50" w:name="_Toc27287"/>
      <w:r>
        <w:rPr>
          <w:rFonts w:hint="eastAsia" w:ascii="黑体" w:hAnsi="黑体" w:eastAsia="黑体"/>
          <w:snapToGrid w:val="0"/>
          <w:color w:val="auto"/>
          <w:sz w:val="30"/>
          <w:szCs w:val="30"/>
        </w:rPr>
        <w:t>七、结论</w:t>
      </w:r>
      <w:bookmarkEnd w:id="49"/>
      <w:bookmarkEnd w:id="50"/>
    </w:p>
    <w:tbl>
      <w:tblPr>
        <w:tblStyle w:val="22"/>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4189BA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noWrap w:val="0"/>
            <w:vAlign w:val="center"/>
          </w:tcPr>
          <w:p w14:paraId="44AE972C">
            <w:pPr>
              <w:pStyle w:val="10"/>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项目建设符合国家产业政策及相关规划要求，选址、选线合理，项目周边无明显环境制约因素，本项目符合所在区域“三线一单”管控要求。在严格落实本次环评提出的环保措施的前提下，施工期和运行期排放的各类污染物对区域环境影响不大，生态环境影响可接受。因此，本项目的建设从环保角度上分析是可行的。</w:t>
            </w:r>
          </w:p>
          <w:p w14:paraId="484AE7A4">
            <w:pPr>
              <w:pStyle w:val="11"/>
              <w:rPr>
                <w:rFonts w:hint="eastAsia" w:ascii="宋体" w:hAnsi="宋体" w:eastAsia="宋体" w:cs="宋体"/>
                <w:color w:val="auto"/>
                <w:sz w:val="24"/>
                <w:szCs w:val="24"/>
                <w:lang w:val="en-US" w:eastAsia="zh-CN"/>
              </w:rPr>
            </w:pPr>
          </w:p>
          <w:p w14:paraId="2E55BED4">
            <w:pPr>
              <w:rPr>
                <w:rFonts w:hint="eastAsia" w:ascii="宋体" w:hAnsi="宋体" w:eastAsia="宋体" w:cs="宋体"/>
                <w:color w:val="auto"/>
                <w:sz w:val="24"/>
                <w:szCs w:val="24"/>
                <w:lang w:val="en-US" w:eastAsia="zh-CN"/>
              </w:rPr>
            </w:pPr>
          </w:p>
          <w:p w14:paraId="77E5371A">
            <w:pPr>
              <w:pStyle w:val="18"/>
              <w:rPr>
                <w:rFonts w:hint="eastAsia" w:ascii="宋体" w:hAnsi="宋体" w:eastAsia="宋体" w:cs="宋体"/>
                <w:color w:val="auto"/>
                <w:sz w:val="24"/>
                <w:szCs w:val="24"/>
                <w:lang w:val="en-US" w:eastAsia="zh-CN"/>
              </w:rPr>
            </w:pPr>
          </w:p>
          <w:p w14:paraId="2A86BF37">
            <w:pPr>
              <w:pStyle w:val="18"/>
              <w:rPr>
                <w:rFonts w:hint="eastAsia" w:ascii="宋体" w:hAnsi="宋体" w:eastAsia="宋体" w:cs="宋体"/>
                <w:color w:val="auto"/>
                <w:sz w:val="24"/>
                <w:szCs w:val="24"/>
                <w:lang w:val="en-US" w:eastAsia="zh-CN"/>
              </w:rPr>
            </w:pPr>
          </w:p>
          <w:p w14:paraId="74742E4D">
            <w:pPr>
              <w:pStyle w:val="18"/>
              <w:rPr>
                <w:rFonts w:hint="eastAsia" w:ascii="宋体" w:hAnsi="宋体" w:eastAsia="宋体" w:cs="宋体"/>
                <w:color w:val="auto"/>
                <w:sz w:val="24"/>
                <w:szCs w:val="24"/>
                <w:lang w:val="en-US" w:eastAsia="zh-CN"/>
              </w:rPr>
            </w:pPr>
          </w:p>
          <w:p w14:paraId="70BCDFBE">
            <w:pPr>
              <w:pStyle w:val="18"/>
              <w:rPr>
                <w:rFonts w:hint="eastAsia" w:ascii="宋体" w:hAnsi="宋体" w:eastAsia="宋体" w:cs="宋体"/>
                <w:color w:val="auto"/>
                <w:sz w:val="24"/>
                <w:szCs w:val="24"/>
                <w:lang w:val="en-US" w:eastAsia="zh-CN"/>
              </w:rPr>
            </w:pPr>
          </w:p>
          <w:p w14:paraId="4AE110DA">
            <w:pPr>
              <w:pStyle w:val="18"/>
              <w:rPr>
                <w:rFonts w:hint="eastAsia" w:ascii="宋体" w:hAnsi="宋体" w:eastAsia="宋体" w:cs="宋体"/>
                <w:color w:val="auto"/>
                <w:sz w:val="24"/>
                <w:szCs w:val="24"/>
                <w:lang w:val="en-US" w:eastAsia="zh-CN"/>
              </w:rPr>
            </w:pPr>
          </w:p>
          <w:p w14:paraId="21BDDF3C">
            <w:pPr>
              <w:pStyle w:val="18"/>
              <w:rPr>
                <w:rFonts w:hint="eastAsia" w:ascii="宋体" w:hAnsi="宋体" w:eastAsia="宋体" w:cs="宋体"/>
                <w:color w:val="auto"/>
                <w:sz w:val="24"/>
                <w:szCs w:val="24"/>
                <w:lang w:val="en-US" w:eastAsia="zh-CN"/>
              </w:rPr>
            </w:pPr>
          </w:p>
          <w:p w14:paraId="3D99B68E">
            <w:pPr>
              <w:pStyle w:val="18"/>
              <w:rPr>
                <w:rFonts w:hint="eastAsia" w:ascii="宋体" w:hAnsi="宋体" w:eastAsia="宋体" w:cs="宋体"/>
                <w:color w:val="auto"/>
                <w:sz w:val="24"/>
                <w:szCs w:val="24"/>
                <w:lang w:val="en-US" w:eastAsia="zh-CN"/>
              </w:rPr>
            </w:pPr>
          </w:p>
          <w:p w14:paraId="37CAF44E">
            <w:pPr>
              <w:pStyle w:val="18"/>
              <w:rPr>
                <w:rFonts w:hint="eastAsia" w:ascii="宋体" w:hAnsi="宋体" w:eastAsia="宋体" w:cs="宋体"/>
                <w:color w:val="auto"/>
                <w:sz w:val="24"/>
                <w:szCs w:val="24"/>
                <w:lang w:val="en-US" w:eastAsia="zh-CN"/>
              </w:rPr>
            </w:pPr>
          </w:p>
          <w:p w14:paraId="7E7F56D3">
            <w:pPr>
              <w:pStyle w:val="18"/>
              <w:rPr>
                <w:rFonts w:hint="eastAsia" w:ascii="宋体" w:hAnsi="宋体" w:eastAsia="宋体" w:cs="宋体"/>
                <w:color w:val="auto"/>
                <w:sz w:val="24"/>
                <w:szCs w:val="24"/>
                <w:lang w:val="en-US" w:eastAsia="zh-CN"/>
              </w:rPr>
            </w:pPr>
          </w:p>
          <w:p w14:paraId="272DDE62">
            <w:pPr>
              <w:pStyle w:val="18"/>
              <w:rPr>
                <w:rFonts w:hint="eastAsia" w:ascii="宋体" w:hAnsi="宋体" w:eastAsia="宋体" w:cs="宋体"/>
                <w:color w:val="auto"/>
                <w:sz w:val="24"/>
                <w:szCs w:val="24"/>
                <w:lang w:val="en-US" w:eastAsia="zh-CN"/>
              </w:rPr>
            </w:pPr>
          </w:p>
          <w:p w14:paraId="7C421884">
            <w:pPr>
              <w:pStyle w:val="18"/>
              <w:rPr>
                <w:rFonts w:hint="eastAsia" w:ascii="宋体" w:hAnsi="宋体" w:eastAsia="宋体" w:cs="宋体"/>
                <w:color w:val="auto"/>
                <w:sz w:val="24"/>
                <w:szCs w:val="24"/>
                <w:lang w:val="en-US" w:eastAsia="zh-CN"/>
              </w:rPr>
            </w:pPr>
          </w:p>
          <w:p w14:paraId="67AB35F4">
            <w:pPr>
              <w:pStyle w:val="18"/>
              <w:rPr>
                <w:rFonts w:hint="eastAsia" w:ascii="宋体" w:hAnsi="宋体" w:eastAsia="宋体" w:cs="宋体"/>
                <w:color w:val="auto"/>
                <w:sz w:val="24"/>
                <w:szCs w:val="24"/>
                <w:lang w:val="en-US" w:eastAsia="zh-CN"/>
              </w:rPr>
            </w:pPr>
          </w:p>
          <w:p w14:paraId="49EA5005">
            <w:pPr>
              <w:pStyle w:val="18"/>
              <w:rPr>
                <w:rFonts w:hint="eastAsia" w:ascii="宋体" w:hAnsi="宋体" w:eastAsia="宋体" w:cs="宋体"/>
                <w:color w:val="auto"/>
                <w:sz w:val="24"/>
                <w:szCs w:val="24"/>
                <w:lang w:val="en-US" w:eastAsia="zh-CN"/>
              </w:rPr>
            </w:pPr>
          </w:p>
          <w:p w14:paraId="794E2E2E">
            <w:pPr>
              <w:pStyle w:val="18"/>
              <w:rPr>
                <w:rFonts w:hint="eastAsia" w:ascii="宋体" w:hAnsi="宋体" w:eastAsia="宋体" w:cs="宋体"/>
                <w:color w:val="auto"/>
                <w:sz w:val="24"/>
                <w:szCs w:val="24"/>
                <w:lang w:val="en-US" w:eastAsia="zh-CN"/>
              </w:rPr>
            </w:pPr>
          </w:p>
          <w:p w14:paraId="2CA1339E">
            <w:pPr>
              <w:pStyle w:val="18"/>
              <w:rPr>
                <w:rFonts w:hint="eastAsia" w:ascii="宋体" w:hAnsi="宋体" w:eastAsia="宋体" w:cs="宋体"/>
                <w:color w:val="auto"/>
                <w:sz w:val="24"/>
                <w:szCs w:val="24"/>
                <w:lang w:val="en-US" w:eastAsia="zh-CN"/>
              </w:rPr>
            </w:pPr>
          </w:p>
          <w:p w14:paraId="29F06568">
            <w:pPr>
              <w:pStyle w:val="18"/>
              <w:rPr>
                <w:rFonts w:hint="eastAsia" w:ascii="宋体" w:hAnsi="宋体" w:eastAsia="宋体" w:cs="宋体"/>
                <w:color w:val="auto"/>
                <w:sz w:val="24"/>
                <w:szCs w:val="24"/>
                <w:lang w:val="en-US" w:eastAsia="zh-CN"/>
              </w:rPr>
            </w:pPr>
          </w:p>
          <w:p w14:paraId="6CDC1CE5">
            <w:pPr>
              <w:pStyle w:val="18"/>
              <w:rPr>
                <w:rFonts w:hint="eastAsia" w:ascii="宋体" w:hAnsi="宋体" w:eastAsia="宋体" w:cs="宋体"/>
                <w:color w:val="auto"/>
                <w:sz w:val="24"/>
                <w:szCs w:val="24"/>
                <w:lang w:val="en-US" w:eastAsia="zh-CN"/>
              </w:rPr>
            </w:pPr>
          </w:p>
          <w:p w14:paraId="5D66A1ED">
            <w:pPr>
              <w:pStyle w:val="18"/>
              <w:rPr>
                <w:rFonts w:hint="eastAsia" w:ascii="宋体" w:hAnsi="宋体" w:eastAsia="宋体" w:cs="宋体"/>
                <w:color w:val="auto"/>
                <w:sz w:val="24"/>
                <w:szCs w:val="24"/>
                <w:lang w:val="en-US" w:eastAsia="zh-CN"/>
              </w:rPr>
            </w:pPr>
          </w:p>
          <w:p w14:paraId="57E60383">
            <w:pPr>
              <w:pStyle w:val="18"/>
              <w:rPr>
                <w:rFonts w:hint="eastAsia" w:ascii="宋体" w:hAnsi="宋体" w:eastAsia="宋体" w:cs="宋体"/>
                <w:color w:val="auto"/>
                <w:sz w:val="24"/>
                <w:szCs w:val="24"/>
                <w:lang w:val="en-US" w:eastAsia="zh-CN"/>
              </w:rPr>
            </w:pPr>
          </w:p>
          <w:p w14:paraId="6D261D83">
            <w:pPr>
              <w:pStyle w:val="18"/>
              <w:rPr>
                <w:rFonts w:hint="eastAsia" w:ascii="宋体" w:hAnsi="宋体" w:eastAsia="宋体" w:cs="宋体"/>
                <w:color w:val="auto"/>
                <w:sz w:val="24"/>
                <w:szCs w:val="24"/>
                <w:lang w:val="en-US" w:eastAsia="zh-CN"/>
              </w:rPr>
            </w:pPr>
          </w:p>
          <w:p w14:paraId="29906F86">
            <w:pPr>
              <w:pStyle w:val="18"/>
              <w:rPr>
                <w:rFonts w:hint="eastAsia" w:ascii="宋体" w:hAnsi="宋体" w:eastAsia="宋体" w:cs="宋体"/>
                <w:color w:val="auto"/>
                <w:sz w:val="24"/>
                <w:szCs w:val="24"/>
                <w:lang w:val="en-US" w:eastAsia="zh-CN"/>
              </w:rPr>
            </w:pPr>
          </w:p>
        </w:tc>
      </w:tr>
    </w:tbl>
    <w:p w14:paraId="52C801F3">
      <w:pPr>
        <w:rPr>
          <w:color w:val="auto"/>
        </w:rPr>
        <w:sectPr>
          <w:pgSz w:w="11906" w:h="16838"/>
          <w:pgMar w:top="1440" w:right="1266"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00098666">
      <w:pPr>
        <w:pStyle w:val="18"/>
        <w:ind w:left="0" w:leftChars="0" w:firstLine="0" w:firstLineChars="0"/>
        <w:jc w:val="center"/>
        <w:rPr>
          <w:rFonts w:hint="eastAsia" w:eastAsia="仿宋_GB2312"/>
          <w:color w:val="auto"/>
          <w:sz w:val="36"/>
          <w:szCs w:val="36"/>
          <w:u w:val="none"/>
          <w:lang w:eastAsia="zh-CN"/>
        </w:rPr>
      </w:pPr>
    </w:p>
    <w:p w14:paraId="028B9557">
      <w:pPr>
        <w:pStyle w:val="18"/>
        <w:ind w:left="0" w:leftChars="0" w:firstLine="0" w:firstLineChars="0"/>
        <w:jc w:val="center"/>
        <w:rPr>
          <w:rFonts w:hint="eastAsia" w:eastAsia="仿宋_GB2312"/>
          <w:color w:val="auto"/>
          <w:sz w:val="36"/>
          <w:szCs w:val="36"/>
          <w:u w:val="none"/>
          <w:lang w:eastAsia="zh-CN"/>
        </w:rPr>
      </w:pPr>
    </w:p>
    <w:p w14:paraId="045D9315">
      <w:pPr>
        <w:pStyle w:val="18"/>
        <w:ind w:left="0" w:leftChars="0" w:firstLine="0" w:firstLineChars="0"/>
        <w:jc w:val="center"/>
        <w:rPr>
          <w:rFonts w:hint="eastAsia" w:eastAsia="仿宋_GB2312"/>
          <w:color w:val="auto"/>
          <w:sz w:val="36"/>
          <w:szCs w:val="36"/>
          <w:u w:val="none"/>
          <w:lang w:eastAsia="zh-CN"/>
        </w:rPr>
      </w:pPr>
    </w:p>
    <w:p w14:paraId="26EA51C1">
      <w:pPr>
        <w:pStyle w:val="18"/>
        <w:ind w:left="0" w:leftChars="0" w:firstLine="0" w:firstLineChars="0"/>
        <w:jc w:val="center"/>
        <w:rPr>
          <w:rFonts w:hint="eastAsia" w:eastAsia="仿宋_GB2312"/>
          <w:color w:val="auto"/>
          <w:sz w:val="36"/>
          <w:szCs w:val="36"/>
          <w:u w:val="none"/>
          <w:lang w:eastAsia="zh-CN"/>
        </w:rPr>
      </w:pPr>
    </w:p>
    <w:p w14:paraId="55F3ECAA">
      <w:pPr>
        <w:pStyle w:val="18"/>
        <w:ind w:left="0" w:leftChars="0" w:firstLine="0" w:firstLineChars="0"/>
        <w:jc w:val="center"/>
        <w:rPr>
          <w:rFonts w:hint="eastAsia" w:eastAsia="仿宋_GB2312"/>
          <w:color w:val="auto"/>
          <w:sz w:val="36"/>
          <w:szCs w:val="36"/>
          <w:u w:val="none"/>
          <w:lang w:val="en-US" w:eastAsia="zh-CN"/>
        </w:rPr>
      </w:pPr>
      <w:r>
        <w:rPr>
          <w:rFonts w:hint="eastAsia" w:eastAsia="仿宋_GB2312"/>
          <w:color w:val="auto"/>
          <w:sz w:val="36"/>
          <w:szCs w:val="36"/>
          <w:u w:val="none"/>
          <w:lang w:eastAsia="zh-CN"/>
        </w:rPr>
        <w:t>若羌南部矿区羌河三区110千伏输变电工程</w:t>
      </w:r>
      <w:r>
        <w:rPr>
          <w:rFonts w:hint="eastAsia" w:eastAsia="仿宋_GB2312"/>
          <w:color w:val="auto"/>
          <w:sz w:val="36"/>
          <w:szCs w:val="36"/>
          <w:u w:val="none"/>
          <w:lang w:val="en-US" w:eastAsia="zh-CN"/>
        </w:rPr>
        <w:t>环境影响报告表电磁环境影响专题评价</w:t>
      </w:r>
    </w:p>
    <w:p w14:paraId="2C9EB5FD">
      <w:pPr>
        <w:ind w:firstLine="1040"/>
        <w:rPr>
          <w:rFonts w:eastAsia="仿宋"/>
          <w:color w:val="auto"/>
          <w:sz w:val="44"/>
          <w:szCs w:val="44"/>
        </w:rPr>
      </w:pPr>
    </w:p>
    <w:p w14:paraId="3B34A0D5">
      <w:pPr>
        <w:pStyle w:val="18"/>
        <w:rPr>
          <w:rFonts w:eastAsia="仿宋"/>
          <w:color w:val="auto"/>
          <w:sz w:val="44"/>
          <w:szCs w:val="44"/>
        </w:rPr>
      </w:pPr>
    </w:p>
    <w:p w14:paraId="2EB0F176">
      <w:pPr>
        <w:pStyle w:val="18"/>
        <w:ind w:left="0" w:leftChars="0" w:firstLine="0" w:firstLineChars="0"/>
        <w:rPr>
          <w:rFonts w:eastAsia="仿宋"/>
          <w:color w:val="auto"/>
          <w:sz w:val="44"/>
          <w:szCs w:val="44"/>
        </w:rPr>
      </w:pPr>
    </w:p>
    <w:p w14:paraId="19864FA1">
      <w:pPr>
        <w:pStyle w:val="18"/>
        <w:rPr>
          <w:rFonts w:eastAsia="仿宋"/>
          <w:color w:val="auto"/>
          <w:sz w:val="44"/>
          <w:szCs w:val="44"/>
        </w:rPr>
      </w:pPr>
    </w:p>
    <w:p w14:paraId="1EBE74C1">
      <w:pPr>
        <w:pStyle w:val="18"/>
        <w:rPr>
          <w:rFonts w:eastAsia="仿宋"/>
          <w:color w:val="auto"/>
          <w:sz w:val="44"/>
          <w:szCs w:val="44"/>
        </w:rPr>
      </w:pPr>
    </w:p>
    <w:p w14:paraId="597417D4">
      <w:pPr>
        <w:pStyle w:val="18"/>
        <w:rPr>
          <w:rFonts w:eastAsia="仿宋"/>
          <w:color w:val="auto"/>
          <w:sz w:val="44"/>
          <w:szCs w:val="44"/>
        </w:rPr>
      </w:pPr>
    </w:p>
    <w:p w14:paraId="0FEF3376">
      <w:pPr>
        <w:pStyle w:val="18"/>
        <w:rPr>
          <w:rFonts w:eastAsia="仿宋"/>
          <w:color w:val="auto"/>
          <w:sz w:val="32"/>
          <w:szCs w:val="32"/>
        </w:rPr>
      </w:pPr>
    </w:p>
    <w:p w14:paraId="7A84F740">
      <w:pPr>
        <w:adjustRightInd w:val="0"/>
        <w:snapToGrid w:val="0"/>
        <w:spacing w:line="288" w:lineRule="auto"/>
        <w:ind w:firstLine="1040"/>
        <w:rPr>
          <w:rFonts w:hint="default" w:ascii="Calibri" w:hAnsi="Calibri" w:eastAsia="宋体" w:cs="Calibri"/>
          <w:color w:val="auto"/>
          <w:sz w:val="32"/>
          <w:szCs w:val="32"/>
          <w:u w:val="none"/>
          <w:lang w:val="en-US" w:eastAsia="zh-CN"/>
        </w:rPr>
      </w:pPr>
      <w:r>
        <w:rPr>
          <w:rFonts w:hint="default" w:ascii="Calibri" w:hAnsi="Calibri" w:eastAsia="宋体" w:cs="Calibri"/>
          <w:color w:val="auto"/>
          <w:sz w:val="32"/>
          <w:szCs w:val="32"/>
        </w:rPr>
        <w:t>建设单位：</w:t>
      </w:r>
      <w:r>
        <w:rPr>
          <w:rFonts w:hint="eastAsia" w:ascii="Calibri" w:hAnsi="Calibri" w:cs="Calibri"/>
          <w:color w:val="auto"/>
          <w:sz w:val="32"/>
          <w:szCs w:val="32"/>
          <w:u w:val="none"/>
          <w:lang w:val="en-US" w:eastAsia="zh-CN"/>
        </w:rPr>
        <w:t>若羌县发展和改革委员会</w:t>
      </w:r>
    </w:p>
    <w:p w14:paraId="11DD2E91">
      <w:pPr>
        <w:adjustRightInd w:val="0"/>
        <w:snapToGrid w:val="0"/>
        <w:spacing w:line="288" w:lineRule="auto"/>
        <w:ind w:firstLine="1040"/>
        <w:rPr>
          <w:rFonts w:hint="default" w:ascii="Calibri" w:hAnsi="Calibri" w:eastAsia="宋体" w:cs="Calibri"/>
          <w:color w:val="auto"/>
          <w:sz w:val="32"/>
          <w:szCs w:val="32"/>
          <w:lang w:val="en-US" w:eastAsia="zh-CN"/>
        </w:rPr>
      </w:pPr>
      <w:r>
        <w:rPr>
          <w:rFonts w:hint="default" w:ascii="Calibri" w:hAnsi="Calibri" w:eastAsia="宋体" w:cs="Calibri"/>
          <w:color w:val="auto"/>
          <w:sz w:val="32"/>
          <w:szCs w:val="32"/>
          <w:lang w:val="en-US" w:eastAsia="zh-CN"/>
        </w:rPr>
        <w:t>编制单位：新疆与正信息技术咨询服务有限公司</w:t>
      </w:r>
    </w:p>
    <w:p w14:paraId="36F32B32">
      <w:pPr>
        <w:adjustRightInd w:val="0"/>
        <w:snapToGrid w:val="0"/>
        <w:spacing w:line="288" w:lineRule="auto"/>
        <w:jc w:val="center"/>
        <w:rPr>
          <w:rFonts w:hint="default" w:ascii="Calibri" w:hAnsi="Calibri" w:eastAsia="仿宋_GB2312" w:cs="Calibri"/>
          <w:color w:val="auto"/>
          <w:sz w:val="32"/>
          <w:szCs w:val="32"/>
          <w:u w:val="none"/>
          <w:lang w:val="en-US" w:eastAsia="zh-CN"/>
        </w:rPr>
        <w:sectPr>
          <w:pgSz w:w="11906" w:h="16838"/>
          <w:pgMar w:top="1440" w:right="1266"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default" w:ascii="Calibri" w:hAnsi="Calibri" w:eastAsia="仿宋_GB2312" w:cs="Calibri"/>
          <w:color w:val="auto"/>
          <w:sz w:val="32"/>
          <w:szCs w:val="32"/>
        </w:rPr>
        <w:t>编制日期：</w:t>
      </w:r>
      <w:r>
        <w:rPr>
          <w:rFonts w:hint="default" w:ascii="Calibri" w:hAnsi="Calibri" w:eastAsia="仿宋_GB2312" w:cs="Calibri"/>
          <w:color w:val="auto"/>
          <w:sz w:val="32"/>
          <w:szCs w:val="32"/>
          <w:u w:val="none"/>
          <w:lang w:val="en-US" w:eastAsia="zh-CN"/>
        </w:rPr>
        <w:t>2025年8月</w:t>
      </w:r>
    </w:p>
    <w:p w14:paraId="241A0426">
      <w:pPr>
        <w:pStyle w:val="18"/>
        <w:ind w:left="0" w:leftChars="0" w:firstLine="0" w:firstLineChars="0"/>
        <w:rPr>
          <w:rFonts w:hint="eastAsia"/>
        </w:rPr>
        <w:sectPr>
          <w:pgSz w:w="11906" w:h="16838"/>
          <w:pgMar w:top="1440" w:right="1266"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172DFCF4">
      <w:pPr>
        <w:pStyle w:val="3"/>
        <w:pageBreakBefore w:val="0"/>
        <w:widowControl w:val="0"/>
        <w:tabs>
          <w:tab w:val="left" w:pos="425"/>
        </w:tabs>
        <w:kinsoku/>
        <w:wordWrap/>
        <w:topLinePunct w:val="0"/>
        <w:bidi w:val="0"/>
        <w:snapToGrid w:val="0"/>
        <w:spacing w:before="0" w:after="0" w:line="480" w:lineRule="exact"/>
        <w:ind w:left="0"/>
        <w:textAlignment w:val="auto"/>
        <w:rPr>
          <w:rFonts w:hint="default" w:ascii="Calibri" w:hAnsi="Calibri" w:eastAsia="宋体" w:cs="Calibri"/>
          <w:b/>
          <w:color w:val="000000"/>
        </w:rPr>
      </w:pPr>
      <w:bookmarkStart w:id="51" w:name="_Toc9988"/>
      <w:bookmarkStart w:id="52" w:name="_Toc25889"/>
      <w:bookmarkStart w:id="53" w:name="_Toc13529"/>
      <w:bookmarkStart w:id="54" w:name="_Toc29415"/>
      <w:r>
        <w:rPr>
          <w:rFonts w:hint="default" w:ascii="Calibri" w:hAnsi="Calibri" w:eastAsia="宋体" w:cs="Calibri"/>
          <w:b/>
          <w:color w:val="000000"/>
        </w:rPr>
        <w:t>1总则</w:t>
      </w:r>
      <w:bookmarkEnd w:id="51"/>
      <w:bookmarkEnd w:id="52"/>
      <w:bookmarkEnd w:id="53"/>
      <w:bookmarkEnd w:id="54"/>
    </w:p>
    <w:p w14:paraId="73EDFA1A">
      <w:pPr>
        <w:pStyle w:val="4"/>
        <w:pageBreakBefore w:val="0"/>
        <w:widowControl w:val="0"/>
        <w:kinsoku/>
        <w:wordWrap/>
        <w:topLinePunct w:val="0"/>
        <w:bidi w:val="0"/>
        <w:snapToGrid w:val="0"/>
        <w:spacing w:before="0" w:beforeLines="0" w:after="0" w:afterLines="0" w:line="480" w:lineRule="exact"/>
        <w:ind w:left="0"/>
        <w:textAlignment w:val="auto"/>
        <w:rPr>
          <w:rFonts w:hint="default" w:ascii="Calibri" w:hAnsi="Calibri" w:eastAsia="宋体" w:cs="Calibri"/>
          <w:color w:val="000000"/>
          <w:sz w:val="28"/>
        </w:rPr>
      </w:pPr>
      <w:bookmarkStart w:id="55" w:name="_Toc11944"/>
      <w:bookmarkStart w:id="56" w:name="_Toc13950"/>
      <w:bookmarkStart w:id="57" w:name="_Toc22624"/>
      <w:bookmarkStart w:id="58" w:name="_Toc27301"/>
      <w:r>
        <w:rPr>
          <w:rFonts w:hint="default" w:ascii="Calibri" w:hAnsi="Calibri" w:eastAsia="宋体" w:cs="Calibri"/>
          <w:color w:val="000000"/>
          <w:sz w:val="28"/>
        </w:rPr>
        <w:t>1.1项目规模</w:t>
      </w:r>
      <w:bookmarkEnd w:id="55"/>
      <w:bookmarkEnd w:id="56"/>
      <w:bookmarkEnd w:id="57"/>
      <w:bookmarkEnd w:id="58"/>
    </w:p>
    <w:p w14:paraId="52702D9F">
      <w:pPr>
        <w:pageBreakBefore w:val="0"/>
        <w:widowControl w:val="0"/>
        <w:kinsoku/>
        <w:wordWrap/>
        <w:topLinePunct w:val="0"/>
        <w:autoSpaceDE w:val="0"/>
        <w:autoSpaceDN w:val="0"/>
        <w:bidi w:val="0"/>
        <w:adjustRightInd w:val="0"/>
        <w:snapToGrid w:val="0"/>
        <w:spacing w:line="480" w:lineRule="exact"/>
        <w:ind w:left="0" w:firstLine="480"/>
        <w:jc w:val="left"/>
        <w:textAlignment w:val="auto"/>
        <w:rPr>
          <w:rFonts w:hint="default" w:ascii="Calibri" w:hAnsi="Calibri" w:eastAsia="宋体" w:cs="Calibri"/>
          <w:color w:val="auto"/>
          <w:sz w:val="24"/>
        </w:rPr>
      </w:pPr>
      <w:bookmarkStart w:id="59" w:name="_Toc20519"/>
      <w:r>
        <w:rPr>
          <w:rFonts w:hint="default" w:ascii="Calibri" w:hAnsi="Calibri" w:eastAsia="宋体" w:cs="Calibri"/>
          <w:color w:val="auto"/>
          <w:sz w:val="24"/>
        </w:rPr>
        <w:t>若羌南部矿区羌河三区110千伏输变电工程主要建设内容包括</w:t>
      </w:r>
      <w:r>
        <w:rPr>
          <w:rFonts w:hint="eastAsia" w:ascii="Calibri" w:hAnsi="Calibri" w:cs="Calibri"/>
          <w:color w:val="auto"/>
          <w:sz w:val="24"/>
          <w:lang w:eastAsia="zh-CN"/>
        </w:rPr>
        <w:t>：</w:t>
      </w:r>
    </w:p>
    <w:p w14:paraId="02E5F89E">
      <w:pPr>
        <w:pageBreakBefore w:val="0"/>
        <w:widowControl w:val="0"/>
        <w:kinsoku/>
        <w:wordWrap/>
        <w:topLinePunct w:val="0"/>
        <w:autoSpaceDE w:val="0"/>
        <w:autoSpaceDN w:val="0"/>
        <w:bidi w:val="0"/>
        <w:adjustRightInd w:val="0"/>
        <w:snapToGrid w:val="0"/>
        <w:spacing w:line="480" w:lineRule="exact"/>
        <w:ind w:left="0" w:firstLine="480"/>
        <w:jc w:val="left"/>
        <w:textAlignment w:val="auto"/>
        <w:rPr>
          <w:rFonts w:hint="eastAsia" w:ascii="Calibri" w:hAnsi="Calibri" w:eastAsia="宋体" w:cs="Calibri"/>
          <w:color w:val="auto"/>
          <w:sz w:val="24"/>
          <w:lang w:eastAsia="zh-CN"/>
        </w:rPr>
      </w:pPr>
      <w:r>
        <w:rPr>
          <w:rFonts w:hint="eastAsia" w:ascii="Calibri" w:hAnsi="Calibri" w:eastAsia="宋体" w:cs="Calibri"/>
          <w:color w:val="auto"/>
          <w:sz w:val="24"/>
          <w:lang w:eastAsia="zh-CN"/>
        </w:rPr>
        <w:t>（</w:t>
      </w:r>
      <w:r>
        <w:rPr>
          <w:rFonts w:hint="eastAsia" w:ascii="Calibri" w:hAnsi="Calibri" w:eastAsia="宋体" w:cs="Calibri"/>
          <w:color w:val="auto"/>
          <w:sz w:val="24"/>
          <w:lang w:val="en-US" w:eastAsia="zh-CN"/>
        </w:rPr>
        <w:t>1</w:t>
      </w:r>
      <w:r>
        <w:rPr>
          <w:rFonts w:hint="eastAsia" w:ascii="Calibri" w:hAnsi="Calibri" w:eastAsia="宋体" w:cs="Calibri"/>
          <w:color w:val="auto"/>
          <w:sz w:val="24"/>
          <w:lang w:eastAsia="zh-CN"/>
        </w:rPr>
        <w:t>）</w:t>
      </w:r>
      <w:r>
        <w:rPr>
          <w:rFonts w:hint="default" w:ascii="Calibri" w:hAnsi="Calibri" w:eastAsia="宋体" w:cs="Calibri"/>
          <w:color w:val="auto"/>
          <w:sz w:val="24"/>
        </w:rPr>
        <w:t>新建</w:t>
      </w:r>
      <w:r>
        <w:rPr>
          <w:rFonts w:hint="eastAsia" w:ascii="Calibri" w:hAnsi="Calibri" w:eastAsia="宋体" w:cs="Calibri"/>
          <w:color w:val="auto"/>
          <w:sz w:val="24"/>
          <w:lang w:val="en-US" w:eastAsia="zh-CN"/>
        </w:rPr>
        <w:t>南部</w:t>
      </w:r>
      <w:r>
        <w:rPr>
          <w:rFonts w:hint="default" w:ascii="Calibri" w:hAnsi="Calibri" w:eastAsia="宋体" w:cs="Calibri"/>
          <w:color w:val="auto"/>
          <w:sz w:val="24"/>
        </w:rPr>
        <w:t>矿区110</w:t>
      </w:r>
      <w:r>
        <w:rPr>
          <w:rFonts w:hint="eastAsia" w:ascii="Calibri" w:hAnsi="Calibri" w:eastAsia="宋体" w:cs="Calibri"/>
          <w:color w:val="auto"/>
          <w:sz w:val="24"/>
          <w:lang w:val="en-US" w:eastAsia="zh-CN"/>
        </w:rPr>
        <w:t>kv</w:t>
      </w:r>
      <w:r>
        <w:rPr>
          <w:rFonts w:hint="default" w:ascii="Calibri" w:hAnsi="Calibri" w:eastAsia="宋体" w:cs="Calibri"/>
          <w:color w:val="auto"/>
          <w:sz w:val="24"/>
        </w:rPr>
        <w:t>变电站，本期主变容量1x</w:t>
      </w:r>
      <w:r>
        <w:rPr>
          <w:rFonts w:hint="eastAsia" w:ascii="Calibri" w:hAnsi="Calibri" w:eastAsia="宋体" w:cs="Calibri"/>
          <w:color w:val="auto"/>
          <w:sz w:val="24"/>
          <w:lang w:val="en-US" w:eastAsia="zh-CN"/>
        </w:rPr>
        <w:t>5</w:t>
      </w:r>
      <w:r>
        <w:rPr>
          <w:rFonts w:hint="default" w:ascii="Calibri" w:hAnsi="Calibri" w:eastAsia="宋体" w:cs="Calibri"/>
          <w:color w:val="auto"/>
          <w:sz w:val="24"/>
        </w:rPr>
        <w:t>0MVA</w:t>
      </w:r>
      <w:r>
        <w:rPr>
          <w:rFonts w:hint="eastAsia" w:ascii="Calibri" w:hAnsi="Calibri" w:eastAsia="宋体" w:cs="Calibri"/>
          <w:color w:val="auto"/>
          <w:sz w:val="24"/>
          <w:lang w:eastAsia="zh-CN"/>
        </w:rPr>
        <w:t>；</w:t>
      </w:r>
    </w:p>
    <w:p w14:paraId="1589710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Calibri" w:hAnsi="Calibri" w:cs="Calibri"/>
          <w:color w:val="auto"/>
          <w:kern w:val="0"/>
          <w:sz w:val="24"/>
          <w:szCs w:val="24"/>
          <w:lang w:val="en-US" w:eastAsia="zh-CN"/>
        </w:rPr>
      </w:pPr>
      <w:r>
        <w:rPr>
          <w:rFonts w:hint="eastAsia" w:ascii="Calibri" w:hAnsi="Calibri" w:eastAsia="宋体" w:cs="Calibri"/>
          <w:color w:val="auto"/>
          <w:sz w:val="24"/>
          <w:lang w:eastAsia="zh-CN"/>
        </w:rPr>
        <w:t>（</w:t>
      </w:r>
      <w:r>
        <w:rPr>
          <w:rFonts w:hint="eastAsia" w:ascii="Calibri" w:hAnsi="Calibri" w:eastAsia="宋体" w:cs="Calibri"/>
          <w:color w:val="auto"/>
          <w:sz w:val="24"/>
          <w:lang w:val="en-US" w:eastAsia="zh-CN"/>
        </w:rPr>
        <w:t>2</w:t>
      </w:r>
      <w:r>
        <w:rPr>
          <w:rFonts w:hint="eastAsia" w:ascii="Calibri" w:hAnsi="Calibri" w:eastAsia="宋体" w:cs="Calibri"/>
          <w:color w:val="auto"/>
          <w:sz w:val="24"/>
          <w:lang w:eastAsia="zh-CN"/>
        </w:rPr>
        <w:t>）</w:t>
      </w:r>
      <w:r>
        <w:rPr>
          <w:rFonts w:hint="default" w:ascii="Calibri" w:hAnsi="Calibri" w:cs="Calibri"/>
          <w:color w:val="auto"/>
          <w:kern w:val="0"/>
          <w:sz w:val="24"/>
          <w:szCs w:val="24"/>
          <w:lang w:val="en-US" w:eastAsia="zh-CN"/>
        </w:rPr>
        <w:t>A段：自220kV白干湖变电站起，至拟建110kV南部矿区变电站止，电压等级110kV，采用同塔双回路架设（本期单边挂线），线路路径长度约32.3千米。</w:t>
      </w:r>
    </w:p>
    <w:p w14:paraId="58AEC6D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Calibri" w:hAnsi="Calibri" w:cs="Calibri"/>
          <w:color w:val="auto"/>
          <w:kern w:val="0"/>
          <w:sz w:val="24"/>
          <w:szCs w:val="24"/>
          <w:lang w:val="en-US" w:eastAsia="zh-CN"/>
        </w:rPr>
      </w:pPr>
      <w:r>
        <w:rPr>
          <w:rFonts w:hint="default" w:ascii="Calibri" w:hAnsi="Calibri" w:cs="Calibri"/>
          <w:color w:val="auto"/>
          <w:kern w:val="0"/>
          <w:sz w:val="24"/>
          <w:szCs w:val="24"/>
          <w:lang w:val="en-US" w:eastAsia="zh-CN"/>
        </w:rPr>
        <w:t>B段：自拟建110kV南部矿区变电站起，至羌河三区拟用电点止，电压等级110kV，采用单回路铁塔架设，线路路径长度约42.8千米。</w:t>
      </w:r>
    </w:p>
    <w:p w14:paraId="1F38376E">
      <w:pPr>
        <w:pStyle w:val="4"/>
        <w:pageBreakBefore w:val="0"/>
        <w:widowControl w:val="0"/>
        <w:kinsoku/>
        <w:wordWrap/>
        <w:overflowPunct/>
        <w:topLinePunct w:val="0"/>
        <w:bidi w:val="0"/>
        <w:snapToGrid w:val="0"/>
        <w:spacing w:before="0" w:beforeLines="0" w:after="0" w:afterLines="0" w:line="480" w:lineRule="exact"/>
        <w:ind w:left="0"/>
        <w:textAlignment w:val="auto"/>
        <w:rPr>
          <w:rFonts w:hint="default" w:ascii="Calibri" w:hAnsi="Calibri" w:eastAsia="宋体" w:cs="Calibri"/>
          <w:color w:val="000000"/>
          <w:sz w:val="28"/>
        </w:rPr>
      </w:pPr>
      <w:bookmarkStart w:id="60" w:name="_Toc17068"/>
      <w:bookmarkStart w:id="61" w:name="_Toc17221"/>
      <w:bookmarkStart w:id="62" w:name="_Toc5189"/>
      <w:r>
        <w:rPr>
          <w:rFonts w:hint="default" w:ascii="Calibri" w:hAnsi="Calibri" w:eastAsia="宋体" w:cs="Calibri"/>
          <w:color w:val="000000"/>
          <w:sz w:val="28"/>
        </w:rPr>
        <w:t>1.2评价目的</w:t>
      </w:r>
      <w:bookmarkEnd w:id="59"/>
      <w:bookmarkEnd w:id="60"/>
      <w:bookmarkEnd w:id="61"/>
      <w:bookmarkEnd w:id="62"/>
    </w:p>
    <w:p w14:paraId="5FC487DA">
      <w:pPr>
        <w:pageBreakBefore w:val="0"/>
        <w:widowControl w:val="0"/>
        <w:kinsoku/>
        <w:wordWrap/>
        <w:overflowPunct/>
        <w:topLinePunct w:val="0"/>
        <w:autoSpaceDE w:val="0"/>
        <w:autoSpaceDN w:val="0"/>
        <w:bidi w:val="0"/>
        <w:adjustRightInd w:val="0"/>
        <w:snapToGrid w:val="0"/>
        <w:spacing w:line="480" w:lineRule="exact"/>
        <w:ind w:left="0" w:firstLine="480" w:firstLineChars="200"/>
        <w:jc w:val="left"/>
        <w:textAlignment w:val="auto"/>
        <w:rPr>
          <w:rFonts w:hint="default" w:ascii="Calibri" w:hAnsi="Calibri" w:eastAsia="宋体" w:cs="Calibri"/>
          <w:color w:val="FF0000"/>
          <w:kern w:val="0"/>
          <w:sz w:val="24"/>
        </w:rPr>
      </w:pPr>
      <w:r>
        <w:rPr>
          <w:rFonts w:hint="default" w:ascii="Calibri" w:hAnsi="Calibri" w:eastAsia="宋体" w:cs="Calibri"/>
          <w:color w:val="000000"/>
          <w:sz w:val="24"/>
        </w:rPr>
        <w:t>根据《中华人民共和国环境保护法</w:t>
      </w:r>
      <w:r>
        <w:rPr>
          <w:rFonts w:hint="default" w:ascii="Calibri" w:hAnsi="Calibri" w:eastAsia="宋体" w:cs="Calibri"/>
          <w:color w:val="000000"/>
          <w:sz w:val="24"/>
          <w:lang w:eastAsia="zh-CN"/>
        </w:rPr>
        <w:t>》《</w:t>
      </w:r>
      <w:r>
        <w:rPr>
          <w:rFonts w:hint="default" w:ascii="Calibri" w:hAnsi="Calibri" w:eastAsia="宋体" w:cs="Calibri"/>
          <w:color w:val="000000"/>
          <w:sz w:val="24"/>
        </w:rPr>
        <w:t>中华人民共和国环境影响评价法</w:t>
      </w:r>
      <w:r>
        <w:rPr>
          <w:rFonts w:hint="default" w:ascii="Calibri" w:hAnsi="Calibri" w:eastAsia="宋体" w:cs="Calibri"/>
          <w:color w:val="000000"/>
          <w:sz w:val="24"/>
          <w:lang w:eastAsia="zh-CN"/>
        </w:rPr>
        <w:t>》《</w:t>
      </w:r>
      <w:r>
        <w:rPr>
          <w:rFonts w:hint="default" w:ascii="Calibri" w:hAnsi="Calibri" w:eastAsia="宋体" w:cs="Calibri"/>
          <w:color w:val="000000"/>
          <w:sz w:val="24"/>
        </w:rPr>
        <w:t>建设项目环境保护管理条例》等有关法律法规，为切实做好项目的环境保护工作，使输变电事业与环境保护协调发展，控制电磁环境污染、</w:t>
      </w:r>
      <w:r>
        <w:rPr>
          <w:rFonts w:hint="eastAsia" w:ascii="Calibri" w:hAnsi="Calibri" w:cs="Calibri"/>
          <w:color w:val="000000"/>
          <w:sz w:val="24"/>
          <w:lang w:eastAsia="zh-CN"/>
        </w:rPr>
        <w:t>避害扬利</w:t>
      </w:r>
      <w:r>
        <w:rPr>
          <w:rFonts w:hint="default" w:ascii="Calibri" w:hAnsi="Calibri" w:eastAsia="宋体" w:cs="Calibri"/>
          <w:color w:val="000000"/>
          <w:sz w:val="24"/>
        </w:rPr>
        <w:t>、保障公众健康</w:t>
      </w:r>
      <w:r>
        <w:rPr>
          <w:rFonts w:hint="default" w:ascii="Calibri" w:hAnsi="Calibri" w:eastAsia="宋体" w:cs="Calibri"/>
          <w:color w:val="000000"/>
          <w:kern w:val="0"/>
          <w:sz w:val="24"/>
        </w:rPr>
        <w:t>，</w:t>
      </w:r>
      <w:r>
        <w:rPr>
          <w:rFonts w:hint="eastAsia" w:ascii="Calibri" w:hAnsi="Calibri" w:cs="Calibri"/>
          <w:color w:val="000000"/>
          <w:kern w:val="0"/>
          <w:sz w:val="24"/>
          <w:lang w:val="en-US" w:eastAsia="zh-CN"/>
        </w:rPr>
        <w:t>若羌县发展和改革委员会</w:t>
      </w:r>
      <w:r>
        <w:rPr>
          <w:rFonts w:hint="default" w:ascii="Calibri" w:hAnsi="Calibri" w:eastAsia="宋体" w:cs="Calibri"/>
          <w:color w:val="000000"/>
          <w:kern w:val="0"/>
          <w:sz w:val="24"/>
        </w:rPr>
        <w:t>委托我</w:t>
      </w:r>
      <w:r>
        <w:rPr>
          <w:rFonts w:hint="default" w:ascii="Calibri" w:hAnsi="Calibri" w:eastAsia="宋体" w:cs="Calibri"/>
          <w:color w:val="000000"/>
          <w:sz w:val="24"/>
        </w:rPr>
        <w:t>单位</w:t>
      </w:r>
      <w:r>
        <w:rPr>
          <w:rFonts w:hint="default" w:ascii="Calibri" w:hAnsi="Calibri" w:eastAsia="宋体" w:cs="Calibri"/>
          <w:color w:val="000000"/>
          <w:kern w:val="0"/>
          <w:sz w:val="24"/>
        </w:rPr>
        <w:t>承担</w:t>
      </w:r>
      <w:r>
        <w:rPr>
          <w:rFonts w:hint="default" w:ascii="Calibri" w:hAnsi="Calibri" w:eastAsia="宋体" w:cs="Calibri"/>
          <w:color w:val="000000"/>
          <w:kern w:val="0"/>
          <w:sz w:val="24"/>
          <w:lang w:eastAsia="zh-CN"/>
        </w:rPr>
        <w:t>本项目</w:t>
      </w:r>
      <w:r>
        <w:rPr>
          <w:rFonts w:hint="default" w:ascii="Calibri" w:hAnsi="Calibri" w:eastAsia="宋体" w:cs="Calibri"/>
          <w:color w:val="000000"/>
          <w:kern w:val="0"/>
          <w:sz w:val="24"/>
        </w:rPr>
        <w:t>的电磁环境影响评价工作，分析说明输变电工程建设运行后电磁环境影响的情况。</w:t>
      </w:r>
    </w:p>
    <w:p w14:paraId="52D0E1EF">
      <w:pPr>
        <w:pStyle w:val="4"/>
        <w:pageBreakBefore w:val="0"/>
        <w:widowControl w:val="0"/>
        <w:kinsoku/>
        <w:wordWrap/>
        <w:topLinePunct w:val="0"/>
        <w:bidi w:val="0"/>
        <w:adjustRightInd w:val="0"/>
        <w:snapToGrid w:val="0"/>
        <w:spacing w:before="0" w:beforeLines="0" w:after="0" w:afterLines="0" w:line="480" w:lineRule="exact"/>
        <w:ind w:left="0"/>
        <w:textAlignment w:val="auto"/>
        <w:rPr>
          <w:rFonts w:hint="default" w:ascii="Calibri" w:hAnsi="Calibri" w:eastAsia="宋体" w:cs="Calibri"/>
          <w:color w:val="000000"/>
          <w:sz w:val="28"/>
        </w:rPr>
      </w:pPr>
      <w:bookmarkStart w:id="63" w:name="_Toc30730"/>
      <w:bookmarkStart w:id="64" w:name="_Toc9586"/>
      <w:bookmarkStart w:id="65" w:name="_Toc7613"/>
      <w:bookmarkStart w:id="66" w:name="_Toc11014"/>
      <w:r>
        <w:rPr>
          <w:rFonts w:hint="default" w:ascii="Calibri" w:hAnsi="Calibri" w:eastAsia="宋体" w:cs="Calibri"/>
          <w:color w:val="000000"/>
          <w:sz w:val="28"/>
        </w:rPr>
        <w:t>1.3评价依据</w:t>
      </w:r>
      <w:bookmarkEnd w:id="63"/>
      <w:bookmarkEnd w:id="64"/>
      <w:bookmarkEnd w:id="65"/>
      <w:bookmarkEnd w:id="66"/>
    </w:p>
    <w:p w14:paraId="737AFC4A">
      <w:pPr>
        <w:pageBreakBefore w:val="0"/>
        <w:widowControl w:val="0"/>
        <w:kinsoku/>
        <w:wordWrap/>
        <w:topLinePunct w:val="0"/>
        <w:bidi w:val="0"/>
        <w:adjustRightInd w:val="0"/>
        <w:snapToGrid w:val="0"/>
        <w:spacing w:line="480" w:lineRule="exact"/>
        <w:ind w:left="0"/>
        <w:textAlignment w:val="auto"/>
        <w:outlineLvl w:val="2"/>
        <w:rPr>
          <w:rFonts w:hint="default" w:ascii="Calibri" w:hAnsi="Calibri" w:eastAsia="宋体" w:cs="Calibri"/>
          <w:b/>
          <w:color w:val="000000"/>
          <w:kern w:val="15"/>
          <w:sz w:val="24"/>
        </w:rPr>
      </w:pPr>
      <w:bookmarkStart w:id="67" w:name="_Toc513746282"/>
      <w:bookmarkStart w:id="68" w:name="_Toc15204"/>
      <w:bookmarkStart w:id="69" w:name="_Toc32632"/>
      <w:bookmarkStart w:id="70" w:name="_Toc3868"/>
      <w:r>
        <w:rPr>
          <w:rFonts w:hint="default" w:ascii="Calibri" w:hAnsi="Calibri" w:eastAsia="宋体" w:cs="Calibri"/>
          <w:b/>
          <w:color w:val="000000"/>
          <w:kern w:val="15"/>
          <w:sz w:val="24"/>
        </w:rPr>
        <w:t>1.3.1国家</w:t>
      </w:r>
      <w:r>
        <w:rPr>
          <w:rFonts w:hint="default" w:ascii="Calibri" w:hAnsi="Calibri" w:eastAsia="宋体" w:cs="Calibri"/>
          <w:b/>
          <w:color w:val="000000"/>
          <w:kern w:val="15"/>
          <w:sz w:val="24"/>
          <w:lang w:eastAsia="zh-CN"/>
        </w:rPr>
        <w:t>法律法规</w:t>
      </w:r>
      <w:r>
        <w:rPr>
          <w:rFonts w:hint="default" w:ascii="Calibri" w:hAnsi="Calibri" w:eastAsia="宋体" w:cs="Calibri"/>
          <w:b/>
          <w:color w:val="000000"/>
          <w:kern w:val="15"/>
          <w:sz w:val="24"/>
        </w:rPr>
        <w:t>及相关规范</w:t>
      </w:r>
      <w:bookmarkEnd w:id="67"/>
      <w:bookmarkEnd w:id="68"/>
      <w:bookmarkEnd w:id="69"/>
      <w:bookmarkEnd w:id="70"/>
    </w:p>
    <w:p w14:paraId="5C06722E">
      <w:pPr>
        <w:pStyle w:val="7"/>
        <w:pageBreakBefore w:val="0"/>
        <w:widowControl w:val="0"/>
        <w:kinsoku/>
        <w:wordWrap/>
        <w:topLinePunct w:val="0"/>
        <w:bidi w:val="0"/>
        <w:adjustRightInd w:val="0"/>
        <w:snapToGrid w:val="0"/>
        <w:spacing w:line="480" w:lineRule="exact"/>
        <w:ind w:left="0" w:firstLine="480"/>
        <w:textAlignment w:val="auto"/>
        <w:rPr>
          <w:rFonts w:hint="default" w:ascii="Calibri" w:hAnsi="Calibri" w:eastAsia="宋体" w:cs="Calibri"/>
          <w:color w:val="000000"/>
          <w:sz w:val="24"/>
        </w:rPr>
      </w:pPr>
      <w:bookmarkStart w:id="71" w:name="_Toc30506"/>
      <w:bookmarkStart w:id="72" w:name="_Toc513746283"/>
      <w:r>
        <w:rPr>
          <w:rFonts w:hint="eastAsia" w:ascii="Calibri" w:hAnsi="Calibri" w:eastAsia="宋体" w:cs="Calibri"/>
          <w:color w:val="000000"/>
          <w:sz w:val="24"/>
          <w:lang w:eastAsia="zh-CN"/>
        </w:rPr>
        <w:t>（</w:t>
      </w:r>
      <w:r>
        <w:rPr>
          <w:rFonts w:hint="eastAsia" w:ascii="Calibri" w:hAnsi="Calibri" w:eastAsia="宋体" w:cs="Calibri"/>
          <w:color w:val="000000"/>
          <w:sz w:val="24"/>
          <w:lang w:val="en-US" w:eastAsia="zh-CN"/>
        </w:rPr>
        <w:t>1</w:t>
      </w:r>
      <w:r>
        <w:rPr>
          <w:rFonts w:hint="eastAsia" w:ascii="Calibri" w:hAnsi="Calibri" w:eastAsia="宋体" w:cs="Calibri"/>
          <w:color w:val="000000"/>
          <w:sz w:val="24"/>
          <w:lang w:eastAsia="zh-CN"/>
        </w:rPr>
        <w:t>）</w:t>
      </w:r>
      <w:r>
        <w:rPr>
          <w:rFonts w:hint="default" w:ascii="Calibri" w:hAnsi="Calibri" w:eastAsia="宋体" w:cs="Calibri"/>
          <w:color w:val="000000"/>
          <w:sz w:val="24"/>
        </w:rPr>
        <w:t>《中华人民共和国环境保护法》</w:t>
      </w:r>
      <w:r>
        <w:rPr>
          <w:rFonts w:hint="eastAsia" w:ascii="Calibri" w:hAnsi="Calibri" w:cs="Calibri"/>
          <w:color w:val="000000"/>
          <w:sz w:val="24"/>
          <w:lang w:eastAsia="zh-CN"/>
        </w:rPr>
        <w:t>（</w:t>
      </w:r>
      <w:r>
        <w:rPr>
          <w:rFonts w:hint="default" w:ascii="Calibri" w:hAnsi="Calibri" w:eastAsia="宋体" w:cs="Calibri"/>
          <w:color w:val="000000"/>
          <w:sz w:val="24"/>
        </w:rPr>
        <w:t>2014年4月24日修订，2015年1月1日起施行</w:t>
      </w:r>
      <w:r>
        <w:rPr>
          <w:rFonts w:hint="eastAsia" w:ascii="Calibri" w:hAnsi="Calibri" w:cs="Calibri"/>
          <w:color w:val="000000"/>
          <w:sz w:val="24"/>
          <w:lang w:eastAsia="zh-CN"/>
        </w:rPr>
        <w:t>）</w:t>
      </w:r>
      <w:r>
        <w:rPr>
          <w:rFonts w:hint="default" w:ascii="Calibri" w:hAnsi="Calibri" w:eastAsia="宋体" w:cs="Calibri"/>
          <w:color w:val="000000"/>
          <w:sz w:val="24"/>
        </w:rPr>
        <w:t>；</w:t>
      </w:r>
    </w:p>
    <w:p w14:paraId="31093590">
      <w:pPr>
        <w:pStyle w:val="7"/>
        <w:pageBreakBefore w:val="0"/>
        <w:widowControl w:val="0"/>
        <w:kinsoku/>
        <w:wordWrap/>
        <w:topLinePunct w:val="0"/>
        <w:bidi w:val="0"/>
        <w:adjustRightInd w:val="0"/>
        <w:snapToGrid w:val="0"/>
        <w:spacing w:line="480" w:lineRule="exact"/>
        <w:ind w:left="0" w:firstLine="480"/>
        <w:textAlignment w:val="auto"/>
        <w:rPr>
          <w:rFonts w:hint="default" w:ascii="Calibri" w:hAnsi="Calibri" w:eastAsia="宋体" w:cs="Calibri"/>
          <w:color w:val="000000"/>
          <w:sz w:val="24"/>
        </w:rPr>
      </w:pPr>
      <w:r>
        <w:rPr>
          <w:rFonts w:hint="eastAsia" w:ascii="Calibri" w:hAnsi="Calibri" w:eastAsia="宋体" w:cs="Calibri"/>
          <w:color w:val="000000"/>
          <w:sz w:val="24"/>
          <w:lang w:eastAsia="zh-CN"/>
        </w:rPr>
        <w:t>（</w:t>
      </w:r>
      <w:r>
        <w:rPr>
          <w:rFonts w:hint="eastAsia" w:ascii="Calibri" w:hAnsi="Calibri" w:eastAsia="宋体" w:cs="Calibri"/>
          <w:color w:val="000000"/>
          <w:sz w:val="24"/>
          <w:lang w:val="en-US" w:eastAsia="zh-CN"/>
        </w:rPr>
        <w:t>2</w:t>
      </w:r>
      <w:r>
        <w:rPr>
          <w:rFonts w:hint="eastAsia" w:ascii="Calibri" w:hAnsi="Calibri" w:eastAsia="宋体" w:cs="Calibri"/>
          <w:color w:val="000000"/>
          <w:sz w:val="24"/>
          <w:lang w:eastAsia="zh-CN"/>
        </w:rPr>
        <w:t>）</w:t>
      </w:r>
      <w:r>
        <w:rPr>
          <w:rFonts w:hint="default" w:ascii="Calibri" w:hAnsi="Calibri" w:eastAsia="宋体" w:cs="Calibri"/>
          <w:color w:val="000000"/>
          <w:sz w:val="24"/>
        </w:rPr>
        <w:t>《中华人民共和国环境影响评价法》</w:t>
      </w:r>
      <w:r>
        <w:rPr>
          <w:rFonts w:hint="eastAsia" w:ascii="Calibri" w:hAnsi="Calibri" w:cs="Calibri"/>
          <w:color w:val="000000"/>
          <w:sz w:val="24"/>
          <w:lang w:eastAsia="zh-CN"/>
        </w:rPr>
        <w:t>（</w:t>
      </w:r>
      <w:r>
        <w:rPr>
          <w:rFonts w:hint="default" w:ascii="Calibri" w:hAnsi="Calibri" w:eastAsia="宋体" w:cs="Calibri"/>
          <w:snapToGrid w:val="0"/>
          <w:color w:val="000000"/>
          <w:sz w:val="24"/>
        </w:rPr>
        <w:t>2018年12月29日修订并实施</w:t>
      </w:r>
      <w:r>
        <w:rPr>
          <w:rFonts w:hint="eastAsia" w:ascii="Calibri" w:hAnsi="Calibri" w:cs="Calibri"/>
          <w:snapToGrid w:val="0"/>
          <w:color w:val="000000"/>
          <w:sz w:val="24"/>
          <w:lang w:eastAsia="zh-CN"/>
        </w:rPr>
        <w:t>）</w:t>
      </w:r>
      <w:r>
        <w:rPr>
          <w:rFonts w:hint="default" w:ascii="Calibri" w:hAnsi="Calibri" w:eastAsia="宋体" w:cs="Calibri"/>
          <w:color w:val="000000"/>
          <w:sz w:val="24"/>
        </w:rPr>
        <w:t>；</w:t>
      </w:r>
    </w:p>
    <w:p w14:paraId="5B8CF70E">
      <w:pPr>
        <w:pStyle w:val="7"/>
        <w:pageBreakBefore w:val="0"/>
        <w:widowControl w:val="0"/>
        <w:kinsoku/>
        <w:wordWrap/>
        <w:topLinePunct w:val="0"/>
        <w:bidi w:val="0"/>
        <w:adjustRightInd w:val="0"/>
        <w:snapToGrid w:val="0"/>
        <w:spacing w:line="480" w:lineRule="exact"/>
        <w:ind w:left="0" w:firstLine="480"/>
        <w:textAlignment w:val="auto"/>
        <w:rPr>
          <w:rFonts w:hint="default" w:ascii="Calibri" w:hAnsi="Calibri" w:eastAsia="宋体" w:cs="Calibri"/>
          <w:color w:val="000000"/>
          <w:sz w:val="24"/>
        </w:rPr>
      </w:pPr>
      <w:r>
        <w:rPr>
          <w:rFonts w:hint="eastAsia" w:ascii="Calibri" w:hAnsi="Calibri" w:eastAsia="宋体" w:cs="Calibri"/>
          <w:color w:val="000000"/>
          <w:sz w:val="24"/>
          <w:lang w:eastAsia="zh-CN"/>
        </w:rPr>
        <w:t>（</w:t>
      </w:r>
      <w:r>
        <w:rPr>
          <w:rFonts w:hint="eastAsia" w:ascii="Calibri" w:hAnsi="Calibri" w:eastAsia="宋体" w:cs="Calibri"/>
          <w:color w:val="000000"/>
          <w:sz w:val="24"/>
          <w:lang w:val="en-US" w:eastAsia="zh-CN"/>
        </w:rPr>
        <w:t>3</w:t>
      </w:r>
      <w:r>
        <w:rPr>
          <w:rFonts w:hint="eastAsia" w:ascii="Calibri" w:hAnsi="Calibri" w:eastAsia="宋体" w:cs="Calibri"/>
          <w:color w:val="000000"/>
          <w:sz w:val="24"/>
          <w:lang w:eastAsia="zh-CN"/>
        </w:rPr>
        <w:t>）</w:t>
      </w:r>
      <w:r>
        <w:rPr>
          <w:rFonts w:hint="default" w:ascii="Calibri" w:hAnsi="Calibri" w:eastAsia="宋体" w:cs="Calibri"/>
          <w:snapToGrid w:val="0"/>
          <w:color w:val="000000"/>
          <w:sz w:val="24"/>
        </w:rPr>
        <w:t>《建设项目环境保护管理条例》</w:t>
      </w:r>
      <w:r>
        <w:rPr>
          <w:rFonts w:hint="eastAsia" w:ascii="Calibri" w:hAnsi="Calibri" w:cs="Calibri"/>
          <w:snapToGrid w:val="0"/>
          <w:color w:val="000000"/>
          <w:sz w:val="24"/>
          <w:lang w:eastAsia="zh-CN"/>
        </w:rPr>
        <w:t>（</w:t>
      </w:r>
      <w:r>
        <w:rPr>
          <w:rFonts w:hint="default" w:ascii="Calibri" w:hAnsi="Calibri" w:eastAsia="宋体" w:cs="Calibri"/>
          <w:snapToGrid w:val="0"/>
          <w:color w:val="000000"/>
          <w:sz w:val="24"/>
        </w:rPr>
        <w:t>国务院令</w:t>
      </w:r>
      <w:r>
        <w:rPr>
          <w:rFonts w:hint="default" w:ascii="Calibri" w:hAnsi="Calibri" w:eastAsia="宋体" w:cs="Calibri"/>
          <w:snapToGrid w:val="0"/>
          <w:color w:val="000000"/>
          <w:sz w:val="24"/>
          <w:lang w:eastAsia="zh-CN"/>
        </w:rPr>
        <w:t>〔2017〕682号</w:t>
      </w:r>
      <w:r>
        <w:rPr>
          <w:rFonts w:hint="default" w:ascii="Calibri" w:hAnsi="Calibri" w:eastAsia="宋体" w:cs="Calibri"/>
          <w:snapToGrid w:val="0"/>
          <w:color w:val="000000"/>
          <w:sz w:val="24"/>
        </w:rPr>
        <w:t>，2017年6月21日修订，2017年10月1日起施行</w:t>
      </w:r>
      <w:r>
        <w:rPr>
          <w:rFonts w:hint="eastAsia" w:ascii="Calibri" w:hAnsi="Calibri" w:cs="Calibri"/>
          <w:snapToGrid w:val="0"/>
          <w:color w:val="000000"/>
          <w:sz w:val="24"/>
          <w:lang w:eastAsia="zh-CN"/>
        </w:rPr>
        <w:t>）</w:t>
      </w:r>
      <w:r>
        <w:rPr>
          <w:rFonts w:hint="default" w:ascii="Calibri" w:hAnsi="Calibri" w:eastAsia="宋体" w:cs="Calibri"/>
          <w:snapToGrid w:val="0"/>
          <w:color w:val="000000"/>
          <w:sz w:val="24"/>
        </w:rPr>
        <w:t>；</w:t>
      </w:r>
    </w:p>
    <w:p w14:paraId="4587F7C7">
      <w:pPr>
        <w:pStyle w:val="7"/>
        <w:pageBreakBefore w:val="0"/>
        <w:widowControl w:val="0"/>
        <w:kinsoku/>
        <w:wordWrap/>
        <w:topLinePunct w:val="0"/>
        <w:bidi w:val="0"/>
        <w:adjustRightInd w:val="0"/>
        <w:snapToGrid w:val="0"/>
        <w:spacing w:line="480" w:lineRule="exact"/>
        <w:ind w:left="0" w:firstLine="480"/>
        <w:textAlignment w:val="auto"/>
        <w:rPr>
          <w:rFonts w:hint="default" w:ascii="Calibri" w:hAnsi="Calibri" w:eastAsia="宋体" w:cs="Calibri"/>
          <w:color w:val="000000"/>
          <w:sz w:val="24"/>
        </w:rPr>
      </w:pPr>
      <w:r>
        <w:rPr>
          <w:rFonts w:hint="eastAsia" w:ascii="Calibri" w:hAnsi="Calibri" w:eastAsia="宋体" w:cs="Calibri"/>
          <w:color w:val="000000"/>
          <w:sz w:val="24"/>
          <w:lang w:eastAsia="zh-CN"/>
        </w:rPr>
        <w:t>（</w:t>
      </w:r>
      <w:r>
        <w:rPr>
          <w:rFonts w:hint="eastAsia" w:ascii="Calibri" w:hAnsi="Calibri" w:eastAsia="宋体" w:cs="Calibri"/>
          <w:color w:val="000000"/>
          <w:sz w:val="24"/>
          <w:lang w:val="en-US" w:eastAsia="zh-CN"/>
        </w:rPr>
        <w:t>4</w:t>
      </w:r>
      <w:r>
        <w:rPr>
          <w:rFonts w:hint="eastAsia" w:ascii="Calibri" w:hAnsi="Calibri" w:eastAsia="宋体" w:cs="Calibri"/>
          <w:color w:val="000000"/>
          <w:sz w:val="24"/>
          <w:lang w:eastAsia="zh-CN"/>
        </w:rPr>
        <w:t>）</w:t>
      </w:r>
      <w:r>
        <w:rPr>
          <w:rFonts w:hint="default" w:ascii="Calibri" w:hAnsi="Calibri" w:eastAsia="宋体" w:cs="Calibri"/>
          <w:color w:val="000000"/>
          <w:sz w:val="24"/>
        </w:rPr>
        <w:t>《建设项目环境影响评价分类管理名录</w:t>
      </w:r>
      <w:r>
        <w:rPr>
          <w:rFonts w:hint="eastAsia" w:ascii="Calibri" w:hAnsi="Calibri" w:cs="Calibri"/>
          <w:color w:val="000000"/>
          <w:sz w:val="24"/>
          <w:lang w:eastAsia="zh-CN"/>
        </w:rPr>
        <w:t>（</w:t>
      </w:r>
      <w:r>
        <w:rPr>
          <w:rFonts w:hint="default" w:ascii="Calibri" w:hAnsi="Calibri" w:eastAsia="宋体" w:cs="Calibri"/>
          <w:color w:val="000000"/>
          <w:sz w:val="24"/>
          <w:lang w:val="en-US" w:eastAsia="zh-CN"/>
        </w:rPr>
        <w:t>2021年版</w:t>
      </w:r>
      <w:r>
        <w:rPr>
          <w:rFonts w:hint="eastAsia" w:ascii="Calibri" w:hAnsi="Calibri" w:cs="Calibri"/>
          <w:color w:val="000000"/>
          <w:sz w:val="24"/>
          <w:lang w:val="en-US" w:eastAsia="zh-CN"/>
        </w:rPr>
        <w:t>）</w:t>
      </w:r>
      <w:r>
        <w:rPr>
          <w:rFonts w:hint="default" w:ascii="Calibri" w:hAnsi="Calibri" w:eastAsia="宋体" w:cs="Calibri"/>
          <w:color w:val="000000"/>
          <w:sz w:val="24"/>
        </w:rPr>
        <w:t>》</w:t>
      </w:r>
      <w:r>
        <w:rPr>
          <w:rFonts w:hint="eastAsia" w:ascii="Calibri" w:hAnsi="Calibri" w:cs="Calibri"/>
          <w:color w:val="000000"/>
          <w:sz w:val="24"/>
          <w:lang w:eastAsia="zh-CN"/>
        </w:rPr>
        <w:t>（</w:t>
      </w:r>
      <w:r>
        <w:rPr>
          <w:rFonts w:hint="default" w:ascii="Calibri" w:hAnsi="Calibri" w:eastAsia="宋体" w:cs="Calibri"/>
          <w:color w:val="000000"/>
          <w:sz w:val="24"/>
        </w:rPr>
        <w:t>生态环境部令</w:t>
      </w:r>
      <w:r>
        <w:rPr>
          <w:rFonts w:hint="default" w:ascii="Calibri" w:hAnsi="Calibri" w:eastAsia="宋体" w:cs="Calibri"/>
          <w:color w:val="000000"/>
          <w:sz w:val="24"/>
          <w:lang w:eastAsia="zh-CN"/>
        </w:rPr>
        <w:t>〔2020〕16号</w:t>
      </w:r>
      <w:r>
        <w:rPr>
          <w:rFonts w:hint="default" w:ascii="Calibri" w:hAnsi="Calibri" w:eastAsia="宋体" w:cs="Calibri"/>
          <w:color w:val="000000"/>
          <w:sz w:val="24"/>
        </w:rPr>
        <w:t>，2021年1月1日</w:t>
      </w:r>
      <w:r>
        <w:rPr>
          <w:rFonts w:hint="eastAsia" w:ascii="Calibri" w:hAnsi="Calibri" w:cs="Calibri"/>
          <w:color w:val="000000"/>
          <w:sz w:val="24"/>
          <w:lang w:eastAsia="zh-CN"/>
        </w:rPr>
        <w:t>）</w:t>
      </w:r>
      <w:r>
        <w:rPr>
          <w:rFonts w:hint="default" w:ascii="Calibri" w:hAnsi="Calibri" w:eastAsia="宋体" w:cs="Calibri"/>
          <w:color w:val="000000"/>
          <w:sz w:val="24"/>
        </w:rPr>
        <w:t>；</w:t>
      </w:r>
    </w:p>
    <w:p w14:paraId="24A17F6F">
      <w:pPr>
        <w:pStyle w:val="7"/>
        <w:pageBreakBefore w:val="0"/>
        <w:widowControl w:val="0"/>
        <w:kinsoku/>
        <w:wordWrap/>
        <w:topLinePunct w:val="0"/>
        <w:bidi w:val="0"/>
        <w:adjustRightInd w:val="0"/>
        <w:snapToGrid w:val="0"/>
        <w:spacing w:line="480" w:lineRule="exact"/>
        <w:ind w:left="0" w:firstLine="480"/>
        <w:textAlignment w:val="auto"/>
        <w:rPr>
          <w:rFonts w:hint="default" w:ascii="Calibri" w:hAnsi="Calibri" w:eastAsia="宋体" w:cs="Calibri"/>
          <w:color w:val="000000"/>
          <w:sz w:val="24"/>
        </w:rPr>
      </w:pPr>
      <w:r>
        <w:rPr>
          <w:rFonts w:hint="eastAsia" w:ascii="Calibri" w:hAnsi="Calibri" w:eastAsia="宋体" w:cs="Calibri"/>
          <w:color w:val="000000"/>
          <w:sz w:val="24"/>
          <w:lang w:eastAsia="zh-CN"/>
        </w:rPr>
        <w:t>（</w:t>
      </w:r>
      <w:r>
        <w:rPr>
          <w:rFonts w:hint="eastAsia" w:ascii="Calibri" w:hAnsi="Calibri" w:eastAsia="宋体" w:cs="Calibri"/>
          <w:color w:val="000000"/>
          <w:sz w:val="24"/>
          <w:lang w:val="en-US" w:eastAsia="zh-CN"/>
        </w:rPr>
        <w:t>5</w:t>
      </w:r>
      <w:r>
        <w:rPr>
          <w:rFonts w:hint="eastAsia" w:ascii="Calibri" w:hAnsi="Calibri" w:eastAsia="宋体" w:cs="Calibri"/>
          <w:color w:val="000000"/>
          <w:sz w:val="24"/>
          <w:lang w:eastAsia="zh-CN"/>
        </w:rPr>
        <w:t>）</w:t>
      </w:r>
      <w:r>
        <w:rPr>
          <w:rFonts w:hint="default" w:ascii="Calibri" w:hAnsi="Calibri" w:eastAsia="宋体" w:cs="Calibri"/>
          <w:color w:val="000000"/>
          <w:sz w:val="24"/>
        </w:rPr>
        <w:t>《关于进一步加强环境影响评价管理防范环境风险的通知》</w:t>
      </w:r>
      <w:r>
        <w:rPr>
          <w:rFonts w:hint="eastAsia" w:ascii="Calibri" w:hAnsi="Calibri" w:cs="Calibri"/>
          <w:color w:val="000000"/>
          <w:sz w:val="24"/>
          <w:lang w:eastAsia="zh-CN"/>
        </w:rPr>
        <w:t>（</w:t>
      </w:r>
      <w:r>
        <w:rPr>
          <w:rFonts w:hint="default" w:ascii="Calibri" w:hAnsi="Calibri" w:eastAsia="宋体" w:cs="Calibri"/>
          <w:color w:val="000000"/>
          <w:sz w:val="24"/>
        </w:rPr>
        <w:t>环发</w:t>
      </w:r>
      <w:r>
        <w:rPr>
          <w:rFonts w:hint="default" w:ascii="Calibri" w:hAnsi="Calibri" w:eastAsia="宋体" w:cs="Calibri"/>
          <w:color w:val="000000"/>
          <w:sz w:val="24"/>
          <w:lang w:eastAsia="zh-CN"/>
        </w:rPr>
        <w:t>〔2012〕77号</w:t>
      </w:r>
      <w:r>
        <w:rPr>
          <w:rFonts w:hint="eastAsia" w:ascii="Calibri" w:hAnsi="Calibri" w:cs="Calibri"/>
          <w:color w:val="000000"/>
          <w:sz w:val="24"/>
          <w:lang w:eastAsia="zh-CN"/>
        </w:rPr>
        <w:t>，</w:t>
      </w:r>
      <w:r>
        <w:rPr>
          <w:rFonts w:hint="default" w:ascii="Calibri" w:hAnsi="Calibri" w:eastAsia="宋体" w:cs="Calibri"/>
          <w:color w:val="000000"/>
          <w:sz w:val="24"/>
        </w:rPr>
        <w:t>2012年7月3日起施行</w:t>
      </w:r>
      <w:r>
        <w:rPr>
          <w:rFonts w:hint="eastAsia" w:ascii="Calibri" w:hAnsi="Calibri" w:cs="Calibri"/>
          <w:color w:val="000000"/>
          <w:sz w:val="24"/>
          <w:lang w:eastAsia="zh-CN"/>
        </w:rPr>
        <w:t>）</w:t>
      </w:r>
      <w:r>
        <w:rPr>
          <w:rFonts w:hint="default" w:ascii="Calibri" w:hAnsi="Calibri" w:eastAsia="宋体" w:cs="Calibri"/>
          <w:color w:val="000000"/>
          <w:sz w:val="24"/>
        </w:rPr>
        <w:t>；</w:t>
      </w:r>
    </w:p>
    <w:p w14:paraId="64BEBFDF">
      <w:pPr>
        <w:pStyle w:val="7"/>
        <w:pageBreakBefore w:val="0"/>
        <w:widowControl w:val="0"/>
        <w:kinsoku/>
        <w:wordWrap/>
        <w:topLinePunct w:val="0"/>
        <w:bidi w:val="0"/>
        <w:adjustRightInd w:val="0"/>
        <w:snapToGrid w:val="0"/>
        <w:spacing w:line="480" w:lineRule="exact"/>
        <w:ind w:left="0" w:firstLine="480"/>
        <w:textAlignment w:val="auto"/>
        <w:rPr>
          <w:rFonts w:hint="default" w:ascii="Calibri" w:hAnsi="Calibri" w:eastAsia="宋体" w:cs="Calibri"/>
          <w:color w:val="000000"/>
          <w:sz w:val="24"/>
        </w:rPr>
      </w:pPr>
      <w:r>
        <w:rPr>
          <w:rFonts w:hint="eastAsia" w:ascii="Calibri" w:hAnsi="Calibri" w:eastAsia="宋体" w:cs="Calibri"/>
          <w:color w:val="000000"/>
          <w:sz w:val="24"/>
          <w:lang w:eastAsia="zh-CN"/>
        </w:rPr>
        <w:t>（</w:t>
      </w:r>
      <w:r>
        <w:rPr>
          <w:rFonts w:hint="eastAsia" w:ascii="Calibri" w:hAnsi="Calibri" w:eastAsia="宋体" w:cs="Calibri"/>
          <w:color w:val="000000"/>
          <w:sz w:val="24"/>
          <w:lang w:val="en-US" w:eastAsia="zh-CN"/>
        </w:rPr>
        <w:t>6</w:t>
      </w:r>
      <w:r>
        <w:rPr>
          <w:rFonts w:hint="eastAsia" w:ascii="Calibri" w:hAnsi="Calibri" w:eastAsia="宋体" w:cs="Calibri"/>
          <w:color w:val="000000"/>
          <w:sz w:val="24"/>
          <w:lang w:eastAsia="zh-CN"/>
        </w:rPr>
        <w:t>）</w:t>
      </w:r>
      <w:r>
        <w:rPr>
          <w:rFonts w:hint="default" w:ascii="Calibri" w:hAnsi="Calibri" w:eastAsia="宋体" w:cs="Calibri"/>
          <w:color w:val="000000"/>
          <w:sz w:val="24"/>
        </w:rPr>
        <w:t>《关于进一步加强输变电类建设项目环境保护监管工作的通知》</w:t>
      </w:r>
      <w:r>
        <w:rPr>
          <w:rFonts w:hint="eastAsia" w:ascii="Calibri" w:hAnsi="Calibri" w:cs="Calibri"/>
          <w:color w:val="000000"/>
          <w:sz w:val="24"/>
          <w:lang w:eastAsia="zh-CN"/>
        </w:rPr>
        <w:t>（</w:t>
      </w:r>
      <w:r>
        <w:rPr>
          <w:rFonts w:hint="default" w:ascii="Calibri" w:hAnsi="Calibri" w:eastAsia="宋体" w:cs="Calibri"/>
          <w:color w:val="000000"/>
          <w:sz w:val="24"/>
        </w:rPr>
        <w:t>环办</w:t>
      </w:r>
      <w:r>
        <w:rPr>
          <w:rFonts w:hint="default" w:ascii="Calibri" w:hAnsi="Calibri" w:eastAsia="宋体" w:cs="Calibri"/>
          <w:color w:val="000000"/>
          <w:sz w:val="24"/>
          <w:lang w:eastAsia="zh-CN"/>
        </w:rPr>
        <w:t>〔2012〕131号</w:t>
      </w:r>
      <w:r>
        <w:rPr>
          <w:rFonts w:hint="default" w:ascii="Calibri" w:hAnsi="Calibri" w:eastAsia="宋体" w:cs="Calibri"/>
          <w:color w:val="000000"/>
          <w:sz w:val="24"/>
        </w:rPr>
        <w:t>，2012年10月26日起施行</w:t>
      </w:r>
      <w:r>
        <w:rPr>
          <w:rFonts w:hint="eastAsia" w:ascii="Calibri" w:hAnsi="Calibri" w:cs="Calibri"/>
          <w:color w:val="000000"/>
          <w:sz w:val="24"/>
          <w:lang w:eastAsia="zh-CN"/>
        </w:rPr>
        <w:t>）</w:t>
      </w:r>
      <w:r>
        <w:rPr>
          <w:rFonts w:hint="default" w:ascii="Calibri" w:hAnsi="Calibri" w:eastAsia="宋体" w:cs="Calibri"/>
          <w:color w:val="000000"/>
          <w:sz w:val="24"/>
        </w:rPr>
        <w:t>；</w:t>
      </w:r>
    </w:p>
    <w:p w14:paraId="4E715687">
      <w:pPr>
        <w:pStyle w:val="7"/>
        <w:pageBreakBefore w:val="0"/>
        <w:widowControl w:val="0"/>
        <w:kinsoku/>
        <w:wordWrap/>
        <w:topLinePunct w:val="0"/>
        <w:bidi w:val="0"/>
        <w:adjustRightInd w:val="0"/>
        <w:snapToGrid w:val="0"/>
        <w:spacing w:line="480" w:lineRule="exact"/>
        <w:ind w:left="0" w:firstLine="480"/>
        <w:textAlignment w:val="auto"/>
        <w:rPr>
          <w:rFonts w:hint="default" w:ascii="Calibri" w:hAnsi="Calibri" w:eastAsia="宋体" w:cs="Calibri"/>
          <w:color w:val="000000"/>
          <w:sz w:val="24"/>
        </w:rPr>
      </w:pPr>
      <w:r>
        <w:rPr>
          <w:rFonts w:hint="eastAsia" w:ascii="Calibri" w:hAnsi="Calibri" w:eastAsia="宋体" w:cs="Calibri"/>
          <w:color w:val="000000"/>
          <w:sz w:val="24"/>
          <w:lang w:eastAsia="zh-CN"/>
        </w:rPr>
        <w:t>（</w:t>
      </w:r>
      <w:r>
        <w:rPr>
          <w:rFonts w:hint="eastAsia" w:ascii="Calibri" w:hAnsi="Calibri" w:eastAsia="宋体" w:cs="Calibri"/>
          <w:color w:val="000000"/>
          <w:sz w:val="24"/>
          <w:lang w:val="en-US" w:eastAsia="zh-CN"/>
        </w:rPr>
        <w:t>7</w:t>
      </w:r>
      <w:r>
        <w:rPr>
          <w:rFonts w:hint="eastAsia" w:ascii="Calibri" w:hAnsi="Calibri" w:eastAsia="宋体" w:cs="Calibri"/>
          <w:color w:val="000000"/>
          <w:sz w:val="24"/>
          <w:lang w:eastAsia="zh-CN"/>
        </w:rPr>
        <w:t>）</w:t>
      </w:r>
      <w:r>
        <w:rPr>
          <w:rFonts w:hint="default" w:ascii="Calibri" w:hAnsi="Calibri" w:eastAsia="宋体" w:cs="Calibri"/>
          <w:snapToGrid w:val="0"/>
          <w:color w:val="000000"/>
          <w:sz w:val="24"/>
        </w:rPr>
        <w:t>《新疆维吾尔自治区环境保护条例》</w:t>
      </w:r>
      <w:r>
        <w:rPr>
          <w:rFonts w:hint="eastAsia" w:ascii="Calibri" w:hAnsi="Calibri" w:cs="Calibri"/>
          <w:snapToGrid w:val="0"/>
          <w:color w:val="000000"/>
          <w:sz w:val="24"/>
          <w:lang w:eastAsia="zh-CN"/>
        </w:rPr>
        <w:t>（</w:t>
      </w:r>
      <w:r>
        <w:rPr>
          <w:rFonts w:hint="default" w:ascii="Calibri" w:hAnsi="Calibri" w:eastAsia="宋体" w:cs="Calibri"/>
          <w:snapToGrid w:val="0"/>
          <w:color w:val="000000"/>
          <w:sz w:val="24"/>
        </w:rPr>
        <w:t>2018年9月21日实施</w:t>
      </w:r>
      <w:r>
        <w:rPr>
          <w:rFonts w:hint="eastAsia" w:ascii="Calibri" w:hAnsi="Calibri" w:cs="Calibri"/>
          <w:snapToGrid w:val="0"/>
          <w:color w:val="000000"/>
          <w:sz w:val="24"/>
          <w:lang w:eastAsia="zh-CN"/>
        </w:rPr>
        <w:t>）</w:t>
      </w:r>
      <w:r>
        <w:rPr>
          <w:rFonts w:hint="default" w:ascii="Calibri" w:hAnsi="Calibri" w:eastAsia="宋体" w:cs="Calibri"/>
          <w:color w:val="000000"/>
          <w:sz w:val="24"/>
          <w:lang w:eastAsia="zh-CN"/>
        </w:rPr>
        <w:t>；</w:t>
      </w:r>
    </w:p>
    <w:p w14:paraId="3D154E64">
      <w:pPr>
        <w:pStyle w:val="7"/>
        <w:pageBreakBefore w:val="0"/>
        <w:widowControl w:val="0"/>
        <w:kinsoku/>
        <w:wordWrap/>
        <w:topLinePunct w:val="0"/>
        <w:bidi w:val="0"/>
        <w:adjustRightInd w:val="0"/>
        <w:snapToGrid w:val="0"/>
        <w:spacing w:line="480" w:lineRule="exact"/>
        <w:ind w:left="0" w:firstLine="480"/>
        <w:textAlignment w:val="auto"/>
        <w:rPr>
          <w:rFonts w:hint="default" w:ascii="Calibri" w:hAnsi="Calibri" w:eastAsia="宋体" w:cs="Calibri"/>
          <w:color w:val="000000"/>
          <w:sz w:val="24"/>
        </w:rPr>
      </w:pPr>
      <w:r>
        <w:rPr>
          <w:rFonts w:hint="eastAsia" w:ascii="Calibri" w:hAnsi="Calibri" w:eastAsia="宋体" w:cs="Calibri"/>
          <w:color w:val="000000"/>
          <w:sz w:val="24"/>
          <w:lang w:eastAsia="zh-CN"/>
        </w:rPr>
        <w:t>（</w:t>
      </w:r>
      <w:r>
        <w:rPr>
          <w:rFonts w:hint="eastAsia" w:ascii="Calibri" w:hAnsi="Calibri" w:eastAsia="宋体" w:cs="Calibri"/>
          <w:color w:val="000000"/>
          <w:sz w:val="24"/>
          <w:lang w:val="en-US" w:eastAsia="zh-CN"/>
        </w:rPr>
        <w:t>8</w:t>
      </w:r>
      <w:r>
        <w:rPr>
          <w:rFonts w:hint="eastAsia" w:ascii="Calibri" w:hAnsi="Calibri" w:eastAsia="宋体" w:cs="Calibri"/>
          <w:color w:val="000000"/>
          <w:sz w:val="24"/>
          <w:lang w:eastAsia="zh-CN"/>
        </w:rPr>
        <w:t>）</w:t>
      </w:r>
      <w:r>
        <w:rPr>
          <w:rFonts w:hint="default" w:ascii="Calibri" w:hAnsi="Calibri" w:eastAsia="宋体" w:cs="Calibri"/>
          <w:color w:val="000000"/>
          <w:sz w:val="24"/>
        </w:rPr>
        <w:t>《新疆维吾尔自治区辐射污染防治办法》</w:t>
      </w:r>
      <w:r>
        <w:rPr>
          <w:rFonts w:hint="eastAsia" w:ascii="Calibri" w:hAnsi="Calibri" w:cs="Calibri"/>
          <w:color w:val="000000"/>
          <w:sz w:val="24"/>
          <w:lang w:eastAsia="zh-CN"/>
        </w:rPr>
        <w:t>（</w:t>
      </w:r>
      <w:r>
        <w:rPr>
          <w:rFonts w:hint="default" w:ascii="Calibri" w:hAnsi="Calibri" w:eastAsia="宋体" w:cs="Calibri"/>
          <w:color w:val="000000"/>
          <w:sz w:val="24"/>
        </w:rPr>
        <w:t>政府令192号，2015年7月1日实施</w:t>
      </w:r>
      <w:r>
        <w:rPr>
          <w:rFonts w:hint="eastAsia" w:ascii="Calibri" w:hAnsi="Calibri" w:cs="Calibri"/>
          <w:color w:val="000000"/>
          <w:sz w:val="24"/>
          <w:lang w:eastAsia="zh-CN"/>
        </w:rPr>
        <w:t>）</w:t>
      </w:r>
      <w:r>
        <w:rPr>
          <w:rFonts w:hint="default" w:ascii="Calibri" w:hAnsi="Calibri" w:eastAsia="宋体" w:cs="Calibri"/>
          <w:color w:val="000000"/>
          <w:sz w:val="24"/>
        </w:rPr>
        <w:t>。</w:t>
      </w:r>
    </w:p>
    <w:p w14:paraId="37A490FE">
      <w:pPr>
        <w:pageBreakBefore w:val="0"/>
        <w:widowControl w:val="0"/>
        <w:kinsoku/>
        <w:wordWrap/>
        <w:topLinePunct w:val="0"/>
        <w:bidi w:val="0"/>
        <w:snapToGrid w:val="0"/>
        <w:spacing w:line="480" w:lineRule="exact"/>
        <w:ind w:left="0"/>
        <w:textAlignment w:val="auto"/>
        <w:outlineLvl w:val="2"/>
        <w:rPr>
          <w:rFonts w:hint="default" w:ascii="Calibri" w:hAnsi="Calibri" w:eastAsia="宋体" w:cs="Calibri"/>
          <w:b/>
          <w:color w:val="000000"/>
          <w:kern w:val="15"/>
          <w:sz w:val="24"/>
        </w:rPr>
      </w:pPr>
      <w:bookmarkStart w:id="73" w:name="_Toc13141"/>
      <w:bookmarkStart w:id="74" w:name="_Toc26520"/>
      <w:bookmarkStart w:id="75" w:name="_Toc6079"/>
      <w:r>
        <w:rPr>
          <w:rFonts w:hint="default" w:ascii="Calibri" w:hAnsi="Calibri" w:eastAsia="宋体" w:cs="Calibri"/>
          <w:b/>
          <w:color w:val="000000"/>
          <w:kern w:val="15"/>
          <w:sz w:val="24"/>
        </w:rPr>
        <w:t>1.3.2相关技术规范、导则</w:t>
      </w:r>
      <w:bookmarkEnd w:id="71"/>
      <w:bookmarkEnd w:id="72"/>
      <w:bookmarkEnd w:id="73"/>
      <w:bookmarkEnd w:id="74"/>
      <w:bookmarkEnd w:id="75"/>
    </w:p>
    <w:p w14:paraId="04B61D34">
      <w:pPr>
        <w:pStyle w:val="7"/>
        <w:pageBreakBefore w:val="0"/>
        <w:widowControl w:val="0"/>
        <w:kinsoku/>
        <w:wordWrap/>
        <w:topLinePunct w:val="0"/>
        <w:bidi w:val="0"/>
        <w:adjustRightInd w:val="0"/>
        <w:snapToGrid w:val="0"/>
        <w:spacing w:line="480" w:lineRule="exact"/>
        <w:ind w:left="0" w:firstLine="480"/>
        <w:textAlignment w:val="auto"/>
        <w:rPr>
          <w:rFonts w:hint="default" w:ascii="Calibri" w:hAnsi="Calibri" w:eastAsia="宋体" w:cs="Calibri"/>
          <w:color w:val="000000"/>
          <w:sz w:val="24"/>
        </w:rPr>
      </w:pPr>
      <w:r>
        <w:rPr>
          <w:rFonts w:hint="eastAsia" w:ascii="Calibri" w:hAnsi="Calibri" w:eastAsia="宋体" w:cs="Calibri"/>
          <w:color w:val="000000"/>
          <w:sz w:val="24"/>
          <w:lang w:eastAsia="zh-CN"/>
        </w:rPr>
        <w:t>（</w:t>
      </w:r>
      <w:r>
        <w:rPr>
          <w:rFonts w:hint="eastAsia" w:ascii="Calibri" w:hAnsi="Calibri" w:eastAsia="宋体" w:cs="Calibri"/>
          <w:color w:val="000000"/>
          <w:sz w:val="24"/>
          <w:lang w:val="en-US" w:eastAsia="zh-CN"/>
        </w:rPr>
        <w:t>1</w:t>
      </w:r>
      <w:r>
        <w:rPr>
          <w:rFonts w:hint="eastAsia" w:ascii="Calibri" w:hAnsi="Calibri" w:eastAsia="宋体" w:cs="Calibri"/>
          <w:color w:val="000000"/>
          <w:sz w:val="24"/>
          <w:lang w:eastAsia="zh-CN"/>
        </w:rPr>
        <w:t>）</w:t>
      </w:r>
      <w:r>
        <w:rPr>
          <w:rFonts w:hint="default" w:ascii="Calibri" w:hAnsi="Calibri" w:eastAsia="宋体" w:cs="Calibri"/>
          <w:color w:val="000000"/>
          <w:sz w:val="24"/>
        </w:rPr>
        <w:t>《建设项目环境影响评价技术导则 总纲》</w:t>
      </w:r>
      <w:r>
        <w:rPr>
          <w:rFonts w:hint="eastAsia" w:ascii="Calibri" w:hAnsi="Calibri" w:cs="Calibri"/>
          <w:color w:val="000000"/>
          <w:sz w:val="24"/>
          <w:lang w:eastAsia="zh-CN"/>
        </w:rPr>
        <w:t>（</w:t>
      </w:r>
      <w:r>
        <w:rPr>
          <w:rFonts w:hint="default" w:ascii="Calibri" w:hAnsi="Calibri" w:eastAsia="宋体" w:cs="Calibri"/>
          <w:color w:val="000000"/>
          <w:sz w:val="24"/>
        </w:rPr>
        <w:t>HJ2.1-2016</w:t>
      </w:r>
      <w:r>
        <w:rPr>
          <w:rFonts w:hint="eastAsia" w:ascii="Calibri" w:hAnsi="Calibri" w:cs="Calibri"/>
          <w:color w:val="000000"/>
          <w:sz w:val="24"/>
          <w:lang w:eastAsia="zh-CN"/>
        </w:rPr>
        <w:t>）</w:t>
      </w:r>
      <w:r>
        <w:rPr>
          <w:rFonts w:hint="default" w:ascii="Calibri" w:hAnsi="Calibri" w:eastAsia="宋体" w:cs="Calibri"/>
          <w:color w:val="000000"/>
          <w:sz w:val="24"/>
        </w:rPr>
        <w:t>；</w:t>
      </w:r>
    </w:p>
    <w:p w14:paraId="34A32F05">
      <w:pPr>
        <w:pStyle w:val="7"/>
        <w:pageBreakBefore w:val="0"/>
        <w:widowControl w:val="0"/>
        <w:kinsoku/>
        <w:wordWrap/>
        <w:topLinePunct w:val="0"/>
        <w:bidi w:val="0"/>
        <w:adjustRightInd w:val="0"/>
        <w:snapToGrid w:val="0"/>
        <w:spacing w:line="480" w:lineRule="exact"/>
        <w:ind w:left="0" w:firstLine="480"/>
        <w:textAlignment w:val="auto"/>
        <w:rPr>
          <w:rFonts w:hint="default" w:ascii="Calibri" w:hAnsi="Calibri" w:eastAsia="宋体" w:cs="Calibri"/>
          <w:color w:val="000000"/>
          <w:sz w:val="24"/>
        </w:rPr>
      </w:pPr>
      <w:r>
        <w:rPr>
          <w:rFonts w:hint="eastAsia" w:ascii="Calibri" w:hAnsi="Calibri" w:eastAsia="宋体" w:cs="Calibri"/>
          <w:color w:val="000000"/>
          <w:sz w:val="24"/>
          <w:lang w:eastAsia="zh-CN"/>
        </w:rPr>
        <w:t>（</w:t>
      </w:r>
      <w:r>
        <w:rPr>
          <w:rFonts w:hint="eastAsia" w:ascii="Calibri" w:hAnsi="Calibri" w:eastAsia="宋体" w:cs="Calibri"/>
          <w:color w:val="000000"/>
          <w:sz w:val="24"/>
          <w:lang w:val="en-US" w:eastAsia="zh-CN"/>
        </w:rPr>
        <w:t>2</w:t>
      </w:r>
      <w:r>
        <w:rPr>
          <w:rFonts w:hint="eastAsia" w:ascii="Calibri" w:hAnsi="Calibri" w:eastAsia="宋体" w:cs="Calibri"/>
          <w:color w:val="000000"/>
          <w:sz w:val="24"/>
          <w:lang w:eastAsia="zh-CN"/>
        </w:rPr>
        <w:t>）</w:t>
      </w:r>
      <w:r>
        <w:rPr>
          <w:rFonts w:hint="default" w:ascii="Calibri" w:hAnsi="Calibri" w:eastAsia="宋体" w:cs="Calibri"/>
          <w:color w:val="000000"/>
          <w:sz w:val="24"/>
        </w:rPr>
        <w:t>《环境影响评价技术导则 输变电》</w:t>
      </w:r>
      <w:r>
        <w:rPr>
          <w:rFonts w:hint="eastAsia" w:ascii="Calibri" w:hAnsi="Calibri" w:cs="Calibri"/>
          <w:color w:val="000000"/>
          <w:sz w:val="24"/>
          <w:lang w:eastAsia="zh-CN"/>
        </w:rPr>
        <w:t>（</w:t>
      </w:r>
      <w:r>
        <w:rPr>
          <w:rFonts w:hint="default" w:ascii="Calibri" w:hAnsi="Calibri" w:eastAsia="宋体" w:cs="Calibri"/>
          <w:color w:val="000000"/>
          <w:sz w:val="24"/>
        </w:rPr>
        <w:t>HJ24-20</w:t>
      </w:r>
      <w:r>
        <w:rPr>
          <w:rFonts w:hint="default" w:ascii="Calibri" w:hAnsi="Calibri" w:eastAsia="宋体" w:cs="Calibri"/>
          <w:color w:val="000000"/>
          <w:sz w:val="24"/>
          <w:lang w:val="en-US" w:eastAsia="zh-CN"/>
        </w:rPr>
        <w:t>20</w:t>
      </w:r>
      <w:r>
        <w:rPr>
          <w:rFonts w:hint="eastAsia" w:ascii="Calibri" w:hAnsi="Calibri" w:cs="Calibri"/>
          <w:color w:val="000000"/>
          <w:sz w:val="24"/>
          <w:lang w:val="en-US" w:eastAsia="zh-CN"/>
        </w:rPr>
        <w:t>）</w:t>
      </w:r>
      <w:r>
        <w:rPr>
          <w:rFonts w:hint="default" w:ascii="Calibri" w:hAnsi="Calibri" w:eastAsia="宋体" w:cs="Calibri"/>
          <w:color w:val="000000"/>
          <w:sz w:val="24"/>
        </w:rPr>
        <w:t>；</w:t>
      </w:r>
    </w:p>
    <w:p w14:paraId="5278E767">
      <w:pPr>
        <w:pStyle w:val="7"/>
        <w:pageBreakBefore w:val="0"/>
        <w:widowControl w:val="0"/>
        <w:kinsoku/>
        <w:wordWrap/>
        <w:topLinePunct w:val="0"/>
        <w:bidi w:val="0"/>
        <w:adjustRightInd w:val="0"/>
        <w:snapToGrid w:val="0"/>
        <w:spacing w:line="480" w:lineRule="exact"/>
        <w:ind w:left="0" w:firstLine="480"/>
        <w:textAlignment w:val="auto"/>
        <w:rPr>
          <w:rFonts w:hint="default" w:ascii="Calibri" w:hAnsi="Calibri" w:eastAsia="宋体" w:cs="Calibri"/>
          <w:color w:val="000000"/>
          <w:sz w:val="24"/>
        </w:rPr>
      </w:pPr>
      <w:r>
        <w:rPr>
          <w:rFonts w:hint="eastAsia" w:ascii="Calibri" w:hAnsi="Calibri" w:eastAsia="宋体" w:cs="Calibri"/>
          <w:color w:val="000000"/>
          <w:sz w:val="24"/>
          <w:lang w:eastAsia="zh-CN"/>
        </w:rPr>
        <w:t>（</w:t>
      </w:r>
      <w:r>
        <w:rPr>
          <w:rFonts w:hint="eastAsia" w:ascii="Calibri" w:hAnsi="Calibri" w:eastAsia="宋体" w:cs="Calibri"/>
          <w:color w:val="000000"/>
          <w:sz w:val="24"/>
          <w:lang w:val="en-US" w:eastAsia="zh-CN"/>
        </w:rPr>
        <w:t>3</w:t>
      </w:r>
      <w:r>
        <w:rPr>
          <w:rFonts w:hint="eastAsia" w:ascii="Calibri" w:hAnsi="Calibri" w:eastAsia="宋体" w:cs="Calibri"/>
          <w:color w:val="000000"/>
          <w:sz w:val="24"/>
          <w:lang w:eastAsia="zh-CN"/>
        </w:rPr>
        <w:t>）</w:t>
      </w:r>
      <w:r>
        <w:rPr>
          <w:rFonts w:hint="default" w:ascii="Calibri" w:hAnsi="Calibri" w:eastAsia="宋体" w:cs="Calibri"/>
          <w:color w:val="000000"/>
          <w:sz w:val="24"/>
        </w:rPr>
        <w:t>《电磁环境控制限值》</w:t>
      </w:r>
      <w:r>
        <w:rPr>
          <w:rFonts w:hint="eastAsia" w:ascii="Calibri" w:hAnsi="Calibri" w:cs="Calibri"/>
          <w:color w:val="000000"/>
          <w:sz w:val="24"/>
          <w:lang w:eastAsia="zh-CN"/>
        </w:rPr>
        <w:t>（</w:t>
      </w:r>
      <w:r>
        <w:rPr>
          <w:rFonts w:hint="default" w:ascii="Calibri" w:hAnsi="Calibri" w:eastAsia="宋体" w:cs="Calibri"/>
          <w:color w:val="000000"/>
          <w:sz w:val="24"/>
        </w:rPr>
        <w:t>GB8702-2014</w:t>
      </w:r>
      <w:r>
        <w:rPr>
          <w:rFonts w:hint="eastAsia" w:ascii="Calibri" w:hAnsi="Calibri" w:cs="Calibri"/>
          <w:color w:val="000000"/>
          <w:sz w:val="24"/>
          <w:lang w:eastAsia="zh-CN"/>
        </w:rPr>
        <w:t>）</w:t>
      </w:r>
      <w:r>
        <w:rPr>
          <w:rFonts w:hint="default" w:ascii="Calibri" w:hAnsi="Calibri" w:eastAsia="宋体" w:cs="Calibri"/>
          <w:color w:val="000000"/>
          <w:sz w:val="24"/>
        </w:rPr>
        <w:t>；</w:t>
      </w:r>
    </w:p>
    <w:p w14:paraId="6F789AE1">
      <w:pPr>
        <w:pStyle w:val="7"/>
        <w:pageBreakBefore w:val="0"/>
        <w:widowControl w:val="0"/>
        <w:kinsoku/>
        <w:wordWrap/>
        <w:topLinePunct w:val="0"/>
        <w:bidi w:val="0"/>
        <w:adjustRightInd w:val="0"/>
        <w:snapToGrid w:val="0"/>
        <w:spacing w:line="480" w:lineRule="exact"/>
        <w:ind w:left="0" w:firstLine="480"/>
        <w:textAlignment w:val="auto"/>
        <w:rPr>
          <w:rFonts w:hint="default" w:ascii="Calibri" w:hAnsi="Calibri" w:eastAsia="宋体" w:cs="Calibri"/>
          <w:color w:val="000000"/>
          <w:sz w:val="24"/>
        </w:rPr>
      </w:pPr>
      <w:r>
        <w:rPr>
          <w:rFonts w:hint="eastAsia" w:ascii="Calibri" w:hAnsi="Calibri" w:eastAsia="宋体" w:cs="Calibri"/>
          <w:color w:val="000000"/>
          <w:sz w:val="24"/>
          <w:lang w:eastAsia="zh-CN"/>
        </w:rPr>
        <w:t>（</w:t>
      </w:r>
      <w:r>
        <w:rPr>
          <w:rFonts w:hint="eastAsia" w:ascii="Calibri" w:hAnsi="Calibri" w:eastAsia="宋体" w:cs="Calibri"/>
          <w:color w:val="000000"/>
          <w:sz w:val="24"/>
          <w:lang w:val="en-US" w:eastAsia="zh-CN"/>
        </w:rPr>
        <w:t>4</w:t>
      </w:r>
      <w:r>
        <w:rPr>
          <w:rFonts w:hint="eastAsia" w:ascii="Calibri" w:hAnsi="Calibri" w:eastAsia="宋体" w:cs="Calibri"/>
          <w:color w:val="000000"/>
          <w:sz w:val="24"/>
          <w:lang w:eastAsia="zh-CN"/>
        </w:rPr>
        <w:t>）</w:t>
      </w:r>
      <w:r>
        <w:rPr>
          <w:rFonts w:hint="default" w:ascii="Calibri" w:hAnsi="Calibri" w:eastAsia="宋体" w:cs="Calibri"/>
          <w:color w:val="000000"/>
          <w:sz w:val="24"/>
        </w:rPr>
        <w:t>《交流输变电工程电磁环境监测方法</w:t>
      </w:r>
      <w:r>
        <w:rPr>
          <w:rFonts w:hint="eastAsia" w:ascii="Calibri" w:hAnsi="Calibri" w:cs="Calibri"/>
          <w:color w:val="000000"/>
          <w:sz w:val="24"/>
          <w:lang w:eastAsia="zh-CN"/>
        </w:rPr>
        <w:t>（</w:t>
      </w:r>
      <w:r>
        <w:rPr>
          <w:rFonts w:hint="default" w:ascii="Calibri" w:hAnsi="Calibri" w:eastAsia="宋体" w:cs="Calibri"/>
          <w:color w:val="000000"/>
          <w:sz w:val="24"/>
        </w:rPr>
        <w:t>试行</w:t>
      </w:r>
      <w:r>
        <w:rPr>
          <w:rFonts w:hint="eastAsia" w:ascii="Calibri" w:hAnsi="Calibri" w:cs="Calibri"/>
          <w:color w:val="000000"/>
          <w:sz w:val="24"/>
          <w:lang w:eastAsia="zh-CN"/>
        </w:rPr>
        <w:t>）</w:t>
      </w:r>
      <w:r>
        <w:rPr>
          <w:rFonts w:hint="default" w:ascii="Calibri" w:hAnsi="Calibri" w:eastAsia="宋体" w:cs="Calibri"/>
          <w:color w:val="000000"/>
          <w:sz w:val="24"/>
        </w:rPr>
        <w:t>》</w:t>
      </w:r>
      <w:r>
        <w:rPr>
          <w:rFonts w:hint="eastAsia" w:ascii="Calibri" w:hAnsi="Calibri" w:cs="Calibri"/>
          <w:color w:val="000000"/>
          <w:sz w:val="24"/>
          <w:lang w:eastAsia="zh-CN"/>
        </w:rPr>
        <w:t>（</w:t>
      </w:r>
      <w:r>
        <w:rPr>
          <w:rFonts w:hint="default" w:ascii="Calibri" w:hAnsi="Calibri" w:eastAsia="宋体" w:cs="Calibri"/>
          <w:color w:val="000000"/>
          <w:sz w:val="24"/>
        </w:rPr>
        <w:t>HJ681-2013</w:t>
      </w:r>
      <w:r>
        <w:rPr>
          <w:rFonts w:hint="eastAsia" w:ascii="Calibri" w:hAnsi="Calibri" w:cs="Calibri"/>
          <w:color w:val="000000"/>
          <w:sz w:val="24"/>
          <w:lang w:eastAsia="zh-CN"/>
        </w:rPr>
        <w:t>）</w:t>
      </w:r>
      <w:r>
        <w:rPr>
          <w:rFonts w:hint="default" w:ascii="Calibri" w:hAnsi="Calibri" w:eastAsia="宋体" w:cs="Calibri"/>
          <w:color w:val="000000"/>
          <w:sz w:val="24"/>
        </w:rPr>
        <w:t>；</w:t>
      </w:r>
    </w:p>
    <w:p w14:paraId="38BEC09D">
      <w:pPr>
        <w:pStyle w:val="7"/>
        <w:pageBreakBefore w:val="0"/>
        <w:widowControl w:val="0"/>
        <w:kinsoku/>
        <w:wordWrap/>
        <w:topLinePunct w:val="0"/>
        <w:bidi w:val="0"/>
        <w:adjustRightInd w:val="0"/>
        <w:snapToGrid w:val="0"/>
        <w:spacing w:line="480" w:lineRule="exact"/>
        <w:ind w:left="0" w:firstLine="480"/>
        <w:textAlignment w:val="auto"/>
        <w:rPr>
          <w:rFonts w:hint="default" w:ascii="Calibri" w:hAnsi="Calibri" w:eastAsia="宋体" w:cs="Calibri"/>
          <w:snapToGrid w:val="0"/>
          <w:color w:val="000000"/>
          <w:sz w:val="24"/>
        </w:rPr>
      </w:pPr>
      <w:r>
        <w:rPr>
          <w:rFonts w:hint="eastAsia" w:ascii="Calibri" w:hAnsi="Calibri" w:eastAsia="宋体" w:cs="Calibri"/>
          <w:color w:val="000000"/>
          <w:sz w:val="24"/>
          <w:lang w:eastAsia="zh-CN"/>
        </w:rPr>
        <w:t>（</w:t>
      </w:r>
      <w:r>
        <w:rPr>
          <w:rFonts w:hint="eastAsia" w:ascii="Calibri" w:hAnsi="Calibri" w:eastAsia="宋体" w:cs="Calibri"/>
          <w:color w:val="000000"/>
          <w:sz w:val="24"/>
          <w:lang w:val="en-US" w:eastAsia="zh-CN"/>
        </w:rPr>
        <w:t>5</w:t>
      </w:r>
      <w:r>
        <w:rPr>
          <w:rFonts w:hint="eastAsia" w:ascii="Calibri" w:hAnsi="Calibri" w:eastAsia="宋体" w:cs="Calibri"/>
          <w:color w:val="000000"/>
          <w:sz w:val="24"/>
          <w:lang w:eastAsia="zh-CN"/>
        </w:rPr>
        <w:t>）</w:t>
      </w:r>
      <w:r>
        <w:rPr>
          <w:rFonts w:hint="default" w:ascii="Calibri" w:hAnsi="Calibri" w:eastAsia="宋体" w:cs="Calibri"/>
          <w:color w:val="000000"/>
          <w:sz w:val="24"/>
        </w:rPr>
        <w:t>《输变电建设项目环境保护技术要求》</w:t>
      </w:r>
      <w:r>
        <w:rPr>
          <w:rFonts w:hint="eastAsia" w:ascii="Calibri" w:hAnsi="Calibri" w:cs="Calibri"/>
          <w:color w:val="000000"/>
          <w:sz w:val="24"/>
          <w:lang w:eastAsia="zh-CN"/>
        </w:rPr>
        <w:t>（</w:t>
      </w:r>
      <w:r>
        <w:rPr>
          <w:rFonts w:hint="default" w:ascii="Calibri" w:hAnsi="Calibri" w:eastAsia="宋体" w:cs="Calibri"/>
          <w:color w:val="000000"/>
          <w:sz w:val="24"/>
        </w:rPr>
        <w:t>HJ1113-2020</w:t>
      </w:r>
      <w:r>
        <w:rPr>
          <w:rFonts w:hint="eastAsia" w:ascii="Calibri" w:hAnsi="Calibri" w:cs="Calibri"/>
          <w:color w:val="000000"/>
          <w:sz w:val="24"/>
          <w:lang w:eastAsia="zh-CN"/>
        </w:rPr>
        <w:t>）</w:t>
      </w:r>
      <w:r>
        <w:rPr>
          <w:rFonts w:hint="default" w:ascii="Calibri" w:hAnsi="Calibri" w:eastAsia="宋体" w:cs="Calibri"/>
          <w:color w:val="000000"/>
          <w:sz w:val="24"/>
        </w:rPr>
        <w:t>。</w:t>
      </w:r>
      <w:bookmarkStart w:id="76" w:name="_Toc31634"/>
    </w:p>
    <w:p w14:paraId="27ED430F">
      <w:pPr>
        <w:pStyle w:val="4"/>
        <w:pageBreakBefore w:val="0"/>
        <w:widowControl w:val="0"/>
        <w:kinsoku/>
        <w:wordWrap/>
        <w:topLinePunct w:val="0"/>
        <w:bidi w:val="0"/>
        <w:adjustRightInd w:val="0"/>
        <w:snapToGrid w:val="0"/>
        <w:spacing w:before="0" w:beforeLines="0" w:after="0" w:afterLines="0" w:line="480" w:lineRule="exact"/>
        <w:ind w:left="0"/>
        <w:textAlignment w:val="auto"/>
        <w:rPr>
          <w:rFonts w:hint="default" w:ascii="Calibri" w:hAnsi="Calibri" w:eastAsia="宋体" w:cs="Calibri"/>
          <w:color w:val="000000"/>
          <w:sz w:val="28"/>
        </w:rPr>
      </w:pPr>
      <w:bookmarkStart w:id="77" w:name="_Toc30747"/>
      <w:bookmarkStart w:id="78" w:name="_Toc19282"/>
      <w:bookmarkStart w:id="79" w:name="_Toc31263"/>
      <w:r>
        <w:rPr>
          <w:rFonts w:hint="default" w:ascii="Calibri" w:hAnsi="Calibri" w:eastAsia="宋体" w:cs="Calibri"/>
          <w:color w:val="000000"/>
          <w:sz w:val="28"/>
        </w:rPr>
        <w:t>1.4评价因子、评价等级、评价范围</w:t>
      </w:r>
      <w:bookmarkEnd w:id="76"/>
      <w:bookmarkEnd w:id="77"/>
      <w:bookmarkEnd w:id="78"/>
      <w:bookmarkEnd w:id="79"/>
    </w:p>
    <w:p w14:paraId="7C6B95C0">
      <w:pPr>
        <w:pStyle w:val="7"/>
        <w:pageBreakBefore w:val="0"/>
        <w:widowControl w:val="0"/>
        <w:kinsoku/>
        <w:wordWrap/>
        <w:topLinePunct w:val="0"/>
        <w:bidi w:val="0"/>
        <w:adjustRightInd w:val="0"/>
        <w:snapToGrid w:val="0"/>
        <w:spacing w:line="480" w:lineRule="exact"/>
        <w:ind w:left="0" w:firstLine="480"/>
        <w:textAlignment w:val="auto"/>
        <w:rPr>
          <w:rFonts w:hint="default" w:ascii="Calibri" w:hAnsi="Calibri" w:eastAsia="宋体" w:cs="Calibri"/>
          <w:color w:val="000000"/>
          <w:sz w:val="24"/>
        </w:rPr>
      </w:pPr>
      <w:r>
        <w:rPr>
          <w:rFonts w:hint="eastAsia" w:ascii="Calibri" w:hAnsi="Calibri" w:eastAsia="宋体" w:cs="Calibri"/>
          <w:color w:val="000000"/>
          <w:sz w:val="24"/>
          <w:lang w:eastAsia="zh-CN"/>
        </w:rPr>
        <w:t>（</w:t>
      </w:r>
      <w:r>
        <w:rPr>
          <w:rFonts w:hint="eastAsia" w:ascii="Calibri" w:hAnsi="Calibri" w:eastAsia="宋体" w:cs="Calibri"/>
          <w:color w:val="000000"/>
          <w:sz w:val="24"/>
          <w:lang w:val="en-US" w:eastAsia="zh-CN"/>
        </w:rPr>
        <w:t>1</w:t>
      </w:r>
      <w:r>
        <w:rPr>
          <w:rFonts w:hint="eastAsia" w:ascii="Calibri" w:hAnsi="Calibri" w:eastAsia="宋体" w:cs="Calibri"/>
          <w:color w:val="000000"/>
          <w:sz w:val="24"/>
          <w:lang w:eastAsia="zh-CN"/>
        </w:rPr>
        <w:t>）</w:t>
      </w:r>
      <w:r>
        <w:rPr>
          <w:rFonts w:hint="default" w:ascii="Calibri" w:hAnsi="Calibri" w:eastAsia="宋体" w:cs="Calibri"/>
          <w:color w:val="000000"/>
          <w:sz w:val="24"/>
        </w:rPr>
        <w:t>评价因子</w:t>
      </w:r>
    </w:p>
    <w:p w14:paraId="598D21CF">
      <w:pPr>
        <w:pStyle w:val="7"/>
        <w:pageBreakBefore w:val="0"/>
        <w:widowControl w:val="0"/>
        <w:kinsoku/>
        <w:wordWrap/>
        <w:topLinePunct w:val="0"/>
        <w:bidi w:val="0"/>
        <w:adjustRightInd w:val="0"/>
        <w:snapToGrid w:val="0"/>
        <w:spacing w:line="480" w:lineRule="exact"/>
        <w:ind w:left="0" w:firstLine="480"/>
        <w:textAlignment w:val="auto"/>
        <w:rPr>
          <w:rFonts w:hint="default" w:ascii="Calibri" w:hAnsi="Calibri" w:eastAsia="宋体" w:cs="Calibri"/>
          <w:color w:val="000000"/>
          <w:sz w:val="24"/>
        </w:rPr>
      </w:pPr>
      <w:r>
        <w:rPr>
          <w:rFonts w:hint="default" w:ascii="Calibri" w:hAnsi="Calibri" w:eastAsia="宋体" w:cs="Calibri"/>
          <w:color w:val="000000"/>
          <w:sz w:val="24"/>
          <w:lang w:eastAsia="zh-CN"/>
        </w:rPr>
        <w:t>本项目</w:t>
      </w:r>
      <w:r>
        <w:rPr>
          <w:rFonts w:hint="default" w:ascii="Calibri" w:hAnsi="Calibri" w:eastAsia="宋体" w:cs="Calibri"/>
          <w:color w:val="000000"/>
          <w:sz w:val="24"/>
        </w:rPr>
        <w:t>为输变电类项目，运行过程中会对周围电磁环境产生影响，其主要污染因子为工频电场和工频磁场，因此，选择工频电场和工频磁场作为本专题评价因子。</w:t>
      </w:r>
    </w:p>
    <w:p w14:paraId="59C2B657">
      <w:pPr>
        <w:pStyle w:val="7"/>
        <w:pageBreakBefore w:val="0"/>
        <w:widowControl w:val="0"/>
        <w:kinsoku/>
        <w:wordWrap/>
        <w:topLinePunct w:val="0"/>
        <w:bidi w:val="0"/>
        <w:adjustRightInd w:val="0"/>
        <w:snapToGrid w:val="0"/>
        <w:spacing w:line="480" w:lineRule="exact"/>
        <w:ind w:left="0" w:firstLine="480"/>
        <w:textAlignment w:val="auto"/>
        <w:rPr>
          <w:rFonts w:hint="default" w:ascii="Calibri" w:hAnsi="Calibri" w:eastAsia="宋体" w:cs="Calibri"/>
          <w:color w:val="000000"/>
          <w:sz w:val="24"/>
        </w:rPr>
      </w:pPr>
      <w:r>
        <w:rPr>
          <w:rFonts w:hint="eastAsia" w:ascii="Calibri" w:hAnsi="Calibri" w:eastAsia="宋体" w:cs="Calibri"/>
          <w:color w:val="000000"/>
          <w:sz w:val="24"/>
          <w:lang w:eastAsia="zh-CN"/>
        </w:rPr>
        <w:t>（</w:t>
      </w:r>
      <w:r>
        <w:rPr>
          <w:rFonts w:hint="eastAsia" w:ascii="Calibri" w:hAnsi="Calibri" w:eastAsia="宋体" w:cs="Calibri"/>
          <w:color w:val="000000"/>
          <w:sz w:val="24"/>
          <w:lang w:val="en-US" w:eastAsia="zh-CN"/>
        </w:rPr>
        <w:t>2</w:t>
      </w:r>
      <w:r>
        <w:rPr>
          <w:rFonts w:hint="eastAsia" w:ascii="Calibri" w:hAnsi="Calibri" w:eastAsia="宋体" w:cs="Calibri"/>
          <w:color w:val="000000"/>
          <w:sz w:val="24"/>
          <w:lang w:eastAsia="zh-CN"/>
        </w:rPr>
        <w:t>）</w:t>
      </w:r>
      <w:r>
        <w:rPr>
          <w:rFonts w:hint="default" w:ascii="Calibri" w:hAnsi="Calibri" w:eastAsia="宋体" w:cs="Calibri"/>
          <w:color w:val="000000"/>
          <w:sz w:val="24"/>
        </w:rPr>
        <w:t>评价等级</w:t>
      </w:r>
    </w:p>
    <w:p w14:paraId="76C4EF44">
      <w:pPr>
        <w:pageBreakBefore w:val="0"/>
        <w:widowControl w:val="0"/>
        <w:kinsoku/>
        <w:wordWrap/>
        <w:topLinePunct w:val="0"/>
        <w:bidi w:val="0"/>
        <w:adjustRightInd w:val="0"/>
        <w:snapToGrid w:val="0"/>
        <w:spacing w:line="480" w:lineRule="exact"/>
        <w:ind w:left="0" w:firstLine="480" w:firstLineChars="200"/>
        <w:jc w:val="left"/>
        <w:textAlignment w:val="auto"/>
        <w:rPr>
          <w:rFonts w:hint="default" w:ascii="Calibri" w:hAnsi="Calibri" w:eastAsia="宋体" w:cs="Calibri"/>
          <w:color w:val="000000"/>
          <w:sz w:val="24"/>
        </w:rPr>
      </w:pPr>
      <w:r>
        <w:rPr>
          <w:rFonts w:hint="default" w:ascii="Calibri" w:hAnsi="Calibri" w:eastAsia="宋体" w:cs="Calibri"/>
          <w:color w:val="000000"/>
          <w:sz w:val="24"/>
          <w:lang w:eastAsia="zh-CN"/>
        </w:rPr>
        <w:t>本项目</w:t>
      </w:r>
      <w:r>
        <w:rPr>
          <w:rFonts w:hint="default" w:ascii="Calibri" w:hAnsi="Calibri" w:eastAsia="宋体" w:cs="Calibri"/>
          <w:color w:val="000000"/>
          <w:sz w:val="24"/>
        </w:rPr>
        <w:t>变电站为户外式变电站，</w:t>
      </w:r>
      <w:r>
        <w:rPr>
          <w:rFonts w:hint="default" w:ascii="Calibri" w:hAnsi="Calibri" w:eastAsia="宋体" w:cs="Calibri"/>
          <w:color w:val="000000"/>
          <w:sz w:val="24"/>
          <w:lang w:val="en-US" w:eastAsia="zh-CN"/>
        </w:rPr>
        <w:t>110kV输电</w:t>
      </w:r>
      <w:r>
        <w:rPr>
          <w:rFonts w:hint="default" w:ascii="Calibri" w:hAnsi="Calibri" w:eastAsia="宋体" w:cs="Calibri"/>
          <w:color w:val="000000"/>
          <w:sz w:val="24"/>
        </w:rPr>
        <w:t>线路边导线地面投影外两侧1</w:t>
      </w:r>
      <w:r>
        <w:rPr>
          <w:rFonts w:hint="default" w:ascii="Calibri" w:hAnsi="Calibri" w:eastAsia="宋体" w:cs="Calibri"/>
          <w:color w:val="000000"/>
          <w:sz w:val="24"/>
          <w:lang w:val="en-US" w:eastAsia="zh-CN"/>
        </w:rPr>
        <w:t>0</w:t>
      </w:r>
      <w:r>
        <w:rPr>
          <w:rFonts w:hint="default" w:ascii="Calibri" w:hAnsi="Calibri" w:eastAsia="宋体" w:cs="Calibri"/>
          <w:color w:val="000000"/>
          <w:sz w:val="24"/>
        </w:rPr>
        <w:t>m范围内</w:t>
      </w:r>
      <w:r>
        <w:rPr>
          <w:rFonts w:hint="default" w:ascii="Calibri" w:hAnsi="Calibri" w:eastAsia="宋体" w:cs="Calibri"/>
          <w:color w:val="000000"/>
          <w:sz w:val="24"/>
          <w:lang w:val="en-US" w:eastAsia="zh-CN"/>
        </w:rPr>
        <w:t>无</w:t>
      </w:r>
      <w:r>
        <w:rPr>
          <w:rFonts w:hint="default" w:ascii="Calibri" w:hAnsi="Calibri" w:eastAsia="宋体" w:cs="Calibri"/>
          <w:color w:val="000000"/>
          <w:sz w:val="24"/>
        </w:rPr>
        <w:t>电磁环境敏感目标</w:t>
      </w:r>
      <w:r>
        <w:rPr>
          <w:rFonts w:hint="default" w:ascii="Calibri" w:hAnsi="Calibri" w:eastAsia="宋体" w:cs="Calibri"/>
          <w:color w:val="000000"/>
          <w:sz w:val="24"/>
          <w:lang w:eastAsia="zh-CN"/>
        </w:rPr>
        <w:t>。</w:t>
      </w:r>
      <w:r>
        <w:rPr>
          <w:rFonts w:hint="default" w:ascii="Calibri" w:hAnsi="Calibri" w:eastAsia="宋体" w:cs="Calibri"/>
          <w:color w:val="000000"/>
          <w:sz w:val="24"/>
        </w:rPr>
        <w:t>根据《环境影响评价技术导则 输变电》</w:t>
      </w:r>
      <w:r>
        <w:rPr>
          <w:rFonts w:hint="eastAsia" w:ascii="Calibri" w:hAnsi="Calibri" w:cs="Calibri"/>
          <w:color w:val="000000"/>
          <w:sz w:val="24"/>
          <w:lang w:eastAsia="zh-CN"/>
        </w:rPr>
        <w:t>（</w:t>
      </w:r>
      <w:r>
        <w:rPr>
          <w:rFonts w:hint="default" w:ascii="Calibri" w:hAnsi="Calibri" w:eastAsia="宋体" w:cs="Calibri"/>
          <w:color w:val="000000"/>
          <w:sz w:val="24"/>
        </w:rPr>
        <w:t>HJ24-2020</w:t>
      </w:r>
      <w:r>
        <w:rPr>
          <w:rFonts w:hint="eastAsia" w:ascii="Calibri" w:hAnsi="Calibri" w:cs="Calibri"/>
          <w:color w:val="000000"/>
          <w:sz w:val="24"/>
          <w:lang w:eastAsia="zh-CN"/>
        </w:rPr>
        <w:t>）</w:t>
      </w:r>
      <w:r>
        <w:rPr>
          <w:rFonts w:hint="default" w:ascii="Calibri" w:hAnsi="Calibri" w:eastAsia="宋体" w:cs="Calibri"/>
          <w:color w:val="000000"/>
          <w:sz w:val="24"/>
        </w:rPr>
        <w:t>评价工作等级划分原则，对照表1-1，确定</w:t>
      </w:r>
      <w:r>
        <w:rPr>
          <w:rFonts w:hint="default" w:ascii="Calibri" w:hAnsi="Calibri" w:eastAsia="宋体" w:cs="Calibri"/>
          <w:color w:val="000000"/>
          <w:sz w:val="24"/>
          <w:lang w:eastAsia="zh-CN"/>
        </w:rPr>
        <w:t>本项目</w:t>
      </w:r>
      <w:r>
        <w:rPr>
          <w:rFonts w:hint="default" w:ascii="Calibri" w:hAnsi="Calibri" w:eastAsia="宋体" w:cs="Calibri"/>
          <w:color w:val="000000"/>
          <w:sz w:val="24"/>
        </w:rPr>
        <w:t>变电站电磁环境影响评价等级为二级，输电线路的电磁环境影响评价等级为</w:t>
      </w:r>
      <w:r>
        <w:rPr>
          <w:rFonts w:hint="default" w:ascii="Calibri" w:hAnsi="Calibri" w:eastAsia="宋体" w:cs="Calibri"/>
          <w:color w:val="000000"/>
          <w:sz w:val="24"/>
          <w:lang w:val="en-US" w:eastAsia="zh-CN"/>
        </w:rPr>
        <w:t>三</w:t>
      </w:r>
      <w:r>
        <w:rPr>
          <w:rFonts w:hint="default" w:ascii="Calibri" w:hAnsi="Calibri" w:eastAsia="宋体" w:cs="Calibri"/>
          <w:color w:val="000000"/>
          <w:sz w:val="24"/>
        </w:rPr>
        <w:t>级。</w:t>
      </w:r>
    </w:p>
    <w:p w14:paraId="2346D9E6">
      <w:pPr>
        <w:pageBreakBefore w:val="0"/>
        <w:widowControl w:val="0"/>
        <w:kinsoku/>
        <w:wordWrap/>
        <w:topLinePunct w:val="0"/>
        <w:bidi w:val="0"/>
        <w:adjustRightInd w:val="0"/>
        <w:snapToGrid w:val="0"/>
        <w:spacing w:line="480" w:lineRule="exact"/>
        <w:jc w:val="center"/>
        <w:textAlignment w:val="auto"/>
        <w:rPr>
          <w:rFonts w:hint="default" w:ascii="Calibri" w:hAnsi="Calibri" w:eastAsia="宋体" w:cs="Calibri"/>
          <w:b/>
          <w:color w:val="000000"/>
          <w:sz w:val="24"/>
        </w:rPr>
      </w:pPr>
      <w:r>
        <w:rPr>
          <w:rFonts w:hint="default" w:ascii="Calibri" w:hAnsi="Calibri" w:eastAsia="宋体" w:cs="Calibri"/>
          <w:b/>
          <w:color w:val="000000"/>
          <w:sz w:val="24"/>
        </w:rPr>
        <w:t>表1-1        电磁环境影响评价工作等级划分原则</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fixed"/>
        <w:tblCellMar>
          <w:top w:w="0" w:type="dxa"/>
          <w:left w:w="108" w:type="dxa"/>
          <w:bottom w:w="0" w:type="dxa"/>
          <w:right w:w="108" w:type="dxa"/>
        </w:tblCellMar>
      </w:tblPr>
      <w:tblGrid>
        <w:gridCol w:w="591"/>
        <w:gridCol w:w="958"/>
        <w:gridCol w:w="767"/>
        <w:gridCol w:w="2506"/>
        <w:gridCol w:w="750"/>
        <w:gridCol w:w="2066"/>
        <w:gridCol w:w="734"/>
      </w:tblGrid>
      <w:tr w14:paraId="37A7B0A5">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457" w:hRule="atLeast"/>
          <w:jc w:val="center"/>
        </w:trPr>
        <w:tc>
          <w:tcPr>
            <w:tcW w:w="591" w:type="dxa"/>
            <w:vMerge w:val="restart"/>
            <w:tcBorders>
              <w:tl2br w:val="nil"/>
              <w:tr2bl w:val="nil"/>
            </w:tcBorders>
            <w:noWrap w:val="0"/>
            <w:vAlign w:val="center"/>
          </w:tcPr>
          <w:p w14:paraId="0EDAAE69">
            <w:pPr>
              <w:adjustRightInd w:val="0"/>
              <w:snapToGrid w:val="0"/>
              <w:jc w:val="center"/>
              <w:rPr>
                <w:rFonts w:hint="default" w:ascii="Calibri" w:hAnsi="Calibri" w:eastAsia="宋体" w:cs="Calibri"/>
                <w:color w:val="000000"/>
              </w:rPr>
            </w:pPr>
            <w:r>
              <w:rPr>
                <w:rFonts w:hint="default" w:ascii="Calibri" w:hAnsi="Calibri" w:eastAsia="宋体" w:cs="Calibri"/>
                <w:color w:val="000000"/>
              </w:rPr>
              <w:t>分</w:t>
            </w:r>
          </w:p>
          <w:p w14:paraId="7359A1E9">
            <w:pPr>
              <w:adjustRightInd w:val="0"/>
              <w:snapToGrid w:val="0"/>
              <w:jc w:val="center"/>
              <w:rPr>
                <w:rFonts w:hint="default" w:ascii="Calibri" w:hAnsi="Calibri" w:eastAsia="宋体" w:cs="Calibri"/>
                <w:color w:val="000000"/>
              </w:rPr>
            </w:pPr>
            <w:r>
              <w:rPr>
                <w:rFonts w:hint="default" w:ascii="Calibri" w:hAnsi="Calibri" w:eastAsia="宋体" w:cs="Calibri"/>
                <w:color w:val="000000"/>
              </w:rPr>
              <w:t>类</w:t>
            </w:r>
          </w:p>
        </w:tc>
        <w:tc>
          <w:tcPr>
            <w:tcW w:w="958" w:type="dxa"/>
            <w:vMerge w:val="restart"/>
            <w:tcBorders>
              <w:tl2br w:val="nil"/>
              <w:tr2bl w:val="nil"/>
            </w:tcBorders>
            <w:noWrap w:val="0"/>
            <w:vAlign w:val="center"/>
          </w:tcPr>
          <w:p w14:paraId="665C8829">
            <w:pPr>
              <w:adjustRightInd w:val="0"/>
              <w:snapToGrid w:val="0"/>
              <w:jc w:val="center"/>
              <w:rPr>
                <w:rFonts w:hint="default" w:ascii="Calibri" w:hAnsi="Calibri" w:eastAsia="宋体" w:cs="Calibri"/>
                <w:color w:val="000000"/>
              </w:rPr>
            </w:pPr>
            <w:r>
              <w:rPr>
                <w:rFonts w:hint="default" w:ascii="Calibri" w:hAnsi="Calibri" w:eastAsia="宋体" w:cs="Calibri"/>
                <w:color w:val="000000"/>
              </w:rPr>
              <w:t>电压</w:t>
            </w:r>
          </w:p>
          <w:p w14:paraId="4AB13667">
            <w:pPr>
              <w:adjustRightInd w:val="0"/>
              <w:snapToGrid w:val="0"/>
              <w:jc w:val="center"/>
              <w:rPr>
                <w:rFonts w:hint="default" w:ascii="Calibri" w:hAnsi="Calibri" w:eastAsia="宋体" w:cs="Calibri"/>
                <w:color w:val="000000"/>
              </w:rPr>
            </w:pPr>
            <w:r>
              <w:rPr>
                <w:rFonts w:hint="default" w:ascii="Calibri" w:hAnsi="Calibri" w:eastAsia="宋体" w:cs="Calibri"/>
                <w:color w:val="000000"/>
              </w:rPr>
              <w:t>等级</w:t>
            </w:r>
          </w:p>
        </w:tc>
        <w:tc>
          <w:tcPr>
            <w:tcW w:w="767" w:type="dxa"/>
            <w:vMerge w:val="restart"/>
            <w:tcBorders>
              <w:tl2br w:val="nil"/>
              <w:tr2bl w:val="nil"/>
            </w:tcBorders>
            <w:noWrap w:val="0"/>
            <w:vAlign w:val="center"/>
          </w:tcPr>
          <w:p w14:paraId="0D065D5D">
            <w:pPr>
              <w:adjustRightInd w:val="0"/>
              <w:snapToGrid w:val="0"/>
              <w:jc w:val="center"/>
              <w:rPr>
                <w:rFonts w:hint="default" w:ascii="Calibri" w:hAnsi="Calibri" w:eastAsia="宋体" w:cs="Calibri"/>
                <w:color w:val="000000"/>
              </w:rPr>
            </w:pPr>
            <w:r>
              <w:rPr>
                <w:rFonts w:hint="default" w:ascii="Calibri" w:hAnsi="Calibri" w:eastAsia="宋体" w:cs="Calibri"/>
                <w:color w:val="000000"/>
              </w:rPr>
              <w:t>工程</w:t>
            </w:r>
          </w:p>
        </w:tc>
        <w:tc>
          <w:tcPr>
            <w:tcW w:w="2506" w:type="dxa"/>
            <w:vMerge w:val="restart"/>
            <w:tcBorders>
              <w:tl2br w:val="nil"/>
              <w:tr2bl w:val="nil"/>
            </w:tcBorders>
            <w:noWrap w:val="0"/>
            <w:vAlign w:val="center"/>
          </w:tcPr>
          <w:p w14:paraId="73855F68">
            <w:pPr>
              <w:adjustRightInd w:val="0"/>
              <w:snapToGrid w:val="0"/>
              <w:jc w:val="center"/>
              <w:rPr>
                <w:rFonts w:hint="default" w:ascii="Calibri" w:hAnsi="Calibri" w:eastAsia="宋体" w:cs="Calibri"/>
                <w:color w:val="000000"/>
              </w:rPr>
            </w:pPr>
            <w:r>
              <w:rPr>
                <w:rFonts w:hint="default" w:ascii="Calibri" w:hAnsi="Calibri" w:eastAsia="宋体" w:cs="Calibri"/>
                <w:color w:val="000000"/>
              </w:rPr>
              <w:t>条件</w:t>
            </w:r>
          </w:p>
        </w:tc>
        <w:tc>
          <w:tcPr>
            <w:tcW w:w="750" w:type="dxa"/>
            <w:vMerge w:val="restart"/>
            <w:tcBorders>
              <w:tl2br w:val="nil"/>
              <w:tr2bl w:val="nil"/>
            </w:tcBorders>
            <w:noWrap w:val="0"/>
            <w:vAlign w:val="center"/>
          </w:tcPr>
          <w:p w14:paraId="3AFC5274">
            <w:pPr>
              <w:adjustRightInd w:val="0"/>
              <w:snapToGrid w:val="0"/>
              <w:jc w:val="center"/>
              <w:rPr>
                <w:rFonts w:hint="default" w:ascii="Calibri" w:hAnsi="Calibri" w:eastAsia="宋体" w:cs="Calibri"/>
                <w:color w:val="000000"/>
              </w:rPr>
            </w:pPr>
            <w:r>
              <w:rPr>
                <w:rFonts w:hint="default" w:ascii="Calibri" w:hAnsi="Calibri" w:eastAsia="宋体" w:cs="Calibri"/>
                <w:color w:val="000000"/>
              </w:rPr>
              <w:t>评价工作等级</w:t>
            </w:r>
          </w:p>
        </w:tc>
        <w:tc>
          <w:tcPr>
            <w:tcW w:w="2800" w:type="dxa"/>
            <w:gridSpan w:val="2"/>
            <w:tcBorders>
              <w:tl2br w:val="nil"/>
              <w:tr2bl w:val="nil"/>
            </w:tcBorders>
            <w:noWrap w:val="0"/>
            <w:vAlign w:val="center"/>
          </w:tcPr>
          <w:p w14:paraId="14051A49">
            <w:pPr>
              <w:adjustRightInd w:val="0"/>
              <w:snapToGrid w:val="0"/>
              <w:jc w:val="center"/>
              <w:rPr>
                <w:rFonts w:hint="default" w:ascii="Calibri" w:hAnsi="Calibri" w:eastAsia="宋体" w:cs="Calibri"/>
                <w:color w:val="000000"/>
                <w:lang w:eastAsia="zh-CN"/>
              </w:rPr>
            </w:pPr>
            <w:r>
              <w:rPr>
                <w:rFonts w:hint="default" w:ascii="Calibri" w:hAnsi="Calibri" w:eastAsia="宋体" w:cs="Calibri"/>
                <w:color w:val="000000"/>
                <w:lang w:eastAsia="zh-CN"/>
              </w:rPr>
              <w:t>本项目</w:t>
            </w:r>
          </w:p>
        </w:tc>
      </w:tr>
      <w:tr w14:paraId="0CCDD382">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249" w:hRule="atLeast"/>
          <w:jc w:val="center"/>
        </w:trPr>
        <w:tc>
          <w:tcPr>
            <w:tcW w:w="591" w:type="dxa"/>
            <w:vMerge w:val="continue"/>
            <w:tcBorders>
              <w:tl2br w:val="nil"/>
              <w:tr2bl w:val="nil"/>
            </w:tcBorders>
            <w:noWrap w:val="0"/>
            <w:vAlign w:val="center"/>
          </w:tcPr>
          <w:p w14:paraId="28F74329">
            <w:pPr>
              <w:adjustRightInd w:val="0"/>
              <w:snapToGrid w:val="0"/>
              <w:jc w:val="center"/>
              <w:rPr>
                <w:rFonts w:hint="default" w:ascii="Calibri" w:hAnsi="Calibri" w:eastAsia="宋体" w:cs="Calibri"/>
                <w:color w:val="000000"/>
              </w:rPr>
            </w:pPr>
          </w:p>
        </w:tc>
        <w:tc>
          <w:tcPr>
            <w:tcW w:w="958" w:type="dxa"/>
            <w:vMerge w:val="continue"/>
            <w:tcBorders>
              <w:tl2br w:val="nil"/>
              <w:tr2bl w:val="nil"/>
            </w:tcBorders>
            <w:noWrap w:val="0"/>
            <w:vAlign w:val="center"/>
          </w:tcPr>
          <w:p w14:paraId="082A262E">
            <w:pPr>
              <w:adjustRightInd w:val="0"/>
              <w:snapToGrid w:val="0"/>
              <w:jc w:val="center"/>
              <w:rPr>
                <w:rFonts w:hint="default" w:ascii="Calibri" w:hAnsi="Calibri" w:eastAsia="宋体" w:cs="Calibri"/>
                <w:color w:val="000000"/>
              </w:rPr>
            </w:pPr>
          </w:p>
        </w:tc>
        <w:tc>
          <w:tcPr>
            <w:tcW w:w="767" w:type="dxa"/>
            <w:vMerge w:val="continue"/>
            <w:tcBorders>
              <w:tl2br w:val="nil"/>
              <w:tr2bl w:val="nil"/>
            </w:tcBorders>
            <w:noWrap w:val="0"/>
            <w:vAlign w:val="center"/>
          </w:tcPr>
          <w:p w14:paraId="4B692690">
            <w:pPr>
              <w:adjustRightInd w:val="0"/>
              <w:snapToGrid w:val="0"/>
              <w:jc w:val="center"/>
              <w:rPr>
                <w:rFonts w:hint="default" w:ascii="Calibri" w:hAnsi="Calibri" w:eastAsia="宋体" w:cs="Calibri"/>
                <w:color w:val="000000"/>
              </w:rPr>
            </w:pPr>
          </w:p>
        </w:tc>
        <w:tc>
          <w:tcPr>
            <w:tcW w:w="2506" w:type="dxa"/>
            <w:vMerge w:val="continue"/>
            <w:tcBorders>
              <w:tl2br w:val="nil"/>
              <w:tr2bl w:val="nil"/>
            </w:tcBorders>
            <w:noWrap w:val="0"/>
            <w:vAlign w:val="center"/>
          </w:tcPr>
          <w:p w14:paraId="506ADCBF">
            <w:pPr>
              <w:adjustRightInd w:val="0"/>
              <w:snapToGrid w:val="0"/>
              <w:jc w:val="center"/>
              <w:rPr>
                <w:rFonts w:hint="default" w:ascii="Calibri" w:hAnsi="Calibri" w:eastAsia="宋体" w:cs="Calibri"/>
                <w:color w:val="000000"/>
              </w:rPr>
            </w:pPr>
          </w:p>
        </w:tc>
        <w:tc>
          <w:tcPr>
            <w:tcW w:w="750" w:type="dxa"/>
            <w:vMerge w:val="continue"/>
            <w:tcBorders>
              <w:tl2br w:val="nil"/>
              <w:tr2bl w:val="nil"/>
            </w:tcBorders>
            <w:noWrap w:val="0"/>
            <w:vAlign w:val="center"/>
          </w:tcPr>
          <w:p w14:paraId="643CFDCA">
            <w:pPr>
              <w:adjustRightInd w:val="0"/>
              <w:snapToGrid w:val="0"/>
              <w:jc w:val="center"/>
              <w:rPr>
                <w:rFonts w:hint="default" w:ascii="Calibri" w:hAnsi="Calibri" w:eastAsia="宋体" w:cs="Calibri"/>
                <w:color w:val="000000"/>
              </w:rPr>
            </w:pPr>
          </w:p>
        </w:tc>
        <w:tc>
          <w:tcPr>
            <w:tcW w:w="2066" w:type="dxa"/>
            <w:tcBorders>
              <w:tl2br w:val="nil"/>
              <w:tr2bl w:val="nil"/>
            </w:tcBorders>
            <w:noWrap w:val="0"/>
            <w:vAlign w:val="center"/>
          </w:tcPr>
          <w:p w14:paraId="01C5FCE6">
            <w:pPr>
              <w:adjustRightInd w:val="0"/>
              <w:snapToGrid w:val="0"/>
              <w:jc w:val="center"/>
              <w:rPr>
                <w:rFonts w:hint="default" w:ascii="Calibri" w:hAnsi="Calibri" w:eastAsia="宋体" w:cs="Calibri"/>
                <w:color w:val="000000"/>
              </w:rPr>
            </w:pPr>
            <w:r>
              <w:rPr>
                <w:rFonts w:hint="default" w:ascii="Calibri" w:hAnsi="Calibri" w:eastAsia="宋体" w:cs="Calibri"/>
                <w:color w:val="000000"/>
              </w:rPr>
              <w:t>条件</w:t>
            </w:r>
          </w:p>
        </w:tc>
        <w:tc>
          <w:tcPr>
            <w:tcW w:w="734" w:type="dxa"/>
            <w:tcBorders>
              <w:tl2br w:val="nil"/>
              <w:tr2bl w:val="nil"/>
            </w:tcBorders>
            <w:noWrap w:val="0"/>
            <w:vAlign w:val="center"/>
          </w:tcPr>
          <w:p w14:paraId="5D935639">
            <w:pPr>
              <w:adjustRightInd w:val="0"/>
              <w:snapToGrid w:val="0"/>
              <w:jc w:val="center"/>
              <w:rPr>
                <w:rFonts w:hint="default" w:ascii="Calibri" w:hAnsi="Calibri" w:eastAsia="宋体" w:cs="Calibri"/>
                <w:color w:val="000000"/>
              </w:rPr>
            </w:pPr>
            <w:r>
              <w:rPr>
                <w:rFonts w:hint="default" w:ascii="Calibri" w:hAnsi="Calibri" w:eastAsia="宋体" w:cs="Calibri"/>
                <w:color w:val="000000"/>
              </w:rPr>
              <w:t>工作</w:t>
            </w:r>
          </w:p>
          <w:p w14:paraId="0FFFEDDA">
            <w:pPr>
              <w:adjustRightInd w:val="0"/>
              <w:snapToGrid w:val="0"/>
              <w:jc w:val="center"/>
              <w:rPr>
                <w:rFonts w:hint="default" w:ascii="Calibri" w:hAnsi="Calibri" w:eastAsia="宋体" w:cs="Calibri"/>
                <w:color w:val="000000"/>
              </w:rPr>
            </w:pPr>
            <w:r>
              <w:rPr>
                <w:rFonts w:hint="default" w:ascii="Calibri" w:hAnsi="Calibri" w:eastAsia="宋体" w:cs="Calibri"/>
                <w:color w:val="000000"/>
              </w:rPr>
              <w:t>等级</w:t>
            </w:r>
          </w:p>
        </w:tc>
      </w:tr>
      <w:tr w14:paraId="4F437820">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381" w:hRule="atLeast"/>
          <w:jc w:val="center"/>
        </w:trPr>
        <w:tc>
          <w:tcPr>
            <w:tcW w:w="591" w:type="dxa"/>
            <w:vMerge w:val="restart"/>
            <w:tcBorders>
              <w:tl2br w:val="nil"/>
              <w:tr2bl w:val="nil"/>
            </w:tcBorders>
            <w:noWrap w:val="0"/>
            <w:vAlign w:val="center"/>
          </w:tcPr>
          <w:p w14:paraId="744DA623">
            <w:pPr>
              <w:adjustRightInd w:val="0"/>
              <w:snapToGrid w:val="0"/>
              <w:jc w:val="center"/>
              <w:rPr>
                <w:rFonts w:hint="default" w:ascii="Calibri" w:hAnsi="Calibri" w:eastAsia="宋体" w:cs="Calibri"/>
                <w:color w:val="000000"/>
              </w:rPr>
            </w:pPr>
            <w:r>
              <w:rPr>
                <w:rFonts w:hint="default" w:ascii="Calibri" w:hAnsi="Calibri" w:eastAsia="宋体" w:cs="Calibri"/>
                <w:color w:val="000000"/>
              </w:rPr>
              <w:t>交流</w:t>
            </w:r>
          </w:p>
        </w:tc>
        <w:tc>
          <w:tcPr>
            <w:tcW w:w="958" w:type="dxa"/>
            <w:vMerge w:val="restart"/>
            <w:tcBorders>
              <w:tl2br w:val="nil"/>
              <w:tr2bl w:val="nil"/>
            </w:tcBorders>
            <w:noWrap w:val="0"/>
            <w:vAlign w:val="center"/>
          </w:tcPr>
          <w:p w14:paraId="325D3D46">
            <w:pPr>
              <w:adjustRightInd w:val="0"/>
              <w:snapToGrid w:val="0"/>
              <w:jc w:val="center"/>
              <w:rPr>
                <w:rFonts w:hint="default" w:ascii="Calibri" w:hAnsi="Calibri" w:eastAsia="宋体" w:cs="Calibri"/>
                <w:color w:val="000000"/>
              </w:rPr>
            </w:pPr>
            <w:r>
              <w:rPr>
                <w:rFonts w:hint="default" w:ascii="Calibri" w:hAnsi="Calibri" w:eastAsia="宋体" w:cs="Calibri"/>
                <w:color w:val="000000"/>
                <w:szCs w:val="21"/>
                <w:lang w:val="en-US" w:eastAsia="zh-CN"/>
              </w:rPr>
              <w:t>11</w:t>
            </w:r>
            <w:r>
              <w:rPr>
                <w:rFonts w:hint="default" w:ascii="Calibri" w:hAnsi="Calibri" w:eastAsia="宋体" w:cs="Calibri"/>
                <w:color w:val="000000"/>
                <w:szCs w:val="21"/>
              </w:rPr>
              <w:t>0kV</w:t>
            </w:r>
          </w:p>
        </w:tc>
        <w:tc>
          <w:tcPr>
            <w:tcW w:w="767" w:type="dxa"/>
            <w:vMerge w:val="restart"/>
            <w:tcBorders>
              <w:tl2br w:val="nil"/>
              <w:tr2bl w:val="nil"/>
            </w:tcBorders>
            <w:noWrap w:val="0"/>
            <w:vAlign w:val="center"/>
          </w:tcPr>
          <w:p w14:paraId="4FF0F408">
            <w:pPr>
              <w:adjustRightInd w:val="0"/>
              <w:snapToGrid w:val="0"/>
              <w:jc w:val="center"/>
              <w:rPr>
                <w:rFonts w:hint="default" w:ascii="Calibri" w:hAnsi="Calibri" w:eastAsia="宋体" w:cs="Calibri"/>
                <w:color w:val="000000"/>
              </w:rPr>
            </w:pPr>
            <w:r>
              <w:rPr>
                <w:rFonts w:hint="default" w:ascii="Calibri" w:hAnsi="Calibri" w:eastAsia="宋体" w:cs="Calibri"/>
                <w:color w:val="000000"/>
              </w:rPr>
              <w:t>变</w:t>
            </w:r>
          </w:p>
          <w:p w14:paraId="64EDB12C">
            <w:pPr>
              <w:adjustRightInd w:val="0"/>
              <w:snapToGrid w:val="0"/>
              <w:jc w:val="center"/>
              <w:rPr>
                <w:rFonts w:hint="default" w:ascii="Calibri" w:hAnsi="Calibri" w:eastAsia="宋体" w:cs="Calibri"/>
                <w:color w:val="000000"/>
              </w:rPr>
            </w:pPr>
            <w:r>
              <w:rPr>
                <w:rFonts w:hint="default" w:ascii="Calibri" w:hAnsi="Calibri" w:eastAsia="宋体" w:cs="Calibri"/>
                <w:color w:val="000000"/>
              </w:rPr>
              <w:t>电</w:t>
            </w:r>
          </w:p>
          <w:p w14:paraId="40345AD8">
            <w:pPr>
              <w:adjustRightInd w:val="0"/>
              <w:snapToGrid w:val="0"/>
              <w:jc w:val="center"/>
              <w:rPr>
                <w:rFonts w:hint="default" w:ascii="Calibri" w:hAnsi="Calibri" w:eastAsia="宋体" w:cs="Calibri"/>
                <w:color w:val="000000"/>
              </w:rPr>
            </w:pPr>
            <w:r>
              <w:rPr>
                <w:rFonts w:hint="default" w:ascii="Calibri" w:hAnsi="Calibri" w:eastAsia="宋体" w:cs="Calibri"/>
                <w:color w:val="000000"/>
              </w:rPr>
              <w:t>站</w:t>
            </w:r>
          </w:p>
        </w:tc>
        <w:tc>
          <w:tcPr>
            <w:tcW w:w="2506" w:type="dxa"/>
            <w:tcBorders>
              <w:tl2br w:val="nil"/>
              <w:tr2bl w:val="nil"/>
            </w:tcBorders>
            <w:noWrap w:val="0"/>
            <w:vAlign w:val="center"/>
          </w:tcPr>
          <w:p w14:paraId="3A31EA2B">
            <w:pPr>
              <w:jc w:val="center"/>
              <w:rPr>
                <w:rFonts w:hint="default" w:ascii="Calibri" w:hAnsi="Calibri" w:eastAsia="宋体" w:cs="Calibri"/>
                <w:color w:val="000000"/>
              </w:rPr>
            </w:pPr>
            <w:r>
              <w:rPr>
                <w:rFonts w:hint="default" w:ascii="Calibri" w:hAnsi="Calibri" w:eastAsia="宋体" w:cs="Calibri"/>
                <w:color w:val="000000"/>
              </w:rPr>
              <w:t>户内式、地下式</w:t>
            </w:r>
          </w:p>
        </w:tc>
        <w:tc>
          <w:tcPr>
            <w:tcW w:w="750" w:type="dxa"/>
            <w:tcBorders>
              <w:tl2br w:val="nil"/>
              <w:tr2bl w:val="nil"/>
            </w:tcBorders>
            <w:noWrap w:val="0"/>
            <w:vAlign w:val="center"/>
          </w:tcPr>
          <w:p w14:paraId="430CA925">
            <w:pPr>
              <w:jc w:val="center"/>
              <w:rPr>
                <w:rFonts w:hint="default" w:ascii="Calibri" w:hAnsi="Calibri" w:eastAsia="宋体" w:cs="Calibri"/>
                <w:color w:val="000000"/>
              </w:rPr>
            </w:pPr>
            <w:r>
              <w:rPr>
                <w:rFonts w:hint="default" w:ascii="Calibri" w:hAnsi="Calibri" w:eastAsia="宋体" w:cs="Calibri"/>
                <w:color w:val="000000"/>
              </w:rPr>
              <w:t>三级</w:t>
            </w:r>
          </w:p>
        </w:tc>
        <w:tc>
          <w:tcPr>
            <w:tcW w:w="2066" w:type="dxa"/>
            <w:tcBorders>
              <w:tl2br w:val="nil"/>
              <w:tr2bl w:val="nil"/>
            </w:tcBorders>
            <w:noWrap w:val="0"/>
            <w:vAlign w:val="center"/>
          </w:tcPr>
          <w:p w14:paraId="2C4A6C30">
            <w:pPr>
              <w:adjustRightInd w:val="0"/>
              <w:snapToGrid w:val="0"/>
              <w:jc w:val="center"/>
              <w:rPr>
                <w:rFonts w:hint="default" w:ascii="Calibri" w:hAnsi="Calibri" w:eastAsia="宋体" w:cs="Calibri"/>
                <w:color w:val="000000"/>
              </w:rPr>
            </w:pPr>
            <w:r>
              <w:rPr>
                <w:rFonts w:hint="default" w:ascii="Calibri" w:hAnsi="Calibri" w:eastAsia="宋体" w:cs="Calibri"/>
                <w:color w:val="000000"/>
              </w:rPr>
              <w:t>/</w:t>
            </w:r>
          </w:p>
        </w:tc>
        <w:tc>
          <w:tcPr>
            <w:tcW w:w="734" w:type="dxa"/>
            <w:tcBorders>
              <w:tl2br w:val="nil"/>
              <w:tr2bl w:val="nil"/>
            </w:tcBorders>
            <w:noWrap w:val="0"/>
            <w:vAlign w:val="center"/>
          </w:tcPr>
          <w:p w14:paraId="5AC90D76">
            <w:pPr>
              <w:adjustRightInd w:val="0"/>
              <w:snapToGrid w:val="0"/>
              <w:jc w:val="center"/>
              <w:rPr>
                <w:rFonts w:hint="default" w:ascii="Calibri" w:hAnsi="Calibri" w:eastAsia="宋体" w:cs="Calibri"/>
                <w:color w:val="000000"/>
              </w:rPr>
            </w:pPr>
            <w:r>
              <w:rPr>
                <w:rFonts w:hint="default" w:ascii="Calibri" w:hAnsi="Calibri" w:eastAsia="宋体" w:cs="Calibri"/>
                <w:color w:val="000000"/>
              </w:rPr>
              <w:t>/</w:t>
            </w:r>
          </w:p>
        </w:tc>
      </w:tr>
      <w:tr w14:paraId="1DB0F8D7">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309" w:hRule="atLeast"/>
          <w:jc w:val="center"/>
        </w:trPr>
        <w:tc>
          <w:tcPr>
            <w:tcW w:w="591" w:type="dxa"/>
            <w:vMerge w:val="continue"/>
            <w:tcBorders>
              <w:tl2br w:val="nil"/>
              <w:tr2bl w:val="nil"/>
            </w:tcBorders>
            <w:noWrap w:val="0"/>
            <w:vAlign w:val="center"/>
          </w:tcPr>
          <w:p w14:paraId="62635F02">
            <w:pPr>
              <w:adjustRightInd w:val="0"/>
              <w:snapToGrid w:val="0"/>
              <w:jc w:val="center"/>
              <w:rPr>
                <w:rFonts w:hint="default" w:ascii="Calibri" w:hAnsi="Calibri" w:eastAsia="宋体" w:cs="Calibri"/>
                <w:color w:val="000000"/>
              </w:rPr>
            </w:pPr>
          </w:p>
        </w:tc>
        <w:tc>
          <w:tcPr>
            <w:tcW w:w="958" w:type="dxa"/>
            <w:vMerge w:val="continue"/>
            <w:tcBorders>
              <w:tl2br w:val="nil"/>
              <w:tr2bl w:val="nil"/>
            </w:tcBorders>
            <w:noWrap w:val="0"/>
            <w:vAlign w:val="center"/>
          </w:tcPr>
          <w:p w14:paraId="6C5DE3D7">
            <w:pPr>
              <w:adjustRightInd w:val="0"/>
              <w:snapToGrid w:val="0"/>
              <w:jc w:val="center"/>
              <w:rPr>
                <w:rFonts w:hint="default" w:ascii="Calibri" w:hAnsi="Calibri" w:eastAsia="宋体" w:cs="Calibri"/>
                <w:color w:val="000000"/>
              </w:rPr>
            </w:pPr>
          </w:p>
        </w:tc>
        <w:tc>
          <w:tcPr>
            <w:tcW w:w="767" w:type="dxa"/>
            <w:vMerge w:val="continue"/>
            <w:tcBorders>
              <w:tl2br w:val="nil"/>
              <w:tr2bl w:val="nil"/>
            </w:tcBorders>
            <w:noWrap w:val="0"/>
            <w:vAlign w:val="center"/>
          </w:tcPr>
          <w:p w14:paraId="047ABBAA">
            <w:pPr>
              <w:adjustRightInd w:val="0"/>
              <w:snapToGrid w:val="0"/>
              <w:jc w:val="center"/>
              <w:rPr>
                <w:rFonts w:hint="default" w:ascii="Calibri" w:hAnsi="Calibri" w:eastAsia="宋体" w:cs="Calibri"/>
                <w:color w:val="000000"/>
              </w:rPr>
            </w:pPr>
          </w:p>
        </w:tc>
        <w:tc>
          <w:tcPr>
            <w:tcW w:w="2506" w:type="dxa"/>
            <w:tcBorders>
              <w:tl2br w:val="nil"/>
              <w:tr2bl w:val="nil"/>
            </w:tcBorders>
            <w:noWrap w:val="0"/>
            <w:vAlign w:val="center"/>
          </w:tcPr>
          <w:p w14:paraId="0AF6B4A9">
            <w:pPr>
              <w:jc w:val="center"/>
              <w:rPr>
                <w:rFonts w:hint="default" w:ascii="Calibri" w:hAnsi="Calibri" w:eastAsia="宋体" w:cs="Calibri"/>
                <w:color w:val="000000"/>
              </w:rPr>
            </w:pPr>
            <w:r>
              <w:rPr>
                <w:rFonts w:hint="default" w:ascii="Calibri" w:hAnsi="Calibri" w:eastAsia="宋体" w:cs="Calibri"/>
                <w:color w:val="000000"/>
              </w:rPr>
              <w:t>户外式</w:t>
            </w:r>
          </w:p>
        </w:tc>
        <w:tc>
          <w:tcPr>
            <w:tcW w:w="750" w:type="dxa"/>
            <w:tcBorders>
              <w:tl2br w:val="nil"/>
              <w:tr2bl w:val="nil"/>
            </w:tcBorders>
            <w:noWrap w:val="0"/>
            <w:vAlign w:val="center"/>
          </w:tcPr>
          <w:p w14:paraId="2EBB6BEC">
            <w:pPr>
              <w:jc w:val="center"/>
              <w:rPr>
                <w:rFonts w:hint="default" w:ascii="Calibri" w:hAnsi="Calibri" w:eastAsia="宋体" w:cs="Calibri"/>
                <w:color w:val="000000"/>
              </w:rPr>
            </w:pPr>
            <w:r>
              <w:rPr>
                <w:rFonts w:hint="default" w:ascii="Calibri" w:hAnsi="Calibri" w:eastAsia="宋体" w:cs="Calibri"/>
                <w:color w:val="000000"/>
              </w:rPr>
              <w:t>二级</w:t>
            </w:r>
          </w:p>
        </w:tc>
        <w:tc>
          <w:tcPr>
            <w:tcW w:w="2066" w:type="dxa"/>
            <w:tcBorders>
              <w:tl2br w:val="nil"/>
              <w:tr2bl w:val="nil"/>
            </w:tcBorders>
            <w:noWrap w:val="0"/>
            <w:vAlign w:val="center"/>
          </w:tcPr>
          <w:p w14:paraId="1F7F7D22">
            <w:pPr>
              <w:adjustRightInd w:val="0"/>
              <w:snapToGrid w:val="0"/>
              <w:jc w:val="center"/>
              <w:rPr>
                <w:rFonts w:hint="default" w:ascii="Calibri" w:hAnsi="Calibri" w:eastAsia="宋体" w:cs="Calibri"/>
                <w:color w:val="000000"/>
              </w:rPr>
            </w:pPr>
            <w:r>
              <w:rPr>
                <w:rFonts w:hint="default" w:ascii="Calibri" w:hAnsi="Calibri" w:eastAsia="宋体" w:cs="Calibri"/>
                <w:color w:val="000000"/>
              </w:rPr>
              <w:t>户外式</w:t>
            </w:r>
          </w:p>
        </w:tc>
        <w:tc>
          <w:tcPr>
            <w:tcW w:w="734" w:type="dxa"/>
            <w:tcBorders>
              <w:tl2br w:val="nil"/>
              <w:tr2bl w:val="nil"/>
            </w:tcBorders>
            <w:noWrap w:val="0"/>
            <w:vAlign w:val="center"/>
          </w:tcPr>
          <w:p w14:paraId="103EDDA8">
            <w:pPr>
              <w:adjustRightInd w:val="0"/>
              <w:snapToGrid w:val="0"/>
              <w:jc w:val="center"/>
              <w:rPr>
                <w:rFonts w:hint="default" w:ascii="Calibri" w:hAnsi="Calibri" w:eastAsia="宋体" w:cs="Calibri"/>
                <w:color w:val="000000"/>
              </w:rPr>
            </w:pPr>
            <w:r>
              <w:rPr>
                <w:rFonts w:hint="default" w:ascii="Calibri" w:hAnsi="Calibri" w:eastAsia="宋体" w:cs="Calibri"/>
                <w:color w:val="000000"/>
              </w:rPr>
              <w:t>二级</w:t>
            </w:r>
          </w:p>
        </w:tc>
      </w:tr>
      <w:tr w14:paraId="1771DCDA">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909" w:hRule="atLeast"/>
          <w:jc w:val="center"/>
        </w:trPr>
        <w:tc>
          <w:tcPr>
            <w:tcW w:w="591" w:type="dxa"/>
            <w:vMerge w:val="continue"/>
            <w:tcBorders>
              <w:tl2br w:val="nil"/>
              <w:tr2bl w:val="nil"/>
            </w:tcBorders>
            <w:noWrap w:val="0"/>
            <w:vAlign w:val="center"/>
          </w:tcPr>
          <w:p w14:paraId="315709AE">
            <w:pPr>
              <w:adjustRightInd w:val="0"/>
              <w:snapToGrid w:val="0"/>
              <w:jc w:val="center"/>
              <w:rPr>
                <w:rFonts w:hint="default" w:ascii="Calibri" w:hAnsi="Calibri" w:eastAsia="宋体" w:cs="Calibri"/>
                <w:color w:val="000000"/>
              </w:rPr>
            </w:pPr>
          </w:p>
        </w:tc>
        <w:tc>
          <w:tcPr>
            <w:tcW w:w="958" w:type="dxa"/>
            <w:vMerge w:val="continue"/>
            <w:tcBorders>
              <w:tl2br w:val="nil"/>
              <w:tr2bl w:val="nil"/>
            </w:tcBorders>
            <w:noWrap w:val="0"/>
            <w:vAlign w:val="center"/>
          </w:tcPr>
          <w:p w14:paraId="43B38217">
            <w:pPr>
              <w:adjustRightInd w:val="0"/>
              <w:snapToGrid w:val="0"/>
              <w:jc w:val="center"/>
              <w:rPr>
                <w:rFonts w:hint="default" w:ascii="Calibri" w:hAnsi="Calibri" w:eastAsia="宋体" w:cs="Calibri"/>
                <w:color w:val="000000"/>
              </w:rPr>
            </w:pPr>
          </w:p>
        </w:tc>
        <w:tc>
          <w:tcPr>
            <w:tcW w:w="767" w:type="dxa"/>
            <w:vMerge w:val="restart"/>
            <w:tcBorders>
              <w:tl2br w:val="nil"/>
              <w:tr2bl w:val="nil"/>
            </w:tcBorders>
            <w:noWrap w:val="0"/>
            <w:vAlign w:val="center"/>
          </w:tcPr>
          <w:p w14:paraId="13B2DBB2">
            <w:pPr>
              <w:adjustRightInd w:val="0"/>
              <w:snapToGrid w:val="0"/>
              <w:jc w:val="center"/>
              <w:rPr>
                <w:rFonts w:hint="default" w:ascii="Calibri" w:hAnsi="Calibri" w:eastAsia="宋体" w:cs="Calibri"/>
                <w:color w:val="000000"/>
              </w:rPr>
            </w:pPr>
            <w:r>
              <w:rPr>
                <w:rFonts w:hint="default" w:ascii="Calibri" w:hAnsi="Calibri" w:eastAsia="宋体" w:cs="Calibri"/>
                <w:color w:val="000000"/>
              </w:rPr>
              <w:t>输电线路</w:t>
            </w:r>
          </w:p>
        </w:tc>
        <w:tc>
          <w:tcPr>
            <w:tcW w:w="2506" w:type="dxa"/>
            <w:tcBorders>
              <w:tl2br w:val="nil"/>
              <w:tr2bl w:val="nil"/>
            </w:tcBorders>
            <w:noWrap w:val="0"/>
            <w:vAlign w:val="center"/>
          </w:tcPr>
          <w:p w14:paraId="35889C3F">
            <w:pPr>
              <w:spacing w:line="240" w:lineRule="atLeast"/>
              <w:jc w:val="center"/>
              <w:rPr>
                <w:rFonts w:hint="default" w:ascii="Calibri" w:hAnsi="Calibri" w:eastAsia="宋体" w:cs="Calibri"/>
                <w:color w:val="000000"/>
              </w:rPr>
            </w:pPr>
            <w:r>
              <w:rPr>
                <w:rFonts w:hint="default" w:ascii="Calibri" w:hAnsi="Calibri" w:eastAsia="宋体" w:cs="Calibri"/>
                <w:color w:val="000000"/>
              </w:rPr>
              <w:t>1.地下电缆</w:t>
            </w:r>
          </w:p>
          <w:p w14:paraId="309F17A9">
            <w:pPr>
              <w:spacing w:line="240" w:lineRule="atLeast"/>
              <w:jc w:val="center"/>
              <w:rPr>
                <w:rFonts w:hint="default" w:ascii="Calibri" w:hAnsi="Calibri" w:eastAsia="宋体" w:cs="Calibri"/>
                <w:color w:val="000000"/>
              </w:rPr>
            </w:pPr>
            <w:r>
              <w:rPr>
                <w:rFonts w:hint="default" w:ascii="Calibri" w:hAnsi="Calibri" w:eastAsia="宋体" w:cs="Calibri"/>
                <w:color w:val="000000"/>
              </w:rPr>
              <w:t>2.边导线地面投影外两侧各1</w:t>
            </w:r>
            <w:r>
              <w:rPr>
                <w:rFonts w:hint="default" w:ascii="Calibri" w:hAnsi="Calibri" w:eastAsia="宋体" w:cs="Calibri"/>
                <w:color w:val="000000"/>
                <w:lang w:val="en-US" w:eastAsia="zh-CN"/>
              </w:rPr>
              <w:t>0</w:t>
            </w:r>
            <w:r>
              <w:rPr>
                <w:rFonts w:hint="default" w:ascii="Calibri" w:hAnsi="Calibri" w:eastAsia="宋体" w:cs="Calibri"/>
                <w:color w:val="000000"/>
              </w:rPr>
              <w:t>m范围内无电磁环境敏感目标的架空线</w:t>
            </w:r>
          </w:p>
        </w:tc>
        <w:tc>
          <w:tcPr>
            <w:tcW w:w="750" w:type="dxa"/>
            <w:tcBorders>
              <w:tl2br w:val="nil"/>
              <w:tr2bl w:val="nil"/>
            </w:tcBorders>
            <w:noWrap w:val="0"/>
            <w:vAlign w:val="center"/>
          </w:tcPr>
          <w:p w14:paraId="5802F788">
            <w:pPr>
              <w:jc w:val="center"/>
              <w:rPr>
                <w:rFonts w:hint="default" w:ascii="Calibri" w:hAnsi="Calibri" w:eastAsia="宋体" w:cs="Calibri"/>
                <w:color w:val="000000"/>
              </w:rPr>
            </w:pPr>
            <w:r>
              <w:rPr>
                <w:rFonts w:hint="default" w:ascii="Calibri" w:hAnsi="Calibri" w:eastAsia="宋体" w:cs="Calibri"/>
                <w:color w:val="000000"/>
              </w:rPr>
              <w:t>三级</w:t>
            </w:r>
          </w:p>
        </w:tc>
        <w:tc>
          <w:tcPr>
            <w:tcW w:w="2066" w:type="dxa"/>
            <w:tcBorders>
              <w:tl2br w:val="nil"/>
              <w:tr2bl w:val="nil"/>
            </w:tcBorders>
            <w:noWrap w:val="0"/>
            <w:vAlign w:val="center"/>
          </w:tcPr>
          <w:p w14:paraId="5776AC1C">
            <w:pPr>
              <w:adjustRightInd w:val="0"/>
              <w:snapToGrid w:val="0"/>
              <w:jc w:val="center"/>
              <w:rPr>
                <w:rFonts w:hint="default" w:ascii="Calibri" w:hAnsi="Calibri" w:eastAsia="宋体" w:cs="Calibri"/>
                <w:color w:val="000000"/>
                <w:kern w:val="2"/>
                <w:sz w:val="21"/>
                <w:szCs w:val="21"/>
                <w:lang w:val="en-US" w:eastAsia="zh-CN" w:bidi="ar-SA"/>
              </w:rPr>
            </w:pPr>
            <w:r>
              <w:rPr>
                <w:rFonts w:hint="default" w:ascii="Calibri" w:hAnsi="Calibri" w:eastAsia="宋体" w:cs="Calibri"/>
                <w:color w:val="000000"/>
              </w:rPr>
              <w:t>边导线地面投影外两侧各1</w:t>
            </w:r>
            <w:r>
              <w:rPr>
                <w:rFonts w:hint="default" w:ascii="Calibri" w:hAnsi="Calibri" w:eastAsia="宋体" w:cs="Calibri"/>
                <w:color w:val="000000"/>
                <w:lang w:val="en-US" w:eastAsia="zh-CN"/>
              </w:rPr>
              <w:t>0</w:t>
            </w:r>
            <w:r>
              <w:rPr>
                <w:rFonts w:hint="default" w:ascii="Calibri" w:hAnsi="Calibri" w:eastAsia="宋体" w:cs="Calibri"/>
                <w:color w:val="000000"/>
              </w:rPr>
              <w:t>m内</w:t>
            </w:r>
            <w:r>
              <w:rPr>
                <w:rFonts w:hint="default" w:ascii="Calibri" w:hAnsi="Calibri" w:eastAsia="宋体" w:cs="Calibri"/>
                <w:color w:val="000000"/>
                <w:lang w:val="en-US" w:eastAsia="zh-CN"/>
              </w:rPr>
              <w:t>无</w:t>
            </w:r>
            <w:r>
              <w:rPr>
                <w:rFonts w:hint="default" w:ascii="Calibri" w:hAnsi="Calibri" w:eastAsia="宋体" w:cs="Calibri"/>
                <w:color w:val="000000"/>
              </w:rPr>
              <w:t>电磁环境敏感目标</w:t>
            </w:r>
          </w:p>
        </w:tc>
        <w:tc>
          <w:tcPr>
            <w:tcW w:w="734" w:type="dxa"/>
            <w:tcBorders>
              <w:tl2br w:val="nil"/>
              <w:tr2bl w:val="nil"/>
            </w:tcBorders>
            <w:noWrap w:val="0"/>
            <w:vAlign w:val="center"/>
          </w:tcPr>
          <w:p w14:paraId="3E5CDA1D">
            <w:pPr>
              <w:adjustRightInd w:val="0"/>
              <w:snapToGrid w:val="0"/>
              <w:jc w:val="center"/>
              <w:rPr>
                <w:rFonts w:hint="default" w:ascii="Calibri" w:hAnsi="Calibri" w:eastAsia="宋体" w:cs="Calibri"/>
                <w:color w:val="000000"/>
                <w:kern w:val="2"/>
                <w:sz w:val="21"/>
                <w:szCs w:val="21"/>
                <w:lang w:val="en-US" w:eastAsia="zh-CN" w:bidi="ar-SA"/>
              </w:rPr>
            </w:pPr>
            <w:r>
              <w:rPr>
                <w:rFonts w:hint="default" w:ascii="Calibri" w:hAnsi="Calibri" w:eastAsia="宋体" w:cs="Calibri"/>
                <w:color w:val="000000"/>
                <w:lang w:val="en-US" w:eastAsia="zh-CN"/>
              </w:rPr>
              <w:t>三级</w:t>
            </w:r>
          </w:p>
        </w:tc>
      </w:tr>
      <w:tr w14:paraId="1F07CB54">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909" w:hRule="atLeast"/>
          <w:jc w:val="center"/>
        </w:trPr>
        <w:tc>
          <w:tcPr>
            <w:tcW w:w="591" w:type="dxa"/>
            <w:vMerge w:val="continue"/>
            <w:tcBorders>
              <w:tl2br w:val="nil"/>
              <w:tr2bl w:val="nil"/>
            </w:tcBorders>
            <w:noWrap w:val="0"/>
            <w:vAlign w:val="center"/>
          </w:tcPr>
          <w:p w14:paraId="393F021E">
            <w:pPr>
              <w:adjustRightInd w:val="0"/>
              <w:snapToGrid w:val="0"/>
              <w:jc w:val="center"/>
              <w:rPr>
                <w:rFonts w:hint="default" w:ascii="Calibri" w:hAnsi="Calibri" w:eastAsia="宋体" w:cs="Calibri"/>
                <w:color w:val="000000"/>
              </w:rPr>
            </w:pPr>
          </w:p>
        </w:tc>
        <w:tc>
          <w:tcPr>
            <w:tcW w:w="958" w:type="dxa"/>
            <w:vMerge w:val="continue"/>
            <w:tcBorders>
              <w:tl2br w:val="nil"/>
              <w:tr2bl w:val="nil"/>
            </w:tcBorders>
            <w:noWrap w:val="0"/>
            <w:vAlign w:val="center"/>
          </w:tcPr>
          <w:p w14:paraId="76F8BD09">
            <w:pPr>
              <w:adjustRightInd w:val="0"/>
              <w:snapToGrid w:val="0"/>
              <w:jc w:val="center"/>
              <w:rPr>
                <w:rFonts w:hint="default" w:ascii="Calibri" w:hAnsi="Calibri" w:eastAsia="宋体" w:cs="Calibri"/>
                <w:color w:val="000000"/>
              </w:rPr>
            </w:pPr>
          </w:p>
        </w:tc>
        <w:tc>
          <w:tcPr>
            <w:tcW w:w="767" w:type="dxa"/>
            <w:vMerge w:val="continue"/>
            <w:tcBorders>
              <w:tl2br w:val="nil"/>
              <w:tr2bl w:val="nil"/>
            </w:tcBorders>
            <w:noWrap w:val="0"/>
            <w:vAlign w:val="center"/>
          </w:tcPr>
          <w:p w14:paraId="4B64A55A">
            <w:pPr>
              <w:adjustRightInd w:val="0"/>
              <w:snapToGrid w:val="0"/>
              <w:jc w:val="center"/>
              <w:rPr>
                <w:rFonts w:hint="default" w:ascii="Calibri" w:hAnsi="Calibri" w:eastAsia="宋体" w:cs="Calibri"/>
                <w:color w:val="000000"/>
              </w:rPr>
            </w:pPr>
          </w:p>
        </w:tc>
        <w:tc>
          <w:tcPr>
            <w:tcW w:w="2506" w:type="dxa"/>
            <w:tcBorders>
              <w:tl2br w:val="nil"/>
              <w:tr2bl w:val="nil"/>
            </w:tcBorders>
            <w:noWrap w:val="0"/>
            <w:vAlign w:val="center"/>
          </w:tcPr>
          <w:p w14:paraId="6542F630">
            <w:pPr>
              <w:spacing w:line="240" w:lineRule="atLeast"/>
              <w:jc w:val="center"/>
              <w:rPr>
                <w:rFonts w:hint="default" w:ascii="Calibri" w:hAnsi="Calibri" w:eastAsia="宋体" w:cs="Calibri"/>
                <w:color w:val="000000"/>
              </w:rPr>
            </w:pPr>
            <w:r>
              <w:rPr>
                <w:rFonts w:hint="default" w:ascii="Calibri" w:hAnsi="Calibri" w:eastAsia="宋体" w:cs="Calibri"/>
                <w:color w:val="000000"/>
              </w:rPr>
              <w:t>边导线地面投影外两侧各1</w:t>
            </w:r>
            <w:r>
              <w:rPr>
                <w:rFonts w:hint="default" w:ascii="Calibri" w:hAnsi="Calibri" w:eastAsia="宋体" w:cs="Calibri"/>
                <w:color w:val="000000"/>
                <w:lang w:val="en-US" w:eastAsia="zh-CN"/>
              </w:rPr>
              <w:t>0</w:t>
            </w:r>
            <w:r>
              <w:rPr>
                <w:rFonts w:hint="default" w:ascii="Calibri" w:hAnsi="Calibri" w:eastAsia="宋体" w:cs="Calibri"/>
                <w:color w:val="000000"/>
              </w:rPr>
              <w:t>m范围内有电磁环境敏感目标的架空线</w:t>
            </w:r>
          </w:p>
        </w:tc>
        <w:tc>
          <w:tcPr>
            <w:tcW w:w="750" w:type="dxa"/>
            <w:tcBorders>
              <w:tl2br w:val="nil"/>
              <w:tr2bl w:val="nil"/>
            </w:tcBorders>
            <w:noWrap w:val="0"/>
            <w:vAlign w:val="center"/>
          </w:tcPr>
          <w:p w14:paraId="3465588E">
            <w:pPr>
              <w:jc w:val="center"/>
              <w:rPr>
                <w:rFonts w:hint="default" w:ascii="Calibri" w:hAnsi="Calibri" w:eastAsia="宋体" w:cs="Calibri"/>
                <w:color w:val="000000"/>
              </w:rPr>
            </w:pPr>
            <w:r>
              <w:rPr>
                <w:rFonts w:hint="default" w:ascii="Calibri" w:hAnsi="Calibri" w:eastAsia="宋体" w:cs="Calibri"/>
                <w:color w:val="000000"/>
              </w:rPr>
              <w:t>二级</w:t>
            </w:r>
          </w:p>
        </w:tc>
        <w:tc>
          <w:tcPr>
            <w:tcW w:w="2066" w:type="dxa"/>
            <w:tcBorders>
              <w:tl2br w:val="nil"/>
              <w:tr2bl w:val="nil"/>
            </w:tcBorders>
            <w:noWrap w:val="0"/>
            <w:vAlign w:val="center"/>
          </w:tcPr>
          <w:p w14:paraId="69097B0D">
            <w:pPr>
              <w:adjustRightInd w:val="0"/>
              <w:snapToGrid w:val="0"/>
              <w:jc w:val="center"/>
              <w:rPr>
                <w:rFonts w:hint="default" w:ascii="Calibri" w:hAnsi="Calibri" w:eastAsia="宋体" w:cs="Calibri"/>
                <w:color w:val="000000"/>
                <w:lang w:val="en-US" w:eastAsia="zh-CN"/>
              </w:rPr>
            </w:pPr>
            <w:r>
              <w:rPr>
                <w:rFonts w:hint="default" w:ascii="Calibri" w:hAnsi="Calibri" w:eastAsia="宋体" w:cs="Calibri"/>
                <w:color w:val="000000"/>
                <w:lang w:val="en-US" w:eastAsia="zh-CN"/>
              </w:rPr>
              <w:t>/</w:t>
            </w:r>
          </w:p>
        </w:tc>
        <w:tc>
          <w:tcPr>
            <w:tcW w:w="734" w:type="dxa"/>
            <w:tcBorders>
              <w:tl2br w:val="nil"/>
              <w:tr2bl w:val="nil"/>
            </w:tcBorders>
            <w:noWrap w:val="0"/>
            <w:vAlign w:val="center"/>
          </w:tcPr>
          <w:p w14:paraId="7A4D8EC9">
            <w:pPr>
              <w:adjustRightInd w:val="0"/>
              <w:snapToGrid w:val="0"/>
              <w:jc w:val="center"/>
              <w:rPr>
                <w:rFonts w:hint="default" w:ascii="Calibri" w:hAnsi="Calibri" w:eastAsia="宋体" w:cs="Calibri"/>
                <w:color w:val="000000"/>
                <w:lang w:val="en-US" w:eastAsia="zh-CN"/>
              </w:rPr>
            </w:pPr>
            <w:r>
              <w:rPr>
                <w:rFonts w:hint="default" w:ascii="Calibri" w:hAnsi="Calibri" w:eastAsia="宋体" w:cs="Calibri"/>
                <w:color w:val="000000"/>
                <w:lang w:val="en-US" w:eastAsia="zh-CN"/>
              </w:rPr>
              <w:t>/</w:t>
            </w:r>
          </w:p>
        </w:tc>
      </w:tr>
    </w:tbl>
    <w:p w14:paraId="5F72A516">
      <w:pPr>
        <w:pStyle w:val="7"/>
        <w:pageBreakBefore w:val="0"/>
        <w:widowControl w:val="0"/>
        <w:kinsoku/>
        <w:wordWrap/>
        <w:overflowPunct/>
        <w:topLinePunct w:val="0"/>
        <w:autoSpaceDE/>
        <w:autoSpaceDN/>
        <w:bidi w:val="0"/>
        <w:adjustRightInd w:val="0"/>
        <w:snapToGrid w:val="0"/>
        <w:spacing w:line="480" w:lineRule="exact"/>
        <w:ind w:firstLine="480"/>
        <w:textAlignment w:val="auto"/>
        <w:rPr>
          <w:rFonts w:hint="default" w:ascii="Calibri" w:hAnsi="Calibri" w:eastAsia="宋体" w:cs="Calibri"/>
          <w:color w:val="000000"/>
          <w:sz w:val="24"/>
        </w:rPr>
      </w:pPr>
      <w:r>
        <w:rPr>
          <w:rFonts w:hint="eastAsia" w:ascii="Calibri" w:hAnsi="Calibri" w:eastAsia="宋体" w:cs="Calibri"/>
          <w:color w:val="000000"/>
          <w:sz w:val="24"/>
          <w:lang w:eastAsia="zh-CN"/>
        </w:rPr>
        <w:t>（</w:t>
      </w:r>
      <w:r>
        <w:rPr>
          <w:rFonts w:hint="eastAsia" w:ascii="Calibri" w:hAnsi="Calibri" w:eastAsia="宋体" w:cs="Calibri"/>
          <w:color w:val="000000"/>
          <w:sz w:val="24"/>
          <w:lang w:val="en-US" w:eastAsia="zh-CN"/>
        </w:rPr>
        <w:t>3</w:t>
      </w:r>
      <w:r>
        <w:rPr>
          <w:rFonts w:hint="eastAsia" w:ascii="Calibri" w:hAnsi="Calibri" w:eastAsia="宋体" w:cs="Calibri"/>
          <w:color w:val="000000"/>
          <w:sz w:val="24"/>
          <w:lang w:eastAsia="zh-CN"/>
        </w:rPr>
        <w:t>）</w:t>
      </w:r>
      <w:r>
        <w:rPr>
          <w:rFonts w:hint="default" w:ascii="Calibri" w:hAnsi="Calibri" w:eastAsia="宋体" w:cs="Calibri"/>
          <w:color w:val="000000"/>
          <w:sz w:val="24"/>
        </w:rPr>
        <w:t>评价范围</w:t>
      </w:r>
    </w:p>
    <w:p w14:paraId="74B3863A">
      <w:pPr>
        <w:pStyle w:val="7"/>
        <w:pageBreakBefore w:val="0"/>
        <w:widowControl w:val="0"/>
        <w:kinsoku/>
        <w:wordWrap/>
        <w:overflowPunct/>
        <w:topLinePunct w:val="0"/>
        <w:autoSpaceDE/>
        <w:autoSpaceDN/>
        <w:bidi w:val="0"/>
        <w:adjustRightInd w:val="0"/>
        <w:snapToGrid w:val="0"/>
        <w:spacing w:line="480" w:lineRule="exact"/>
        <w:ind w:firstLine="480"/>
        <w:textAlignment w:val="auto"/>
        <w:rPr>
          <w:rFonts w:hint="default" w:ascii="Calibri" w:hAnsi="Calibri" w:eastAsia="宋体" w:cs="Calibri"/>
          <w:color w:val="000000"/>
          <w:sz w:val="24"/>
        </w:rPr>
      </w:pPr>
      <w:r>
        <w:rPr>
          <w:rFonts w:hint="default" w:ascii="Calibri" w:hAnsi="Calibri" w:eastAsia="宋体" w:cs="Calibri"/>
          <w:color w:val="000000"/>
          <w:sz w:val="24"/>
        </w:rPr>
        <w:t>根据《环境影响评价技术导则 输变电》</w:t>
      </w:r>
      <w:r>
        <w:rPr>
          <w:rFonts w:hint="eastAsia" w:ascii="Calibri" w:hAnsi="Calibri" w:cs="Calibri"/>
          <w:color w:val="000000"/>
          <w:sz w:val="24"/>
          <w:lang w:eastAsia="zh-CN"/>
        </w:rPr>
        <w:t>（</w:t>
      </w:r>
      <w:r>
        <w:rPr>
          <w:rFonts w:hint="default" w:ascii="Calibri" w:hAnsi="Calibri" w:eastAsia="宋体" w:cs="Calibri"/>
          <w:color w:val="000000"/>
          <w:sz w:val="24"/>
        </w:rPr>
        <w:t>HJ 24-2020</w:t>
      </w:r>
      <w:r>
        <w:rPr>
          <w:rFonts w:hint="eastAsia" w:ascii="Calibri" w:hAnsi="Calibri" w:cs="Calibri"/>
          <w:color w:val="000000"/>
          <w:sz w:val="24"/>
          <w:lang w:eastAsia="zh-CN"/>
        </w:rPr>
        <w:t>）</w:t>
      </w:r>
      <w:r>
        <w:rPr>
          <w:rFonts w:hint="default" w:ascii="Calibri" w:hAnsi="Calibri" w:eastAsia="宋体" w:cs="Calibri"/>
          <w:color w:val="000000"/>
          <w:sz w:val="24"/>
        </w:rPr>
        <w:t>，电压等级为</w:t>
      </w:r>
      <w:r>
        <w:rPr>
          <w:rFonts w:hint="default" w:ascii="Calibri" w:hAnsi="Calibri" w:eastAsia="宋体" w:cs="Calibri"/>
          <w:color w:val="000000"/>
          <w:sz w:val="24"/>
          <w:lang w:val="en-US" w:eastAsia="zh-CN"/>
        </w:rPr>
        <w:t>11</w:t>
      </w:r>
      <w:r>
        <w:rPr>
          <w:rFonts w:hint="default" w:ascii="Calibri" w:hAnsi="Calibri" w:eastAsia="宋体" w:cs="Calibri"/>
          <w:color w:val="000000"/>
          <w:sz w:val="24"/>
        </w:rPr>
        <w:t>0kV的输变电工程以变电站站界外</w:t>
      </w:r>
      <w:r>
        <w:rPr>
          <w:rFonts w:hint="default" w:ascii="Calibri" w:hAnsi="Calibri" w:eastAsia="宋体" w:cs="Calibri"/>
          <w:color w:val="000000"/>
          <w:sz w:val="24"/>
          <w:lang w:val="en-US" w:eastAsia="zh-CN"/>
        </w:rPr>
        <w:t>3</w:t>
      </w:r>
      <w:r>
        <w:rPr>
          <w:rFonts w:hint="default" w:ascii="Calibri" w:hAnsi="Calibri" w:eastAsia="宋体" w:cs="Calibri"/>
          <w:color w:val="000000"/>
          <w:sz w:val="24"/>
        </w:rPr>
        <w:t>0m、架空线路边导线地面投影外两侧各</w:t>
      </w:r>
      <w:r>
        <w:rPr>
          <w:rFonts w:hint="default" w:ascii="Calibri" w:hAnsi="Calibri" w:eastAsia="宋体" w:cs="Calibri"/>
          <w:color w:val="000000"/>
          <w:sz w:val="24"/>
          <w:lang w:val="en-US" w:eastAsia="zh-CN"/>
        </w:rPr>
        <w:t>3</w:t>
      </w:r>
      <w:r>
        <w:rPr>
          <w:rFonts w:hint="default" w:ascii="Calibri" w:hAnsi="Calibri" w:eastAsia="宋体" w:cs="Calibri"/>
          <w:color w:val="000000"/>
          <w:sz w:val="24"/>
        </w:rPr>
        <w:t>0m为电磁环境影响评价范围。</w:t>
      </w:r>
    </w:p>
    <w:p w14:paraId="32E1D738">
      <w:pPr>
        <w:pStyle w:val="4"/>
        <w:pageBreakBefore w:val="0"/>
        <w:widowControl w:val="0"/>
        <w:kinsoku/>
        <w:wordWrap/>
        <w:overflowPunct/>
        <w:topLinePunct w:val="0"/>
        <w:autoSpaceDE/>
        <w:autoSpaceDN/>
        <w:bidi w:val="0"/>
        <w:snapToGrid w:val="0"/>
        <w:spacing w:before="0" w:beforeLines="0" w:after="0" w:afterLines="0" w:line="480" w:lineRule="exact"/>
        <w:textAlignment w:val="auto"/>
        <w:rPr>
          <w:rFonts w:hint="default" w:ascii="Calibri" w:hAnsi="Calibri" w:eastAsia="宋体" w:cs="Calibri"/>
          <w:color w:val="000000"/>
          <w:sz w:val="28"/>
        </w:rPr>
      </w:pPr>
      <w:bookmarkStart w:id="80" w:name="_Toc10015"/>
      <w:bookmarkStart w:id="81" w:name="_Toc7793"/>
      <w:bookmarkStart w:id="82" w:name="_Toc30868"/>
      <w:bookmarkStart w:id="83" w:name="_Toc27137"/>
      <w:r>
        <w:rPr>
          <w:rFonts w:hint="default" w:ascii="Calibri" w:hAnsi="Calibri" w:eastAsia="宋体" w:cs="Calibri"/>
          <w:color w:val="000000"/>
          <w:sz w:val="28"/>
        </w:rPr>
        <w:t>1.5评价标准</w:t>
      </w:r>
      <w:bookmarkEnd w:id="80"/>
      <w:bookmarkEnd w:id="81"/>
      <w:bookmarkEnd w:id="82"/>
      <w:bookmarkEnd w:id="83"/>
    </w:p>
    <w:p w14:paraId="12E049BD">
      <w:pPr>
        <w:pStyle w:val="14"/>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jc w:val="both"/>
        <w:textAlignment w:val="auto"/>
        <w:outlineLvl w:val="9"/>
        <w:rPr>
          <w:rFonts w:hint="default" w:ascii="Calibri" w:hAnsi="Calibri" w:eastAsia="宋体" w:cs="Calibri"/>
          <w:color w:val="FF0000"/>
          <w:sz w:val="24"/>
        </w:rPr>
      </w:pPr>
      <w:r>
        <w:rPr>
          <w:rFonts w:hint="default" w:ascii="Calibri" w:hAnsi="Calibri" w:eastAsia="宋体" w:cs="Calibri"/>
          <w:color w:val="000000"/>
          <w:sz w:val="24"/>
        </w:rPr>
        <w:t>根据《环境影响评价技术导则 输变电》</w:t>
      </w:r>
      <w:r>
        <w:rPr>
          <w:rFonts w:hint="eastAsia" w:ascii="Calibri" w:hAnsi="Calibri" w:cs="Calibri"/>
          <w:color w:val="000000"/>
          <w:sz w:val="24"/>
          <w:lang w:eastAsia="zh-CN"/>
        </w:rPr>
        <w:t>（</w:t>
      </w:r>
      <w:r>
        <w:rPr>
          <w:rFonts w:hint="default" w:ascii="Calibri" w:hAnsi="Calibri" w:eastAsia="宋体" w:cs="Calibri"/>
          <w:color w:val="000000"/>
          <w:sz w:val="24"/>
        </w:rPr>
        <w:t>HJ 24-20</w:t>
      </w:r>
      <w:r>
        <w:rPr>
          <w:rFonts w:hint="default" w:ascii="Calibri" w:hAnsi="Calibri" w:eastAsia="宋体" w:cs="Calibri"/>
          <w:color w:val="000000"/>
          <w:sz w:val="24"/>
          <w:lang w:val="en-US" w:eastAsia="zh-CN"/>
        </w:rPr>
        <w:t>20</w:t>
      </w:r>
      <w:r>
        <w:rPr>
          <w:rFonts w:hint="eastAsia" w:ascii="Calibri" w:hAnsi="Calibri" w:cs="Calibri"/>
          <w:color w:val="000000"/>
          <w:sz w:val="24"/>
          <w:lang w:val="en-US" w:eastAsia="zh-CN"/>
        </w:rPr>
        <w:t>）</w:t>
      </w:r>
      <w:r>
        <w:rPr>
          <w:rFonts w:hint="default" w:ascii="Calibri" w:hAnsi="Calibri" w:eastAsia="宋体" w:cs="Calibri"/>
          <w:color w:val="000000"/>
          <w:sz w:val="24"/>
        </w:rPr>
        <w:t>，工频电场的电场强度、工频磁场的磁感应强度应满足《电磁环境控制限值》</w:t>
      </w:r>
      <w:r>
        <w:rPr>
          <w:rFonts w:hint="eastAsia" w:ascii="Calibri" w:hAnsi="Calibri" w:cs="Calibri"/>
          <w:color w:val="000000"/>
          <w:sz w:val="24"/>
          <w:lang w:eastAsia="zh-CN"/>
        </w:rPr>
        <w:t>（</w:t>
      </w:r>
      <w:r>
        <w:rPr>
          <w:rFonts w:hint="default" w:ascii="Calibri" w:hAnsi="Calibri" w:eastAsia="宋体" w:cs="Calibri"/>
          <w:color w:val="000000"/>
          <w:sz w:val="24"/>
        </w:rPr>
        <w:t>GB8702-2014</w:t>
      </w:r>
      <w:r>
        <w:rPr>
          <w:rFonts w:hint="eastAsia" w:ascii="Calibri" w:hAnsi="Calibri" w:cs="Calibri"/>
          <w:color w:val="000000"/>
          <w:sz w:val="24"/>
          <w:lang w:eastAsia="zh-CN"/>
        </w:rPr>
        <w:t>）</w:t>
      </w:r>
      <w:r>
        <w:rPr>
          <w:rFonts w:hint="default" w:ascii="Calibri" w:hAnsi="Calibri" w:eastAsia="宋体" w:cs="Calibri"/>
          <w:color w:val="000000"/>
          <w:sz w:val="24"/>
        </w:rPr>
        <w:t>的要求，具体见表1-2。</w:t>
      </w:r>
    </w:p>
    <w:p w14:paraId="1D30592E">
      <w:pPr>
        <w:pageBreakBefore w:val="0"/>
        <w:widowControl w:val="0"/>
        <w:kinsoku/>
        <w:wordWrap/>
        <w:overflowPunct/>
        <w:topLinePunct w:val="0"/>
        <w:autoSpaceDE/>
        <w:autoSpaceDN/>
        <w:bidi w:val="0"/>
        <w:adjustRightInd w:val="0"/>
        <w:snapToGrid w:val="0"/>
        <w:spacing w:line="480" w:lineRule="exact"/>
        <w:jc w:val="center"/>
        <w:textAlignment w:val="auto"/>
        <w:rPr>
          <w:rFonts w:hint="default" w:ascii="Calibri" w:hAnsi="Calibri" w:eastAsia="宋体" w:cs="Calibri"/>
          <w:b/>
          <w:color w:val="000000"/>
          <w:sz w:val="24"/>
        </w:rPr>
      </w:pPr>
      <w:r>
        <w:rPr>
          <w:rFonts w:hint="default" w:ascii="Calibri" w:hAnsi="Calibri" w:eastAsia="宋体" w:cs="Calibri"/>
          <w:b/>
          <w:color w:val="000000"/>
          <w:sz w:val="24"/>
        </w:rPr>
        <w:t>表1-2      电磁环境控制限值</w:t>
      </w:r>
    </w:p>
    <w:tbl>
      <w:tblPr>
        <w:tblStyle w:val="22"/>
        <w:tblW w:w="8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4"/>
        <w:gridCol w:w="1983"/>
        <w:gridCol w:w="1366"/>
        <w:gridCol w:w="1479"/>
        <w:gridCol w:w="1276"/>
      </w:tblGrid>
      <w:tr w14:paraId="22D7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2" w:hRule="atLeast"/>
          <w:jc w:val="center"/>
        </w:trPr>
        <w:tc>
          <w:tcPr>
            <w:tcW w:w="2494" w:type="dxa"/>
            <w:tcBorders>
              <w:tl2br w:val="nil"/>
              <w:tr2bl w:val="nil"/>
            </w:tcBorders>
            <w:noWrap w:val="0"/>
            <w:vAlign w:val="center"/>
          </w:tcPr>
          <w:p w14:paraId="2257128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Calibri" w:hAnsi="Calibri" w:eastAsia="宋体" w:cs="Calibri"/>
                <w:color w:val="000000"/>
                <w:kern w:val="15"/>
                <w:sz w:val="21"/>
                <w:szCs w:val="21"/>
              </w:rPr>
            </w:pPr>
            <w:r>
              <w:rPr>
                <w:rFonts w:hint="default" w:ascii="Calibri" w:hAnsi="Calibri" w:eastAsia="宋体" w:cs="Calibri"/>
                <w:color w:val="000000"/>
                <w:kern w:val="15"/>
                <w:sz w:val="21"/>
                <w:szCs w:val="21"/>
              </w:rPr>
              <w:t>项目</w:t>
            </w:r>
          </w:p>
        </w:tc>
        <w:tc>
          <w:tcPr>
            <w:tcW w:w="1983" w:type="dxa"/>
            <w:tcBorders>
              <w:tl2br w:val="nil"/>
              <w:tr2bl w:val="nil"/>
            </w:tcBorders>
            <w:noWrap w:val="0"/>
            <w:vAlign w:val="center"/>
          </w:tcPr>
          <w:p w14:paraId="36B7895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Calibri" w:hAnsi="Calibri" w:eastAsia="宋体" w:cs="Calibri"/>
                <w:color w:val="000000"/>
                <w:kern w:val="15"/>
                <w:sz w:val="21"/>
                <w:szCs w:val="21"/>
              </w:rPr>
            </w:pPr>
            <w:r>
              <w:rPr>
                <w:rFonts w:hint="default" w:ascii="Calibri" w:hAnsi="Calibri" w:eastAsia="宋体" w:cs="Calibri"/>
                <w:color w:val="000000"/>
                <w:kern w:val="15"/>
                <w:sz w:val="21"/>
                <w:szCs w:val="21"/>
              </w:rPr>
              <w:t>频率范围</w:t>
            </w:r>
          </w:p>
        </w:tc>
        <w:tc>
          <w:tcPr>
            <w:tcW w:w="1366" w:type="dxa"/>
            <w:tcBorders>
              <w:tl2br w:val="nil"/>
              <w:tr2bl w:val="nil"/>
            </w:tcBorders>
            <w:noWrap w:val="0"/>
            <w:vAlign w:val="center"/>
          </w:tcPr>
          <w:p w14:paraId="0E7E919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Calibri" w:hAnsi="Calibri" w:eastAsia="宋体" w:cs="Calibri"/>
                <w:color w:val="000000"/>
                <w:kern w:val="15"/>
                <w:sz w:val="21"/>
                <w:szCs w:val="21"/>
              </w:rPr>
            </w:pPr>
            <w:r>
              <w:rPr>
                <w:rFonts w:hint="default" w:ascii="Calibri" w:hAnsi="Calibri" w:eastAsia="宋体" w:cs="Calibri"/>
                <w:color w:val="000000"/>
                <w:kern w:val="15"/>
                <w:sz w:val="21"/>
                <w:szCs w:val="21"/>
              </w:rPr>
              <w:t>电场强度</w:t>
            </w:r>
          </w:p>
        </w:tc>
        <w:tc>
          <w:tcPr>
            <w:tcW w:w="1479" w:type="dxa"/>
            <w:tcBorders>
              <w:tl2br w:val="nil"/>
              <w:tr2bl w:val="nil"/>
            </w:tcBorders>
            <w:noWrap w:val="0"/>
            <w:vAlign w:val="center"/>
          </w:tcPr>
          <w:p w14:paraId="594C01B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Calibri" w:hAnsi="Calibri" w:eastAsia="宋体" w:cs="Calibri"/>
                <w:color w:val="000000"/>
                <w:kern w:val="15"/>
                <w:sz w:val="21"/>
                <w:szCs w:val="21"/>
              </w:rPr>
            </w:pPr>
            <w:r>
              <w:rPr>
                <w:rFonts w:hint="default" w:ascii="Calibri" w:hAnsi="Calibri" w:eastAsia="宋体" w:cs="Calibri"/>
                <w:color w:val="000000"/>
                <w:kern w:val="15"/>
                <w:sz w:val="21"/>
                <w:szCs w:val="21"/>
              </w:rPr>
              <w:t>磁感应强度</w:t>
            </w:r>
          </w:p>
        </w:tc>
        <w:tc>
          <w:tcPr>
            <w:tcW w:w="1276" w:type="dxa"/>
            <w:tcBorders>
              <w:tl2br w:val="nil"/>
              <w:tr2bl w:val="nil"/>
            </w:tcBorders>
            <w:noWrap w:val="0"/>
            <w:vAlign w:val="center"/>
          </w:tcPr>
          <w:p w14:paraId="5FD3C76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Calibri" w:hAnsi="Calibri" w:eastAsia="宋体" w:cs="Calibri"/>
                <w:color w:val="000000"/>
                <w:kern w:val="15"/>
                <w:sz w:val="21"/>
                <w:szCs w:val="21"/>
              </w:rPr>
            </w:pPr>
            <w:r>
              <w:rPr>
                <w:rFonts w:hint="default" w:ascii="Calibri" w:hAnsi="Calibri" w:eastAsia="宋体" w:cs="Calibri"/>
                <w:color w:val="000000"/>
                <w:kern w:val="15"/>
                <w:sz w:val="21"/>
                <w:szCs w:val="21"/>
              </w:rPr>
              <w:t>备注</w:t>
            </w:r>
          </w:p>
        </w:tc>
      </w:tr>
      <w:tr w14:paraId="02B2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87" w:hRule="atLeast"/>
          <w:jc w:val="center"/>
        </w:trPr>
        <w:tc>
          <w:tcPr>
            <w:tcW w:w="2494" w:type="dxa"/>
            <w:tcBorders>
              <w:tl2br w:val="nil"/>
              <w:tr2bl w:val="nil"/>
            </w:tcBorders>
            <w:noWrap w:val="0"/>
            <w:vAlign w:val="center"/>
          </w:tcPr>
          <w:p w14:paraId="5292460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Calibri" w:hAnsi="Calibri" w:eastAsia="宋体" w:cs="Calibri"/>
                <w:color w:val="000000"/>
                <w:kern w:val="15"/>
                <w:sz w:val="21"/>
                <w:szCs w:val="21"/>
              </w:rPr>
            </w:pPr>
            <w:r>
              <w:rPr>
                <w:rFonts w:hint="default" w:ascii="Calibri" w:hAnsi="Calibri" w:eastAsia="宋体" w:cs="Calibri"/>
                <w:color w:val="000000"/>
                <w:sz w:val="21"/>
                <w:szCs w:val="21"/>
              </w:rPr>
              <w:t>《电磁环境控制限值》</w:t>
            </w:r>
            <w:r>
              <w:rPr>
                <w:rFonts w:hint="eastAsia" w:ascii="Calibri" w:hAnsi="Calibri" w:cs="Calibri"/>
                <w:color w:val="000000"/>
                <w:sz w:val="21"/>
                <w:szCs w:val="21"/>
                <w:lang w:eastAsia="zh-CN"/>
              </w:rPr>
              <w:t>（</w:t>
            </w:r>
            <w:r>
              <w:rPr>
                <w:rFonts w:hint="default" w:ascii="Calibri" w:hAnsi="Calibri" w:eastAsia="宋体" w:cs="Calibri"/>
                <w:color w:val="000000"/>
                <w:sz w:val="21"/>
                <w:szCs w:val="21"/>
              </w:rPr>
              <w:t>GB8702-2014)</w:t>
            </w:r>
          </w:p>
        </w:tc>
        <w:tc>
          <w:tcPr>
            <w:tcW w:w="1983" w:type="dxa"/>
            <w:tcBorders>
              <w:tl2br w:val="nil"/>
              <w:tr2bl w:val="nil"/>
            </w:tcBorders>
            <w:noWrap w:val="0"/>
            <w:vAlign w:val="center"/>
          </w:tcPr>
          <w:p w14:paraId="252C501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Calibri" w:hAnsi="Calibri" w:eastAsia="宋体" w:cs="Calibri"/>
                <w:color w:val="000000"/>
                <w:kern w:val="15"/>
                <w:sz w:val="21"/>
                <w:szCs w:val="21"/>
              </w:rPr>
            </w:pPr>
            <w:r>
              <w:rPr>
                <w:rFonts w:hint="default" w:ascii="Calibri" w:hAnsi="Calibri" w:eastAsia="宋体" w:cs="Calibri"/>
                <w:color w:val="000000"/>
                <w:kern w:val="15"/>
                <w:sz w:val="21"/>
                <w:szCs w:val="21"/>
              </w:rPr>
              <w:t>0.025kHz</w:t>
            </w:r>
            <w:r>
              <w:rPr>
                <w:rFonts w:hint="eastAsia" w:ascii="Calibri" w:hAnsi="Calibri" w:cs="Calibri"/>
                <w:color w:val="000000"/>
                <w:kern w:val="15"/>
                <w:sz w:val="21"/>
                <w:szCs w:val="21"/>
                <w:lang w:eastAsia="zh-CN"/>
              </w:rPr>
              <w:t>～</w:t>
            </w:r>
            <w:r>
              <w:rPr>
                <w:rFonts w:hint="default" w:ascii="Calibri" w:hAnsi="Calibri" w:eastAsia="宋体" w:cs="Calibri"/>
                <w:color w:val="000000"/>
                <w:kern w:val="15"/>
                <w:sz w:val="21"/>
                <w:szCs w:val="21"/>
              </w:rPr>
              <w:t>1.2kHz</w:t>
            </w:r>
          </w:p>
        </w:tc>
        <w:tc>
          <w:tcPr>
            <w:tcW w:w="1366" w:type="dxa"/>
            <w:tcBorders>
              <w:tl2br w:val="nil"/>
              <w:tr2bl w:val="nil"/>
            </w:tcBorders>
            <w:noWrap w:val="0"/>
            <w:vAlign w:val="center"/>
          </w:tcPr>
          <w:p w14:paraId="6453AD6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Calibri" w:hAnsi="Calibri" w:eastAsia="宋体" w:cs="Calibri"/>
                <w:color w:val="000000"/>
                <w:kern w:val="15"/>
                <w:sz w:val="21"/>
                <w:szCs w:val="21"/>
              </w:rPr>
            </w:pPr>
            <w:r>
              <w:rPr>
                <w:rFonts w:hint="default" w:ascii="Calibri" w:hAnsi="Calibri" w:eastAsia="宋体" w:cs="Calibri"/>
                <w:color w:val="000000"/>
                <w:kern w:val="15"/>
                <w:sz w:val="21"/>
                <w:szCs w:val="21"/>
              </w:rPr>
              <w:t>200/f</w:t>
            </w:r>
          </w:p>
        </w:tc>
        <w:tc>
          <w:tcPr>
            <w:tcW w:w="1479" w:type="dxa"/>
            <w:tcBorders>
              <w:tl2br w:val="nil"/>
              <w:tr2bl w:val="nil"/>
            </w:tcBorders>
            <w:noWrap w:val="0"/>
            <w:vAlign w:val="center"/>
          </w:tcPr>
          <w:p w14:paraId="2E49638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Calibri" w:hAnsi="Calibri" w:eastAsia="宋体" w:cs="Calibri"/>
                <w:color w:val="000000"/>
                <w:kern w:val="15"/>
                <w:sz w:val="21"/>
                <w:szCs w:val="21"/>
              </w:rPr>
            </w:pPr>
            <w:r>
              <w:rPr>
                <w:rFonts w:hint="default" w:ascii="Calibri" w:hAnsi="Calibri" w:eastAsia="宋体" w:cs="Calibri"/>
                <w:color w:val="000000"/>
                <w:kern w:val="15"/>
                <w:sz w:val="21"/>
                <w:szCs w:val="21"/>
              </w:rPr>
              <w:t>5/f</w:t>
            </w:r>
          </w:p>
        </w:tc>
        <w:tc>
          <w:tcPr>
            <w:tcW w:w="1276" w:type="dxa"/>
            <w:tcBorders>
              <w:tl2br w:val="nil"/>
              <w:tr2bl w:val="nil"/>
            </w:tcBorders>
            <w:noWrap w:val="0"/>
            <w:vAlign w:val="center"/>
          </w:tcPr>
          <w:p w14:paraId="0A048AD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Calibri" w:hAnsi="Calibri" w:eastAsia="宋体" w:cs="Calibri"/>
                <w:color w:val="000000"/>
                <w:kern w:val="15"/>
                <w:sz w:val="21"/>
                <w:szCs w:val="21"/>
              </w:rPr>
            </w:pPr>
            <w:r>
              <w:rPr>
                <w:rFonts w:hint="default" w:ascii="Calibri" w:hAnsi="Calibri" w:eastAsia="宋体" w:cs="Calibri"/>
                <w:color w:val="000000"/>
                <w:kern w:val="15"/>
                <w:sz w:val="21"/>
                <w:szCs w:val="21"/>
              </w:rPr>
              <w:t>f代表频率</w:t>
            </w:r>
          </w:p>
        </w:tc>
      </w:tr>
      <w:tr w14:paraId="4F1A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2494" w:type="dxa"/>
            <w:tcBorders>
              <w:tl2br w:val="nil"/>
              <w:tr2bl w:val="nil"/>
            </w:tcBorders>
            <w:noWrap w:val="0"/>
            <w:vAlign w:val="center"/>
          </w:tcPr>
          <w:p w14:paraId="0A37EDA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Calibri" w:hAnsi="Calibri" w:eastAsia="宋体" w:cs="Calibri"/>
                <w:color w:val="000000"/>
                <w:kern w:val="15"/>
                <w:sz w:val="21"/>
                <w:szCs w:val="21"/>
              </w:rPr>
            </w:pPr>
            <w:r>
              <w:rPr>
                <w:rFonts w:hint="default" w:ascii="Calibri" w:hAnsi="Calibri" w:eastAsia="宋体" w:cs="Calibri"/>
                <w:color w:val="000000"/>
                <w:kern w:val="15"/>
                <w:sz w:val="21"/>
                <w:szCs w:val="21"/>
              </w:rPr>
              <w:t>交流输变电工程</w:t>
            </w:r>
          </w:p>
        </w:tc>
        <w:tc>
          <w:tcPr>
            <w:tcW w:w="1983" w:type="dxa"/>
            <w:tcBorders>
              <w:tl2br w:val="nil"/>
              <w:tr2bl w:val="nil"/>
            </w:tcBorders>
            <w:noWrap w:val="0"/>
            <w:vAlign w:val="center"/>
          </w:tcPr>
          <w:p w14:paraId="3928222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Calibri" w:hAnsi="Calibri" w:eastAsia="宋体" w:cs="Calibri"/>
                <w:color w:val="000000"/>
                <w:kern w:val="15"/>
                <w:sz w:val="21"/>
                <w:szCs w:val="21"/>
              </w:rPr>
            </w:pPr>
            <w:r>
              <w:rPr>
                <w:rFonts w:hint="default" w:ascii="Calibri" w:hAnsi="Calibri" w:eastAsia="宋体" w:cs="Calibri"/>
                <w:color w:val="000000"/>
                <w:kern w:val="15"/>
                <w:sz w:val="21"/>
                <w:szCs w:val="21"/>
              </w:rPr>
              <w:t>0.05kHz(50Hz)</w:t>
            </w:r>
          </w:p>
        </w:tc>
        <w:tc>
          <w:tcPr>
            <w:tcW w:w="1366" w:type="dxa"/>
            <w:tcBorders>
              <w:tl2br w:val="nil"/>
              <w:tr2bl w:val="nil"/>
            </w:tcBorders>
            <w:noWrap w:val="0"/>
            <w:vAlign w:val="center"/>
          </w:tcPr>
          <w:p w14:paraId="259CE21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Calibri" w:hAnsi="Calibri" w:eastAsia="宋体" w:cs="Calibri"/>
                <w:color w:val="000000"/>
                <w:kern w:val="15"/>
                <w:sz w:val="21"/>
                <w:szCs w:val="21"/>
              </w:rPr>
            </w:pPr>
            <w:r>
              <w:rPr>
                <w:rFonts w:hint="default" w:ascii="Calibri" w:hAnsi="Calibri" w:eastAsia="宋体" w:cs="Calibri"/>
                <w:color w:val="000000"/>
                <w:kern w:val="15"/>
                <w:sz w:val="21"/>
                <w:szCs w:val="21"/>
              </w:rPr>
              <w:t>4000V/m</w:t>
            </w:r>
          </w:p>
        </w:tc>
        <w:tc>
          <w:tcPr>
            <w:tcW w:w="1479" w:type="dxa"/>
            <w:tcBorders>
              <w:tl2br w:val="nil"/>
              <w:tr2bl w:val="nil"/>
            </w:tcBorders>
            <w:noWrap w:val="0"/>
            <w:vAlign w:val="center"/>
          </w:tcPr>
          <w:p w14:paraId="574103B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Calibri" w:hAnsi="Calibri" w:eastAsia="宋体" w:cs="Calibri"/>
                <w:color w:val="000000"/>
                <w:kern w:val="15"/>
                <w:sz w:val="21"/>
                <w:szCs w:val="21"/>
              </w:rPr>
            </w:pPr>
            <w:r>
              <w:rPr>
                <w:rFonts w:hint="default" w:ascii="Calibri" w:hAnsi="Calibri" w:eastAsia="宋体" w:cs="Calibri"/>
                <w:color w:val="000000"/>
                <w:kern w:val="15"/>
                <w:sz w:val="21"/>
                <w:szCs w:val="21"/>
              </w:rPr>
              <w:t>100μT</w:t>
            </w:r>
          </w:p>
        </w:tc>
        <w:tc>
          <w:tcPr>
            <w:tcW w:w="1276" w:type="dxa"/>
            <w:tcBorders>
              <w:tl2br w:val="nil"/>
              <w:tr2bl w:val="nil"/>
            </w:tcBorders>
            <w:noWrap w:val="0"/>
            <w:vAlign w:val="center"/>
          </w:tcPr>
          <w:p w14:paraId="166A352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Calibri" w:hAnsi="Calibri" w:eastAsia="宋体" w:cs="Calibri"/>
                <w:color w:val="000000"/>
                <w:kern w:val="15"/>
                <w:sz w:val="21"/>
                <w:szCs w:val="21"/>
              </w:rPr>
            </w:pPr>
            <w:r>
              <w:rPr>
                <w:rFonts w:hint="default" w:ascii="Calibri" w:hAnsi="Calibri" w:eastAsia="宋体" w:cs="Calibri"/>
                <w:color w:val="000000"/>
                <w:kern w:val="15"/>
                <w:sz w:val="21"/>
                <w:szCs w:val="21"/>
              </w:rPr>
              <w:t>——</w:t>
            </w:r>
          </w:p>
        </w:tc>
      </w:tr>
    </w:tbl>
    <w:p w14:paraId="7C84793D">
      <w:pPr>
        <w:pageBreakBefore w:val="0"/>
        <w:widowControl w:val="0"/>
        <w:kinsoku/>
        <w:wordWrap/>
        <w:topLinePunct w:val="0"/>
        <w:bidi w:val="0"/>
        <w:adjustRightInd w:val="0"/>
        <w:snapToGrid w:val="0"/>
        <w:spacing w:line="480" w:lineRule="exact"/>
        <w:ind w:left="0" w:firstLine="480" w:firstLineChars="200"/>
        <w:textAlignment w:val="auto"/>
        <w:rPr>
          <w:rFonts w:hint="default" w:ascii="Calibri" w:hAnsi="Calibri" w:eastAsia="宋体" w:cs="Calibri"/>
          <w:color w:val="FF0000"/>
          <w:kern w:val="0"/>
          <w:sz w:val="24"/>
        </w:rPr>
      </w:pPr>
      <w:r>
        <w:rPr>
          <w:rFonts w:hint="default" w:ascii="Calibri" w:hAnsi="Calibri" w:eastAsia="宋体" w:cs="Calibri"/>
          <w:color w:val="000000"/>
          <w:kern w:val="0"/>
          <w:sz w:val="24"/>
          <w:lang w:val="zh-CN"/>
        </w:rPr>
        <w:t>架空输电线</w:t>
      </w:r>
      <w:r>
        <w:rPr>
          <w:rFonts w:hint="eastAsia" w:ascii="Calibri" w:hAnsi="Calibri" w:cs="Calibri"/>
          <w:color w:val="000000"/>
          <w:kern w:val="0"/>
          <w:sz w:val="24"/>
          <w:lang w:val="zh-CN"/>
        </w:rPr>
        <w:t>路</w:t>
      </w:r>
      <w:r>
        <w:rPr>
          <w:rFonts w:hint="default" w:ascii="Calibri" w:hAnsi="Calibri" w:eastAsia="宋体" w:cs="Calibri"/>
          <w:color w:val="000000"/>
          <w:kern w:val="0"/>
          <w:sz w:val="24"/>
          <w:lang w:val="zh-CN"/>
        </w:rPr>
        <w:t>下的耕地、园地、牧草地、畜禽饲养地、养殖水面、道路等场所，其频率50Hz的电场强度控制限值为10kV/m，</w:t>
      </w:r>
      <w:r>
        <w:rPr>
          <w:rFonts w:hint="default" w:ascii="Calibri" w:hAnsi="Calibri" w:eastAsia="宋体" w:cs="Calibri"/>
          <w:color w:val="000000"/>
          <w:kern w:val="0"/>
          <w:sz w:val="24"/>
        </w:rPr>
        <w:t>且应给出警示和防护指示标志。</w:t>
      </w:r>
    </w:p>
    <w:p w14:paraId="2D488846">
      <w:pPr>
        <w:pStyle w:val="4"/>
        <w:pageBreakBefore w:val="0"/>
        <w:widowControl w:val="0"/>
        <w:kinsoku/>
        <w:wordWrap/>
        <w:topLinePunct w:val="0"/>
        <w:autoSpaceDE/>
        <w:autoSpaceDN/>
        <w:bidi w:val="0"/>
        <w:adjustRightInd w:val="0"/>
        <w:snapToGrid w:val="0"/>
        <w:spacing w:before="0" w:beforeLines="0" w:after="0" w:afterLines="0" w:line="480" w:lineRule="exact"/>
        <w:ind w:left="0"/>
        <w:textAlignment w:val="auto"/>
        <w:rPr>
          <w:rFonts w:hint="default" w:ascii="Calibri" w:hAnsi="Calibri" w:eastAsia="宋体" w:cs="Calibri"/>
          <w:color w:val="000000"/>
          <w:sz w:val="28"/>
        </w:rPr>
      </w:pPr>
      <w:bookmarkStart w:id="84" w:name="_Toc6396"/>
      <w:bookmarkStart w:id="85" w:name="_Toc23672"/>
      <w:bookmarkStart w:id="86" w:name="_Toc25062"/>
      <w:bookmarkStart w:id="87" w:name="_Toc14441"/>
      <w:r>
        <w:rPr>
          <w:rFonts w:hint="default" w:ascii="Calibri" w:hAnsi="Calibri" w:eastAsia="宋体" w:cs="Calibri"/>
          <w:color w:val="000000"/>
          <w:sz w:val="28"/>
        </w:rPr>
        <w:t>1.6环境</w:t>
      </w:r>
      <w:r>
        <w:rPr>
          <w:rFonts w:hint="default" w:ascii="Calibri" w:hAnsi="Calibri" w:eastAsia="宋体" w:cs="Calibri"/>
          <w:color w:val="000000"/>
          <w:sz w:val="28"/>
          <w:lang w:val="en-US" w:eastAsia="zh-CN"/>
        </w:rPr>
        <w:t>敏感</w:t>
      </w:r>
      <w:r>
        <w:rPr>
          <w:rFonts w:hint="default" w:ascii="Calibri" w:hAnsi="Calibri" w:eastAsia="宋体" w:cs="Calibri"/>
          <w:color w:val="000000"/>
          <w:sz w:val="28"/>
        </w:rPr>
        <w:t>目标</w:t>
      </w:r>
      <w:bookmarkEnd w:id="84"/>
      <w:bookmarkEnd w:id="85"/>
      <w:bookmarkEnd w:id="86"/>
      <w:bookmarkEnd w:id="87"/>
    </w:p>
    <w:p w14:paraId="779F3E6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480" w:lineRule="exact"/>
        <w:ind w:left="0" w:right="0" w:firstLine="480" w:firstLineChars="200"/>
        <w:jc w:val="both"/>
        <w:textAlignment w:val="auto"/>
        <w:rPr>
          <w:rFonts w:hint="default" w:ascii="Calibri" w:hAnsi="Calibri" w:eastAsia="宋体" w:cs="Calibri"/>
          <w:b/>
          <w:color w:val="000000"/>
          <w:sz w:val="24"/>
        </w:rPr>
      </w:pPr>
      <w:bookmarkStart w:id="88" w:name="_Toc9731"/>
      <w:r>
        <w:rPr>
          <w:rFonts w:hint="default" w:ascii="Calibri" w:hAnsi="Calibri" w:eastAsia="宋体" w:cs="Calibri"/>
          <w:color w:val="000000"/>
          <w:kern w:val="2"/>
          <w:sz w:val="24"/>
          <w:szCs w:val="24"/>
          <w:lang w:val="en-US" w:eastAsia="zh-CN" w:bidi="ar"/>
        </w:rPr>
        <w:t>根据《环境影响评价技术导则 输变电》</w:t>
      </w:r>
      <w:r>
        <w:rPr>
          <w:rFonts w:hint="eastAsia" w:ascii="Calibri" w:hAnsi="Calibri" w:cs="Calibri"/>
          <w:color w:val="000000"/>
          <w:kern w:val="2"/>
          <w:sz w:val="24"/>
          <w:szCs w:val="24"/>
          <w:lang w:val="en-US" w:eastAsia="zh-CN" w:bidi="ar"/>
        </w:rPr>
        <w:t>（</w:t>
      </w:r>
      <w:r>
        <w:rPr>
          <w:rFonts w:hint="default" w:ascii="Calibri" w:hAnsi="Calibri" w:eastAsia="宋体" w:cs="Calibri"/>
          <w:color w:val="000000"/>
          <w:kern w:val="2"/>
          <w:sz w:val="24"/>
          <w:szCs w:val="24"/>
          <w:lang w:val="en-US" w:eastAsia="zh-CN" w:bidi="ar"/>
        </w:rPr>
        <w:t>HJ 24-2020</w:t>
      </w:r>
      <w:r>
        <w:rPr>
          <w:rFonts w:hint="eastAsia" w:ascii="Calibri" w:hAnsi="Calibri" w:cs="Calibri"/>
          <w:color w:val="000000"/>
          <w:kern w:val="2"/>
          <w:sz w:val="24"/>
          <w:szCs w:val="24"/>
          <w:lang w:val="en-US" w:eastAsia="zh-CN" w:bidi="ar"/>
        </w:rPr>
        <w:t>）</w:t>
      </w:r>
      <w:r>
        <w:rPr>
          <w:rFonts w:hint="default" w:ascii="Calibri" w:hAnsi="Calibri" w:eastAsia="宋体" w:cs="Calibri"/>
          <w:color w:val="000000"/>
          <w:kern w:val="2"/>
          <w:sz w:val="24"/>
          <w:szCs w:val="24"/>
          <w:lang w:val="en-US" w:eastAsia="zh-CN" w:bidi="ar"/>
        </w:rPr>
        <w:t>，电磁环境敏感目标为电磁环境影响评价需重点关注的对象，包括住宅、学校、医院、办公楼、工厂等有公众居住，工作或学习的建筑物。根据现场勘查，本项目评价范围内无电磁环境敏感目标</w:t>
      </w:r>
      <w:r>
        <w:rPr>
          <w:rFonts w:hint="default" w:ascii="Calibri" w:hAnsi="Calibri" w:eastAsia="宋体" w:cs="Calibri"/>
          <w:color w:val="000000"/>
          <w:sz w:val="24"/>
          <w:szCs w:val="24"/>
          <w:lang w:val="zh-CN"/>
        </w:rPr>
        <w:t>。</w:t>
      </w:r>
    </w:p>
    <w:p w14:paraId="2CCD6981">
      <w:pPr>
        <w:pStyle w:val="3"/>
        <w:pageBreakBefore w:val="0"/>
        <w:widowControl w:val="0"/>
        <w:tabs>
          <w:tab w:val="left" w:pos="425"/>
        </w:tabs>
        <w:kinsoku/>
        <w:wordWrap/>
        <w:topLinePunct w:val="0"/>
        <w:autoSpaceDE/>
        <w:autoSpaceDN/>
        <w:bidi w:val="0"/>
        <w:snapToGrid w:val="0"/>
        <w:spacing w:before="0" w:after="0" w:line="480" w:lineRule="exact"/>
        <w:ind w:left="0" w:right="0" w:rightChars="0"/>
        <w:jc w:val="both"/>
        <w:textAlignment w:val="auto"/>
        <w:rPr>
          <w:rFonts w:hint="default" w:ascii="Calibri" w:hAnsi="Calibri" w:eastAsia="宋体" w:cs="Calibri"/>
          <w:b/>
          <w:color w:val="000000"/>
          <w:highlight w:val="none"/>
        </w:rPr>
      </w:pPr>
      <w:bookmarkStart w:id="89" w:name="_Toc24446"/>
      <w:bookmarkStart w:id="90" w:name="_Toc26055"/>
      <w:bookmarkStart w:id="91" w:name="_Toc24023"/>
      <w:r>
        <w:rPr>
          <w:rFonts w:hint="default" w:ascii="Calibri" w:hAnsi="Calibri" w:eastAsia="宋体" w:cs="Calibri"/>
          <w:b/>
          <w:color w:val="000000"/>
          <w:highlight w:val="none"/>
        </w:rPr>
        <w:t>2电磁环境现状监测与评价</w:t>
      </w:r>
      <w:bookmarkEnd w:id="88"/>
      <w:bookmarkEnd w:id="89"/>
      <w:bookmarkEnd w:id="90"/>
      <w:bookmarkEnd w:id="91"/>
    </w:p>
    <w:p w14:paraId="49A69997">
      <w:pPr>
        <w:pStyle w:val="4"/>
        <w:pageBreakBefore w:val="0"/>
        <w:widowControl w:val="0"/>
        <w:kinsoku/>
        <w:wordWrap/>
        <w:topLinePunct w:val="0"/>
        <w:autoSpaceDE/>
        <w:autoSpaceDN/>
        <w:bidi w:val="0"/>
        <w:snapToGrid w:val="0"/>
        <w:spacing w:before="0" w:beforeLines="0" w:after="0" w:afterLines="0" w:line="480" w:lineRule="exact"/>
        <w:ind w:left="0" w:right="0" w:rightChars="0"/>
        <w:jc w:val="both"/>
        <w:textAlignment w:val="auto"/>
        <w:rPr>
          <w:rFonts w:hint="default" w:ascii="Calibri" w:hAnsi="Calibri" w:eastAsia="宋体" w:cs="Calibri"/>
          <w:color w:val="000000"/>
          <w:sz w:val="28"/>
        </w:rPr>
      </w:pPr>
      <w:bookmarkStart w:id="92" w:name="_Toc319"/>
      <w:bookmarkStart w:id="93" w:name="_Toc30617"/>
      <w:bookmarkStart w:id="94" w:name="_Toc4326"/>
      <w:r>
        <w:rPr>
          <w:rFonts w:hint="default" w:ascii="Calibri" w:hAnsi="Calibri" w:eastAsia="宋体" w:cs="Calibri"/>
          <w:color w:val="000000"/>
          <w:sz w:val="28"/>
        </w:rPr>
        <w:t>2.1监测因子</w:t>
      </w:r>
      <w:bookmarkEnd w:id="92"/>
      <w:bookmarkEnd w:id="93"/>
      <w:bookmarkEnd w:id="94"/>
    </w:p>
    <w:p w14:paraId="72BF454D">
      <w:pPr>
        <w:pageBreakBefore w:val="0"/>
        <w:widowControl w:val="0"/>
        <w:kinsoku/>
        <w:wordWrap/>
        <w:topLinePunct w:val="0"/>
        <w:autoSpaceDE/>
        <w:autoSpaceDN/>
        <w:bidi w:val="0"/>
        <w:adjustRightInd w:val="0"/>
        <w:snapToGrid w:val="0"/>
        <w:spacing w:line="480" w:lineRule="exact"/>
        <w:ind w:left="0" w:right="0" w:rightChars="0" w:firstLine="480" w:firstLineChars="200"/>
        <w:jc w:val="both"/>
        <w:textAlignment w:val="auto"/>
        <w:rPr>
          <w:rFonts w:hint="default" w:ascii="Calibri" w:hAnsi="Calibri" w:eastAsia="宋体" w:cs="Calibri"/>
          <w:color w:val="FF0000"/>
          <w:sz w:val="24"/>
        </w:rPr>
      </w:pPr>
      <w:r>
        <w:rPr>
          <w:rFonts w:hint="default" w:ascii="Calibri" w:hAnsi="Calibri" w:eastAsia="宋体" w:cs="Calibri"/>
          <w:color w:val="000000"/>
          <w:sz w:val="24"/>
        </w:rPr>
        <w:t>工频电场、工频磁场。</w:t>
      </w:r>
    </w:p>
    <w:p w14:paraId="46631018">
      <w:pPr>
        <w:pStyle w:val="4"/>
        <w:pageBreakBefore w:val="0"/>
        <w:widowControl w:val="0"/>
        <w:kinsoku/>
        <w:wordWrap/>
        <w:topLinePunct w:val="0"/>
        <w:autoSpaceDE/>
        <w:autoSpaceDN/>
        <w:bidi w:val="0"/>
        <w:snapToGrid w:val="0"/>
        <w:spacing w:before="0" w:beforeLines="0" w:after="0" w:afterLines="0" w:line="480" w:lineRule="exact"/>
        <w:ind w:left="0" w:right="0" w:rightChars="0"/>
        <w:jc w:val="both"/>
        <w:textAlignment w:val="auto"/>
        <w:rPr>
          <w:rFonts w:hint="default" w:ascii="Calibri" w:hAnsi="Calibri" w:eastAsia="宋体" w:cs="Calibri"/>
          <w:color w:val="000000"/>
          <w:sz w:val="28"/>
        </w:rPr>
      </w:pPr>
      <w:bookmarkStart w:id="95" w:name="_Toc16116"/>
      <w:bookmarkStart w:id="96" w:name="_Toc21197"/>
      <w:bookmarkStart w:id="97" w:name="_Toc27814"/>
      <w:r>
        <w:rPr>
          <w:rFonts w:hint="default" w:ascii="Calibri" w:hAnsi="Calibri" w:eastAsia="宋体" w:cs="Calibri"/>
          <w:color w:val="000000"/>
          <w:sz w:val="28"/>
        </w:rPr>
        <w:t>2.2监测方法及布点</w:t>
      </w:r>
      <w:bookmarkEnd w:id="95"/>
      <w:bookmarkEnd w:id="96"/>
      <w:bookmarkEnd w:id="97"/>
    </w:p>
    <w:p w14:paraId="0E58D1D9">
      <w:pPr>
        <w:pageBreakBefore w:val="0"/>
        <w:widowControl w:val="0"/>
        <w:kinsoku/>
        <w:wordWrap/>
        <w:topLinePunct w:val="0"/>
        <w:autoSpaceDE/>
        <w:autoSpaceDN/>
        <w:bidi w:val="0"/>
        <w:adjustRightInd w:val="0"/>
        <w:snapToGrid w:val="0"/>
        <w:spacing w:line="480" w:lineRule="exact"/>
        <w:ind w:left="0" w:right="0" w:rightChars="0" w:firstLine="480" w:firstLineChars="200"/>
        <w:jc w:val="both"/>
        <w:textAlignment w:val="auto"/>
        <w:rPr>
          <w:rFonts w:hint="default" w:ascii="Calibri" w:hAnsi="Calibri" w:eastAsia="宋体" w:cs="Calibri"/>
          <w:color w:val="000000"/>
          <w:sz w:val="24"/>
        </w:rPr>
      </w:pPr>
      <w:r>
        <w:rPr>
          <w:rFonts w:hint="default" w:ascii="Calibri" w:hAnsi="Calibri" w:eastAsia="宋体" w:cs="Calibri"/>
          <w:color w:val="000000"/>
          <w:sz w:val="24"/>
        </w:rPr>
        <w:t>监测方法：《</w:t>
      </w:r>
      <w:r>
        <w:rPr>
          <w:rFonts w:hint="default" w:ascii="Calibri" w:hAnsi="Calibri" w:eastAsia="宋体" w:cs="Calibri"/>
          <w:color w:val="000000"/>
          <w:sz w:val="24"/>
          <w:lang w:eastAsia="zh-CN"/>
        </w:rPr>
        <w:t>交流输变电工程电磁环境监测方法（试行）</w:t>
      </w:r>
      <w:r>
        <w:rPr>
          <w:rFonts w:hint="default" w:ascii="Calibri" w:hAnsi="Calibri" w:eastAsia="宋体" w:cs="Calibri"/>
          <w:color w:val="000000"/>
          <w:sz w:val="24"/>
        </w:rPr>
        <w:t>》</w:t>
      </w:r>
      <w:r>
        <w:rPr>
          <w:rFonts w:hint="eastAsia" w:ascii="Calibri" w:hAnsi="Calibri" w:cs="Calibri"/>
          <w:color w:val="000000"/>
          <w:sz w:val="24"/>
          <w:lang w:eastAsia="zh-CN"/>
        </w:rPr>
        <w:t>（</w:t>
      </w:r>
      <w:r>
        <w:rPr>
          <w:rFonts w:hint="default" w:ascii="Calibri" w:hAnsi="Calibri" w:eastAsia="宋体" w:cs="Calibri"/>
          <w:color w:val="000000"/>
          <w:sz w:val="24"/>
        </w:rPr>
        <w:t>HJ681-2013</w:t>
      </w:r>
      <w:r>
        <w:rPr>
          <w:rFonts w:hint="eastAsia" w:ascii="Calibri" w:hAnsi="Calibri" w:cs="Calibri"/>
          <w:color w:val="000000"/>
          <w:sz w:val="24"/>
          <w:lang w:eastAsia="zh-CN"/>
        </w:rPr>
        <w:t>）</w:t>
      </w:r>
      <w:r>
        <w:rPr>
          <w:rFonts w:hint="default" w:ascii="Calibri" w:hAnsi="Calibri" w:eastAsia="宋体" w:cs="Calibri"/>
          <w:color w:val="000000"/>
          <w:sz w:val="24"/>
        </w:rPr>
        <w:t>。</w:t>
      </w:r>
    </w:p>
    <w:p w14:paraId="29EB5A6A">
      <w:pPr>
        <w:pageBreakBefore w:val="0"/>
        <w:widowControl w:val="0"/>
        <w:kinsoku/>
        <w:wordWrap/>
        <w:topLinePunct w:val="0"/>
        <w:autoSpaceDE/>
        <w:autoSpaceDN/>
        <w:bidi w:val="0"/>
        <w:adjustRightInd w:val="0"/>
        <w:snapToGrid w:val="0"/>
        <w:spacing w:line="480" w:lineRule="exact"/>
        <w:ind w:left="0" w:right="0" w:rightChars="0" w:firstLine="480" w:firstLineChars="200"/>
        <w:jc w:val="both"/>
        <w:textAlignment w:val="auto"/>
        <w:rPr>
          <w:rFonts w:hint="default" w:ascii="Calibri" w:hAnsi="Calibri" w:eastAsia="宋体" w:cs="Calibri"/>
          <w:color w:val="FF0000"/>
          <w:sz w:val="24"/>
          <w:lang w:val="en-US" w:eastAsia="zh-CN"/>
        </w:rPr>
      </w:pPr>
      <w:r>
        <w:rPr>
          <w:rFonts w:hint="default" w:ascii="Calibri" w:hAnsi="Calibri" w:eastAsia="宋体" w:cs="Calibri"/>
          <w:color w:val="000000"/>
          <w:sz w:val="24"/>
          <w:lang w:val="en-US" w:eastAsia="zh-CN"/>
        </w:rPr>
        <w:t>布点方法：</w:t>
      </w:r>
      <w:r>
        <w:rPr>
          <w:rFonts w:hint="default" w:ascii="Calibri" w:hAnsi="Calibri" w:eastAsia="宋体" w:cs="Calibri"/>
          <w:color w:val="000000"/>
          <w:sz w:val="24"/>
        </w:rPr>
        <w:t>根据《环境影响评价技术导则 输变电》</w:t>
      </w:r>
      <w:r>
        <w:rPr>
          <w:rFonts w:hint="eastAsia" w:ascii="Calibri" w:hAnsi="Calibri" w:cs="Calibri"/>
          <w:color w:val="000000"/>
          <w:sz w:val="24"/>
          <w:lang w:eastAsia="zh-CN"/>
        </w:rPr>
        <w:t>（</w:t>
      </w:r>
      <w:r>
        <w:rPr>
          <w:rFonts w:hint="default" w:ascii="Calibri" w:hAnsi="Calibri" w:eastAsia="宋体" w:cs="Calibri"/>
          <w:color w:val="000000"/>
          <w:sz w:val="24"/>
        </w:rPr>
        <w:t>HJ24-20</w:t>
      </w:r>
      <w:r>
        <w:rPr>
          <w:rFonts w:hint="default" w:ascii="Calibri" w:hAnsi="Calibri" w:eastAsia="宋体" w:cs="Calibri"/>
          <w:color w:val="000000"/>
          <w:sz w:val="24"/>
          <w:lang w:val="en-US" w:eastAsia="zh-CN"/>
        </w:rPr>
        <w:t>20</w:t>
      </w:r>
      <w:r>
        <w:rPr>
          <w:rFonts w:hint="eastAsia" w:ascii="Calibri" w:hAnsi="Calibri" w:cs="Calibri"/>
          <w:color w:val="000000"/>
          <w:sz w:val="24"/>
          <w:lang w:val="en-US" w:eastAsia="zh-CN"/>
        </w:rPr>
        <w:t>）</w:t>
      </w:r>
      <w:r>
        <w:rPr>
          <w:rFonts w:hint="default" w:ascii="Calibri" w:hAnsi="Calibri" w:eastAsia="宋体" w:cs="Calibri"/>
          <w:color w:val="000000"/>
          <w:sz w:val="24"/>
        </w:rPr>
        <w:t>的要求，本次评价设置</w:t>
      </w:r>
      <w:r>
        <w:rPr>
          <w:rFonts w:hint="eastAsia" w:ascii="Calibri" w:hAnsi="Calibri" w:eastAsia="宋体" w:cs="Calibri"/>
          <w:color w:val="000000"/>
          <w:sz w:val="24"/>
          <w:lang w:val="en-US" w:eastAsia="zh-CN"/>
        </w:rPr>
        <w:t>4</w:t>
      </w:r>
      <w:r>
        <w:rPr>
          <w:rFonts w:hint="default" w:ascii="Calibri" w:hAnsi="Calibri" w:eastAsia="宋体" w:cs="Calibri"/>
          <w:color w:val="000000"/>
          <w:sz w:val="24"/>
        </w:rPr>
        <w:t>个现状监测点。</w:t>
      </w:r>
    </w:p>
    <w:p w14:paraId="25B84869">
      <w:pPr>
        <w:pStyle w:val="4"/>
        <w:pageBreakBefore w:val="0"/>
        <w:widowControl w:val="0"/>
        <w:kinsoku/>
        <w:wordWrap/>
        <w:topLinePunct w:val="0"/>
        <w:autoSpaceDE/>
        <w:autoSpaceDN/>
        <w:bidi w:val="0"/>
        <w:snapToGrid w:val="0"/>
        <w:spacing w:before="0" w:beforeLines="0" w:after="0" w:afterLines="0" w:line="480" w:lineRule="exact"/>
        <w:ind w:left="0" w:right="0" w:rightChars="0"/>
        <w:jc w:val="both"/>
        <w:textAlignment w:val="auto"/>
        <w:rPr>
          <w:rFonts w:hint="default" w:ascii="Calibri" w:hAnsi="Calibri" w:eastAsia="宋体" w:cs="Calibri"/>
          <w:color w:val="000000"/>
          <w:sz w:val="28"/>
        </w:rPr>
      </w:pPr>
      <w:bookmarkStart w:id="98" w:name="_Toc25870"/>
      <w:bookmarkStart w:id="99" w:name="_Toc27510"/>
      <w:bookmarkStart w:id="100" w:name="_Toc13760"/>
      <w:r>
        <w:rPr>
          <w:rFonts w:hint="default" w:ascii="Calibri" w:hAnsi="Calibri" w:eastAsia="宋体" w:cs="Calibri"/>
          <w:color w:val="000000"/>
          <w:sz w:val="28"/>
        </w:rPr>
        <w:t>2.3监测单位及监测时间</w:t>
      </w:r>
      <w:bookmarkEnd w:id="98"/>
      <w:bookmarkEnd w:id="99"/>
      <w:bookmarkEnd w:id="100"/>
    </w:p>
    <w:p w14:paraId="498BA5B6">
      <w:pPr>
        <w:pageBreakBefore w:val="0"/>
        <w:widowControl w:val="0"/>
        <w:kinsoku/>
        <w:wordWrap/>
        <w:topLinePunct w:val="0"/>
        <w:autoSpaceDE/>
        <w:autoSpaceDN/>
        <w:bidi w:val="0"/>
        <w:adjustRightInd w:val="0"/>
        <w:snapToGrid w:val="0"/>
        <w:spacing w:line="480" w:lineRule="exact"/>
        <w:ind w:left="0" w:right="0" w:rightChars="0" w:firstLine="480" w:firstLineChars="200"/>
        <w:jc w:val="both"/>
        <w:textAlignment w:val="auto"/>
        <w:rPr>
          <w:rFonts w:hint="default" w:ascii="Calibri" w:hAnsi="Calibri" w:eastAsia="宋体" w:cs="Calibri"/>
          <w:color w:val="000000"/>
          <w:sz w:val="24"/>
        </w:rPr>
      </w:pPr>
      <w:r>
        <w:rPr>
          <w:rFonts w:hint="default" w:ascii="Calibri" w:hAnsi="Calibri" w:eastAsia="宋体" w:cs="Calibri"/>
          <w:color w:val="000000"/>
          <w:sz w:val="24"/>
        </w:rPr>
        <w:t>监测单位：</w:t>
      </w:r>
      <w:r>
        <w:rPr>
          <w:rFonts w:hint="eastAsia" w:ascii="Calibri" w:hAnsi="Calibri" w:eastAsia="宋体" w:cs="Calibri"/>
          <w:color w:val="000000"/>
          <w:sz w:val="24"/>
          <w:lang w:val="en-US" w:eastAsia="zh-CN"/>
        </w:rPr>
        <w:t>新疆中测测试有限责任公司</w:t>
      </w:r>
    </w:p>
    <w:p w14:paraId="782A15AF">
      <w:pPr>
        <w:pageBreakBefore w:val="0"/>
        <w:widowControl w:val="0"/>
        <w:kinsoku/>
        <w:wordWrap/>
        <w:topLinePunct w:val="0"/>
        <w:autoSpaceDE/>
        <w:autoSpaceDN/>
        <w:bidi w:val="0"/>
        <w:adjustRightInd w:val="0"/>
        <w:snapToGrid w:val="0"/>
        <w:spacing w:line="480" w:lineRule="exact"/>
        <w:ind w:left="0" w:right="0" w:rightChars="0" w:firstLine="480" w:firstLineChars="200"/>
        <w:jc w:val="both"/>
        <w:textAlignment w:val="auto"/>
        <w:rPr>
          <w:rFonts w:hint="default" w:ascii="Calibri" w:hAnsi="Calibri" w:eastAsia="宋体" w:cs="Calibri"/>
          <w:color w:val="000000"/>
          <w:sz w:val="24"/>
        </w:rPr>
      </w:pPr>
      <w:r>
        <w:rPr>
          <w:rFonts w:hint="default" w:ascii="Calibri" w:hAnsi="Calibri" w:eastAsia="宋体" w:cs="Calibri"/>
          <w:color w:val="000000"/>
          <w:sz w:val="24"/>
        </w:rPr>
        <w:t>监测时间：202</w:t>
      </w:r>
      <w:r>
        <w:rPr>
          <w:rFonts w:hint="default" w:ascii="Calibri" w:hAnsi="Calibri" w:eastAsia="宋体" w:cs="Calibri"/>
          <w:color w:val="000000"/>
          <w:sz w:val="24"/>
          <w:lang w:val="en-US" w:eastAsia="zh-CN"/>
        </w:rPr>
        <w:t>5</w:t>
      </w:r>
      <w:r>
        <w:rPr>
          <w:rFonts w:hint="default" w:ascii="Calibri" w:hAnsi="Calibri" w:eastAsia="宋体" w:cs="Calibri"/>
          <w:color w:val="000000"/>
          <w:sz w:val="24"/>
        </w:rPr>
        <w:t>年</w:t>
      </w:r>
      <w:r>
        <w:rPr>
          <w:rFonts w:hint="eastAsia" w:ascii="Calibri" w:hAnsi="Calibri" w:cs="Calibri"/>
          <w:color w:val="000000"/>
          <w:sz w:val="24"/>
          <w:lang w:val="en-US" w:eastAsia="zh-CN"/>
        </w:rPr>
        <w:t>8</w:t>
      </w:r>
      <w:r>
        <w:rPr>
          <w:rFonts w:hint="default" w:ascii="Calibri" w:hAnsi="Calibri" w:eastAsia="宋体" w:cs="Calibri"/>
          <w:color w:val="000000"/>
          <w:sz w:val="24"/>
        </w:rPr>
        <w:t>月</w:t>
      </w:r>
      <w:r>
        <w:rPr>
          <w:rFonts w:hint="eastAsia" w:ascii="Calibri" w:hAnsi="Calibri" w:cs="Calibri"/>
          <w:color w:val="000000"/>
          <w:sz w:val="24"/>
          <w:lang w:val="en-US" w:eastAsia="zh-CN"/>
        </w:rPr>
        <w:t>2</w:t>
      </w:r>
      <w:r>
        <w:rPr>
          <w:rFonts w:hint="default" w:ascii="Calibri" w:hAnsi="Calibri" w:eastAsia="宋体" w:cs="Calibri"/>
          <w:color w:val="000000"/>
          <w:sz w:val="24"/>
          <w:lang w:val="en-US" w:eastAsia="zh-CN"/>
        </w:rPr>
        <w:t>日</w:t>
      </w:r>
    </w:p>
    <w:p w14:paraId="690F3302">
      <w:pPr>
        <w:pStyle w:val="4"/>
        <w:pageBreakBefore w:val="0"/>
        <w:widowControl w:val="0"/>
        <w:kinsoku/>
        <w:wordWrap/>
        <w:topLinePunct w:val="0"/>
        <w:autoSpaceDE/>
        <w:autoSpaceDN/>
        <w:bidi w:val="0"/>
        <w:snapToGrid w:val="0"/>
        <w:spacing w:before="0" w:beforeLines="0" w:after="0" w:afterLines="0" w:line="480" w:lineRule="exact"/>
        <w:ind w:left="0" w:right="0" w:rightChars="0"/>
        <w:jc w:val="both"/>
        <w:textAlignment w:val="auto"/>
        <w:rPr>
          <w:rFonts w:hint="default" w:ascii="Calibri" w:hAnsi="Calibri" w:eastAsia="宋体" w:cs="Calibri"/>
          <w:color w:val="000000"/>
          <w:sz w:val="28"/>
        </w:rPr>
      </w:pPr>
      <w:bookmarkStart w:id="101" w:name="_Toc9533"/>
      <w:bookmarkStart w:id="102" w:name="_Toc1561"/>
      <w:bookmarkStart w:id="103" w:name="_Toc13089"/>
      <w:r>
        <w:rPr>
          <w:rFonts w:hint="default" w:ascii="Calibri" w:hAnsi="Calibri" w:eastAsia="宋体" w:cs="Calibri"/>
          <w:color w:val="000000"/>
          <w:sz w:val="28"/>
        </w:rPr>
        <w:t>2.4监测条件</w:t>
      </w:r>
      <w:bookmarkEnd w:id="101"/>
      <w:bookmarkEnd w:id="102"/>
      <w:bookmarkEnd w:id="103"/>
    </w:p>
    <w:p w14:paraId="7FD79B16">
      <w:pPr>
        <w:pageBreakBefore w:val="0"/>
        <w:widowControl w:val="0"/>
        <w:kinsoku/>
        <w:wordWrap/>
        <w:topLinePunct w:val="0"/>
        <w:autoSpaceDE w:val="0"/>
        <w:autoSpaceDN w:val="0"/>
        <w:bidi w:val="0"/>
        <w:adjustRightInd w:val="0"/>
        <w:snapToGrid w:val="0"/>
        <w:spacing w:line="480" w:lineRule="exact"/>
        <w:ind w:left="0" w:firstLine="480" w:firstLineChars="200"/>
        <w:textAlignment w:val="auto"/>
        <w:rPr>
          <w:rFonts w:hint="default" w:ascii="Calibri" w:hAnsi="Calibri" w:eastAsia="宋体" w:cs="Calibri"/>
          <w:color w:val="auto"/>
          <w:sz w:val="24"/>
        </w:rPr>
      </w:pPr>
      <w:r>
        <w:rPr>
          <w:rFonts w:hint="default" w:ascii="Calibri" w:hAnsi="Calibri" w:eastAsia="宋体" w:cs="Calibri"/>
          <w:color w:val="auto"/>
          <w:sz w:val="24"/>
        </w:rPr>
        <w:t>监测条件：天气：晴；气温</w:t>
      </w:r>
      <w:r>
        <w:rPr>
          <w:rFonts w:hint="eastAsia" w:ascii="Calibri" w:hAnsi="Calibri" w:cs="Calibri"/>
          <w:color w:val="auto"/>
          <w:sz w:val="24"/>
          <w:lang w:eastAsia="zh-CN"/>
        </w:rPr>
        <w:t>：</w:t>
      </w:r>
      <w:r>
        <w:rPr>
          <w:rFonts w:hint="default" w:ascii="Calibri" w:hAnsi="Calibri" w:eastAsia="宋体" w:cs="Calibri"/>
          <w:color w:val="auto"/>
          <w:sz w:val="24"/>
        </w:rPr>
        <w:t>31.8℃；相对湿度：14%；气压：88.7kPa。</w:t>
      </w:r>
    </w:p>
    <w:p w14:paraId="75B193B1">
      <w:pPr>
        <w:pStyle w:val="4"/>
        <w:pageBreakBefore w:val="0"/>
        <w:widowControl w:val="0"/>
        <w:kinsoku/>
        <w:wordWrap/>
        <w:topLinePunct w:val="0"/>
        <w:bidi w:val="0"/>
        <w:snapToGrid w:val="0"/>
        <w:spacing w:before="0" w:beforeLines="0" w:after="0" w:afterLines="0" w:line="480" w:lineRule="exact"/>
        <w:ind w:left="0"/>
        <w:textAlignment w:val="auto"/>
        <w:rPr>
          <w:rFonts w:hint="default" w:ascii="Calibri" w:hAnsi="Calibri" w:eastAsia="宋体" w:cs="Calibri"/>
          <w:color w:val="auto"/>
          <w:sz w:val="28"/>
        </w:rPr>
      </w:pPr>
      <w:bookmarkStart w:id="104" w:name="_Toc4452"/>
      <w:bookmarkStart w:id="105" w:name="_Toc28725"/>
      <w:bookmarkStart w:id="106" w:name="_Toc24829"/>
      <w:r>
        <w:rPr>
          <w:rFonts w:hint="default" w:ascii="Calibri" w:hAnsi="Calibri" w:eastAsia="宋体" w:cs="Calibri"/>
          <w:color w:val="auto"/>
          <w:sz w:val="28"/>
        </w:rPr>
        <w:t>2.5监测结果</w:t>
      </w:r>
      <w:bookmarkEnd w:id="104"/>
      <w:bookmarkEnd w:id="105"/>
      <w:bookmarkEnd w:id="106"/>
    </w:p>
    <w:p w14:paraId="2340330B">
      <w:pPr>
        <w:pageBreakBefore w:val="0"/>
        <w:widowControl w:val="0"/>
        <w:kinsoku/>
        <w:wordWrap/>
        <w:topLinePunct w:val="0"/>
        <w:bidi w:val="0"/>
        <w:adjustRightInd w:val="0"/>
        <w:snapToGrid w:val="0"/>
        <w:spacing w:line="480" w:lineRule="exact"/>
        <w:ind w:left="0" w:firstLine="480" w:firstLineChars="200"/>
        <w:textAlignment w:val="auto"/>
        <w:rPr>
          <w:rFonts w:hint="default" w:ascii="Calibri" w:hAnsi="Calibri" w:eastAsia="宋体" w:cs="Calibri"/>
          <w:color w:val="auto"/>
          <w:sz w:val="24"/>
        </w:rPr>
      </w:pPr>
      <w:r>
        <w:rPr>
          <w:rFonts w:hint="default" w:ascii="Calibri" w:hAnsi="Calibri" w:eastAsia="宋体" w:cs="Calibri"/>
          <w:color w:val="auto"/>
          <w:sz w:val="24"/>
        </w:rPr>
        <w:t>监测结果，见表2-2。</w:t>
      </w:r>
    </w:p>
    <w:p w14:paraId="1FAFC080">
      <w:pPr>
        <w:pageBreakBefore w:val="0"/>
        <w:widowControl w:val="0"/>
        <w:kinsoku/>
        <w:wordWrap/>
        <w:topLinePunct w:val="0"/>
        <w:autoSpaceDE w:val="0"/>
        <w:autoSpaceDN w:val="0"/>
        <w:bidi w:val="0"/>
        <w:adjustRightInd w:val="0"/>
        <w:snapToGrid w:val="0"/>
        <w:spacing w:line="480" w:lineRule="exact"/>
        <w:jc w:val="center"/>
        <w:textAlignment w:val="auto"/>
        <w:rPr>
          <w:rFonts w:hint="default" w:ascii="Calibri" w:hAnsi="Calibri" w:eastAsia="宋体" w:cs="Calibri"/>
          <w:b/>
          <w:color w:val="auto"/>
          <w:sz w:val="24"/>
        </w:rPr>
      </w:pPr>
      <w:r>
        <w:rPr>
          <w:rFonts w:hint="default" w:ascii="Calibri" w:hAnsi="Calibri" w:eastAsia="宋体" w:cs="Calibri"/>
          <w:b/>
          <w:color w:val="auto"/>
          <w:sz w:val="24"/>
        </w:rPr>
        <w:t>表2-2        电磁环境现状监测结果</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2901"/>
        <w:gridCol w:w="2723"/>
        <w:gridCol w:w="2669"/>
        <w:gridCol w:w="4"/>
      </w:tblGrid>
      <w:tr w14:paraId="6DC87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417" w:type="pct"/>
            <w:vMerge w:val="restart"/>
            <w:noWrap w:val="0"/>
            <w:vAlign w:val="center"/>
          </w:tcPr>
          <w:p w14:paraId="3D275CE3">
            <w:pPr>
              <w:pStyle w:val="35"/>
              <w:bidi w:val="0"/>
              <w:rPr>
                <w:rFonts w:hint="default"/>
                <w:color w:val="auto"/>
                <w:lang w:val="en-US" w:eastAsia="zh-CN"/>
              </w:rPr>
            </w:pPr>
            <w:r>
              <w:rPr>
                <w:rFonts w:hint="default"/>
                <w:color w:val="auto"/>
                <w:lang w:val="en-US" w:eastAsia="zh-CN"/>
              </w:rPr>
              <w:t>序号</w:t>
            </w:r>
          </w:p>
        </w:tc>
        <w:tc>
          <w:tcPr>
            <w:tcW w:w="1601" w:type="pct"/>
            <w:vMerge w:val="restart"/>
            <w:noWrap w:val="0"/>
            <w:vAlign w:val="center"/>
          </w:tcPr>
          <w:p w14:paraId="76080443">
            <w:pPr>
              <w:pStyle w:val="35"/>
              <w:bidi w:val="0"/>
              <w:rPr>
                <w:rFonts w:hint="default"/>
                <w:color w:val="auto"/>
                <w:lang w:eastAsia="zh-CN"/>
              </w:rPr>
            </w:pPr>
            <w:r>
              <w:rPr>
                <w:rFonts w:hint="default"/>
                <w:color w:val="auto"/>
                <w:lang w:eastAsia="zh-CN"/>
              </w:rPr>
              <w:t>检测点位</w:t>
            </w:r>
          </w:p>
        </w:tc>
        <w:tc>
          <w:tcPr>
            <w:tcW w:w="2980" w:type="pct"/>
            <w:gridSpan w:val="3"/>
            <w:noWrap w:val="0"/>
            <w:vAlign w:val="center"/>
          </w:tcPr>
          <w:p w14:paraId="5B65135F">
            <w:pPr>
              <w:pStyle w:val="35"/>
              <w:bidi w:val="0"/>
              <w:rPr>
                <w:rFonts w:hint="default"/>
                <w:color w:val="auto"/>
                <w:lang w:eastAsia="zh-CN"/>
              </w:rPr>
            </w:pPr>
            <w:r>
              <w:rPr>
                <w:rFonts w:hint="default"/>
                <w:color w:val="auto"/>
                <w:lang w:eastAsia="zh-CN"/>
              </w:rPr>
              <w:t>检测结果</w:t>
            </w:r>
          </w:p>
        </w:tc>
      </w:tr>
      <w:tr w14:paraId="5262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17" w:type="pct"/>
            <w:vMerge w:val="continue"/>
            <w:noWrap w:val="0"/>
            <w:vAlign w:val="center"/>
          </w:tcPr>
          <w:p w14:paraId="1DA30F57">
            <w:pPr>
              <w:pStyle w:val="35"/>
              <w:bidi w:val="0"/>
              <w:rPr>
                <w:rFonts w:hint="default"/>
                <w:color w:val="auto"/>
                <w:lang w:val="en-US" w:eastAsia="zh-CN"/>
              </w:rPr>
            </w:pPr>
          </w:p>
        </w:tc>
        <w:tc>
          <w:tcPr>
            <w:tcW w:w="1601" w:type="pct"/>
            <w:vMerge w:val="continue"/>
            <w:noWrap w:val="0"/>
            <w:vAlign w:val="center"/>
          </w:tcPr>
          <w:p w14:paraId="2AE33A57">
            <w:pPr>
              <w:pStyle w:val="35"/>
              <w:bidi w:val="0"/>
              <w:rPr>
                <w:rFonts w:hint="default"/>
                <w:color w:val="auto"/>
                <w:lang w:eastAsia="zh-CN"/>
              </w:rPr>
            </w:pPr>
          </w:p>
        </w:tc>
        <w:tc>
          <w:tcPr>
            <w:tcW w:w="1504" w:type="pct"/>
            <w:noWrap w:val="0"/>
            <w:vAlign w:val="center"/>
          </w:tcPr>
          <w:p w14:paraId="26C49BE6">
            <w:pPr>
              <w:pStyle w:val="35"/>
              <w:bidi w:val="0"/>
              <w:rPr>
                <w:rFonts w:hint="default"/>
                <w:color w:val="auto"/>
                <w:lang w:eastAsia="zh-CN"/>
              </w:rPr>
            </w:pPr>
            <w:r>
              <w:rPr>
                <w:rFonts w:hint="default"/>
                <w:color w:val="auto"/>
                <w:lang w:eastAsia="zh-CN"/>
              </w:rPr>
              <w:t>工频电场强度（</w:t>
            </w:r>
            <w:r>
              <w:rPr>
                <w:rFonts w:hint="default"/>
                <w:color w:val="auto"/>
                <w:lang w:val="en-US" w:eastAsia="zh-CN"/>
              </w:rPr>
              <w:t>V/m</w:t>
            </w:r>
            <w:r>
              <w:rPr>
                <w:rFonts w:hint="default"/>
                <w:color w:val="auto"/>
                <w:lang w:eastAsia="zh-CN"/>
              </w:rPr>
              <w:t>）</w:t>
            </w:r>
          </w:p>
        </w:tc>
        <w:tc>
          <w:tcPr>
            <w:tcW w:w="1476" w:type="pct"/>
            <w:gridSpan w:val="2"/>
            <w:noWrap w:val="0"/>
            <w:vAlign w:val="center"/>
          </w:tcPr>
          <w:p w14:paraId="6AE4B4FB">
            <w:pPr>
              <w:pStyle w:val="35"/>
              <w:bidi w:val="0"/>
              <w:rPr>
                <w:rFonts w:hint="default"/>
                <w:color w:val="auto"/>
                <w:lang w:eastAsia="zh-CN"/>
              </w:rPr>
            </w:pPr>
            <w:r>
              <w:rPr>
                <w:rFonts w:hint="default"/>
                <w:color w:val="auto"/>
                <w:lang w:eastAsia="zh-CN"/>
              </w:rPr>
              <w:t>工频磁感应强度（μ</w:t>
            </w:r>
            <w:r>
              <w:rPr>
                <w:rFonts w:hint="default"/>
                <w:color w:val="auto"/>
                <w:lang w:val="en-US" w:eastAsia="zh-CN"/>
              </w:rPr>
              <w:t>T</w:t>
            </w:r>
            <w:r>
              <w:rPr>
                <w:rFonts w:hint="default"/>
                <w:color w:val="auto"/>
                <w:lang w:eastAsia="zh-CN"/>
              </w:rPr>
              <w:t>）</w:t>
            </w:r>
          </w:p>
        </w:tc>
      </w:tr>
      <w:tr w14:paraId="34DB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90" w:hRule="atLeast"/>
          <w:jc w:val="center"/>
        </w:trPr>
        <w:tc>
          <w:tcPr>
            <w:tcW w:w="417" w:type="pct"/>
            <w:noWrap w:val="0"/>
            <w:vAlign w:val="center"/>
          </w:tcPr>
          <w:p w14:paraId="4B75E6D6">
            <w:pPr>
              <w:pStyle w:val="35"/>
              <w:bidi w:val="0"/>
              <w:rPr>
                <w:rFonts w:hint="default"/>
                <w:color w:val="auto"/>
                <w:lang w:val="en-US" w:eastAsia="zh-CN"/>
              </w:rPr>
            </w:pPr>
            <w:r>
              <w:rPr>
                <w:rFonts w:hint="default"/>
                <w:color w:val="auto"/>
                <w:lang w:val="en-US" w:eastAsia="zh-CN"/>
              </w:rPr>
              <w:t>1</w:t>
            </w:r>
          </w:p>
        </w:tc>
        <w:tc>
          <w:tcPr>
            <w:tcW w:w="1601" w:type="pct"/>
            <w:noWrap w:val="0"/>
            <w:vAlign w:val="center"/>
          </w:tcPr>
          <w:p w14:paraId="6573015D">
            <w:pPr>
              <w:pStyle w:val="43"/>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color w:val="auto"/>
                <w:lang w:val="en-US" w:eastAsia="zh-CN"/>
              </w:rPr>
            </w:pPr>
            <w:r>
              <w:rPr>
                <w:rFonts w:hint="eastAsia"/>
                <w:color w:val="auto"/>
                <w:lang w:val="en-US" w:eastAsia="zh-CN"/>
              </w:rPr>
              <w:t>1#（输变电线路路径E1）</w:t>
            </w:r>
          </w:p>
        </w:tc>
        <w:tc>
          <w:tcPr>
            <w:tcW w:w="1504" w:type="pct"/>
            <w:noWrap w:val="0"/>
            <w:vAlign w:val="center"/>
          </w:tcPr>
          <w:p w14:paraId="55C1598F">
            <w:pPr>
              <w:pStyle w:val="35"/>
              <w:bidi w:val="0"/>
              <w:rPr>
                <w:rFonts w:hint="default"/>
                <w:color w:val="auto"/>
                <w:lang w:val="en-US" w:eastAsia="zh-CN"/>
              </w:rPr>
            </w:pPr>
            <w:r>
              <w:rPr>
                <w:rFonts w:hint="eastAsia"/>
                <w:color w:val="auto"/>
                <w:lang w:val="en-US" w:eastAsia="zh-CN"/>
              </w:rPr>
              <w:t>0.157</w:t>
            </w:r>
          </w:p>
        </w:tc>
        <w:tc>
          <w:tcPr>
            <w:tcW w:w="1474" w:type="pct"/>
            <w:noWrap w:val="0"/>
            <w:vAlign w:val="center"/>
          </w:tcPr>
          <w:p w14:paraId="4755E4AD">
            <w:pPr>
              <w:pStyle w:val="35"/>
              <w:bidi w:val="0"/>
              <w:rPr>
                <w:rFonts w:hint="default"/>
                <w:color w:val="auto"/>
                <w:lang w:val="en-US" w:eastAsia="zh-CN"/>
              </w:rPr>
            </w:pPr>
            <w:r>
              <w:rPr>
                <w:rFonts w:hint="eastAsia"/>
                <w:color w:val="auto"/>
                <w:lang w:val="en-US" w:eastAsia="zh-CN"/>
              </w:rPr>
              <w:t>0.497</w:t>
            </w:r>
          </w:p>
        </w:tc>
      </w:tr>
      <w:tr w14:paraId="393D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90" w:hRule="atLeast"/>
          <w:jc w:val="center"/>
        </w:trPr>
        <w:tc>
          <w:tcPr>
            <w:tcW w:w="417" w:type="pct"/>
            <w:noWrap w:val="0"/>
            <w:vAlign w:val="center"/>
          </w:tcPr>
          <w:p w14:paraId="67071AF8">
            <w:pPr>
              <w:pStyle w:val="35"/>
              <w:bidi w:val="0"/>
              <w:rPr>
                <w:rFonts w:hint="default"/>
                <w:color w:val="auto"/>
                <w:lang w:val="en-US" w:eastAsia="zh-CN"/>
              </w:rPr>
            </w:pPr>
            <w:r>
              <w:rPr>
                <w:rFonts w:hint="eastAsia"/>
                <w:color w:val="auto"/>
                <w:lang w:val="en-US" w:eastAsia="zh-CN"/>
              </w:rPr>
              <w:t>2</w:t>
            </w:r>
          </w:p>
        </w:tc>
        <w:tc>
          <w:tcPr>
            <w:tcW w:w="1601" w:type="pct"/>
            <w:noWrap w:val="0"/>
            <w:vAlign w:val="center"/>
          </w:tcPr>
          <w:p w14:paraId="2DEC75E9">
            <w:pPr>
              <w:pStyle w:val="43"/>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color w:val="auto"/>
                <w:lang w:val="en-US" w:eastAsia="zh-CN"/>
              </w:rPr>
            </w:pPr>
            <w:r>
              <w:rPr>
                <w:rFonts w:hint="eastAsia"/>
                <w:color w:val="auto"/>
                <w:lang w:val="en-US" w:eastAsia="zh-CN"/>
              </w:rPr>
              <w:t>2#（输变电线路路径E2）</w:t>
            </w:r>
          </w:p>
        </w:tc>
        <w:tc>
          <w:tcPr>
            <w:tcW w:w="1504" w:type="pct"/>
            <w:noWrap w:val="0"/>
            <w:vAlign w:val="center"/>
          </w:tcPr>
          <w:p w14:paraId="48461B48">
            <w:pPr>
              <w:pStyle w:val="35"/>
              <w:bidi w:val="0"/>
              <w:rPr>
                <w:rFonts w:hint="default"/>
                <w:color w:val="auto"/>
                <w:lang w:val="en-US" w:eastAsia="zh-CN"/>
              </w:rPr>
            </w:pPr>
            <w:r>
              <w:rPr>
                <w:rFonts w:hint="eastAsia"/>
                <w:color w:val="auto"/>
                <w:lang w:val="en-US" w:eastAsia="zh-CN"/>
              </w:rPr>
              <w:t>0.157</w:t>
            </w:r>
          </w:p>
        </w:tc>
        <w:tc>
          <w:tcPr>
            <w:tcW w:w="1474" w:type="pct"/>
            <w:noWrap w:val="0"/>
            <w:vAlign w:val="center"/>
          </w:tcPr>
          <w:p w14:paraId="476DA929">
            <w:pPr>
              <w:pStyle w:val="35"/>
              <w:bidi w:val="0"/>
              <w:rPr>
                <w:rFonts w:hint="default"/>
                <w:color w:val="auto"/>
                <w:lang w:val="en-US" w:eastAsia="zh-CN"/>
              </w:rPr>
            </w:pPr>
            <w:r>
              <w:rPr>
                <w:rFonts w:hint="eastAsia"/>
                <w:color w:val="auto"/>
                <w:lang w:val="en-US" w:eastAsia="zh-CN"/>
              </w:rPr>
              <w:t>0.508</w:t>
            </w:r>
          </w:p>
        </w:tc>
      </w:tr>
      <w:tr w14:paraId="4314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28" w:hRule="atLeast"/>
          <w:jc w:val="center"/>
        </w:trPr>
        <w:tc>
          <w:tcPr>
            <w:tcW w:w="417" w:type="pct"/>
            <w:noWrap w:val="0"/>
            <w:vAlign w:val="center"/>
          </w:tcPr>
          <w:p w14:paraId="30F97294">
            <w:pPr>
              <w:pStyle w:val="35"/>
              <w:bidi w:val="0"/>
              <w:rPr>
                <w:rFonts w:hint="default"/>
                <w:color w:val="auto"/>
                <w:lang w:val="en-US" w:eastAsia="zh-CN"/>
              </w:rPr>
            </w:pPr>
            <w:r>
              <w:rPr>
                <w:rFonts w:hint="eastAsia"/>
                <w:color w:val="auto"/>
                <w:lang w:val="en-US" w:eastAsia="zh-CN"/>
              </w:rPr>
              <w:t>3</w:t>
            </w:r>
          </w:p>
        </w:tc>
        <w:tc>
          <w:tcPr>
            <w:tcW w:w="1601" w:type="pct"/>
            <w:noWrap w:val="0"/>
            <w:vAlign w:val="center"/>
          </w:tcPr>
          <w:p w14:paraId="4FB9F603">
            <w:pPr>
              <w:pStyle w:val="43"/>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color w:val="auto"/>
                <w:lang w:val="en-US" w:eastAsia="zh-CN"/>
              </w:rPr>
            </w:pPr>
            <w:r>
              <w:rPr>
                <w:rFonts w:hint="eastAsia"/>
                <w:color w:val="auto"/>
                <w:lang w:val="en-US" w:eastAsia="zh-CN"/>
              </w:rPr>
              <w:t>3#（220kv白干湖变电站中心）</w:t>
            </w:r>
          </w:p>
        </w:tc>
        <w:tc>
          <w:tcPr>
            <w:tcW w:w="1504" w:type="pct"/>
            <w:noWrap w:val="0"/>
            <w:vAlign w:val="center"/>
          </w:tcPr>
          <w:p w14:paraId="6909AA13">
            <w:pPr>
              <w:pStyle w:val="35"/>
              <w:bidi w:val="0"/>
              <w:rPr>
                <w:rFonts w:hint="default"/>
                <w:color w:val="auto"/>
                <w:lang w:val="en-US" w:eastAsia="zh-CN"/>
              </w:rPr>
            </w:pPr>
            <w:r>
              <w:rPr>
                <w:rFonts w:hint="eastAsia"/>
                <w:color w:val="auto"/>
                <w:lang w:val="en-US" w:eastAsia="zh-CN"/>
              </w:rPr>
              <w:t>0.328</w:t>
            </w:r>
          </w:p>
        </w:tc>
        <w:tc>
          <w:tcPr>
            <w:tcW w:w="1474" w:type="pct"/>
            <w:noWrap w:val="0"/>
            <w:vAlign w:val="center"/>
          </w:tcPr>
          <w:p w14:paraId="435EB4CD">
            <w:pPr>
              <w:pStyle w:val="35"/>
              <w:bidi w:val="0"/>
              <w:rPr>
                <w:rFonts w:hint="default"/>
                <w:color w:val="auto"/>
                <w:lang w:val="en-US" w:eastAsia="zh-CN"/>
              </w:rPr>
            </w:pPr>
            <w:r>
              <w:rPr>
                <w:rFonts w:hint="eastAsia"/>
                <w:color w:val="auto"/>
                <w:lang w:val="en-US" w:eastAsia="zh-CN"/>
              </w:rPr>
              <w:t>0.613</w:t>
            </w:r>
          </w:p>
        </w:tc>
      </w:tr>
      <w:tr w14:paraId="3906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28" w:hRule="atLeast"/>
          <w:jc w:val="center"/>
        </w:trPr>
        <w:tc>
          <w:tcPr>
            <w:tcW w:w="417" w:type="pct"/>
            <w:noWrap w:val="0"/>
            <w:vAlign w:val="center"/>
          </w:tcPr>
          <w:p w14:paraId="39BFEA8C">
            <w:pPr>
              <w:pStyle w:val="35"/>
              <w:bidi w:val="0"/>
              <w:rPr>
                <w:rFonts w:hint="default"/>
                <w:color w:val="auto"/>
                <w:lang w:val="en-US" w:eastAsia="zh-CN"/>
              </w:rPr>
            </w:pPr>
            <w:r>
              <w:rPr>
                <w:rFonts w:hint="eastAsia"/>
                <w:color w:val="auto"/>
                <w:lang w:val="en-US" w:eastAsia="zh-CN"/>
              </w:rPr>
              <w:t>4</w:t>
            </w:r>
          </w:p>
        </w:tc>
        <w:tc>
          <w:tcPr>
            <w:tcW w:w="1601" w:type="pct"/>
            <w:noWrap w:val="0"/>
            <w:vAlign w:val="center"/>
          </w:tcPr>
          <w:p w14:paraId="35C1688A">
            <w:pPr>
              <w:pStyle w:val="43"/>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color w:val="auto"/>
                <w:lang w:val="en-US" w:eastAsia="zh-CN"/>
              </w:rPr>
            </w:pPr>
            <w:r>
              <w:rPr>
                <w:rFonts w:hint="eastAsia"/>
                <w:color w:val="auto"/>
                <w:lang w:val="en-US" w:eastAsia="zh-CN"/>
              </w:rPr>
              <w:t>4#（拟建110kv南部矿区变电站中心点）</w:t>
            </w:r>
          </w:p>
        </w:tc>
        <w:tc>
          <w:tcPr>
            <w:tcW w:w="1504" w:type="pct"/>
            <w:noWrap w:val="0"/>
            <w:vAlign w:val="center"/>
          </w:tcPr>
          <w:p w14:paraId="181FA1E8">
            <w:pPr>
              <w:pStyle w:val="35"/>
              <w:bidi w:val="0"/>
              <w:rPr>
                <w:rFonts w:hint="default"/>
                <w:color w:val="auto"/>
                <w:lang w:val="en-US" w:eastAsia="zh-CN"/>
              </w:rPr>
            </w:pPr>
            <w:r>
              <w:rPr>
                <w:rFonts w:hint="eastAsia"/>
                <w:color w:val="auto"/>
                <w:lang w:val="en-US" w:eastAsia="zh-CN"/>
              </w:rPr>
              <w:t>0.355</w:t>
            </w:r>
          </w:p>
        </w:tc>
        <w:tc>
          <w:tcPr>
            <w:tcW w:w="1474" w:type="pct"/>
            <w:noWrap w:val="0"/>
            <w:vAlign w:val="center"/>
          </w:tcPr>
          <w:p w14:paraId="41ED8FFE">
            <w:pPr>
              <w:pStyle w:val="35"/>
              <w:bidi w:val="0"/>
              <w:rPr>
                <w:rFonts w:hint="default"/>
                <w:color w:val="auto"/>
                <w:lang w:val="en-US" w:eastAsia="zh-CN"/>
              </w:rPr>
            </w:pPr>
            <w:r>
              <w:rPr>
                <w:rFonts w:hint="eastAsia"/>
                <w:color w:val="auto"/>
                <w:lang w:val="en-US" w:eastAsia="zh-CN"/>
              </w:rPr>
              <w:t>0.518</w:t>
            </w:r>
          </w:p>
        </w:tc>
      </w:tr>
      <w:tr w14:paraId="7CB0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28" w:hRule="atLeast"/>
          <w:jc w:val="center"/>
        </w:trPr>
        <w:tc>
          <w:tcPr>
            <w:tcW w:w="2019" w:type="pct"/>
            <w:gridSpan w:val="2"/>
            <w:noWrap w:val="0"/>
            <w:vAlign w:val="center"/>
          </w:tcPr>
          <w:p w14:paraId="4D77A076">
            <w:pPr>
              <w:pStyle w:val="43"/>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center"/>
              <w:rPr>
                <w:rFonts w:hint="default"/>
                <w:color w:val="auto"/>
                <w:lang w:val="en-US" w:eastAsia="zh-CN"/>
              </w:rPr>
            </w:pPr>
            <w:r>
              <w:rPr>
                <w:rFonts w:hint="eastAsia"/>
                <w:color w:val="auto"/>
                <w:lang w:val="en-US" w:eastAsia="zh-CN"/>
              </w:rPr>
              <w:t>限值要求</w:t>
            </w:r>
          </w:p>
        </w:tc>
        <w:tc>
          <w:tcPr>
            <w:tcW w:w="1504" w:type="pct"/>
            <w:noWrap w:val="0"/>
            <w:vAlign w:val="center"/>
          </w:tcPr>
          <w:p w14:paraId="61D04F85">
            <w:pPr>
              <w:pStyle w:val="35"/>
              <w:bidi w:val="0"/>
              <w:rPr>
                <w:rFonts w:hint="default"/>
                <w:color w:val="auto"/>
                <w:lang w:val="en-US" w:eastAsia="zh-CN"/>
              </w:rPr>
            </w:pPr>
            <w:r>
              <w:rPr>
                <w:rFonts w:hint="eastAsia"/>
                <w:color w:val="auto"/>
                <w:lang w:val="en-US" w:eastAsia="zh-CN"/>
              </w:rPr>
              <w:t>≤4000</w:t>
            </w:r>
          </w:p>
        </w:tc>
        <w:tc>
          <w:tcPr>
            <w:tcW w:w="1474" w:type="pct"/>
            <w:noWrap w:val="0"/>
            <w:vAlign w:val="center"/>
          </w:tcPr>
          <w:p w14:paraId="545038CC">
            <w:pPr>
              <w:pStyle w:val="35"/>
              <w:bidi w:val="0"/>
              <w:rPr>
                <w:rFonts w:hint="default"/>
                <w:color w:val="auto"/>
                <w:lang w:val="en-US" w:eastAsia="zh-CN"/>
              </w:rPr>
            </w:pPr>
            <w:r>
              <w:rPr>
                <w:rFonts w:hint="eastAsia"/>
                <w:color w:val="auto"/>
                <w:lang w:val="en-US" w:eastAsia="zh-CN"/>
              </w:rPr>
              <w:t>≤100</w:t>
            </w:r>
          </w:p>
        </w:tc>
      </w:tr>
      <w:tr w14:paraId="6DCC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128" w:hRule="atLeast"/>
          <w:jc w:val="center"/>
        </w:trPr>
        <w:tc>
          <w:tcPr>
            <w:tcW w:w="4997" w:type="pct"/>
            <w:gridSpan w:val="4"/>
            <w:noWrap w:val="0"/>
            <w:vAlign w:val="center"/>
          </w:tcPr>
          <w:p w14:paraId="5D44BA4C">
            <w:pPr>
              <w:pStyle w:val="35"/>
              <w:bidi w:val="0"/>
              <w:ind w:firstLine="0" w:firstLineChars="0"/>
              <w:jc w:val="center"/>
              <w:rPr>
                <w:rFonts w:hint="eastAsia"/>
                <w:color w:val="auto"/>
                <w:lang w:val="en-US" w:eastAsia="zh-CN"/>
              </w:rPr>
            </w:pPr>
            <w:r>
              <w:rPr>
                <w:rFonts w:hint="eastAsia"/>
                <w:color w:val="auto"/>
                <w:lang w:val="en-US" w:eastAsia="zh-CN"/>
              </w:rPr>
              <w:t>采样方法及依据：《交流输变电工程电磁环境监测方法（试行）》（HJ 681-2013）；所用仪器</w:t>
            </w:r>
          </w:p>
          <w:p w14:paraId="09324E78">
            <w:pPr>
              <w:pStyle w:val="35"/>
              <w:autoSpaceDE/>
              <w:autoSpaceDN/>
              <w:bidi w:val="0"/>
              <w:ind w:firstLine="420" w:firstLineChars="200"/>
              <w:rPr>
                <w:rFonts w:hint="default"/>
                <w:color w:val="auto"/>
                <w:lang w:val="en-US" w:eastAsia="zh-CN"/>
              </w:rPr>
            </w:pPr>
            <w:r>
              <w:rPr>
                <w:rFonts w:hint="eastAsia"/>
                <w:color w:val="auto"/>
                <w:lang w:val="en-US" w:eastAsia="zh-CN"/>
              </w:rPr>
              <w:t>GY-550L电磁辐射分析仪：XJZC445。</w:t>
            </w:r>
          </w:p>
        </w:tc>
      </w:tr>
    </w:tbl>
    <w:p w14:paraId="4E87C4FA">
      <w:pPr>
        <w:pageBreakBefore w:val="0"/>
        <w:widowControl w:val="0"/>
        <w:kinsoku/>
        <w:wordWrap/>
        <w:topLinePunct w:val="0"/>
        <w:autoSpaceDE/>
        <w:autoSpaceDN/>
        <w:bidi w:val="0"/>
        <w:adjustRightInd w:val="0"/>
        <w:snapToGrid w:val="0"/>
        <w:spacing w:line="480" w:lineRule="exact"/>
        <w:ind w:left="0" w:firstLine="480" w:firstLineChars="200"/>
        <w:textAlignment w:val="auto"/>
        <w:rPr>
          <w:rFonts w:hint="default" w:ascii="Calibri" w:hAnsi="Calibri" w:eastAsia="宋体" w:cs="Calibri"/>
          <w:color w:val="auto"/>
          <w:sz w:val="24"/>
        </w:rPr>
      </w:pPr>
      <w:r>
        <w:rPr>
          <w:rFonts w:hint="default" w:ascii="Calibri" w:hAnsi="Calibri" w:eastAsia="宋体" w:cs="Calibri"/>
          <w:color w:val="auto"/>
          <w:sz w:val="24"/>
        </w:rPr>
        <w:t>由表2-2分析可知，</w:t>
      </w:r>
      <w:r>
        <w:rPr>
          <w:rFonts w:hint="default" w:ascii="Calibri" w:hAnsi="Calibri" w:eastAsia="宋体" w:cs="Calibri"/>
          <w:color w:val="auto"/>
          <w:sz w:val="24"/>
          <w:lang w:val="en-US" w:eastAsia="zh-CN"/>
        </w:rPr>
        <w:t>各监测点的</w:t>
      </w:r>
      <w:r>
        <w:rPr>
          <w:rFonts w:hint="default" w:ascii="Calibri" w:hAnsi="Calibri" w:eastAsia="宋体" w:cs="Calibri"/>
          <w:color w:val="auto"/>
          <w:sz w:val="24"/>
        </w:rPr>
        <w:t>工频电场、工频磁场监测结果均满足《电磁环境控制限值》</w:t>
      </w:r>
      <w:r>
        <w:rPr>
          <w:rFonts w:hint="eastAsia" w:ascii="Calibri" w:hAnsi="Calibri" w:cs="Calibri"/>
          <w:color w:val="auto"/>
          <w:sz w:val="24"/>
          <w:lang w:eastAsia="zh-CN"/>
        </w:rPr>
        <w:t>（</w:t>
      </w:r>
      <w:r>
        <w:rPr>
          <w:rFonts w:hint="default" w:ascii="Calibri" w:hAnsi="Calibri" w:eastAsia="宋体" w:cs="Calibri"/>
          <w:color w:val="auto"/>
          <w:sz w:val="24"/>
        </w:rPr>
        <w:t>GB 8702-2014</w:t>
      </w:r>
      <w:r>
        <w:rPr>
          <w:rFonts w:hint="eastAsia" w:ascii="Calibri" w:hAnsi="Calibri" w:cs="Calibri"/>
          <w:color w:val="auto"/>
          <w:sz w:val="24"/>
          <w:lang w:eastAsia="zh-CN"/>
        </w:rPr>
        <w:t>）</w:t>
      </w:r>
      <w:r>
        <w:rPr>
          <w:rFonts w:hint="default" w:ascii="Calibri" w:hAnsi="Calibri" w:eastAsia="宋体" w:cs="Calibri"/>
          <w:color w:val="auto"/>
          <w:sz w:val="24"/>
        </w:rPr>
        <w:t>中的</w:t>
      </w:r>
      <w:r>
        <w:rPr>
          <w:rFonts w:hint="eastAsia" w:ascii="Calibri" w:hAnsi="Calibri" w:cs="Calibri"/>
          <w:color w:val="auto"/>
          <w:sz w:val="24"/>
          <w:lang w:eastAsia="zh-CN"/>
        </w:rPr>
        <w:t>（</w:t>
      </w:r>
      <w:r>
        <w:rPr>
          <w:rFonts w:hint="default" w:ascii="Calibri" w:hAnsi="Calibri" w:eastAsia="宋体" w:cs="Calibri"/>
          <w:color w:val="auto"/>
          <w:sz w:val="24"/>
          <w:lang w:val="en-US" w:eastAsia="zh-CN"/>
        </w:rPr>
        <w:t>工频</w:t>
      </w:r>
      <w:r>
        <w:rPr>
          <w:rFonts w:hint="default" w:ascii="Calibri" w:hAnsi="Calibri" w:eastAsia="宋体" w:cs="Calibri"/>
          <w:color w:val="auto"/>
          <w:sz w:val="24"/>
        </w:rPr>
        <w:t>电场强度≤4000V/m；</w:t>
      </w:r>
      <w:r>
        <w:rPr>
          <w:rFonts w:hint="default" w:ascii="Calibri" w:hAnsi="Calibri" w:eastAsia="宋体" w:cs="Calibri"/>
          <w:color w:val="auto"/>
          <w:sz w:val="24"/>
          <w:lang w:val="en-US" w:eastAsia="zh-CN"/>
        </w:rPr>
        <w:t>工频</w:t>
      </w:r>
      <w:r>
        <w:rPr>
          <w:rFonts w:hint="default" w:ascii="Calibri" w:hAnsi="Calibri" w:eastAsia="宋体" w:cs="Calibri"/>
          <w:color w:val="auto"/>
          <w:sz w:val="24"/>
        </w:rPr>
        <w:t>磁感应强度≤100μT</w:t>
      </w:r>
      <w:r>
        <w:rPr>
          <w:rFonts w:hint="eastAsia" w:ascii="Calibri" w:hAnsi="Calibri" w:cs="Calibri"/>
          <w:color w:val="auto"/>
          <w:sz w:val="24"/>
          <w:lang w:eastAsia="zh-CN"/>
        </w:rPr>
        <w:t>）</w:t>
      </w:r>
      <w:r>
        <w:rPr>
          <w:rFonts w:hint="default" w:ascii="Calibri" w:hAnsi="Calibri" w:eastAsia="宋体" w:cs="Calibri"/>
          <w:color w:val="auto"/>
          <w:sz w:val="24"/>
        </w:rPr>
        <w:t xml:space="preserve">公众曝露控制限值。 </w:t>
      </w:r>
    </w:p>
    <w:p w14:paraId="1F005AC6">
      <w:pPr>
        <w:pStyle w:val="3"/>
        <w:pageBreakBefore w:val="0"/>
        <w:widowControl w:val="0"/>
        <w:tabs>
          <w:tab w:val="left" w:pos="425"/>
        </w:tabs>
        <w:kinsoku/>
        <w:wordWrap/>
        <w:topLinePunct w:val="0"/>
        <w:autoSpaceDE/>
        <w:autoSpaceDN/>
        <w:bidi w:val="0"/>
        <w:spacing w:before="0" w:after="0" w:line="480" w:lineRule="exact"/>
        <w:ind w:left="0"/>
        <w:textAlignment w:val="auto"/>
        <w:rPr>
          <w:rFonts w:hint="default" w:ascii="Calibri" w:hAnsi="Calibri" w:eastAsia="宋体" w:cs="Calibri"/>
          <w:b/>
          <w:color w:val="auto"/>
        </w:rPr>
      </w:pPr>
      <w:bookmarkStart w:id="107" w:name="_Toc6127"/>
      <w:bookmarkStart w:id="108" w:name="_Toc23474"/>
      <w:bookmarkStart w:id="109" w:name="_Toc17279"/>
      <w:r>
        <w:rPr>
          <w:rFonts w:hint="default" w:ascii="Calibri" w:hAnsi="Calibri" w:eastAsia="宋体" w:cs="Calibri"/>
          <w:b/>
          <w:color w:val="auto"/>
        </w:rPr>
        <w:t>3电磁环境影响预测分析</w:t>
      </w:r>
      <w:bookmarkEnd w:id="107"/>
      <w:bookmarkEnd w:id="108"/>
      <w:bookmarkEnd w:id="109"/>
    </w:p>
    <w:p w14:paraId="1603FAD4">
      <w:pPr>
        <w:pStyle w:val="4"/>
        <w:pageBreakBefore w:val="0"/>
        <w:widowControl w:val="0"/>
        <w:kinsoku/>
        <w:wordWrap/>
        <w:overflowPunct/>
        <w:topLinePunct w:val="0"/>
        <w:autoSpaceDE/>
        <w:autoSpaceDN/>
        <w:bidi w:val="0"/>
        <w:adjustRightInd/>
        <w:snapToGrid/>
        <w:spacing w:before="0" w:beforeLines="0" w:after="0" w:afterLines="0" w:line="480" w:lineRule="exact"/>
        <w:ind w:left="0"/>
        <w:textAlignment w:val="auto"/>
        <w:rPr>
          <w:rFonts w:hint="default" w:ascii="Calibri" w:hAnsi="Calibri" w:eastAsia="宋体" w:cs="Calibri"/>
          <w:color w:val="auto"/>
          <w:sz w:val="28"/>
        </w:rPr>
      </w:pPr>
      <w:bookmarkStart w:id="110" w:name="_Toc10159"/>
      <w:bookmarkStart w:id="111" w:name="_Toc10749"/>
      <w:r>
        <w:rPr>
          <w:rFonts w:hint="default" w:ascii="Calibri" w:hAnsi="Calibri" w:eastAsia="宋体" w:cs="Calibri"/>
          <w:color w:val="auto"/>
          <w:sz w:val="28"/>
        </w:rPr>
        <w:t>3.1变电站电磁环境影响预测</w:t>
      </w:r>
      <w:bookmarkEnd w:id="110"/>
      <w:bookmarkEnd w:id="111"/>
    </w:p>
    <w:p w14:paraId="7DF30296">
      <w:pPr>
        <w:pageBreakBefore w:val="0"/>
        <w:widowControl w:val="0"/>
        <w:kinsoku/>
        <w:wordWrap/>
        <w:overflowPunct/>
        <w:topLinePunct w:val="0"/>
        <w:autoSpaceDE/>
        <w:autoSpaceDN/>
        <w:bidi w:val="0"/>
        <w:adjustRightInd/>
        <w:snapToGrid/>
        <w:spacing w:line="480" w:lineRule="exact"/>
        <w:ind w:left="0"/>
        <w:textAlignment w:val="auto"/>
        <w:outlineLvl w:val="2"/>
        <w:rPr>
          <w:rFonts w:hint="default" w:ascii="Calibri" w:hAnsi="Calibri" w:eastAsia="宋体" w:cs="Calibri"/>
          <w:b/>
          <w:color w:val="auto"/>
          <w:kern w:val="15"/>
          <w:sz w:val="24"/>
        </w:rPr>
      </w:pPr>
      <w:bookmarkStart w:id="112" w:name="_Toc505347744"/>
      <w:r>
        <w:rPr>
          <w:rFonts w:hint="default" w:ascii="Calibri" w:hAnsi="Calibri" w:eastAsia="宋体" w:cs="Calibri"/>
          <w:b/>
          <w:color w:val="auto"/>
          <w:kern w:val="15"/>
          <w:sz w:val="24"/>
        </w:rPr>
        <w:t>3.1.1类比的可行性</w:t>
      </w:r>
      <w:bookmarkEnd w:id="112"/>
    </w:p>
    <w:p w14:paraId="158CD05E">
      <w:pPr>
        <w:pageBreakBefore w:val="0"/>
        <w:widowControl w:val="0"/>
        <w:kinsoku/>
        <w:wordWrap/>
        <w:topLinePunct w:val="0"/>
        <w:autoSpaceDE/>
        <w:autoSpaceDN/>
        <w:bidi w:val="0"/>
        <w:spacing w:line="480" w:lineRule="exact"/>
        <w:ind w:left="0" w:firstLine="480" w:firstLineChars="200"/>
        <w:jc w:val="left"/>
        <w:textAlignment w:val="auto"/>
        <w:rPr>
          <w:rFonts w:hint="default" w:ascii="Calibri" w:hAnsi="Calibri" w:eastAsia="宋体" w:cs="Calibri"/>
          <w:color w:val="auto"/>
          <w:sz w:val="24"/>
        </w:rPr>
      </w:pPr>
      <w:r>
        <w:rPr>
          <w:rFonts w:hint="default" w:ascii="Calibri" w:hAnsi="Calibri" w:eastAsia="宋体" w:cs="Calibri"/>
          <w:color w:val="auto"/>
          <w:sz w:val="24"/>
        </w:rPr>
        <w:t>本次评价变电站的电磁环境影响评价预测采用类比监测的方法进行。</w:t>
      </w:r>
    </w:p>
    <w:p w14:paraId="260F665E">
      <w:pPr>
        <w:pageBreakBefore w:val="0"/>
        <w:widowControl w:val="0"/>
        <w:kinsoku/>
        <w:wordWrap/>
        <w:topLinePunct w:val="0"/>
        <w:autoSpaceDE/>
        <w:autoSpaceDN/>
        <w:bidi w:val="0"/>
        <w:spacing w:line="480" w:lineRule="exact"/>
        <w:ind w:left="0" w:firstLine="480" w:firstLineChars="200"/>
        <w:jc w:val="left"/>
        <w:textAlignment w:val="auto"/>
        <w:rPr>
          <w:rFonts w:hint="default" w:ascii="Calibri" w:hAnsi="Calibri" w:eastAsia="宋体" w:cs="Calibri"/>
          <w:color w:val="auto"/>
          <w:sz w:val="24"/>
        </w:rPr>
      </w:pPr>
      <w:r>
        <w:rPr>
          <w:rFonts w:hint="default" w:ascii="Calibri" w:hAnsi="Calibri" w:eastAsia="宋体" w:cs="Calibri"/>
          <w:color w:val="auto"/>
          <w:sz w:val="24"/>
        </w:rPr>
        <w:t>电磁环境类比测量，从严格意义讲，具有完全相同的设备型号（决定了电压等级及额定功率、额定电流等）、布置情况（决定了距离因子）和环境条件是最理想的，即：不仅有相同的主变数和容量，而且一次主接线也相同，布置情况及环境条件也相同。但是要满足这样的条件是很困难的，要解决这一实际困难，可以在关键部分相同，而达到进行类比的条件。所谓关键部分，就是主要的工频电场、工频磁场产生源。</w:t>
      </w:r>
    </w:p>
    <w:p w14:paraId="12F1A0F3">
      <w:pPr>
        <w:pageBreakBefore w:val="0"/>
        <w:widowControl w:val="0"/>
        <w:kinsoku/>
        <w:wordWrap/>
        <w:topLinePunct w:val="0"/>
        <w:autoSpaceDE/>
        <w:autoSpaceDN/>
        <w:bidi w:val="0"/>
        <w:spacing w:line="480" w:lineRule="exact"/>
        <w:ind w:left="0" w:firstLine="480" w:firstLineChars="200"/>
        <w:jc w:val="left"/>
        <w:textAlignment w:val="auto"/>
        <w:rPr>
          <w:rFonts w:hint="default" w:ascii="Calibri" w:hAnsi="Calibri" w:eastAsia="宋体" w:cs="Calibri"/>
          <w:color w:val="auto"/>
          <w:sz w:val="24"/>
        </w:rPr>
      </w:pPr>
      <w:r>
        <w:rPr>
          <w:rFonts w:hint="default" w:ascii="Calibri" w:hAnsi="Calibri" w:eastAsia="宋体" w:cs="Calibri"/>
          <w:color w:val="auto"/>
          <w:sz w:val="24"/>
        </w:rPr>
        <w:t>对于围墙外的工频电场，要求最近的高压带电构架布置一致、电压相同，此时就可以认为具有可比性；同样对于变电站围墙外的工频磁场，也要求最近的通流导体的布置和电流相同才具有可比性。实际情况是，工频电场的类比条件相对容易相符，因为变电站主设备和母线电压是基本稳定的，不会随时间和负荷的变化而产生大的变化。但是产生工频磁场的电流却是随负荷变化而有较大的变化。</w:t>
      </w:r>
    </w:p>
    <w:p w14:paraId="3619268F">
      <w:pPr>
        <w:pageBreakBefore w:val="0"/>
        <w:widowControl w:val="0"/>
        <w:kinsoku/>
        <w:wordWrap/>
        <w:topLinePunct w:val="0"/>
        <w:autoSpaceDE/>
        <w:autoSpaceDN/>
        <w:bidi w:val="0"/>
        <w:spacing w:line="480" w:lineRule="exact"/>
        <w:ind w:left="0" w:firstLine="480" w:firstLineChars="200"/>
        <w:jc w:val="left"/>
        <w:textAlignment w:val="auto"/>
        <w:rPr>
          <w:rFonts w:hint="default" w:ascii="Calibri" w:hAnsi="Calibri" w:eastAsia="宋体" w:cs="Calibri"/>
          <w:color w:val="auto"/>
          <w:sz w:val="24"/>
        </w:rPr>
      </w:pPr>
      <w:r>
        <w:rPr>
          <w:rFonts w:hint="default" w:ascii="Calibri" w:hAnsi="Calibri" w:eastAsia="宋体" w:cs="Calibri"/>
          <w:color w:val="auto"/>
          <w:kern w:val="0"/>
          <w:sz w:val="24"/>
        </w:rPr>
        <w:t>根据以往对诸多变电站的电磁环境的类比监测结果，变电站周围的工频磁场场强远小于</w:t>
      </w:r>
      <w:r>
        <w:rPr>
          <w:rFonts w:hint="default" w:ascii="Calibri" w:hAnsi="Calibri" w:eastAsia="宋体" w:cs="Calibri"/>
          <w:color w:val="auto"/>
          <w:sz w:val="24"/>
        </w:rPr>
        <w:t>100μT</w:t>
      </w:r>
      <w:r>
        <w:rPr>
          <w:rFonts w:hint="default" w:ascii="Calibri" w:hAnsi="Calibri" w:eastAsia="宋体" w:cs="Calibri"/>
          <w:color w:val="auto"/>
          <w:kern w:val="0"/>
          <w:sz w:val="24"/>
        </w:rPr>
        <w:t>的限值标准，而变电站围墙外进出线处的工频电场则有可能超过4kV/m。因此本项目主要针对工频电场选取类比对象。</w:t>
      </w:r>
      <w:r>
        <w:rPr>
          <w:rFonts w:hint="default" w:ascii="Calibri" w:hAnsi="Calibri" w:eastAsia="宋体" w:cs="Calibri"/>
          <w:color w:val="auto"/>
          <w:sz w:val="24"/>
        </w:rPr>
        <w:t>按照类似工程的主变规模、电压等级、布置形式等原则。现以已运行的</w:t>
      </w:r>
      <w:r>
        <w:rPr>
          <w:rFonts w:hint="eastAsia" w:ascii="Calibri" w:hAnsi="Calibri" w:cs="Calibri"/>
          <w:color w:val="auto"/>
          <w:sz w:val="24"/>
          <w:highlight w:val="none"/>
          <w:lang w:val="en-US" w:eastAsia="zh-CN"/>
        </w:rPr>
        <w:t>和田绿洲</w:t>
      </w:r>
      <w:r>
        <w:rPr>
          <w:rFonts w:hint="default" w:ascii="Calibri" w:hAnsi="Calibri" w:eastAsia="宋体" w:cs="Calibri"/>
          <w:color w:val="auto"/>
          <w:sz w:val="24"/>
          <w:highlight w:val="none"/>
          <w:lang w:val="en-US" w:eastAsia="zh-CN"/>
        </w:rPr>
        <w:t>11</w:t>
      </w:r>
      <w:r>
        <w:rPr>
          <w:rFonts w:hint="default" w:ascii="Calibri" w:hAnsi="Calibri" w:eastAsia="宋体" w:cs="Calibri"/>
          <w:color w:val="auto"/>
          <w:sz w:val="24"/>
          <w:highlight w:val="none"/>
        </w:rPr>
        <w:t>0kV</w:t>
      </w:r>
      <w:r>
        <w:rPr>
          <w:rFonts w:hint="default" w:ascii="Calibri" w:hAnsi="Calibri" w:eastAsia="宋体" w:cs="Calibri"/>
          <w:color w:val="auto"/>
          <w:sz w:val="24"/>
        </w:rPr>
        <w:t>变电站作为类比对象，该变电站电压等级为</w:t>
      </w:r>
      <w:r>
        <w:rPr>
          <w:rFonts w:hint="default" w:ascii="Calibri" w:hAnsi="Calibri" w:eastAsia="宋体" w:cs="Calibri"/>
          <w:color w:val="auto"/>
          <w:sz w:val="24"/>
          <w:lang w:val="en-US" w:eastAsia="zh-CN"/>
        </w:rPr>
        <w:t>11</w:t>
      </w:r>
      <w:r>
        <w:rPr>
          <w:rFonts w:hint="default" w:ascii="Calibri" w:hAnsi="Calibri" w:eastAsia="宋体" w:cs="Calibri"/>
          <w:color w:val="auto"/>
          <w:sz w:val="24"/>
        </w:rPr>
        <w:t>0kV，主变</w:t>
      </w:r>
      <w:r>
        <w:rPr>
          <w:rFonts w:hint="eastAsia" w:ascii="Calibri" w:hAnsi="Calibri" w:cs="Calibri"/>
          <w:color w:val="auto"/>
          <w:sz w:val="24"/>
          <w:lang w:val="en-US" w:eastAsia="zh-CN"/>
        </w:rPr>
        <w:t>户外</w:t>
      </w:r>
      <w:r>
        <w:rPr>
          <w:rFonts w:hint="default" w:ascii="Calibri" w:hAnsi="Calibri" w:eastAsia="宋体" w:cs="Calibri"/>
          <w:color w:val="auto"/>
          <w:sz w:val="24"/>
        </w:rPr>
        <w:t>布置形式。类比变电站与本</w:t>
      </w:r>
      <w:r>
        <w:rPr>
          <w:rFonts w:hint="default" w:ascii="Calibri" w:hAnsi="Calibri" w:eastAsia="宋体" w:cs="Calibri"/>
          <w:color w:val="auto"/>
          <w:sz w:val="24"/>
          <w:lang w:val="en-US" w:eastAsia="zh-CN"/>
        </w:rPr>
        <w:t>项目</w:t>
      </w:r>
      <w:r>
        <w:rPr>
          <w:rFonts w:hint="default" w:ascii="Calibri" w:hAnsi="Calibri" w:eastAsia="宋体" w:cs="Calibri"/>
          <w:color w:val="auto"/>
          <w:sz w:val="24"/>
        </w:rPr>
        <w:t>变电站主要技术参数对照，见表3-1。</w:t>
      </w:r>
    </w:p>
    <w:p w14:paraId="366A38F1">
      <w:pPr>
        <w:pageBreakBefore w:val="0"/>
        <w:widowControl w:val="0"/>
        <w:kinsoku/>
        <w:wordWrap/>
        <w:topLinePunct w:val="0"/>
        <w:autoSpaceDE/>
        <w:autoSpaceDN/>
        <w:bidi w:val="0"/>
        <w:spacing w:line="480" w:lineRule="exact"/>
        <w:jc w:val="center"/>
        <w:textAlignment w:val="auto"/>
        <w:rPr>
          <w:rFonts w:hint="default" w:ascii="Calibri" w:hAnsi="Calibri" w:eastAsia="宋体" w:cs="Calibri"/>
          <w:color w:val="auto"/>
          <w:sz w:val="24"/>
        </w:rPr>
      </w:pPr>
      <w:r>
        <w:rPr>
          <w:rFonts w:hint="default" w:ascii="Calibri" w:hAnsi="Calibri" w:eastAsia="宋体" w:cs="Calibri"/>
          <w:b/>
          <w:color w:val="auto"/>
          <w:sz w:val="24"/>
        </w:rPr>
        <w:t xml:space="preserve">表3-1       </w:t>
      </w:r>
      <w:r>
        <w:rPr>
          <w:rFonts w:hint="default" w:ascii="Calibri" w:hAnsi="Calibri" w:eastAsia="宋体" w:cs="Calibri"/>
          <w:b/>
          <w:color w:val="auto"/>
          <w:sz w:val="24"/>
          <w:lang w:val="en-US" w:eastAsia="zh-CN"/>
        </w:rPr>
        <w:t xml:space="preserve">   </w:t>
      </w:r>
      <w:r>
        <w:rPr>
          <w:rFonts w:hint="default" w:ascii="Calibri" w:hAnsi="Calibri" w:eastAsia="宋体" w:cs="Calibri"/>
          <w:b/>
          <w:color w:val="auto"/>
          <w:sz w:val="24"/>
        </w:rPr>
        <w:t xml:space="preserve">   主要技术指标对照表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451"/>
        <w:gridCol w:w="3174"/>
        <w:gridCol w:w="3426"/>
      </w:tblGrid>
      <w:tr w14:paraId="08581E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6" w:hRule="exact"/>
          <w:jc w:val="center"/>
        </w:trPr>
        <w:tc>
          <w:tcPr>
            <w:tcW w:w="1354" w:type="pct"/>
            <w:tcBorders>
              <w:tl2br w:val="nil"/>
              <w:tr2bl w:val="nil"/>
            </w:tcBorders>
            <w:noWrap w:val="0"/>
            <w:vAlign w:val="center"/>
          </w:tcPr>
          <w:p w14:paraId="607136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b/>
                <w:color w:val="auto"/>
                <w:sz w:val="21"/>
                <w:szCs w:val="21"/>
              </w:rPr>
            </w:pPr>
            <w:r>
              <w:rPr>
                <w:rFonts w:hint="default" w:ascii="Calibri" w:hAnsi="Calibri" w:eastAsia="宋体" w:cs="Calibri"/>
                <w:b/>
                <w:color w:val="auto"/>
                <w:sz w:val="21"/>
                <w:szCs w:val="21"/>
              </w:rPr>
              <w:t>主要指标</w:t>
            </w:r>
          </w:p>
        </w:tc>
        <w:tc>
          <w:tcPr>
            <w:tcW w:w="1753" w:type="pct"/>
            <w:tcBorders>
              <w:tl2br w:val="nil"/>
              <w:tr2bl w:val="nil"/>
            </w:tcBorders>
            <w:noWrap w:val="0"/>
            <w:vAlign w:val="center"/>
          </w:tcPr>
          <w:p w14:paraId="0FF3FE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b/>
                <w:color w:val="auto"/>
                <w:sz w:val="21"/>
                <w:szCs w:val="21"/>
              </w:rPr>
            </w:pPr>
            <w:r>
              <w:rPr>
                <w:rFonts w:hint="default" w:ascii="Calibri" w:hAnsi="Calibri" w:eastAsia="宋体" w:cs="Calibri"/>
                <w:b/>
                <w:color w:val="auto"/>
                <w:sz w:val="21"/>
                <w:szCs w:val="21"/>
                <w:lang w:val="en-US" w:eastAsia="zh-CN"/>
              </w:rPr>
              <w:t>和田绿洲11</w:t>
            </w:r>
            <w:r>
              <w:rPr>
                <w:rFonts w:hint="default" w:ascii="Calibri" w:hAnsi="Calibri" w:eastAsia="宋体" w:cs="Calibri"/>
                <w:b/>
                <w:color w:val="auto"/>
                <w:sz w:val="21"/>
                <w:szCs w:val="21"/>
              </w:rPr>
              <w:t>0kV变电站</w:t>
            </w:r>
          </w:p>
        </w:tc>
        <w:tc>
          <w:tcPr>
            <w:tcW w:w="1892" w:type="pct"/>
            <w:tcBorders>
              <w:tl2br w:val="nil"/>
              <w:tr2bl w:val="nil"/>
            </w:tcBorders>
            <w:noWrap w:val="0"/>
            <w:vAlign w:val="center"/>
          </w:tcPr>
          <w:p w14:paraId="4BA0BF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b/>
                <w:color w:val="auto"/>
                <w:sz w:val="21"/>
                <w:szCs w:val="21"/>
              </w:rPr>
            </w:pPr>
            <w:r>
              <w:rPr>
                <w:rFonts w:hint="default" w:ascii="Calibri" w:hAnsi="Calibri" w:eastAsia="宋体" w:cs="Calibri"/>
                <w:b/>
                <w:color w:val="auto"/>
                <w:sz w:val="21"/>
                <w:szCs w:val="21"/>
                <w:lang w:val="en-US" w:eastAsia="zh-CN"/>
              </w:rPr>
              <w:t>拟建11</w:t>
            </w:r>
            <w:r>
              <w:rPr>
                <w:rFonts w:hint="default" w:ascii="Calibri" w:hAnsi="Calibri" w:eastAsia="宋体" w:cs="Calibri"/>
                <w:b/>
                <w:color w:val="auto"/>
                <w:sz w:val="21"/>
                <w:szCs w:val="21"/>
              </w:rPr>
              <w:t>0kV变电站</w:t>
            </w:r>
          </w:p>
        </w:tc>
      </w:tr>
      <w:tr w14:paraId="387B6B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1" w:hRule="exact"/>
          <w:jc w:val="center"/>
        </w:trPr>
        <w:tc>
          <w:tcPr>
            <w:tcW w:w="1354" w:type="pct"/>
            <w:tcBorders>
              <w:tl2br w:val="nil"/>
              <w:tr2bl w:val="nil"/>
            </w:tcBorders>
            <w:noWrap w:val="0"/>
            <w:vAlign w:val="center"/>
          </w:tcPr>
          <w:p w14:paraId="7DB518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rPr>
            </w:pPr>
            <w:r>
              <w:rPr>
                <w:rFonts w:hint="default" w:ascii="Calibri" w:hAnsi="Calibri" w:eastAsia="宋体" w:cs="Calibri"/>
                <w:color w:val="auto"/>
                <w:sz w:val="21"/>
                <w:szCs w:val="21"/>
              </w:rPr>
              <w:t>主变规模</w:t>
            </w:r>
          </w:p>
        </w:tc>
        <w:tc>
          <w:tcPr>
            <w:tcW w:w="1753" w:type="pct"/>
            <w:tcBorders>
              <w:tl2br w:val="nil"/>
              <w:tr2bl w:val="nil"/>
            </w:tcBorders>
            <w:noWrap w:val="0"/>
            <w:vAlign w:val="center"/>
          </w:tcPr>
          <w:p w14:paraId="750414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rPr>
            </w:pPr>
            <w:r>
              <w:rPr>
                <w:rFonts w:hint="default" w:ascii="Calibri" w:hAnsi="Calibri" w:cs="Calibri"/>
                <w:color w:val="auto"/>
                <w:sz w:val="21"/>
                <w:szCs w:val="21"/>
                <w:lang w:val="en-US" w:eastAsia="zh-CN"/>
              </w:rPr>
              <w:t>1</w:t>
            </w:r>
            <w:r>
              <w:rPr>
                <w:rFonts w:hint="default" w:ascii="Calibri" w:hAnsi="Calibri" w:eastAsia="宋体" w:cs="Calibri"/>
                <w:color w:val="auto"/>
                <w:sz w:val="21"/>
                <w:szCs w:val="21"/>
              </w:rPr>
              <w:t>×</w:t>
            </w:r>
            <w:r>
              <w:rPr>
                <w:rFonts w:hint="default" w:ascii="Calibri" w:hAnsi="Calibri" w:eastAsia="宋体" w:cs="Calibri"/>
                <w:color w:val="auto"/>
                <w:sz w:val="21"/>
                <w:szCs w:val="21"/>
                <w:lang w:val="en-US" w:eastAsia="zh-CN"/>
              </w:rPr>
              <w:t>5</w:t>
            </w:r>
            <w:r>
              <w:rPr>
                <w:rFonts w:hint="default" w:ascii="Calibri" w:hAnsi="Calibri" w:eastAsia="宋体" w:cs="Calibri"/>
                <w:color w:val="auto"/>
                <w:sz w:val="21"/>
                <w:szCs w:val="21"/>
              </w:rPr>
              <w:t>0MVA</w:t>
            </w:r>
          </w:p>
        </w:tc>
        <w:tc>
          <w:tcPr>
            <w:tcW w:w="1892" w:type="pct"/>
            <w:tcBorders>
              <w:tl2br w:val="nil"/>
              <w:tr2bl w:val="nil"/>
            </w:tcBorders>
            <w:noWrap w:val="0"/>
            <w:vAlign w:val="center"/>
          </w:tcPr>
          <w:p w14:paraId="770B95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rPr>
            </w:pPr>
            <w:r>
              <w:rPr>
                <w:rFonts w:hint="default" w:ascii="Calibri" w:hAnsi="Calibri" w:cs="Calibri"/>
                <w:color w:val="auto"/>
                <w:sz w:val="21"/>
                <w:szCs w:val="21"/>
                <w:lang w:val="en-US" w:eastAsia="zh-CN"/>
              </w:rPr>
              <w:t>1</w:t>
            </w:r>
            <w:r>
              <w:rPr>
                <w:rFonts w:hint="default" w:ascii="Calibri" w:hAnsi="Calibri" w:eastAsia="宋体" w:cs="Calibri"/>
                <w:color w:val="auto"/>
                <w:sz w:val="21"/>
                <w:szCs w:val="21"/>
              </w:rPr>
              <w:t>×</w:t>
            </w:r>
            <w:r>
              <w:rPr>
                <w:rFonts w:hint="default" w:ascii="Calibri" w:hAnsi="Calibri" w:eastAsia="宋体" w:cs="Calibri"/>
                <w:color w:val="auto"/>
                <w:sz w:val="21"/>
                <w:szCs w:val="21"/>
                <w:lang w:val="en-US" w:eastAsia="zh-CN"/>
              </w:rPr>
              <w:t>5</w:t>
            </w:r>
            <w:r>
              <w:rPr>
                <w:rFonts w:hint="default" w:ascii="Calibri" w:hAnsi="Calibri" w:eastAsia="宋体" w:cs="Calibri"/>
                <w:color w:val="auto"/>
                <w:sz w:val="21"/>
                <w:szCs w:val="21"/>
              </w:rPr>
              <w:t>0MVA</w:t>
            </w:r>
          </w:p>
        </w:tc>
      </w:tr>
      <w:tr w14:paraId="1388E8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1" w:hRule="exact"/>
          <w:jc w:val="center"/>
        </w:trPr>
        <w:tc>
          <w:tcPr>
            <w:tcW w:w="1354" w:type="pct"/>
            <w:tcBorders>
              <w:tl2br w:val="nil"/>
              <w:tr2bl w:val="nil"/>
            </w:tcBorders>
            <w:noWrap w:val="0"/>
            <w:vAlign w:val="center"/>
          </w:tcPr>
          <w:p w14:paraId="1438D1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rPr>
            </w:pPr>
            <w:r>
              <w:rPr>
                <w:rFonts w:hint="default" w:ascii="Calibri" w:hAnsi="Calibri" w:eastAsia="宋体" w:cs="Calibri"/>
                <w:color w:val="auto"/>
                <w:sz w:val="21"/>
                <w:szCs w:val="21"/>
              </w:rPr>
              <w:t>电压等级</w:t>
            </w:r>
          </w:p>
        </w:tc>
        <w:tc>
          <w:tcPr>
            <w:tcW w:w="1753" w:type="pct"/>
            <w:tcBorders>
              <w:tl2br w:val="nil"/>
              <w:tr2bl w:val="nil"/>
            </w:tcBorders>
            <w:noWrap w:val="0"/>
            <w:vAlign w:val="center"/>
          </w:tcPr>
          <w:p w14:paraId="539E2E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11</w:t>
            </w:r>
            <w:r>
              <w:rPr>
                <w:rFonts w:hint="default" w:ascii="Calibri" w:hAnsi="Calibri" w:eastAsia="宋体" w:cs="Calibri"/>
                <w:color w:val="auto"/>
                <w:sz w:val="21"/>
                <w:szCs w:val="21"/>
              </w:rPr>
              <w:t>0kV</w:t>
            </w:r>
          </w:p>
        </w:tc>
        <w:tc>
          <w:tcPr>
            <w:tcW w:w="1892" w:type="pct"/>
            <w:tcBorders>
              <w:tl2br w:val="nil"/>
              <w:tr2bl w:val="nil"/>
            </w:tcBorders>
            <w:noWrap w:val="0"/>
            <w:vAlign w:val="center"/>
          </w:tcPr>
          <w:p w14:paraId="7AF5B3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rPr>
            </w:pPr>
            <w:r>
              <w:rPr>
                <w:rFonts w:hint="default" w:ascii="Calibri" w:hAnsi="Calibri" w:eastAsia="宋体" w:cs="Calibri"/>
                <w:color w:val="auto"/>
                <w:sz w:val="21"/>
                <w:szCs w:val="21"/>
                <w:lang w:val="en-US" w:eastAsia="zh-CN"/>
              </w:rPr>
              <w:t>11</w:t>
            </w:r>
            <w:r>
              <w:rPr>
                <w:rFonts w:hint="default" w:ascii="Calibri" w:hAnsi="Calibri" w:eastAsia="宋体" w:cs="Calibri"/>
                <w:color w:val="auto"/>
                <w:sz w:val="21"/>
                <w:szCs w:val="21"/>
              </w:rPr>
              <w:t>0kV</w:t>
            </w:r>
          </w:p>
        </w:tc>
      </w:tr>
      <w:tr w14:paraId="64C660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1" w:hRule="exact"/>
          <w:jc w:val="center"/>
        </w:trPr>
        <w:tc>
          <w:tcPr>
            <w:tcW w:w="1354" w:type="pct"/>
            <w:tcBorders>
              <w:tl2br w:val="nil"/>
              <w:tr2bl w:val="nil"/>
            </w:tcBorders>
            <w:noWrap w:val="0"/>
            <w:vAlign w:val="center"/>
          </w:tcPr>
          <w:p w14:paraId="200B28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rPr>
            </w:pPr>
            <w:r>
              <w:rPr>
                <w:rFonts w:hint="default" w:ascii="Calibri" w:hAnsi="Calibri" w:eastAsia="宋体" w:cs="Calibri"/>
                <w:color w:val="auto"/>
                <w:sz w:val="21"/>
                <w:szCs w:val="21"/>
              </w:rPr>
              <w:t>主变布置形式</w:t>
            </w:r>
          </w:p>
        </w:tc>
        <w:tc>
          <w:tcPr>
            <w:tcW w:w="1753" w:type="pct"/>
            <w:tcBorders>
              <w:tl2br w:val="nil"/>
              <w:tr2bl w:val="nil"/>
            </w:tcBorders>
            <w:noWrap w:val="0"/>
            <w:vAlign w:val="center"/>
          </w:tcPr>
          <w:p w14:paraId="0FACDA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rPr>
            </w:pPr>
            <w:r>
              <w:rPr>
                <w:rFonts w:hint="default" w:ascii="Calibri" w:hAnsi="Calibri" w:eastAsia="宋体" w:cs="Calibri"/>
                <w:color w:val="auto"/>
                <w:sz w:val="21"/>
                <w:szCs w:val="21"/>
              </w:rPr>
              <w:t>户外</w:t>
            </w:r>
          </w:p>
        </w:tc>
        <w:tc>
          <w:tcPr>
            <w:tcW w:w="1892" w:type="pct"/>
            <w:tcBorders>
              <w:tl2br w:val="nil"/>
              <w:tr2bl w:val="nil"/>
            </w:tcBorders>
            <w:noWrap w:val="0"/>
            <w:vAlign w:val="center"/>
          </w:tcPr>
          <w:p w14:paraId="0F76A7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rPr>
            </w:pPr>
            <w:r>
              <w:rPr>
                <w:rFonts w:hint="default" w:ascii="Calibri" w:hAnsi="Calibri" w:eastAsia="宋体" w:cs="Calibri"/>
                <w:color w:val="auto"/>
                <w:sz w:val="21"/>
                <w:szCs w:val="21"/>
              </w:rPr>
              <w:t>户外</w:t>
            </w:r>
          </w:p>
        </w:tc>
      </w:tr>
      <w:tr w14:paraId="005208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1" w:hRule="exact"/>
          <w:jc w:val="center"/>
        </w:trPr>
        <w:tc>
          <w:tcPr>
            <w:tcW w:w="1354" w:type="pct"/>
            <w:tcBorders>
              <w:tl2br w:val="nil"/>
              <w:tr2bl w:val="nil"/>
            </w:tcBorders>
            <w:noWrap w:val="0"/>
            <w:vAlign w:val="center"/>
          </w:tcPr>
          <w:p w14:paraId="5C2788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lang w:val="en-US" w:eastAsia="zh-CN"/>
              </w:rPr>
            </w:pPr>
            <w:r>
              <w:rPr>
                <w:rFonts w:hint="default" w:ascii="Calibri" w:hAnsi="Calibri" w:eastAsia="宋体" w:cs="Calibri"/>
                <w:color w:val="auto"/>
                <w:sz w:val="21"/>
                <w:szCs w:val="21"/>
                <w:lang w:val="en-US" w:eastAsia="zh-CN"/>
              </w:rPr>
              <w:t>变电站占地面积</w:t>
            </w:r>
          </w:p>
        </w:tc>
        <w:tc>
          <w:tcPr>
            <w:tcW w:w="1753" w:type="pct"/>
            <w:tcBorders>
              <w:tl2br w:val="nil"/>
              <w:tr2bl w:val="nil"/>
            </w:tcBorders>
            <w:noWrap w:val="0"/>
            <w:vAlign w:val="center"/>
          </w:tcPr>
          <w:p w14:paraId="2D5FCF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rPr>
            </w:pPr>
            <w:r>
              <w:rPr>
                <w:rFonts w:hint="default" w:ascii="Calibri" w:hAnsi="Calibri" w:cs="Calibri"/>
                <w:color w:val="auto"/>
                <w:sz w:val="21"/>
                <w:szCs w:val="21"/>
                <w:lang w:val="en-US" w:eastAsia="zh-CN"/>
              </w:rPr>
              <w:t>4416.15</w:t>
            </w:r>
            <w:r>
              <w:rPr>
                <w:rFonts w:hint="default" w:ascii="Calibri" w:hAnsi="Calibri" w:eastAsia="宋体" w:cs="Calibri"/>
                <w:color w:val="auto"/>
                <w:sz w:val="21"/>
                <w:szCs w:val="21"/>
                <w:lang w:val="en-US" w:eastAsia="zh-CN"/>
              </w:rPr>
              <w:t>㎡</w:t>
            </w:r>
          </w:p>
        </w:tc>
        <w:tc>
          <w:tcPr>
            <w:tcW w:w="1892" w:type="pct"/>
            <w:tcBorders>
              <w:tl2br w:val="nil"/>
              <w:tr2bl w:val="nil"/>
            </w:tcBorders>
            <w:noWrap w:val="0"/>
            <w:vAlign w:val="center"/>
          </w:tcPr>
          <w:p w14:paraId="6B0564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rPr>
            </w:pPr>
            <w:r>
              <w:rPr>
                <w:rFonts w:hint="eastAsia" w:ascii="Calibri" w:hAnsi="Calibri" w:cs="Calibri"/>
                <w:color w:val="auto"/>
                <w:sz w:val="21"/>
                <w:szCs w:val="21"/>
                <w:lang w:val="en-US" w:eastAsia="zh-CN"/>
              </w:rPr>
              <w:t>5407</w:t>
            </w:r>
            <w:r>
              <w:rPr>
                <w:rFonts w:hint="default" w:ascii="Calibri" w:hAnsi="Calibri" w:eastAsia="宋体" w:cs="Calibri"/>
                <w:color w:val="auto"/>
                <w:sz w:val="21"/>
                <w:szCs w:val="21"/>
                <w:lang w:val="en-US" w:eastAsia="zh-CN"/>
              </w:rPr>
              <w:t>㎡</w:t>
            </w:r>
          </w:p>
        </w:tc>
      </w:tr>
      <w:tr w14:paraId="77EF28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4" w:hRule="exact"/>
          <w:jc w:val="center"/>
        </w:trPr>
        <w:tc>
          <w:tcPr>
            <w:tcW w:w="1354" w:type="pct"/>
            <w:tcBorders>
              <w:tl2br w:val="nil"/>
              <w:tr2bl w:val="nil"/>
            </w:tcBorders>
            <w:noWrap w:val="0"/>
            <w:vAlign w:val="center"/>
          </w:tcPr>
          <w:p w14:paraId="056E93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rPr>
            </w:pPr>
            <w:r>
              <w:rPr>
                <w:rFonts w:hint="default" w:ascii="Calibri" w:hAnsi="Calibri" w:eastAsia="宋体" w:cs="Calibri"/>
                <w:color w:val="auto"/>
                <w:sz w:val="21"/>
                <w:szCs w:val="21"/>
              </w:rPr>
              <w:t>110kV线路进出回数</w:t>
            </w:r>
          </w:p>
        </w:tc>
        <w:tc>
          <w:tcPr>
            <w:tcW w:w="1753" w:type="pct"/>
            <w:tcBorders>
              <w:tl2br w:val="nil"/>
              <w:tr2bl w:val="nil"/>
            </w:tcBorders>
            <w:noWrap w:val="0"/>
            <w:vAlign w:val="center"/>
          </w:tcPr>
          <w:p w14:paraId="0455ED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rPr>
            </w:pPr>
            <w:r>
              <w:rPr>
                <w:rFonts w:hint="default" w:ascii="Calibri" w:hAnsi="Calibri" w:eastAsia="宋体" w:cs="Calibri"/>
                <w:color w:val="auto"/>
                <w:sz w:val="21"/>
                <w:szCs w:val="21"/>
              </w:rPr>
              <w:t>110kV出线：</w:t>
            </w:r>
            <w:r>
              <w:rPr>
                <w:rFonts w:hint="default" w:ascii="Calibri" w:hAnsi="Calibri" w:eastAsia="宋体" w:cs="Calibri"/>
                <w:color w:val="auto"/>
                <w:sz w:val="21"/>
                <w:szCs w:val="21"/>
                <w:lang w:val="en-US" w:eastAsia="zh-CN"/>
              </w:rPr>
              <w:t>4</w:t>
            </w:r>
            <w:r>
              <w:rPr>
                <w:rFonts w:hint="default" w:ascii="Calibri" w:hAnsi="Calibri" w:eastAsia="宋体" w:cs="Calibri"/>
                <w:color w:val="auto"/>
                <w:sz w:val="21"/>
                <w:szCs w:val="21"/>
              </w:rPr>
              <w:t>回；</w:t>
            </w:r>
          </w:p>
        </w:tc>
        <w:tc>
          <w:tcPr>
            <w:tcW w:w="1892" w:type="pct"/>
            <w:tcBorders>
              <w:tl2br w:val="nil"/>
              <w:tr2bl w:val="nil"/>
            </w:tcBorders>
            <w:noWrap w:val="0"/>
            <w:vAlign w:val="center"/>
          </w:tcPr>
          <w:p w14:paraId="208049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rPr>
            </w:pPr>
            <w:r>
              <w:rPr>
                <w:rFonts w:hint="default" w:ascii="Calibri" w:hAnsi="Calibri" w:eastAsia="宋体" w:cs="Calibri"/>
                <w:color w:val="auto"/>
                <w:sz w:val="21"/>
                <w:szCs w:val="21"/>
              </w:rPr>
              <w:t>110kV出线：</w:t>
            </w:r>
            <w:r>
              <w:rPr>
                <w:rFonts w:hint="default" w:ascii="Calibri" w:hAnsi="Calibri" w:cs="Calibri"/>
                <w:color w:val="auto"/>
                <w:sz w:val="21"/>
                <w:szCs w:val="21"/>
                <w:lang w:val="en-US" w:eastAsia="zh-CN"/>
              </w:rPr>
              <w:t>6</w:t>
            </w:r>
            <w:r>
              <w:rPr>
                <w:rFonts w:hint="default" w:ascii="Calibri" w:hAnsi="Calibri" w:eastAsia="宋体" w:cs="Calibri"/>
                <w:color w:val="auto"/>
                <w:sz w:val="21"/>
                <w:szCs w:val="21"/>
              </w:rPr>
              <w:t>回；</w:t>
            </w:r>
          </w:p>
        </w:tc>
      </w:tr>
      <w:tr w14:paraId="61185B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45" w:hRule="atLeast"/>
          <w:jc w:val="center"/>
        </w:trPr>
        <w:tc>
          <w:tcPr>
            <w:tcW w:w="1354" w:type="pct"/>
            <w:tcBorders>
              <w:tl2br w:val="nil"/>
              <w:tr2bl w:val="nil"/>
            </w:tcBorders>
            <w:noWrap w:val="0"/>
            <w:vAlign w:val="center"/>
          </w:tcPr>
          <w:p w14:paraId="113427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rPr>
            </w:pPr>
            <w:r>
              <w:rPr>
                <w:rFonts w:hint="default" w:ascii="Calibri" w:hAnsi="Calibri" w:eastAsia="宋体" w:cs="Calibri"/>
                <w:color w:val="auto"/>
                <w:sz w:val="21"/>
                <w:szCs w:val="21"/>
              </w:rPr>
              <w:t>运行工况</w:t>
            </w:r>
          </w:p>
        </w:tc>
        <w:tc>
          <w:tcPr>
            <w:tcW w:w="1753" w:type="pct"/>
            <w:tcBorders>
              <w:tl2br w:val="nil"/>
              <w:tr2bl w:val="nil"/>
            </w:tcBorders>
            <w:noWrap w:val="0"/>
            <w:vAlign w:val="center"/>
          </w:tcPr>
          <w:p w14:paraId="604CAF0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Calibri" w:hAnsi="Calibri" w:eastAsia="宋体" w:cs="Calibri"/>
                <w:color w:val="auto"/>
                <w:sz w:val="21"/>
                <w:szCs w:val="21"/>
              </w:rPr>
            </w:pPr>
            <w:r>
              <w:rPr>
                <w:rFonts w:hint="default" w:ascii="Calibri" w:hAnsi="Calibri" w:eastAsia="宋体" w:cs="Calibri"/>
                <w:color w:val="auto"/>
                <w:sz w:val="21"/>
                <w:szCs w:val="21"/>
              </w:rPr>
              <w:t>1#主变：运行电压为</w:t>
            </w:r>
            <w:r>
              <w:rPr>
                <w:rFonts w:hint="default" w:ascii="Calibri" w:hAnsi="Calibri" w:cs="Calibri"/>
                <w:color w:val="auto"/>
                <w:sz w:val="21"/>
                <w:szCs w:val="21"/>
                <w:lang w:val="en-US" w:eastAsia="zh-CN"/>
              </w:rPr>
              <w:t>117.8</w:t>
            </w:r>
            <w:r>
              <w:rPr>
                <w:rFonts w:hint="default" w:ascii="Calibri" w:hAnsi="Calibri" w:eastAsia="宋体" w:cs="Calibri"/>
                <w:color w:val="auto"/>
                <w:sz w:val="21"/>
                <w:szCs w:val="21"/>
              </w:rPr>
              <w:t>kV～</w:t>
            </w:r>
            <w:r>
              <w:rPr>
                <w:rFonts w:hint="default" w:ascii="Calibri" w:hAnsi="Calibri" w:eastAsia="宋体" w:cs="Calibri"/>
                <w:color w:val="auto"/>
                <w:sz w:val="21"/>
                <w:szCs w:val="21"/>
                <w:lang w:val="en-US" w:eastAsia="zh-CN"/>
              </w:rPr>
              <w:t>11</w:t>
            </w:r>
            <w:r>
              <w:rPr>
                <w:rFonts w:hint="default" w:ascii="Calibri" w:hAnsi="Calibri" w:cs="Calibri"/>
                <w:color w:val="auto"/>
                <w:sz w:val="21"/>
                <w:szCs w:val="21"/>
                <w:lang w:val="en-US" w:eastAsia="zh-CN"/>
              </w:rPr>
              <w:t>8.4</w:t>
            </w:r>
            <w:r>
              <w:rPr>
                <w:rFonts w:hint="default" w:ascii="Calibri" w:hAnsi="Calibri" w:eastAsia="宋体" w:cs="Calibri"/>
                <w:color w:val="auto"/>
                <w:sz w:val="21"/>
                <w:szCs w:val="21"/>
              </w:rPr>
              <w:t>kV、运行电流为</w:t>
            </w:r>
            <w:r>
              <w:rPr>
                <w:rFonts w:hint="default" w:ascii="Calibri" w:hAnsi="Calibri" w:cs="Calibri"/>
                <w:color w:val="auto"/>
                <w:sz w:val="21"/>
                <w:szCs w:val="21"/>
                <w:lang w:val="en-US" w:eastAsia="zh-CN"/>
              </w:rPr>
              <w:t>7.6</w:t>
            </w:r>
            <w:r>
              <w:rPr>
                <w:rFonts w:hint="default" w:ascii="Calibri" w:hAnsi="Calibri" w:eastAsia="宋体" w:cs="Calibri"/>
                <w:color w:val="auto"/>
                <w:sz w:val="21"/>
                <w:szCs w:val="21"/>
              </w:rPr>
              <w:t>A～</w:t>
            </w:r>
            <w:r>
              <w:rPr>
                <w:rFonts w:hint="default" w:ascii="Calibri" w:hAnsi="Calibri" w:cs="Calibri"/>
                <w:color w:val="auto"/>
                <w:sz w:val="21"/>
                <w:szCs w:val="21"/>
                <w:lang w:val="en-US" w:eastAsia="zh-CN"/>
              </w:rPr>
              <w:t>15.8</w:t>
            </w:r>
            <w:r>
              <w:rPr>
                <w:rFonts w:hint="default" w:ascii="Calibri" w:hAnsi="Calibri" w:eastAsia="宋体" w:cs="Calibri"/>
                <w:color w:val="auto"/>
                <w:sz w:val="21"/>
                <w:szCs w:val="21"/>
              </w:rPr>
              <w:t>A</w:t>
            </w:r>
          </w:p>
        </w:tc>
        <w:tc>
          <w:tcPr>
            <w:tcW w:w="1892" w:type="pct"/>
            <w:tcBorders>
              <w:tl2br w:val="nil"/>
              <w:tr2bl w:val="nil"/>
            </w:tcBorders>
            <w:noWrap w:val="0"/>
            <w:vAlign w:val="center"/>
          </w:tcPr>
          <w:p w14:paraId="0C27AE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sz w:val="21"/>
                <w:szCs w:val="21"/>
                <w:lang w:eastAsia="zh-CN"/>
              </w:rPr>
            </w:pPr>
            <w:r>
              <w:rPr>
                <w:rFonts w:hint="default" w:ascii="Calibri" w:hAnsi="Calibri" w:eastAsia="宋体" w:cs="Calibri"/>
                <w:color w:val="auto"/>
                <w:sz w:val="21"/>
                <w:szCs w:val="21"/>
                <w:lang w:eastAsia="zh-CN"/>
              </w:rPr>
              <w:t>主变运行电压 110kV 左右</w:t>
            </w:r>
          </w:p>
        </w:tc>
      </w:tr>
      <w:tr w14:paraId="2C7015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45" w:hRule="atLeast"/>
          <w:jc w:val="center"/>
        </w:trPr>
        <w:tc>
          <w:tcPr>
            <w:tcW w:w="1354" w:type="pct"/>
            <w:tcBorders>
              <w:tl2br w:val="nil"/>
              <w:tr2bl w:val="nil"/>
            </w:tcBorders>
            <w:noWrap w:val="0"/>
            <w:vAlign w:val="center"/>
          </w:tcPr>
          <w:p w14:paraId="483292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kern w:val="2"/>
                <w:sz w:val="21"/>
                <w:szCs w:val="21"/>
                <w:lang w:val="en-US" w:eastAsia="zh-CN" w:bidi="ar-SA"/>
              </w:rPr>
            </w:pPr>
            <w:r>
              <w:rPr>
                <w:rFonts w:hint="default" w:ascii="Calibri" w:hAnsi="Calibri" w:eastAsia="宋体" w:cs="Calibri"/>
                <w:color w:val="auto"/>
                <w:sz w:val="21"/>
                <w:szCs w:val="21"/>
                <w:highlight w:val="none"/>
                <w:lang w:val="en-US" w:eastAsia="zh-CN"/>
              </w:rPr>
              <w:t>环境条件</w:t>
            </w:r>
          </w:p>
        </w:tc>
        <w:tc>
          <w:tcPr>
            <w:tcW w:w="1753" w:type="pct"/>
            <w:tcBorders>
              <w:tl2br w:val="nil"/>
              <w:tr2bl w:val="nil"/>
            </w:tcBorders>
            <w:noWrap w:val="0"/>
            <w:vAlign w:val="center"/>
          </w:tcPr>
          <w:p w14:paraId="14AFBE90">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Calibri" w:hAnsi="Calibri" w:eastAsia="宋体" w:cs="Calibri"/>
                <w:color w:val="auto"/>
                <w:kern w:val="2"/>
                <w:sz w:val="21"/>
                <w:szCs w:val="21"/>
                <w:lang w:val="en-US" w:eastAsia="zh-CN" w:bidi="ar-SA"/>
              </w:rPr>
            </w:pPr>
            <w:r>
              <w:rPr>
                <w:rFonts w:hint="default" w:ascii="Calibri" w:hAnsi="Calibri" w:eastAsia="宋体" w:cs="Calibri"/>
                <w:color w:val="auto"/>
                <w:sz w:val="21"/>
                <w:szCs w:val="21"/>
                <w:highlight w:val="none"/>
                <w:lang w:val="en-US" w:eastAsia="zh-CN"/>
              </w:rPr>
              <w:t>气候干旱少雨，属于荒漠戈壁区域</w:t>
            </w:r>
          </w:p>
        </w:tc>
        <w:tc>
          <w:tcPr>
            <w:tcW w:w="1892" w:type="pct"/>
            <w:tcBorders>
              <w:tl2br w:val="nil"/>
              <w:tr2bl w:val="nil"/>
            </w:tcBorders>
            <w:noWrap w:val="0"/>
            <w:vAlign w:val="center"/>
          </w:tcPr>
          <w:p w14:paraId="2A7D32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libri" w:hAnsi="Calibri" w:eastAsia="宋体" w:cs="Calibri"/>
                <w:color w:val="auto"/>
                <w:kern w:val="2"/>
                <w:sz w:val="21"/>
                <w:szCs w:val="21"/>
                <w:lang w:val="en-US" w:eastAsia="zh-CN" w:bidi="ar-SA"/>
              </w:rPr>
            </w:pPr>
            <w:r>
              <w:rPr>
                <w:rFonts w:hint="default" w:ascii="Calibri" w:hAnsi="Calibri" w:eastAsia="宋体" w:cs="Calibri"/>
                <w:color w:val="auto"/>
                <w:sz w:val="21"/>
                <w:szCs w:val="21"/>
                <w:highlight w:val="none"/>
                <w:lang w:val="en-US" w:eastAsia="zh-CN"/>
              </w:rPr>
              <w:t>干旱大陆性气候，干燥少雨</w:t>
            </w:r>
          </w:p>
        </w:tc>
      </w:tr>
    </w:tbl>
    <w:p w14:paraId="62A8AD87">
      <w:pPr>
        <w:spacing w:line="360" w:lineRule="auto"/>
        <w:ind w:firstLine="480" w:firstLineChars="200"/>
        <w:rPr>
          <w:rFonts w:hint="default" w:ascii="Calibri" w:hAnsi="Calibri" w:eastAsia="宋体" w:cs="Calibri"/>
          <w:color w:val="auto"/>
          <w:sz w:val="24"/>
        </w:rPr>
      </w:pPr>
      <w:r>
        <w:rPr>
          <w:rFonts w:hint="default" w:ascii="Calibri" w:hAnsi="Calibri" w:eastAsia="宋体" w:cs="Calibri"/>
          <w:color w:val="auto"/>
          <w:sz w:val="24"/>
        </w:rPr>
        <w:t>由表3-1对比分析，选取的类比变电站与本项目变电站主变布置形式、电压</w:t>
      </w:r>
      <w:r>
        <w:rPr>
          <w:rFonts w:hint="eastAsia" w:ascii="Calibri" w:hAnsi="Calibri" w:cs="Calibri"/>
          <w:color w:val="auto"/>
          <w:sz w:val="24"/>
          <w:lang w:eastAsia="zh-CN"/>
        </w:rPr>
        <w:t>、</w:t>
      </w:r>
      <w:r>
        <w:rPr>
          <w:rFonts w:hint="default" w:ascii="Calibri" w:hAnsi="Calibri" w:eastAsia="宋体" w:cs="Calibri"/>
          <w:color w:val="auto"/>
          <w:sz w:val="24"/>
          <w:lang w:val="en-US" w:eastAsia="zh-CN"/>
        </w:rPr>
        <w:t>主变容量</w:t>
      </w:r>
      <w:r>
        <w:rPr>
          <w:rFonts w:hint="default" w:ascii="Calibri" w:hAnsi="Calibri" w:eastAsia="宋体" w:cs="Calibri"/>
          <w:color w:val="auto"/>
          <w:sz w:val="24"/>
        </w:rPr>
        <w:t>等级一致</w:t>
      </w:r>
      <w:r>
        <w:rPr>
          <w:rFonts w:hint="eastAsia" w:ascii="Calibri" w:hAnsi="Calibri" w:cs="Calibri"/>
          <w:color w:val="auto"/>
          <w:sz w:val="24"/>
          <w:lang w:eastAsia="zh-CN"/>
        </w:rPr>
        <w:t>，</w:t>
      </w:r>
      <w:r>
        <w:rPr>
          <w:rFonts w:hint="default" w:ascii="Calibri" w:hAnsi="Calibri" w:eastAsia="宋体" w:cs="Calibri"/>
          <w:color w:val="auto"/>
          <w:sz w:val="24"/>
        </w:rPr>
        <w:t>监测期间类比变电站运行正常，类比可行。</w:t>
      </w:r>
    </w:p>
    <w:p w14:paraId="79653459">
      <w:pPr>
        <w:keepNext w:val="0"/>
        <w:keepLines w:val="0"/>
        <w:pageBreakBefore w:val="0"/>
        <w:widowControl w:val="0"/>
        <w:kinsoku/>
        <w:wordWrap/>
        <w:overflowPunct/>
        <w:topLinePunct w:val="0"/>
        <w:bidi w:val="0"/>
        <w:adjustRightInd w:val="0"/>
        <w:snapToGrid w:val="0"/>
        <w:spacing w:line="480" w:lineRule="exact"/>
        <w:textAlignment w:val="auto"/>
        <w:outlineLvl w:val="2"/>
        <w:rPr>
          <w:rFonts w:hint="default" w:ascii="Calibri" w:hAnsi="Calibri" w:eastAsia="宋体" w:cs="Calibri"/>
          <w:b/>
          <w:color w:val="auto"/>
          <w:sz w:val="24"/>
        </w:rPr>
      </w:pPr>
      <w:bookmarkStart w:id="113" w:name="_Toc70009678"/>
      <w:bookmarkStart w:id="114" w:name="_Toc38780082"/>
      <w:bookmarkStart w:id="115" w:name="_Toc70009866"/>
      <w:bookmarkStart w:id="116" w:name="_Toc7001"/>
      <w:r>
        <w:rPr>
          <w:rFonts w:hint="default" w:ascii="Calibri" w:hAnsi="Calibri" w:eastAsia="宋体" w:cs="Calibri"/>
          <w:b/>
          <w:color w:val="auto"/>
          <w:sz w:val="24"/>
        </w:rPr>
        <w:t>3.1.2 工频电场、工频磁场类比监测</w:t>
      </w:r>
      <w:bookmarkEnd w:id="113"/>
      <w:bookmarkEnd w:id="114"/>
      <w:bookmarkEnd w:id="115"/>
      <w:bookmarkEnd w:id="116"/>
    </w:p>
    <w:p w14:paraId="373118A3">
      <w:pPr>
        <w:keepNext w:val="0"/>
        <w:keepLines w:val="0"/>
        <w:pageBreakBefore w:val="0"/>
        <w:widowControl w:val="0"/>
        <w:kinsoku/>
        <w:wordWrap/>
        <w:overflowPunct/>
        <w:topLinePunct w:val="0"/>
        <w:bidi w:val="0"/>
        <w:spacing w:line="480" w:lineRule="exact"/>
        <w:textAlignment w:val="auto"/>
        <w:rPr>
          <w:rFonts w:hint="default" w:ascii="Calibri" w:hAnsi="Calibri" w:eastAsia="宋体" w:cs="Calibri"/>
          <w:b/>
          <w:color w:val="auto"/>
          <w:sz w:val="24"/>
        </w:rPr>
      </w:pPr>
      <w:r>
        <w:rPr>
          <w:rFonts w:hint="default" w:ascii="Calibri" w:hAnsi="Calibri" w:eastAsia="宋体" w:cs="Calibri"/>
          <w:b/>
          <w:color w:val="auto"/>
          <w:sz w:val="24"/>
        </w:rPr>
        <w:t>3.1.2.1 监测因子</w:t>
      </w:r>
    </w:p>
    <w:p w14:paraId="1EAEA548">
      <w:pPr>
        <w:keepNext w:val="0"/>
        <w:keepLines w:val="0"/>
        <w:pageBreakBefore w:val="0"/>
        <w:widowControl w:val="0"/>
        <w:kinsoku/>
        <w:wordWrap/>
        <w:overflowPunct/>
        <w:topLinePunct w:val="0"/>
        <w:bidi w:val="0"/>
        <w:spacing w:line="480" w:lineRule="exact"/>
        <w:ind w:firstLine="480" w:firstLineChars="200"/>
        <w:textAlignment w:val="auto"/>
        <w:rPr>
          <w:rFonts w:hint="default" w:ascii="Calibri" w:hAnsi="Calibri" w:eastAsia="宋体" w:cs="Calibri"/>
          <w:color w:val="auto"/>
          <w:sz w:val="24"/>
        </w:rPr>
      </w:pPr>
      <w:r>
        <w:rPr>
          <w:rFonts w:hint="default" w:ascii="Calibri" w:hAnsi="Calibri" w:eastAsia="宋体" w:cs="Calibri"/>
          <w:color w:val="auto"/>
          <w:sz w:val="24"/>
        </w:rPr>
        <w:t>工频电场、工频磁场</w:t>
      </w:r>
    </w:p>
    <w:p w14:paraId="3BD06B16">
      <w:pPr>
        <w:keepNext w:val="0"/>
        <w:keepLines w:val="0"/>
        <w:pageBreakBefore w:val="0"/>
        <w:widowControl w:val="0"/>
        <w:kinsoku/>
        <w:wordWrap/>
        <w:overflowPunct/>
        <w:topLinePunct w:val="0"/>
        <w:bidi w:val="0"/>
        <w:spacing w:line="480" w:lineRule="exact"/>
        <w:textAlignment w:val="auto"/>
        <w:rPr>
          <w:rFonts w:hint="default" w:ascii="Calibri" w:hAnsi="Calibri" w:eastAsia="宋体" w:cs="Calibri"/>
          <w:b/>
          <w:color w:val="auto"/>
          <w:sz w:val="24"/>
        </w:rPr>
      </w:pPr>
      <w:r>
        <w:rPr>
          <w:rFonts w:hint="default" w:ascii="Calibri" w:hAnsi="Calibri" w:eastAsia="宋体" w:cs="Calibri"/>
          <w:b/>
          <w:color w:val="auto"/>
          <w:sz w:val="24"/>
        </w:rPr>
        <w:t>3.1.2.2 监测方法</w:t>
      </w:r>
    </w:p>
    <w:p w14:paraId="71337364">
      <w:pPr>
        <w:keepNext w:val="0"/>
        <w:keepLines w:val="0"/>
        <w:pageBreakBefore w:val="0"/>
        <w:widowControl w:val="0"/>
        <w:kinsoku/>
        <w:wordWrap/>
        <w:overflowPunct/>
        <w:topLinePunct w:val="0"/>
        <w:bidi w:val="0"/>
        <w:spacing w:line="480" w:lineRule="exact"/>
        <w:ind w:firstLine="480" w:firstLineChars="200"/>
        <w:textAlignment w:val="auto"/>
        <w:rPr>
          <w:rFonts w:hint="default" w:ascii="Calibri" w:hAnsi="Calibri" w:eastAsia="宋体" w:cs="Calibri"/>
          <w:color w:val="auto"/>
          <w:sz w:val="24"/>
        </w:rPr>
      </w:pPr>
      <w:r>
        <w:rPr>
          <w:rFonts w:hint="default" w:ascii="Calibri" w:hAnsi="Calibri" w:eastAsia="宋体" w:cs="Calibri"/>
          <w:color w:val="auto"/>
          <w:sz w:val="24"/>
        </w:rPr>
        <w:t>监测方法：《</w:t>
      </w:r>
      <w:r>
        <w:rPr>
          <w:rFonts w:hint="default" w:ascii="Calibri" w:hAnsi="Calibri" w:eastAsia="宋体" w:cs="Calibri"/>
          <w:color w:val="auto"/>
          <w:sz w:val="24"/>
          <w:lang w:eastAsia="zh-CN"/>
        </w:rPr>
        <w:t>交流输变电工程电磁环境监测方法（试行）</w:t>
      </w:r>
      <w:r>
        <w:rPr>
          <w:rFonts w:hint="default" w:ascii="Calibri" w:hAnsi="Calibri" w:eastAsia="宋体" w:cs="Calibri"/>
          <w:color w:val="auto"/>
          <w:sz w:val="24"/>
        </w:rPr>
        <w:t>》</w:t>
      </w:r>
      <w:r>
        <w:rPr>
          <w:rFonts w:hint="eastAsia" w:ascii="Calibri" w:hAnsi="Calibri" w:cs="Calibri"/>
          <w:color w:val="auto"/>
          <w:sz w:val="24"/>
          <w:lang w:eastAsia="zh-CN"/>
        </w:rPr>
        <w:t>（</w:t>
      </w:r>
      <w:r>
        <w:rPr>
          <w:rFonts w:hint="default" w:ascii="Calibri" w:hAnsi="Calibri" w:eastAsia="宋体" w:cs="Calibri"/>
          <w:color w:val="auto"/>
          <w:sz w:val="24"/>
        </w:rPr>
        <w:t>HJ681-2013</w:t>
      </w:r>
      <w:r>
        <w:rPr>
          <w:rFonts w:hint="eastAsia" w:ascii="Calibri" w:hAnsi="Calibri" w:cs="Calibri"/>
          <w:color w:val="auto"/>
          <w:sz w:val="24"/>
          <w:lang w:eastAsia="zh-CN"/>
        </w:rPr>
        <w:t>）</w:t>
      </w:r>
      <w:r>
        <w:rPr>
          <w:rFonts w:hint="default" w:ascii="Calibri" w:hAnsi="Calibri" w:eastAsia="宋体" w:cs="Calibri"/>
          <w:color w:val="auto"/>
          <w:sz w:val="24"/>
        </w:rPr>
        <w:t>。</w:t>
      </w:r>
    </w:p>
    <w:p w14:paraId="53D57473">
      <w:pPr>
        <w:keepNext w:val="0"/>
        <w:keepLines w:val="0"/>
        <w:pageBreakBefore w:val="0"/>
        <w:widowControl w:val="0"/>
        <w:kinsoku/>
        <w:wordWrap/>
        <w:overflowPunct/>
        <w:topLinePunct w:val="0"/>
        <w:bidi w:val="0"/>
        <w:adjustRightInd w:val="0"/>
        <w:snapToGrid w:val="0"/>
        <w:spacing w:line="480" w:lineRule="exact"/>
        <w:textAlignment w:val="auto"/>
        <w:rPr>
          <w:rFonts w:hint="default" w:ascii="Calibri" w:hAnsi="Calibri" w:eastAsia="宋体" w:cs="Calibri"/>
          <w:b/>
          <w:color w:val="auto"/>
          <w:sz w:val="24"/>
        </w:rPr>
      </w:pPr>
      <w:r>
        <w:rPr>
          <w:rFonts w:hint="default" w:ascii="Calibri" w:hAnsi="Calibri" w:eastAsia="宋体" w:cs="Calibri"/>
          <w:b/>
          <w:color w:val="auto"/>
          <w:sz w:val="24"/>
        </w:rPr>
        <w:t>3.1.2.3 监测单位及监测时间</w:t>
      </w:r>
    </w:p>
    <w:p w14:paraId="46066C23">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Calibri" w:hAnsi="Calibri" w:eastAsia="宋体" w:cs="Calibri"/>
          <w:color w:val="auto"/>
          <w:sz w:val="24"/>
        </w:rPr>
      </w:pPr>
      <w:r>
        <w:rPr>
          <w:rFonts w:hint="default" w:ascii="Calibri" w:hAnsi="Calibri" w:eastAsia="宋体" w:cs="Calibri"/>
          <w:color w:val="auto"/>
          <w:sz w:val="24"/>
        </w:rPr>
        <w:t>监测单位：南京诺</w:t>
      </w:r>
      <w:r>
        <w:rPr>
          <w:rFonts w:hint="eastAsia" w:ascii="Calibri" w:hAnsi="Calibri" w:cs="Calibri"/>
          <w:color w:val="auto"/>
          <w:sz w:val="24"/>
          <w:lang w:val="en-US" w:eastAsia="zh-CN"/>
        </w:rPr>
        <w:t>磐</w:t>
      </w:r>
      <w:r>
        <w:rPr>
          <w:rFonts w:hint="default" w:ascii="Calibri" w:hAnsi="Calibri" w:eastAsia="宋体" w:cs="Calibri"/>
          <w:color w:val="auto"/>
          <w:sz w:val="24"/>
        </w:rPr>
        <w:t>环保科技有限公司</w:t>
      </w:r>
    </w:p>
    <w:p w14:paraId="0EC73A2E">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Calibri" w:hAnsi="Calibri" w:eastAsia="宋体" w:cs="Calibri"/>
          <w:color w:val="auto"/>
          <w:sz w:val="24"/>
          <w:szCs w:val="24"/>
        </w:rPr>
      </w:pPr>
      <w:r>
        <w:rPr>
          <w:rFonts w:hint="default" w:ascii="Calibri" w:hAnsi="Calibri" w:eastAsia="宋体" w:cs="Calibri"/>
          <w:color w:val="auto"/>
          <w:sz w:val="24"/>
          <w:szCs w:val="24"/>
          <w:lang w:val="en-US" w:eastAsia="zh-CN"/>
        </w:rPr>
        <w:t>监测时间：</w:t>
      </w:r>
      <w:r>
        <w:rPr>
          <w:rFonts w:hint="default" w:ascii="Calibri" w:hAnsi="Calibri" w:eastAsia="宋体" w:cs="Calibri"/>
          <w:color w:val="auto"/>
          <w:sz w:val="24"/>
          <w:szCs w:val="24"/>
        </w:rPr>
        <w:t>监测时间：20</w:t>
      </w:r>
      <w:r>
        <w:rPr>
          <w:rFonts w:hint="default" w:ascii="Calibri" w:hAnsi="Calibri" w:eastAsia="宋体" w:cs="Calibri"/>
          <w:color w:val="auto"/>
          <w:sz w:val="24"/>
          <w:szCs w:val="24"/>
          <w:lang w:val="en-US" w:eastAsia="zh-CN"/>
        </w:rPr>
        <w:t>2</w:t>
      </w:r>
      <w:r>
        <w:rPr>
          <w:rFonts w:hint="eastAsia" w:ascii="Calibri" w:hAnsi="Calibri" w:cs="Calibri"/>
          <w:color w:val="auto"/>
          <w:sz w:val="24"/>
          <w:szCs w:val="24"/>
          <w:lang w:val="en-US" w:eastAsia="zh-CN"/>
        </w:rPr>
        <w:t>3</w:t>
      </w:r>
      <w:r>
        <w:rPr>
          <w:rFonts w:hint="default" w:ascii="Calibri" w:hAnsi="Calibri" w:eastAsia="宋体" w:cs="Calibri"/>
          <w:color w:val="auto"/>
          <w:sz w:val="24"/>
          <w:szCs w:val="24"/>
        </w:rPr>
        <w:t>年</w:t>
      </w:r>
      <w:r>
        <w:rPr>
          <w:rFonts w:hint="eastAsia" w:ascii="Calibri" w:hAnsi="Calibri" w:cs="Calibri"/>
          <w:color w:val="auto"/>
          <w:sz w:val="24"/>
          <w:szCs w:val="24"/>
          <w:lang w:val="en-US" w:eastAsia="zh-CN"/>
        </w:rPr>
        <w:t>11</w:t>
      </w:r>
      <w:r>
        <w:rPr>
          <w:rFonts w:hint="default" w:ascii="Calibri" w:hAnsi="Calibri" w:eastAsia="宋体" w:cs="Calibri"/>
          <w:color w:val="auto"/>
          <w:sz w:val="24"/>
          <w:szCs w:val="24"/>
        </w:rPr>
        <w:t>月</w:t>
      </w:r>
      <w:r>
        <w:rPr>
          <w:rFonts w:hint="eastAsia" w:ascii="Calibri" w:hAnsi="Calibri" w:cs="Calibri"/>
          <w:color w:val="auto"/>
          <w:sz w:val="24"/>
          <w:szCs w:val="24"/>
          <w:lang w:val="en-US" w:eastAsia="zh-CN"/>
        </w:rPr>
        <w:t>22</w:t>
      </w:r>
      <w:r>
        <w:rPr>
          <w:rFonts w:hint="default" w:ascii="Calibri" w:hAnsi="Calibri" w:eastAsia="宋体" w:cs="Calibri"/>
          <w:color w:val="auto"/>
          <w:sz w:val="24"/>
          <w:szCs w:val="24"/>
        </w:rPr>
        <w:t>日</w:t>
      </w:r>
    </w:p>
    <w:p w14:paraId="6DA94601">
      <w:pPr>
        <w:keepNext w:val="0"/>
        <w:keepLines w:val="0"/>
        <w:pageBreakBefore w:val="0"/>
        <w:widowControl w:val="0"/>
        <w:kinsoku/>
        <w:wordWrap/>
        <w:overflowPunct/>
        <w:topLinePunct w:val="0"/>
        <w:bidi w:val="0"/>
        <w:adjustRightInd w:val="0"/>
        <w:snapToGrid w:val="0"/>
        <w:spacing w:line="480" w:lineRule="exact"/>
        <w:textAlignment w:val="auto"/>
        <w:rPr>
          <w:rFonts w:hint="default" w:ascii="Calibri" w:hAnsi="Calibri" w:eastAsia="宋体" w:cs="Calibri"/>
          <w:b/>
          <w:color w:val="auto"/>
          <w:sz w:val="24"/>
        </w:rPr>
      </w:pPr>
      <w:r>
        <w:rPr>
          <w:rFonts w:hint="default" w:ascii="Calibri" w:hAnsi="Calibri" w:eastAsia="宋体" w:cs="Calibri"/>
          <w:b/>
          <w:color w:val="auto"/>
          <w:sz w:val="24"/>
        </w:rPr>
        <w:t>3.1.2.4 监测仪器、监测条件</w:t>
      </w:r>
    </w:p>
    <w:p w14:paraId="3C97B425">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Calibri" w:hAnsi="Calibri" w:eastAsia="宋体" w:cs="Calibri"/>
          <w:color w:val="auto"/>
          <w:sz w:val="24"/>
        </w:rPr>
      </w:pPr>
      <w:r>
        <w:rPr>
          <w:rFonts w:hint="eastAsia" w:ascii="Calibri" w:hAnsi="Calibri" w:cs="Calibri"/>
          <w:color w:val="auto"/>
          <w:sz w:val="24"/>
          <w:lang w:eastAsia="zh-CN"/>
        </w:rPr>
        <w:t>检测仪器</w:t>
      </w:r>
      <w:r>
        <w:rPr>
          <w:rFonts w:hint="default" w:ascii="Calibri" w:hAnsi="Calibri" w:eastAsia="宋体" w:cs="Calibri"/>
          <w:color w:val="auto"/>
          <w:sz w:val="24"/>
        </w:rPr>
        <w:t>参数，见表3-2。</w:t>
      </w:r>
    </w:p>
    <w:p w14:paraId="2F9768EA">
      <w:pPr>
        <w:autoSpaceDE w:val="0"/>
        <w:autoSpaceDN w:val="0"/>
        <w:adjustRightInd w:val="0"/>
        <w:snapToGrid w:val="0"/>
        <w:spacing w:line="240" w:lineRule="auto"/>
        <w:ind w:firstLine="482" w:firstLineChars="200"/>
        <w:jc w:val="center"/>
        <w:rPr>
          <w:rFonts w:hint="default" w:ascii="Calibri" w:hAnsi="Calibri" w:eastAsia="宋体" w:cs="Calibri"/>
          <w:b/>
          <w:color w:val="auto"/>
          <w:sz w:val="24"/>
        </w:rPr>
      </w:pPr>
    </w:p>
    <w:p w14:paraId="6C5A6D2B">
      <w:pPr>
        <w:autoSpaceDE w:val="0"/>
        <w:autoSpaceDN w:val="0"/>
        <w:adjustRightInd w:val="0"/>
        <w:snapToGrid w:val="0"/>
        <w:spacing w:line="240" w:lineRule="auto"/>
        <w:ind w:firstLine="482" w:firstLineChars="200"/>
        <w:jc w:val="center"/>
        <w:rPr>
          <w:rFonts w:hint="default" w:ascii="Calibri" w:hAnsi="Calibri" w:eastAsia="宋体" w:cs="Calibri"/>
          <w:b/>
          <w:color w:val="auto"/>
          <w:sz w:val="24"/>
        </w:rPr>
      </w:pPr>
    </w:p>
    <w:p w14:paraId="6614F6CA">
      <w:pPr>
        <w:autoSpaceDE w:val="0"/>
        <w:autoSpaceDN w:val="0"/>
        <w:adjustRightInd w:val="0"/>
        <w:snapToGrid w:val="0"/>
        <w:spacing w:line="240" w:lineRule="auto"/>
        <w:ind w:firstLine="482" w:firstLineChars="200"/>
        <w:jc w:val="center"/>
        <w:rPr>
          <w:rFonts w:hint="default" w:ascii="Calibri" w:hAnsi="Calibri" w:eastAsia="宋体" w:cs="Calibri"/>
          <w:b/>
          <w:color w:val="auto"/>
          <w:szCs w:val="21"/>
        </w:rPr>
      </w:pPr>
      <w:r>
        <w:rPr>
          <w:rFonts w:hint="default" w:ascii="Calibri" w:hAnsi="Calibri" w:eastAsia="宋体" w:cs="Calibri"/>
          <w:b/>
          <w:color w:val="auto"/>
          <w:sz w:val="24"/>
        </w:rPr>
        <w:t xml:space="preserve">表3-2           </w:t>
      </w:r>
      <w:r>
        <w:rPr>
          <w:rFonts w:hint="default" w:ascii="Calibri" w:hAnsi="Calibri" w:eastAsia="宋体" w:cs="Calibri"/>
          <w:b/>
          <w:snapToGrid w:val="0"/>
          <w:color w:val="auto"/>
          <w:kern w:val="0"/>
          <w:sz w:val="24"/>
        </w:rPr>
        <w:t xml:space="preserve"> 监测仪器参数</w:t>
      </w:r>
      <w:r>
        <w:rPr>
          <w:rFonts w:hint="default" w:ascii="Calibri" w:hAnsi="Calibri" w:eastAsia="宋体" w:cs="Calibri"/>
          <w:b/>
          <w:color w:val="auto"/>
          <w:sz w:val="24"/>
        </w:rPr>
        <w:t>表</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963"/>
        <w:gridCol w:w="2319"/>
        <w:gridCol w:w="1668"/>
        <w:gridCol w:w="1265"/>
        <w:gridCol w:w="2651"/>
      </w:tblGrid>
      <w:tr w14:paraId="356D98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24" w:hRule="atLeast"/>
          <w:jc w:val="center"/>
        </w:trPr>
        <w:tc>
          <w:tcPr>
            <w:tcW w:w="543" w:type="pct"/>
            <w:tcBorders>
              <w:tl2br w:val="nil"/>
              <w:tr2bl w:val="nil"/>
            </w:tcBorders>
            <w:noWrap w:val="0"/>
            <w:tcMar>
              <w:top w:w="0" w:type="dxa"/>
              <w:left w:w="0" w:type="dxa"/>
              <w:bottom w:w="0" w:type="dxa"/>
              <w:right w:w="0" w:type="dxa"/>
            </w:tcMar>
            <w:vAlign w:val="center"/>
          </w:tcPr>
          <w:p w14:paraId="6986B3EA">
            <w:pPr>
              <w:spacing w:line="470" w:lineRule="exact"/>
              <w:jc w:val="center"/>
              <w:rPr>
                <w:rFonts w:hint="default" w:ascii="Calibri" w:hAnsi="Calibri" w:eastAsia="宋体" w:cs="Calibri"/>
                <w:b/>
                <w:color w:val="auto"/>
                <w:szCs w:val="24"/>
              </w:rPr>
            </w:pPr>
            <w:r>
              <w:rPr>
                <w:rFonts w:hint="default" w:ascii="Calibri" w:hAnsi="Calibri" w:eastAsia="宋体" w:cs="Calibri"/>
                <w:b/>
                <w:color w:val="auto"/>
                <w:szCs w:val="24"/>
              </w:rPr>
              <w:t>序号</w:t>
            </w:r>
          </w:p>
        </w:tc>
        <w:tc>
          <w:tcPr>
            <w:tcW w:w="1307" w:type="pct"/>
            <w:tcBorders>
              <w:tl2br w:val="nil"/>
              <w:tr2bl w:val="nil"/>
            </w:tcBorders>
            <w:noWrap w:val="0"/>
            <w:tcMar>
              <w:top w:w="0" w:type="dxa"/>
              <w:left w:w="0" w:type="dxa"/>
              <w:bottom w:w="0" w:type="dxa"/>
              <w:right w:w="0" w:type="dxa"/>
            </w:tcMar>
            <w:vAlign w:val="center"/>
          </w:tcPr>
          <w:p w14:paraId="1C9E1BEF">
            <w:pPr>
              <w:spacing w:line="470" w:lineRule="exact"/>
              <w:jc w:val="center"/>
              <w:rPr>
                <w:rFonts w:hint="default" w:ascii="Calibri" w:hAnsi="Calibri" w:eastAsia="宋体" w:cs="Calibri"/>
                <w:b/>
                <w:color w:val="auto"/>
                <w:szCs w:val="24"/>
              </w:rPr>
            </w:pPr>
            <w:r>
              <w:rPr>
                <w:rFonts w:hint="default" w:ascii="Calibri" w:hAnsi="Calibri" w:eastAsia="宋体" w:cs="Calibri"/>
                <w:b/>
                <w:color w:val="auto"/>
                <w:szCs w:val="24"/>
              </w:rPr>
              <w:t>监测项目</w:t>
            </w:r>
          </w:p>
        </w:tc>
        <w:tc>
          <w:tcPr>
            <w:tcW w:w="940" w:type="pct"/>
            <w:tcBorders>
              <w:tl2br w:val="nil"/>
              <w:tr2bl w:val="nil"/>
            </w:tcBorders>
            <w:noWrap w:val="0"/>
            <w:tcMar>
              <w:top w:w="0" w:type="dxa"/>
              <w:left w:w="0" w:type="dxa"/>
              <w:bottom w:w="0" w:type="dxa"/>
              <w:right w:w="0" w:type="dxa"/>
            </w:tcMar>
            <w:vAlign w:val="center"/>
          </w:tcPr>
          <w:p w14:paraId="311BEFA9">
            <w:pPr>
              <w:spacing w:line="470" w:lineRule="exact"/>
              <w:jc w:val="center"/>
              <w:rPr>
                <w:rFonts w:hint="default" w:ascii="Calibri" w:hAnsi="Calibri" w:eastAsia="宋体" w:cs="Calibri"/>
                <w:b/>
                <w:color w:val="auto"/>
                <w:szCs w:val="24"/>
              </w:rPr>
            </w:pPr>
            <w:r>
              <w:rPr>
                <w:rFonts w:hint="default" w:ascii="Calibri" w:hAnsi="Calibri" w:eastAsia="宋体" w:cs="Calibri"/>
                <w:b/>
                <w:color w:val="auto"/>
                <w:szCs w:val="24"/>
              </w:rPr>
              <w:t>设备名称</w:t>
            </w:r>
          </w:p>
        </w:tc>
        <w:tc>
          <w:tcPr>
            <w:tcW w:w="713" w:type="pct"/>
            <w:tcBorders>
              <w:tl2br w:val="nil"/>
              <w:tr2bl w:val="nil"/>
            </w:tcBorders>
            <w:noWrap w:val="0"/>
            <w:tcMar>
              <w:top w:w="0" w:type="dxa"/>
              <w:left w:w="0" w:type="dxa"/>
              <w:bottom w:w="0" w:type="dxa"/>
              <w:right w:w="0" w:type="dxa"/>
            </w:tcMar>
            <w:vAlign w:val="center"/>
          </w:tcPr>
          <w:p w14:paraId="2BD2D875">
            <w:pPr>
              <w:spacing w:line="470" w:lineRule="exact"/>
              <w:jc w:val="center"/>
              <w:rPr>
                <w:rFonts w:hint="default" w:ascii="Calibri" w:hAnsi="Calibri" w:eastAsia="宋体" w:cs="Calibri"/>
                <w:b/>
                <w:color w:val="auto"/>
                <w:szCs w:val="24"/>
              </w:rPr>
            </w:pPr>
            <w:r>
              <w:rPr>
                <w:rFonts w:hint="default" w:ascii="Calibri" w:hAnsi="Calibri" w:eastAsia="宋体" w:cs="Calibri"/>
                <w:b/>
                <w:color w:val="auto"/>
                <w:szCs w:val="24"/>
              </w:rPr>
              <w:t>设备编号</w:t>
            </w:r>
          </w:p>
        </w:tc>
        <w:tc>
          <w:tcPr>
            <w:tcW w:w="1494" w:type="pct"/>
            <w:tcBorders>
              <w:tl2br w:val="nil"/>
              <w:tr2bl w:val="nil"/>
            </w:tcBorders>
            <w:noWrap w:val="0"/>
            <w:tcMar>
              <w:top w:w="0" w:type="dxa"/>
              <w:left w:w="0" w:type="dxa"/>
              <w:bottom w:w="0" w:type="dxa"/>
              <w:right w:w="0" w:type="dxa"/>
            </w:tcMar>
            <w:vAlign w:val="center"/>
          </w:tcPr>
          <w:p w14:paraId="58D12280">
            <w:pPr>
              <w:spacing w:line="470" w:lineRule="exact"/>
              <w:jc w:val="center"/>
              <w:rPr>
                <w:rFonts w:hint="default" w:ascii="Calibri" w:hAnsi="Calibri" w:eastAsia="宋体" w:cs="Calibri"/>
                <w:b/>
                <w:color w:val="auto"/>
                <w:szCs w:val="24"/>
              </w:rPr>
            </w:pPr>
            <w:r>
              <w:rPr>
                <w:rFonts w:hint="default" w:ascii="Calibri" w:hAnsi="Calibri" w:eastAsia="宋体" w:cs="Calibri"/>
                <w:b/>
                <w:color w:val="auto"/>
                <w:szCs w:val="24"/>
              </w:rPr>
              <w:t>有效日期</w:t>
            </w:r>
          </w:p>
        </w:tc>
      </w:tr>
      <w:tr w14:paraId="57DA5E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61" w:hRule="atLeast"/>
          <w:jc w:val="center"/>
        </w:trPr>
        <w:tc>
          <w:tcPr>
            <w:tcW w:w="543" w:type="pct"/>
            <w:vMerge w:val="restart"/>
            <w:tcBorders>
              <w:tl2br w:val="nil"/>
              <w:tr2bl w:val="nil"/>
            </w:tcBorders>
            <w:noWrap w:val="0"/>
            <w:tcMar>
              <w:top w:w="0" w:type="dxa"/>
              <w:left w:w="0" w:type="dxa"/>
              <w:bottom w:w="0" w:type="dxa"/>
              <w:right w:w="0" w:type="dxa"/>
            </w:tcMar>
            <w:vAlign w:val="center"/>
          </w:tcPr>
          <w:p w14:paraId="0A9DA500">
            <w:pPr>
              <w:spacing w:line="470" w:lineRule="exact"/>
              <w:jc w:val="center"/>
              <w:rPr>
                <w:rFonts w:hint="default" w:ascii="Calibri" w:hAnsi="Calibri" w:eastAsia="宋体" w:cs="Calibri"/>
                <w:color w:val="auto"/>
                <w:szCs w:val="24"/>
              </w:rPr>
            </w:pPr>
            <w:r>
              <w:rPr>
                <w:rFonts w:hint="default" w:ascii="Calibri" w:hAnsi="Calibri" w:eastAsia="宋体" w:cs="Calibri"/>
                <w:color w:val="auto"/>
                <w:szCs w:val="24"/>
              </w:rPr>
              <w:t>1</w:t>
            </w:r>
          </w:p>
        </w:tc>
        <w:tc>
          <w:tcPr>
            <w:tcW w:w="1307" w:type="pct"/>
            <w:tcBorders>
              <w:tl2br w:val="nil"/>
              <w:tr2bl w:val="nil"/>
            </w:tcBorders>
            <w:noWrap w:val="0"/>
            <w:tcMar>
              <w:top w:w="0" w:type="dxa"/>
              <w:left w:w="0" w:type="dxa"/>
              <w:bottom w:w="0" w:type="dxa"/>
              <w:right w:w="0" w:type="dxa"/>
            </w:tcMar>
            <w:vAlign w:val="center"/>
          </w:tcPr>
          <w:p w14:paraId="61C611DB">
            <w:pPr>
              <w:spacing w:line="470" w:lineRule="exact"/>
              <w:jc w:val="center"/>
              <w:rPr>
                <w:rFonts w:hint="default" w:ascii="Calibri" w:hAnsi="Calibri" w:eastAsia="宋体" w:cs="Calibri"/>
                <w:color w:val="auto"/>
                <w:szCs w:val="24"/>
              </w:rPr>
            </w:pPr>
            <w:r>
              <w:rPr>
                <w:rFonts w:hint="default" w:ascii="Calibri" w:hAnsi="Calibri" w:eastAsia="宋体" w:cs="Calibri"/>
                <w:color w:val="auto"/>
                <w:szCs w:val="24"/>
              </w:rPr>
              <w:t>工频电场强度</w:t>
            </w:r>
          </w:p>
        </w:tc>
        <w:tc>
          <w:tcPr>
            <w:tcW w:w="940" w:type="pct"/>
            <w:vMerge w:val="restart"/>
            <w:tcBorders>
              <w:tl2br w:val="nil"/>
              <w:tr2bl w:val="nil"/>
            </w:tcBorders>
            <w:noWrap w:val="0"/>
            <w:tcMar>
              <w:top w:w="0" w:type="dxa"/>
              <w:left w:w="0" w:type="dxa"/>
              <w:bottom w:w="0" w:type="dxa"/>
              <w:right w:w="0" w:type="dxa"/>
            </w:tcMar>
            <w:vAlign w:val="center"/>
          </w:tcPr>
          <w:p w14:paraId="0800EC3E">
            <w:pPr>
              <w:jc w:val="center"/>
              <w:rPr>
                <w:rFonts w:hint="default" w:ascii="Calibri" w:hAnsi="Calibri" w:eastAsia="宋体" w:cs="Calibri"/>
                <w:color w:val="auto"/>
                <w:szCs w:val="24"/>
                <w:lang w:val="en-US" w:eastAsia="zh-CN"/>
              </w:rPr>
            </w:pPr>
            <w:r>
              <w:rPr>
                <w:rFonts w:hint="default" w:ascii="Calibri" w:hAnsi="Calibri" w:eastAsia="宋体" w:cs="Calibri"/>
                <w:color w:val="auto"/>
                <w:szCs w:val="24"/>
                <w:lang w:val="en-US" w:eastAsia="zh-CN"/>
              </w:rPr>
              <w:t>SEM-600</w:t>
            </w:r>
            <w:r>
              <w:rPr>
                <w:rFonts w:hint="eastAsia" w:ascii="Calibri" w:hAnsi="Calibri" w:eastAsia="宋体" w:cs="Calibri"/>
                <w:color w:val="auto"/>
                <w:szCs w:val="24"/>
                <w:lang w:val="en-US" w:eastAsia="zh-CN"/>
              </w:rPr>
              <w:t>和</w:t>
            </w:r>
            <w:r>
              <w:rPr>
                <w:rFonts w:hint="default" w:ascii="Calibri" w:hAnsi="Calibri" w:eastAsia="宋体" w:cs="Calibri"/>
                <w:color w:val="auto"/>
                <w:szCs w:val="24"/>
                <w:lang w:val="en-US" w:eastAsia="zh-CN"/>
              </w:rPr>
              <w:t>LF-0</w:t>
            </w:r>
            <w:r>
              <w:rPr>
                <w:rFonts w:hint="eastAsia" w:ascii="Calibri" w:hAnsi="Calibri" w:cs="Calibri"/>
                <w:color w:val="auto"/>
                <w:szCs w:val="24"/>
                <w:lang w:val="en-US" w:eastAsia="zh-CN"/>
              </w:rPr>
              <w:t>4</w:t>
            </w:r>
          </w:p>
        </w:tc>
        <w:tc>
          <w:tcPr>
            <w:tcW w:w="713" w:type="pct"/>
            <w:vMerge w:val="restart"/>
            <w:tcBorders>
              <w:tl2br w:val="nil"/>
              <w:tr2bl w:val="nil"/>
            </w:tcBorders>
            <w:noWrap w:val="0"/>
            <w:tcMar>
              <w:top w:w="0" w:type="dxa"/>
              <w:left w:w="0" w:type="dxa"/>
              <w:bottom w:w="0" w:type="dxa"/>
              <w:right w:w="0" w:type="dxa"/>
            </w:tcMar>
            <w:vAlign w:val="center"/>
          </w:tcPr>
          <w:p w14:paraId="20F1B35C">
            <w:pPr>
              <w:jc w:val="center"/>
              <w:rPr>
                <w:rFonts w:hint="default" w:ascii="Calibri" w:hAnsi="Calibri" w:eastAsia="宋体" w:cs="Calibri"/>
                <w:color w:val="auto"/>
                <w:szCs w:val="24"/>
                <w:lang w:val="en-US" w:eastAsia="zh-CN"/>
              </w:rPr>
            </w:pPr>
            <w:r>
              <w:rPr>
                <w:rFonts w:hint="eastAsia" w:ascii="Calibri" w:hAnsi="Calibri" w:cs="Calibri"/>
                <w:color w:val="auto"/>
                <w:szCs w:val="24"/>
                <w:lang w:val="en-US" w:eastAsia="zh-CN"/>
              </w:rPr>
              <w:t>D</w:t>
            </w:r>
            <w:r>
              <w:rPr>
                <w:rFonts w:hint="default" w:ascii="Calibri" w:hAnsi="Calibri" w:eastAsia="宋体" w:cs="Calibri"/>
                <w:color w:val="auto"/>
                <w:szCs w:val="24"/>
                <w:lang w:val="en-US" w:eastAsia="zh-CN"/>
              </w:rPr>
              <w:t>-</w:t>
            </w:r>
            <w:r>
              <w:rPr>
                <w:rFonts w:hint="eastAsia" w:ascii="Calibri" w:hAnsi="Calibri" w:cs="Calibri"/>
                <w:color w:val="auto"/>
                <w:szCs w:val="24"/>
                <w:lang w:val="en-US" w:eastAsia="zh-CN"/>
              </w:rPr>
              <w:t>1419</w:t>
            </w:r>
            <w:r>
              <w:rPr>
                <w:rFonts w:hint="default" w:ascii="Calibri" w:hAnsi="Calibri" w:eastAsia="宋体" w:cs="Calibri"/>
                <w:color w:val="auto"/>
                <w:szCs w:val="24"/>
                <w:lang w:val="en-US" w:eastAsia="zh-CN"/>
              </w:rPr>
              <w:t>和</w:t>
            </w:r>
          </w:p>
          <w:p w14:paraId="5E07AAFD">
            <w:pPr>
              <w:jc w:val="center"/>
              <w:rPr>
                <w:rFonts w:hint="default" w:ascii="Calibri" w:hAnsi="Calibri" w:eastAsia="宋体" w:cs="Calibri"/>
                <w:color w:val="auto"/>
                <w:szCs w:val="24"/>
                <w:lang w:val="en-US" w:eastAsia="zh-CN"/>
              </w:rPr>
            </w:pPr>
            <w:r>
              <w:rPr>
                <w:rFonts w:hint="eastAsia" w:ascii="Calibri" w:hAnsi="Calibri" w:cs="Calibri"/>
                <w:color w:val="auto"/>
                <w:szCs w:val="24"/>
                <w:lang w:val="en-US" w:eastAsia="zh-CN"/>
              </w:rPr>
              <w:t>I</w:t>
            </w:r>
            <w:r>
              <w:rPr>
                <w:rFonts w:hint="default" w:ascii="Calibri" w:hAnsi="Calibri" w:eastAsia="宋体" w:cs="Calibri"/>
                <w:color w:val="auto"/>
                <w:szCs w:val="24"/>
                <w:lang w:val="en-US" w:eastAsia="zh-CN"/>
              </w:rPr>
              <w:t>-</w:t>
            </w:r>
            <w:r>
              <w:rPr>
                <w:rFonts w:hint="eastAsia" w:ascii="Calibri" w:hAnsi="Calibri" w:cs="Calibri"/>
                <w:color w:val="auto"/>
                <w:szCs w:val="24"/>
                <w:lang w:val="en-US" w:eastAsia="zh-CN"/>
              </w:rPr>
              <w:t>1419</w:t>
            </w:r>
          </w:p>
        </w:tc>
        <w:tc>
          <w:tcPr>
            <w:tcW w:w="1494" w:type="pct"/>
            <w:vMerge w:val="restart"/>
            <w:tcBorders>
              <w:tl2br w:val="nil"/>
              <w:tr2bl w:val="nil"/>
            </w:tcBorders>
            <w:noWrap w:val="0"/>
            <w:tcMar>
              <w:top w:w="0" w:type="dxa"/>
              <w:left w:w="0" w:type="dxa"/>
              <w:bottom w:w="0" w:type="dxa"/>
              <w:right w:w="0" w:type="dxa"/>
            </w:tcMar>
            <w:vAlign w:val="center"/>
          </w:tcPr>
          <w:p w14:paraId="26AC83CE">
            <w:pPr>
              <w:jc w:val="center"/>
              <w:rPr>
                <w:rFonts w:hint="eastAsia" w:ascii="Calibri" w:hAnsi="Calibri" w:cs="Calibri"/>
                <w:color w:val="auto"/>
                <w:szCs w:val="24"/>
                <w:lang w:val="en-US" w:eastAsia="zh-CN"/>
              </w:rPr>
            </w:pPr>
            <w:r>
              <w:rPr>
                <w:rFonts w:hint="default" w:ascii="Calibri" w:hAnsi="Calibri" w:eastAsia="宋体" w:cs="Calibri"/>
                <w:color w:val="auto"/>
                <w:szCs w:val="24"/>
              </w:rPr>
              <w:t>20</w:t>
            </w:r>
            <w:r>
              <w:rPr>
                <w:rFonts w:hint="default" w:ascii="Calibri" w:hAnsi="Calibri" w:eastAsia="宋体" w:cs="Calibri"/>
                <w:color w:val="auto"/>
                <w:szCs w:val="24"/>
                <w:lang w:val="en-US" w:eastAsia="zh-CN"/>
              </w:rPr>
              <w:t>2</w:t>
            </w:r>
            <w:r>
              <w:rPr>
                <w:rFonts w:hint="eastAsia" w:ascii="Calibri" w:hAnsi="Calibri" w:cs="Calibri"/>
                <w:color w:val="auto"/>
                <w:szCs w:val="24"/>
                <w:lang w:val="en-US" w:eastAsia="zh-CN"/>
              </w:rPr>
              <w:t>3</w:t>
            </w:r>
            <w:r>
              <w:rPr>
                <w:rFonts w:hint="default" w:ascii="Calibri" w:hAnsi="Calibri" w:eastAsia="宋体" w:cs="Calibri"/>
                <w:color w:val="auto"/>
                <w:szCs w:val="24"/>
              </w:rPr>
              <w:t>年</w:t>
            </w:r>
            <w:r>
              <w:rPr>
                <w:rFonts w:hint="default" w:ascii="Calibri" w:hAnsi="Calibri" w:eastAsia="宋体" w:cs="Calibri"/>
                <w:color w:val="auto"/>
                <w:szCs w:val="24"/>
                <w:lang w:val="en-US" w:eastAsia="zh-CN"/>
              </w:rPr>
              <w:t>10</w:t>
            </w:r>
            <w:r>
              <w:rPr>
                <w:rFonts w:hint="default" w:ascii="Calibri" w:hAnsi="Calibri" w:eastAsia="宋体" w:cs="Calibri"/>
                <w:color w:val="auto"/>
                <w:szCs w:val="24"/>
              </w:rPr>
              <w:t>月</w:t>
            </w:r>
            <w:r>
              <w:rPr>
                <w:rFonts w:hint="eastAsia" w:ascii="Calibri" w:hAnsi="Calibri" w:cs="Calibri"/>
                <w:color w:val="auto"/>
                <w:szCs w:val="24"/>
                <w:lang w:val="en-US" w:eastAsia="zh-CN"/>
              </w:rPr>
              <w:t>8</w:t>
            </w:r>
            <w:r>
              <w:rPr>
                <w:rFonts w:hint="default" w:ascii="Calibri" w:hAnsi="Calibri" w:eastAsia="宋体" w:cs="Calibri"/>
                <w:color w:val="auto"/>
                <w:szCs w:val="24"/>
              </w:rPr>
              <w:t>日</w:t>
            </w:r>
            <w:r>
              <w:rPr>
                <w:rFonts w:hint="eastAsia" w:ascii="Calibri" w:hAnsi="Calibri" w:cs="Calibri"/>
                <w:color w:val="auto"/>
                <w:szCs w:val="24"/>
                <w:lang w:val="en-US" w:eastAsia="zh-CN"/>
              </w:rPr>
              <w:t>至</w:t>
            </w:r>
          </w:p>
          <w:p w14:paraId="31E57F8F">
            <w:pPr>
              <w:jc w:val="center"/>
              <w:rPr>
                <w:rFonts w:hint="default" w:ascii="Calibri" w:hAnsi="Calibri" w:eastAsia="宋体" w:cs="Calibri"/>
                <w:color w:val="auto"/>
                <w:szCs w:val="24"/>
                <w:lang w:val="en-US" w:eastAsia="zh-CN"/>
              </w:rPr>
            </w:pPr>
            <w:r>
              <w:rPr>
                <w:rFonts w:hint="eastAsia" w:ascii="Calibri" w:hAnsi="Calibri" w:cs="Calibri"/>
                <w:color w:val="auto"/>
                <w:szCs w:val="24"/>
                <w:lang w:val="en-US" w:eastAsia="zh-CN"/>
              </w:rPr>
              <w:t>2024年10月7日</w:t>
            </w:r>
          </w:p>
        </w:tc>
      </w:tr>
      <w:tr w14:paraId="3D9218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89" w:hRule="atLeast"/>
          <w:jc w:val="center"/>
        </w:trPr>
        <w:tc>
          <w:tcPr>
            <w:tcW w:w="543" w:type="pct"/>
            <w:vMerge w:val="continue"/>
            <w:tcBorders>
              <w:tl2br w:val="nil"/>
              <w:tr2bl w:val="nil"/>
            </w:tcBorders>
            <w:noWrap w:val="0"/>
            <w:vAlign w:val="center"/>
          </w:tcPr>
          <w:p w14:paraId="149291E3">
            <w:pPr>
              <w:widowControl/>
              <w:spacing w:line="470" w:lineRule="exact"/>
              <w:jc w:val="left"/>
              <w:rPr>
                <w:rFonts w:hint="default" w:ascii="Calibri" w:hAnsi="Calibri" w:eastAsia="宋体" w:cs="Calibri"/>
                <w:color w:val="auto"/>
                <w:szCs w:val="24"/>
              </w:rPr>
            </w:pPr>
          </w:p>
        </w:tc>
        <w:tc>
          <w:tcPr>
            <w:tcW w:w="1307" w:type="pct"/>
            <w:tcBorders>
              <w:tl2br w:val="nil"/>
              <w:tr2bl w:val="nil"/>
            </w:tcBorders>
            <w:noWrap w:val="0"/>
            <w:tcMar>
              <w:top w:w="0" w:type="dxa"/>
              <w:left w:w="0" w:type="dxa"/>
              <w:bottom w:w="0" w:type="dxa"/>
              <w:right w:w="0" w:type="dxa"/>
            </w:tcMar>
            <w:vAlign w:val="center"/>
          </w:tcPr>
          <w:p w14:paraId="11AABB26">
            <w:pPr>
              <w:spacing w:line="470" w:lineRule="exact"/>
              <w:jc w:val="center"/>
              <w:rPr>
                <w:rFonts w:hint="default" w:ascii="Calibri" w:hAnsi="Calibri" w:eastAsia="宋体" w:cs="Calibri"/>
                <w:color w:val="auto"/>
                <w:szCs w:val="24"/>
              </w:rPr>
            </w:pPr>
            <w:r>
              <w:rPr>
                <w:rFonts w:hint="default" w:ascii="Calibri" w:hAnsi="Calibri" w:eastAsia="宋体" w:cs="Calibri"/>
                <w:color w:val="auto"/>
                <w:szCs w:val="24"/>
              </w:rPr>
              <w:t>工频磁感应强度</w:t>
            </w:r>
          </w:p>
        </w:tc>
        <w:tc>
          <w:tcPr>
            <w:tcW w:w="940" w:type="pct"/>
            <w:vMerge w:val="continue"/>
            <w:tcBorders>
              <w:tl2br w:val="nil"/>
              <w:tr2bl w:val="nil"/>
            </w:tcBorders>
            <w:noWrap w:val="0"/>
            <w:tcMar>
              <w:top w:w="0" w:type="dxa"/>
              <w:left w:w="0" w:type="dxa"/>
              <w:bottom w:w="0" w:type="dxa"/>
              <w:right w:w="0" w:type="dxa"/>
            </w:tcMar>
            <w:vAlign w:val="center"/>
          </w:tcPr>
          <w:p w14:paraId="0BB548CE">
            <w:pPr>
              <w:widowControl/>
              <w:spacing w:line="470" w:lineRule="exact"/>
              <w:jc w:val="left"/>
              <w:rPr>
                <w:rFonts w:hint="default" w:ascii="Calibri" w:hAnsi="Calibri" w:eastAsia="宋体" w:cs="Calibri"/>
                <w:color w:val="auto"/>
                <w:szCs w:val="24"/>
              </w:rPr>
            </w:pPr>
          </w:p>
        </w:tc>
        <w:tc>
          <w:tcPr>
            <w:tcW w:w="713" w:type="pct"/>
            <w:vMerge w:val="continue"/>
            <w:tcBorders>
              <w:tl2br w:val="nil"/>
              <w:tr2bl w:val="nil"/>
            </w:tcBorders>
            <w:noWrap w:val="0"/>
            <w:tcMar>
              <w:top w:w="0" w:type="dxa"/>
              <w:left w:w="0" w:type="dxa"/>
              <w:bottom w:w="0" w:type="dxa"/>
              <w:right w:w="0" w:type="dxa"/>
            </w:tcMar>
            <w:vAlign w:val="center"/>
          </w:tcPr>
          <w:p w14:paraId="0AAF509A">
            <w:pPr>
              <w:widowControl/>
              <w:spacing w:line="470" w:lineRule="exact"/>
              <w:jc w:val="left"/>
              <w:rPr>
                <w:rFonts w:hint="default" w:ascii="Calibri" w:hAnsi="Calibri" w:eastAsia="宋体" w:cs="Calibri"/>
                <w:color w:val="auto"/>
                <w:szCs w:val="24"/>
              </w:rPr>
            </w:pPr>
          </w:p>
        </w:tc>
        <w:tc>
          <w:tcPr>
            <w:tcW w:w="1494" w:type="pct"/>
            <w:vMerge w:val="continue"/>
            <w:tcBorders>
              <w:tl2br w:val="nil"/>
              <w:tr2bl w:val="nil"/>
            </w:tcBorders>
            <w:noWrap w:val="0"/>
            <w:tcMar>
              <w:top w:w="0" w:type="dxa"/>
              <w:left w:w="0" w:type="dxa"/>
              <w:bottom w:w="0" w:type="dxa"/>
              <w:right w:w="0" w:type="dxa"/>
            </w:tcMar>
            <w:vAlign w:val="center"/>
          </w:tcPr>
          <w:p w14:paraId="439A2E1D">
            <w:pPr>
              <w:widowControl/>
              <w:spacing w:line="470" w:lineRule="exact"/>
              <w:jc w:val="left"/>
              <w:rPr>
                <w:rFonts w:hint="default" w:ascii="Calibri" w:hAnsi="Calibri" w:eastAsia="宋体" w:cs="Calibri"/>
                <w:color w:val="auto"/>
                <w:szCs w:val="24"/>
              </w:rPr>
            </w:pPr>
          </w:p>
        </w:tc>
      </w:tr>
    </w:tbl>
    <w:p w14:paraId="03639560">
      <w:pPr>
        <w:spacing w:line="360" w:lineRule="auto"/>
        <w:ind w:firstLine="480" w:firstLineChars="200"/>
        <w:rPr>
          <w:rFonts w:hint="default" w:ascii="Calibri" w:hAnsi="Calibri" w:eastAsia="宋体" w:cs="Calibri"/>
          <w:color w:val="auto"/>
          <w:sz w:val="24"/>
        </w:rPr>
      </w:pPr>
    </w:p>
    <w:p w14:paraId="37704C3C">
      <w:pPr>
        <w:spacing w:line="360" w:lineRule="auto"/>
        <w:ind w:firstLine="480" w:firstLineChars="200"/>
        <w:rPr>
          <w:rFonts w:hint="default" w:ascii="Calibri" w:hAnsi="Calibri" w:eastAsia="宋体" w:cs="Calibri"/>
          <w:color w:val="auto"/>
          <w:sz w:val="24"/>
        </w:rPr>
      </w:pPr>
      <w:r>
        <w:rPr>
          <w:rFonts w:hint="default" w:ascii="Calibri" w:hAnsi="Calibri" w:eastAsia="宋体" w:cs="Calibri"/>
          <w:color w:val="auto"/>
          <w:sz w:val="24"/>
          <w:szCs w:val="24"/>
        </w:rPr>
        <w:t>监测条件：晴，温度</w:t>
      </w:r>
      <w:r>
        <w:rPr>
          <w:rFonts w:hint="eastAsia" w:ascii="Calibri" w:hAnsi="Calibri" w:cs="Calibri"/>
          <w:color w:val="auto"/>
          <w:sz w:val="24"/>
          <w:szCs w:val="24"/>
          <w:lang w:val="en-US" w:eastAsia="zh-CN"/>
        </w:rPr>
        <w:t>12</w:t>
      </w:r>
      <w:r>
        <w:rPr>
          <w:rFonts w:hint="default" w:ascii="Calibri" w:hAnsi="Calibri" w:eastAsia="宋体" w:cs="Calibri"/>
          <w:color w:val="auto"/>
          <w:sz w:val="24"/>
          <w:szCs w:val="24"/>
        </w:rPr>
        <w:t>～</w:t>
      </w:r>
      <w:r>
        <w:rPr>
          <w:rFonts w:hint="eastAsia" w:ascii="Calibri" w:hAnsi="Calibri" w:cs="Calibri"/>
          <w:color w:val="auto"/>
          <w:sz w:val="24"/>
          <w:szCs w:val="24"/>
          <w:lang w:val="en-US" w:eastAsia="zh-CN"/>
        </w:rPr>
        <w:t>20</w:t>
      </w:r>
      <w:r>
        <w:rPr>
          <w:rFonts w:hint="default" w:ascii="Calibri" w:hAnsi="Calibri" w:eastAsia="宋体" w:cs="Calibri"/>
          <w:color w:val="auto"/>
          <w:sz w:val="24"/>
          <w:szCs w:val="24"/>
        </w:rPr>
        <w:t>℃，</w:t>
      </w:r>
      <w:r>
        <w:rPr>
          <w:rFonts w:hint="eastAsia" w:ascii="Calibri" w:hAnsi="Calibri" w:cs="Calibri"/>
          <w:color w:val="auto"/>
          <w:sz w:val="24"/>
          <w:szCs w:val="24"/>
          <w:lang w:val="en-US" w:eastAsia="zh-CN"/>
        </w:rPr>
        <w:t>相对</w:t>
      </w:r>
      <w:r>
        <w:rPr>
          <w:rFonts w:hint="default" w:ascii="Calibri" w:hAnsi="Calibri" w:eastAsia="宋体" w:cs="Calibri"/>
          <w:color w:val="auto"/>
          <w:sz w:val="24"/>
          <w:szCs w:val="24"/>
        </w:rPr>
        <w:t>湿度</w:t>
      </w:r>
      <w:r>
        <w:rPr>
          <w:rFonts w:hint="eastAsia" w:ascii="Calibri" w:hAnsi="Calibri" w:cs="Calibri"/>
          <w:color w:val="auto"/>
          <w:sz w:val="24"/>
          <w:szCs w:val="24"/>
          <w:lang w:val="en-US" w:eastAsia="zh-CN"/>
        </w:rPr>
        <w:t>15%～</w:t>
      </w:r>
      <w:r>
        <w:rPr>
          <w:rFonts w:hint="default" w:ascii="Calibri" w:hAnsi="Calibri" w:eastAsia="宋体" w:cs="Calibri"/>
          <w:color w:val="auto"/>
          <w:sz w:val="24"/>
          <w:szCs w:val="24"/>
          <w:lang w:val="en-US" w:eastAsia="zh-CN"/>
        </w:rPr>
        <w:t>2</w:t>
      </w:r>
      <w:r>
        <w:rPr>
          <w:rFonts w:hint="eastAsia" w:ascii="Calibri" w:hAnsi="Calibri" w:cs="Calibri"/>
          <w:color w:val="auto"/>
          <w:sz w:val="24"/>
          <w:szCs w:val="24"/>
          <w:lang w:val="en-US" w:eastAsia="zh-CN"/>
        </w:rPr>
        <w:t>2</w:t>
      </w:r>
      <w:r>
        <w:rPr>
          <w:rFonts w:hint="default" w:ascii="Calibri" w:hAnsi="Calibri" w:eastAsia="宋体" w:cs="Calibri"/>
          <w:color w:val="auto"/>
          <w:sz w:val="24"/>
          <w:szCs w:val="24"/>
        </w:rPr>
        <w:t>%</w:t>
      </w:r>
      <w:r>
        <w:rPr>
          <w:rFonts w:hint="eastAsia" w:ascii="Calibri" w:hAnsi="Calibri" w:cs="Calibri"/>
          <w:color w:val="auto"/>
          <w:sz w:val="24"/>
          <w:szCs w:val="24"/>
          <w:lang w:eastAsia="zh-CN"/>
        </w:rPr>
        <w:t>，</w:t>
      </w:r>
      <w:r>
        <w:rPr>
          <w:rFonts w:hint="eastAsia" w:ascii="Calibri" w:hAnsi="Calibri" w:cs="Calibri"/>
          <w:color w:val="auto"/>
          <w:sz w:val="24"/>
          <w:szCs w:val="24"/>
          <w:lang w:val="en-US" w:eastAsia="zh-CN"/>
        </w:rPr>
        <w:t>风速0m/s-3.6m/s</w:t>
      </w:r>
      <w:r>
        <w:rPr>
          <w:rFonts w:hint="default" w:ascii="Calibri" w:hAnsi="Calibri" w:eastAsia="宋体" w:cs="Calibri"/>
          <w:color w:val="auto"/>
          <w:sz w:val="24"/>
          <w:szCs w:val="24"/>
        </w:rPr>
        <w:t>。</w:t>
      </w:r>
    </w:p>
    <w:p w14:paraId="695067B1">
      <w:pPr>
        <w:spacing w:line="360" w:lineRule="auto"/>
        <w:rPr>
          <w:rFonts w:hint="default" w:ascii="Calibri" w:hAnsi="Calibri" w:eastAsia="宋体" w:cs="Calibri"/>
          <w:b/>
          <w:color w:val="auto"/>
          <w:sz w:val="24"/>
        </w:rPr>
      </w:pPr>
      <w:r>
        <w:rPr>
          <w:rFonts w:hint="default" w:ascii="Calibri" w:hAnsi="Calibri" w:eastAsia="宋体" w:cs="Calibri"/>
          <w:b/>
          <w:color w:val="auto"/>
          <w:sz w:val="24"/>
        </w:rPr>
        <w:t>3.1.2.5 监测结果</w:t>
      </w:r>
    </w:p>
    <w:p w14:paraId="57E75BB0">
      <w:pPr>
        <w:spacing w:line="360" w:lineRule="auto"/>
        <w:ind w:firstLine="480" w:firstLineChars="200"/>
        <w:rPr>
          <w:rFonts w:hint="default" w:ascii="Calibri" w:hAnsi="Calibri" w:eastAsia="宋体" w:cs="Calibri"/>
          <w:color w:val="auto"/>
          <w:sz w:val="24"/>
        </w:rPr>
      </w:pPr>
      <w:r>
        <w:rPr>
          <w:rFonts w:hint="default" w:ascii="Calibri" w:hAnsi="Calibri" w:eastAsia="宋体" w:cs="Calibri"/>
          <w:color w:val="auto"/>
          <w:sz w:val="24"/>
        </w:rPr>
        <w:t>监测结果见表3-3；</w:t>
      </w:r>
    </w:p>
    <w:p w14:paraId="340134FF">
      <w:pPr>
        <w:spacing w:line="240" w:lineRule="auto"/>
        <w:ind w:firstLine="482" w:firstLineChars="200"/>
        <w:rPr>
          <w:rFonts w:hint="default" w:ascii="Calibri" w:hAnsi="Calibri" w:eastAsia="宋体" w:cs="Calibri"/>
          <w:b/>
          <w:color w:val="auto"/>
          <w:sz w:val="24"/>
        </w:rPr>
      </w:pPr>
      <w:r>
        <w:rPr>
          <w:rFonts w:hint="default" w:ascii="Calibri" w:hAnsi="Calibri" w:eastAsia="宋体" w:cs="Calibri"/>
          <w:b/>
          <w:color w:val="auto"/>
          <w:sz w:val="24"/>
        </w:rPr>
        <w:t>表3-3      和田绿洲110kV变电站</w:t>
      </w:r>
      <w:r>
        <w:rPr>
          <w:rFonts w:hint="default" w:ascii="Calibri" w:hAnsi="Calibri" w:eastAsia="宋体" w:cs="Calibri"/>
          <w:b/>
          <w:bCs/>
          <w:color w:val="auto"/>
          <w:sz w:val="24"/>
        </w:rPr>
        <w:t>工频电场</w:t>
      </w:r>
      <w:r>
        <w:rPr>
          <w:rFonts w:hint="eastAsia" w:ascii="Calibri" w:hAnsi="Calibri" w:cs="Calibri"/>
          <w:b/>
          <w:bCs/>
          <w:color w:val="auto"/>
          <w:sz w:val="24"/>
          <w:lang w:val="en-US" w:eastAsia="zh-CN"/>
        </w:rPr>
        <w:t>强度</w:t>
      </w:r>
      <w:r>
        <w:rPr>
          <w:rFonts w:hint="default" w:ascii="Calibri" w:hAnsi="Calibri" w:eastAsia="宋体" w:cs="Calibri"/>
          <w:b/>
          <w:bCs/>
          <w:color w:val="auto"/>
          <w:sz w:val="24"/>
        </w:rPr>
        <w:t>、</w:t>
      </w:r>
      <w:r>
        <w:rPr>
          <w:rFonts w:hint="eastAsia" w:ascii="Calibri" w:hAnsi="Calibri" w:cs="Calibri"/>
          <w:b/>
          <w:bCs/>
          <w:color w:val="auto"/>
          <w:sz w:val="24"/>
          <w:lang w:val="en-US" w:eastAsia="zh-CN"/>
        </w:rPr>
        <w:t>磁感应强度</w:t>
      </w:r>
      <w:r>
        <w:rPr>
          <w:rFonts w:hint="default" w:ascii="Calibri" w:hAnsi="Calibri" w:eastAsia="宋体" w:cs="Calibri"/>
          <w:b/>
          <w:color w:val="auto"/>
          <w:sz w:val="24"/>
        </w:rPr>
        <w:t>测试结果</w:t>
      </w:r>
    </w:p>
    <w:tbl>
      <w:tblPr>
        <w:tblStyle w:val="2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4102"/>
        <w:gridCol w:w="1923"/>
        <w:gridCol w:w="2199"/>
      </w:tblGrid>
      <w:tr w14:paraId="194952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7" w:type="pct"/>
            <w:tcBorders>
              <w:tl2br w:val="nil"/>
              <w:tr2bl w:val="nil"/>
            </w:tcBorders>
            <w:noWrap w:val="0"/>
            <w:vAlign w:val="center"/>
          </w:tcPr>
          <w:p w14:paraId="1BDEFF03">
            <w:pPr>
              <w:adjustRightInd w:val="0"/>
              <w:snapToGrid w:val="0"/>
              <w:jc w:val="center"/>
              <w:rPr>
                <w:rFonts w:hint="default" w:ascii="Calibri" w:hAnsi="Calibri" w:eastAsia="宋体" w:cs="Calibri"/>
                <w:b/>
                <w:color w:val="auto"/>
                <w:szCs w:val="24"/>
              </w:rPr>
            </w:pPr>
            <w:r>
              <w:rPr>
                <w:rFonts w:hint="default" w:ascii="Calibri" w:hAnsi="Calibri" w:eastAsia="宋体" w:cs="Calibri"/>
                <w:b/>
                <w:color w:val="auto"/>
                <w:szCs w:val="24"/>
              </w:rPr>
              <w:t>序号</w:t>
            </w:r>
          </w:p>
        </w:tc>
        <w:tc>
          <w:tcPr>
            <w:tcW w:w="2265" w:type="pct"/>
            <w:tcBorders>
              <w:tl2br w:val="nil"/>
              <w:tr2bl w:val="nil"/>
            </w:tcBorders>
            <w:noWrap w:val="0"/>
            <w:vAlign w:val="center"/>
          </w:tcPr>
          <w:p w14:paraId="3071B5DB">
            <w:pPr>
              <w:adjustRightInd w:val="0"/>
              <w:snapToGrid w:val="0"/>
              <w:jc w:val="center"/>
              <w:rPr>
                <w:rFonts w:hint="default" w:ascii="Calibri" w:hAnsi="Calibri" w:eastAsia="宋体" w:cs="Calibri"/>
                <w:b/>
                <w:color w:val="auto"/>
                <w:szCs w:val="24"/>
              </w:rPr>
            </w:pPr>
            <w:r>
              <w:rPr>
                <w:rFonts w:hint="default" w:ascii="Calibri" w:hAnsi="Calibri" w:eastAsia="宋体" w:cs="Calibri"/>
                <w:b/>
                <w:color w:val="auto"/>
                <w:szCs w:val="24"/>
              </w:rPr>
              <w:t>测点位置</w:t>
            </w:r>
          </w:p>
        </w:tc>
        <w:tc>
          <w:tcPr>
            <w:tcW w:w="1062" w:type="pct"/>
            <w:tcBorders>
              <w:tl2br w:val="nil"/>
              <w:tr2bl w:val="nil"/>
            </w:tcBorders>
            <w:noWrap w:val="0"/>
            <w:vAlign w:val="center"/>
          </w:tcPr>
          <w:p w14:paraId="4EA1982B">
            <w:pPr>
              <w:adjustRightInd w:val="0"/>
              <w:snapToGrid w:val="0"/>
              <w:jc w:val="center"/>
              <w:rPr>
                <w:rFonts w:hint="default" w:ascii="Calibri" w:hAnsi="Calibri" w:eastAsia="宋体" w:cs="Calibri"/>
                <w:b/>
                <w:color w:val="auto"/>
                <w:szCs w:val="24"/>
              </w:rPr>
            </w:pPr>
            <w:r>
              <w:rPr>
                <w:rFonts w:hint="default" w:ascii="Calibri" w:hAnsi="Calibri" w:eastAsia="宋体" w:cs="Calibri"/>
                <w:b/>
                <w:color w:val="auto"/>
                <w:szCs w:val="24"/>
              </w:rPr>
              <w:t>工频电场强度</w:t>
            </w:r>
          </w:p>
          <w:p w14:paraId="3A4630BB">
            <w:pPr>
              <w:adjustRightInd w:val="0"/>
              <w:snapToGrid w:val="0"/>
              <w:jc w:val="center"/>
              <w:rPr>
                <w:rFonts w:hint="default" w:ascii="Calibri" w:hAnsi="Calibri" w:eastAsia="宋体" w:cs="Calibri"/>
                <w:b/>
                <w:color w:val="auto"/>
                <w:szCs w:val="24"/>
              </w:rPr>
            </w:pPr>
            <w:r>
              <w:rPr>
                <w:rFonts w:hint="default" w:ascii="Calibri" w:hAnsi="Calibri" w:eastAsia="宋体" w:cs="Calibri"/>
                <w:b/>
                <w:color w:val="auto"/>
                <w:szCs w:val="24"/>
              </w:rPr>
              <w:t>(V/m)</w:t>
            </w:r>
          </w:p>
        </w:tc>
        <w:tc>
          <w:tcPr>
            <w:tcW w:w="1214" w:type="pct"/>
            <w:tcBorders>
              <w:tl2br w:val="nil"/>
              <w:tr2bl w:val="nil"/>
            </w:tcBorders>
            <w:noWrap w:val="0"/>
            <w:vAlign w:val="center"/>
          </w:tcPr>
          <w:p w14:paraId="481234D6">
            <w:pPr>
              <w:adjustRightInd w:val="0"/>
              <w:snapToGrid w:val="0"/>
              <w:jc w:val="center"/>
              <w:rPr>
                <w:rFonts w:hint="default" w:ascii="Calibri" w:hAnsi="Calibri" w:eastAsia="宋体" w:cs="Calibri"/>
                <w:b/>
                <w:color w:val="auto"/>
                <w:szCs w:val="24"/>
              </w:rPr>
            </w:pPr>
            <w:r>
              <w:rPr>
                <w:rFonts w:hint="default" w:ascii="Calibri" w:hAnsi="Calibri" w:eastAsia="宋体" w:cs="Calibri"/>
                <w:b/>
                <w:color w:val="auto"/>
                <w:szCs w:val="24"/>
              </w:rPr>
              <w:t>工频磁感应强度</w:t>
            </w:r>
          </w:p>
          <w:p w14:paraId="21BE9D73">
            <w:pPr>
              <w:adjustRightInd w:val="0"/>
              <w:snapToGrid w:val="0"/>
              <w:jc w:val="center"/>
              <w:rPr>
                <w:rFonts w:hint="default" w:ascii="Calibri" w:hAnsi="Calibri" w:eastAsia="宋体" w:cs="Calibri"/>
                <w:b/>
                <w:color w:val="auto"/>
                <w:szCs w:val="24"/>
              </w:rPr>
            </w:pPr>
            <w:r>
              <w:rPr>
                <w:rFonts w:hint="default" w:ascii="Calibri" w:hAnsi="Calibri" w:eastAsia="宋体" w:cs="Calibri"/>
                <w:b/>
                <w:color w:val="auto"/>
                <w:szCs w:val="24"/>
              </w:rPr>
              <w:t>(μT)</w:t>
            </w:r>
          </w:p>
        </w:tc>
      </w:tr>
      <w:tr w14:paraId="38D6D3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7" w:type="pct"/>
            <w:tcBorders>
              <w:tl2br w:val="nil"/>
              <w:tr2bl w:val="nil"/>
            </w:tcBorders>
            <w:noWrap w:val="0"/>
            <w:vAlign w:val="center"/>
          </w:tcPr>
          <w:p w14:paraId="74058AFD">
            <w:pPr>
              <w:adjustRightInd w:val="0"/>
              <w:snapToGrid w:val="0"/>
              <w:jc w:val="center"/>
              <w:rPr>
                <w:rFonts w:hint="default" w:ascii="Calibri" w:hAnsi="Calibri" w:eastAsia="宋体" w:cs="Calibri"/>
                <w:color w:val="auto"/>
                <w:szCs w:val="24"/>
              </w:rPr>
            </w:pPr>
            <w:r>
              <w:rPr>
                <w:rFonts w:hint="default" w:ascii="Calibri" w:hAnsi="Calibri" w:eastAsia="宋体" w:cs="Calibri"/>
                <w:color w:val="auto"/>
                <w:szCs w:val="24"/>
              </w:rPr>
              <w:t>1</w:t>
            </w:r>
          </w:p>
        </w:tc>
        <w:tc>
          <w:tcPr>
            <w:tcW w:w="2265" w:type="pct"/>
            <w:tcBorders>
              <w:tl2br w:val="nil"/>
              <w:tr2bl w:val="nil"/>
            </w:tcBorders>
            <w:noWrap w:val="0"/>
            <w:vAlign w:val="center"/>
          </w:tcPr>
          <w:p w14:paraId="1DDE482B">
            <w:pPr>
              <w:adjustRightInd w:val="0"/>
              <w:snapToGrid w:val="0"/>
              <w:jc w:val="center"/>
              <w:rPr>
                <w:rFonts w:hint="default" w:ascii="Calibri" w:hAnsi="Calibri" w:eastAsia="宋体" w:cs="Calibri"/>
                <w:color w:val="auto"/>
                <w:szCs w:val="24"/>
              </w:rPr>
            </w:pPr>
            <w:r>
              <w:rPr>
                <w:rFonts w:hint="default" w:ascii="Calibri" w:hAnsi="Calibri" w:eastAsia="宋体" w:cs="Calibri"/>
                <w:color w:val="auto"/>
                <w:szCs w:val="21"/>
              </w:rPr>
              <w:t>厂界东北侧围墙外5m</w:t>
            </w:r>
          </w:p>
        </w:tc>
        <w:tc>
          <w:tcPr>
            <w:tcW w:w="1062" w:type="pct"/>
            <w:tcBorders>
              <w:tl2br w:val="nil"/>
              <w:tr2bl w:val="nil"/>
            </w:tcBorders>
            <w:noWrap w:val="0"/>
            <w:vAlign w:val="center"/>
          </w:tcPr>
          <w:p w14:paraId="684DAFBD">
            <w:pPr>
              <w:adjustRightInd w:val="0"/>
              <w:snapToGrid w:val="0"/>
              <w:jc w:val="center"/>
              <w:rPr>
                <w:rFonts w:hint="default" w:ascii="Calibri" w:hAnsi="Calibri" w:eastAsia="宋体" w:cs="Calibri"/>
                <w:color w:val="auto"/>
                <w:szCs w:val="24"/>
                <w:lang w:val="en-US" w:eastAsia="zh-CN"/>
              </w:rPr>
            </w:pPr>
            <w:r>
              <w:rPr>
                <w:rFonts w:hint="eastAsia" w:ascii="Calibri" w:hAnsi="Calibri" w:cs="Calibri"/>
                <w:color w:val="auto"/>
                <w:szCs w:val="21"/>
                <w:lang w:val="en-US" w:eastAsia="zh-CN"/>
              </w:rPr>
              <w:t>23.4</w:t>
            </w:r>
          </w:p>
        </w:tc>
        <w:tc>
          <w:tcPr>
            <w:tcW w:w="1214" w:type="pct"/>
            <w:tcBorders>
              <w:tl2br w:val="nil"/>
              <w:tr2bl w:val="nil"/>
            </w:tcBorders>
            <w:noWrap w:val="0"/>
            <w:vAlign w:val="center"/>
          </w:tcPr>
          <w:p w14:paraId="0818F9E3">
            <w:pPr>
              <w:adjustRightInd w:val="0"/>
              <w:snapToGrid w:val="0"/>
              <w:jc w:val="center"/>
              <w:rPr>
                <w:rFonts w:hint="eastAsia" w:ascii="Calibri" w:hAnsi="Calibri" w:eastAsia="宋体" w:cs="Calibri"/>
                <w:color w:val="auto"/>
                <w:szCs w:val="24"/>
                <w:lang w:val="en-US" w:eastAsia="zh-CN"/>
              </w:rPr>
            </w:pPr>
            <w:r>
              <w:rPr>
                <w:rFonts w:hint="default" w:ascii="Calibri" w:hAnsi="Calibri" w:eastAsia="宋体" w:cs="Calibri"/>
                <w:color w:val="auto"/>
                <w:szCs w:val="21"/>
              </w:rPr>
              <w:t>0.01</w:t>
            </w:r>
            <w:r>
              <w:rPr>
                <w:rFonts w:hint="eastAsia" w:ascii="Calibri" w:hAnsi="Calibri" w:cs="Calibri"/>
                <w:color w:val="auto"/>
                <w:szCs w:val="21"/>
                <w:lang w:val="en-US" w:eastAsia="zh-CN"/>
              </w:rPr>
              <w:t>0</w:t>
            </w:r>
          </w:p>
        </w:tc>
      </w:tr>
      <w:tr w14:paraId="7697E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7" w:type="pct"/>
            <w:tcBorders>
              <w:tl2br w:val="nil"/>
              <w:tr2bl w:val="nil"/>
            </w:tcBorders>
            <w:noWrap w:val="0"/>
            <w:vAlign w:val="center"/>
          </w:tcPr>
          <w:p w14:paraId="4B0F0155">
            <w:pPr>
              <w:adjustRightInd w:val="0"/>
              <w:snapToGrid w:val="0"/>
              <w:jc w:val="center"/>
              <w:rPr>
                <w:rFonts w:hint="default" w:ascii="Calibri" w:hAnsi="Calibri" w:eastAsia="宋体" w:cs="Calibri"/>
                <w:color w:val="auto"/>
                <w:szCs w:val="24"/>
              </w:rPr>
            </w:pPr>
            <w:r>
              <w:rPr>
                <w:rFonts w:hint="default" w:ascii="Calibri" w:hAnsi="Calibri" w:eastAsia="宋体" w:cs="Calibri"/>
                <w:color w:val="auto"/>
                <w:szCs w:val="24"/>
              </w:rPr>
              <w:t>2</w:t>
            </w:r>
          </w:p>
        </w:tc>
        <w:tc>
          <w:tcPr>
            <w:tcW w:w="2265" w:type="pct"/>
            <w:tcBorders>
              <w:tl2br w:val="nil"/>
              <w:tr2bl w:val="nil"/>
            </w:tcBorders>
            <w:noWrap w:val="0"/>
            <w:vAlign w:val="center"/>
          </w:tcPr>
          <w:p w14:paraId="2BBA46E2">
            <w:pPr>
              <w:adjustRightInd w:val="0"/>
              <w:snapToGrid w:val="0"/>
              <w:jc w:val="center"/>
              <w:rPr>
                <w:rFonts w:hint="default" w:ascii="Calibri" w:hAnsi="Calibri" w:eastAsia="宋体" w:cs="Calibri"/>
                <w:color w:val="auto"/>
                <w:szCs w:val="24"/>
              </w:rPr>
            </w:pPr>
            <w:r>
              <w:rPr>
                <w:rFonts w:hint="default" w:ascii="Calibri" w:hAnsi="Calibri" w:eastAsia="宋体" w:cs="Calibri"/>
                <w:color w:val="auto"/>
                <w:szCs w:val="21"/>
              </w:rPr>
              <w:t>厂界东南侧围墙外5m</w:t>
            </w:r>
          </w:p>
        </w:tc>
        <w:tc>
          <w:tcPr>
            <w:tcW w:w="1062" w:type="pct"/>
            <w:tcBorders>
              <w:tl2br w:val="nil"/>
              <w:tr2bl w:val="nil"/>
            </w:tcBorders>
            <w:noWrap w:val="0"/>
            <w:vAlign w:val="center"/>
          </w:tcPr>
          <w:p w14:paraId="136DFEBF">
            <w:pPr>
              <w:adjustRightInd w:val="0"/>
              <w:snapToGrid w:val="0"/>
              <w:jc w:val="center"/>
              <w:rPr>
                <w:rFonts w:hint="default" w:ascii="Calibri" w:hAnsi="Calibri" w:eastAsia="宋体" w:cs="Calibri"/>
                <w:color w:val="auto"/>
                <w:szCs w:val="24"/>
                <w:lang w:val="en-US" w:eastAsia="zh-CN"/>
              </w:rPr>
            </w:pPr>
            <w:r>
              <w:rPr>
                <w:rFonts w:hint="eastAsia" w:ascii="Calibri" w:hAnsi="Calibri" w:cs="Calibri"/>
                <w:color w:val="auto"/>
                <w:szCs w:val="24"/>
                <w:lang w:val="en-US" w:eastAsia="zh-CN"/>
              </w:rPr>
              <w:t>3.2</w:t>
            </w:r>
          </w:p>
        </w:tc>
        <w:tc>
          <w:tcPr>
            <w:tcW w:w="1214" w:type="pct"/>
            <w:tcBorders>
              <w:tl2br w:val="nil"/>
              <w:tr2bl w:val="nil"/>
            </w:tcBorders>
            <w:noWrap w:val="0"/>
            <w:vAlign w:val="center"/>
          </w:tcPr>
          <w:p w14:paraId="729122D8">
            <w:pPr>
              <w:adjustRightInd w:val="0"/>
              <w:snapToGrid w:val="0"/>
              <w:jc w:val="center"/>
              <w:rPr>
                <w:rFonts w:hint="default" w:ascii="Calibri" w:hAnsi="Calibri" w:eastAsia="宋体" w:cs="Calibri"/>
                <w:color w:val="auto"/>
                <w:szCs w:val="24"/>
                <w:lang w:val="en-US" w:eastAsia="zh-CN"/>
              </w:rPr>
            </w:pPr>
            <w:r>
              <w:rPr>
                <w:rFonts w:hint="default" w:ascii="Calibri" w:hAnsi="Calibri" w:eastAsia="宋体" w:cs="Calibri"/>
                <w:color w:val="auto"/>
                <w:szCs w:val="21"/>
              </w:rPr>
              <w:t>0.0</w:t>
            </w:r>
            <w:r>
              <w:rPr>
                <w:rFonts w:hint="eastAsia" w:ascii="Calibri" w:hAnsi="Calibri" w:cs="Calibri"/>
                <w:color w:val="auto"/>
                <w:szCs w:val="21"/>
                <w:lang w:val="en-US" w:eastAsia="zh-CN"/>
              </w:rPr>
              <w:t>10</w:t>
            </w:r>
          </w:p>
        </w:tc>
      </w:tr>
      <w:tr w14:paraId="082B74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3" w:hRule="atLeast"/>
          <w:jc w:val="center"/>
        </w:trPr>
        <w:tc>
          <w:tcPr>
            <w:tcW w:w="457" w:type="pct"/>
            <w:tcBorders>
              <w:tl2br w:val="nil"/>
              <w:tr2bl w:val="nil"/>
            </w:tcBorders>
            <w:noWrap w:val="0"/>
            <w:vAlign w:val="center"/>
          </w:tcPr>
          <w:p w14:paraId="7DB5400B">
            <w:pPr>
              <w:adjustRightInd w:val="0"/>
              <w:snapToGrid w:val="0"/>
              <w:jc w:val="center"/>
              <w:rPr>
                <w:rFonts w:hint="default" w:ascii="Calibri" w:hAnsi="Calibri" w:eastAsia="宋体" w:cs="Calibri"/>
                <w:color w:val="auto"/>
                <w:szCs w:val="24"/>
              </w:rPr>
            </w:pPr>
            <w:r>
              <w:rPr>
                <w:rFonts w:hint="default" w:ascii="Calibri" w:hAnsi="Calibri" w:eastAsia="宋体" w:cs="Calibri"/>
                <w:color w:val="auto"/>
                <w:szCs w:val="24"/>
              </w:rPr>
              <w:t>3</w:t>
            </w:r>
          </w:p>
        </w:tc>
        <w:tc>
          <w:tcPr>
            <w:tcW w:w="2265" w:type="pct"/>
            <w:tcBorders>
              <w:tl2br w:val="nil"/>
              <w:tr2bl w:val="nil"/>
            </w:tcBorders>
            <w:noWrap w:val="0"/>
            <w:vAlign w:val="center"/>
          </w:tcPr>
          <w:p w14:paraId="1928C203">
            <w:pPr>
              <w:adjustRightInd w:val="0"/>
              <w:snapToGrid w:val="0"/>
              <w:jc w:val="center"/>
              <w:rPr>
                <w:rFonts w:hint="default" w:ascii="Calibri" w:hAnsi="Calibri" w:eastAsia="宋体" w:cs="Calibri"/>
                <w:color w:val="auto"/>
                <w:szCs w:val="24"/>
              </w:rPr>
            </w:pPr>
            <w:r>
              <w:rPr>
                <w:rFonts w:hint="default" w:ascii="Calibri" w:hAnsi="Calibri" w:eastAsia="宋体" w:cs="Calibri"/>
                <w:color w:val="auto"/>
                <w:szCs w:val="21"/>
              </w:rPr>
              <w:t>厂界西南侧围墙外5m</w:t>
            </w:r>
          </w:p>
        </w:tc>
        <w:tc>
          <w:tcPr>
            <w:tcW w:w="1062" w:type="pct"/>
            <w:tcBorders>
              <w:tl2br w:val="nil"/>
              <w:tr2bl w:val="nil"/>
            </w:tcBorders>
            <w:noWrap w:val="0"/>
            <w:vAlign w:val="center"/>
          </w:tcPr>
          <w:p w14:paraId="6FC6E826">
            <w:pPr>
              <w:adjustRightInd w:val="0"/>
              <w:snapToGrid w:val="0"/>
              <w:jc w:val="center"/>
              <w:rPr>
                <w:rFonts w:hint="default" w:ascii="Calibri" w:hAnsi="Calibri" w:eastAsia="宋体" w:cs="Calibri"/>
                <w:color w:val="auto"/>
                <w:szCs w:val="24"/>
                <w:lang w:val="en-US" w:eastAsia="zh-CN"/>
              </w:rPr>
            </w:pPr>
            <w:r>
              <w:rPr>
                <w:rFonts w:hint="eastAsia" w:ascii="Calibri" w:hAnsi="Calibri" w:cs="Calibri"/>
                <w:color w:val="auto"/>
                <w:szCs w:val="24"/>
                <w:lang w:val="en-US" w:eastAsia="zh-CN"/>
              </w:rPr>
              <w:t>4.8</w:t>
            </w:r>
          </w:p>
        </w:tc>
        <w:tc>
          <w:tcPr>
            <w:tcW w:w="1214" w:type="pct"/>
            <w:tcBorders>
              <w:tl2br w:val="nil"/>
              <w:tr2bl w:val="nil"/>
            </w:tcBorders>
            <w:noWrap w:val="0"/>
            <w:vAlign w:val="center"/>
          </w:tcPr>
          <w:p w14:paraId="6218D9A3">
            <w:pPr>
              <w:adjustRightInd w:val="0"/>
              <w:snapToGrid w:val="0"/>
              <w:jc w:val="center"/>
              <w:rPr>
                <w:rFonts w:hint="eastAsia" w:ascii="Calibri" w:hAnsi="Calibri" w:eastAsia="宋体" w:cs="Calibri"/>
                <w:color w:val="auto"/>
                <w:szCs w:val="24"/>
                <w:lang w:val="en-US" w:eastAsia="zh-CN"/>
              </w:rPr>
            </w:pPr>
            <w:r>
              <w:rPr>
                <w:rFonts w:hint="default" w:ascii="Calibri" w:hAnsi="Calibri" w:eastAsia="宋体" w:cs="Calibri"/>
                <w:color w:val="auto"/>
                <w:szCs w:val="21"/>
              </w:rPr>
              <w:t>0.00</w:t>
            </w:r>
            <w:r>
              <w:rPr>
                <w:rFonts w:hint="eastAsia" w:ascii="Calibri" w:hAnsi="Calibri" w:cs="Calibri"/>
                <w:color w:val="auto"/>
                <w:szCs w:val="21"/>
                <w:lang w:val="en-US" w:eastAsia="zh-CN"/>
              </w:rPr>
              <w:t>8</w:t>
            </w:r>
          </w:p>
        </w:tc>
      </w:tr>
      <w:tr w14:paraId="33A6FE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7" w:type="pct"/>
            <w:tcBorders>
              <w:tl2br w:val="nil"/>
              <w:tr2bl w:val="nil"/>
            </w:tcBorders>
            <w:noWrap w:val="0"/>
            <w:vAlign w:val="center"/>
          </w:tcPr>
          <w:p w14:paraId="2C990F46">
            <w:pPr>
              <w:adjustRightInd w:val="0"/>
              <w:snapToGrid w:val="0"/>
              <w:jc w:val="center"/>
              <w:rPr>
                <w:rFonts w:hint="default" w:ascii="Calibri" w:hAnsi="Calibri" w:eastAsia="宋体" w:cs="Calibri"/>
                <w:color w:val="auto"/>
                <w:szCs w:val="24"/>
              </w:rPr>
            </w:pPr>
            <w:r>
              <w:rPr>
                <w:rFonts w:hint="default" w:ascii="Calibri" w:hAnsi="Calibri" w:eastAsia="宋体" w:cs="Calibri"/>
                <w:color w:val="auto"/>
                <w:szCs w:val="24"/>
              </w:rPr>
              <w:t>4</w:t>
            </w:r>
          </w:p>
        </w:tc>
        <w:tc>
          <w:tcPr>
            <w:tcW w:w="2265" w:type="pct"/>
            <w:tcBorders>
              <w:tl2br w:val="nil"/>
              <w:tr2bl w:val="nil"/>
            </w:tcBorders>
            <w:noWrap w:val="0"/>
            <w:vAlign w:val="center"/>
          </w:tcPr>
          <w:p w14:paraId="5E2E053A">
            <w:pPr>
              <w:adjustRightInd w:val="0"/>
              <w:snapToGrid w:val="0"/>
              <w:jc w:val="center"/>
              <w:rPr>
                <w:rFonts w:hint="default" w:ascii="Calibri" w:hAnsi="Calibri" w:eastAsia="宋体" w:cs="Calibri"/>
                <w:color w:val="auto"/>
                <w:szCs w:val="24"/>
              </w:rPr>
            </w:pPr>
            <w:r>
              <w:rPr>
                <w:rFonts w:hint="default" w:ascii="Calibri" w:hAnsi="Calibri" w:eastAsia="宋体" w:cs="Calibri"/>
                <w:color w:val="auto"/>
                <w:szCs w:val="21"/>
              </w:rPr>
              <w:t>厂界西北侧围墙外5m</w:t>
            </w:r>
          </w:p>
        </w:tc>
        <w:tc>
          <w:tcPr>
            <w:tcW w:w="1062" w:type="pct"/>
            <w:tcBorders>
              <w:tl2br w:val="nil"/>
              <w:tr2bl w:val="nil"/>
            </w:tcBorders>
            <w:noWrap w:val="0"/>
            <w:vAlign w:val="center"/>
          </w:tcPr>
          <w:p w14:paraId="667B8DA8">
            <w:pPr>
              <w:adjustRightInd w:val="0"/>
              <w:snapToGrid w:val="0"/>
              <w:jc w:val="center"/>
              <w:rPr>
                <w:rFonts w:hint="default" w:ascii="Calibri" w:hAnsi="Calibri" w:eastAsia="宋体" w:cs="Calibri"/>
                <w:color w:val="auto"/>
                <w:szCs w:val="24"/>
                <w:lang w:val="en-US" w:eastAsia="zh-CN"/>
              </w:rPr>
            </w:pPr>
            <w:r>
              <w:rPr>
                <w:rFonts w:hint="eastAsia" w:ascii="Calibri" w:hAnsi="Calibri" w:cs="Calibri"/>
                <w:color w:val="auto"/>
                <w:szCs w:val="24"/>
                <w:lang w:val="en-US" w:eastAsia="zh-CN"/>
              </w:rPr>
              <w:t>154.0</w:t>
            </w:r>
          </w:p>
        </w:tc>
        <w:tc>
          <w:tcPr>
            <w:tcW w:w="1214" w:type="pct"/>
            <w:tcBorders>
              <w:tl2br w:val="nil"/>
              <w:tr2bl w:val="nil"/>
            </w:tcBorders>
            <w:noWrap w:val="0"/>
            <w:vAlign w:val="center"/>
          </w:tcPr>
          <w:p w14:paraId="042D003A">
            <w:pPr>
              <w:adjustRightInd w:val="0"/>
              <w:snapToGrid w:val="0"/>
              <w:jc w:val="center"/>
              <w:rPr>
                <w:rFonts w:hint="default" w:ascii="Calibri" w:hAnsi="Calibri" w:eastAsia="宋体" w:cs="Calibri"/>
                <w:color w:val="auto"/>
                <w:szCs w:val="24"/>
                <w:lang w:val="en-US" w:eastAsia="zh-CN"/>
              </w:rPr>
            </w:pPr>
            <w:r>
              <w:rPr>
                <w:rFonts w:hint="default" w:ascii="Calibri" w:hAnsi="Calibri" w:eastAsia="宋体" w:cs="Calibri"/>
                <w:color w:val="auto"/>
                <w:szCs w:val="21"/>
              </w:rPr>
              <w:t>0.0</w:t>
            </w:r>
            <w:r>
              <w:rPr>
                <w:rFonts w:hint="eastAsia" w:ascii="Calibri" w:hAnsi="Calibri" w:cs="Calibri"/>
                <w:color w:val="auto"/>
                <w:szCs w:val="21"/>
                <w:lang w:val="en-US" w:eastAsia="zh-CN"/>
              </w:rPr>
              <w:t>27</w:t>
            </w:r>
          </w:p>
        </w:tc>
      </w:tr>
    </w:tbl>
    <w:p w14:paraId="779C2B03">
      <w:pPr>
        <w:ind w:firstLine="118" w:firstLineChars="49"/>
        <w:rPr>
          <w:rFonts w:hint="default" w:ascii="Calibri" w:hAnsi="Calibri" w:eastAsia="宋体" w:cs="Calibri"/>
          <w:b/>
          <w:color w:val="auto"/>
          <w:sz w:val="24"/>
        </w:rPr>
      </w:pPr>
    </w:p>
    <w:p w14:paraId="06B1C2BB">
      <w:pPr>
        <w:pageBreakBefore w:val="0"/>
        <w:widowControl w:val="0"/>
        <w:kinsoku/>
        <w:wordWrap/>
        <w:overflowPunct/>
        <w:topLinePunct w:val="0"/>
        <w:autoSpaceDE/>
        <w:autoSpaceDN/>
        <w:bidi w:val="0"/>
        <w:snapToGrid w:val="0"/>
        <w:spacing w:line="360" w:lineRule="auto"/>
        <w:ind w:firstLine="480" w:firstLineChars="200"/>
        <w:jc w:val="left"/>
        <w:textAlignment w:val="auto"/>
        <w:rPr>
          <w:rFonts w:hint="default" w:ascii="Calibri" w:hAnsi="Calibri" w:eastAsia="宋体" w:cs="Calibri"/>
          <w:color w:val="auto"/>
          <w:sz w:val="24"/>
        </w:rPr>
      </w:pPr>
      <w:r>
        <w:rPr>
          <w:rFonts w:hint="default" w:ascii="Calibri" w:hAnsi="Calibri" w:eastAsia="宋体" w:cs="Calibri"/>
          <w:color w:val="auto"/>
          <w:kern w:val="0"/>
          <w:sz w:val="24"/>
        </w:rPr>
        <w:t>变电站</w:t>
      </w:r>
      <w:r>
        <w:rPr>
          <w:rFonts w:hint="eastAsia" w:ascii="Calibri" w:hAnsi="Calibri" w:cs="Calibri"/>
          <w:color w:val="auto"/>
          <w:kern w:val="0"/>
          <w:sz w:val="24"/>
          <w:lang w:val="en-US" w:eastAsia="zh-CN"/>
        </w:rPr>
        <w:t>工频</w:t>
      </w:r>
      <w:r>
        <w:rPr>
          <w:rFonts w:hint="default" w:ascii="Calibri" w:hAnsi="Calibri" w:eastAsia="宋体" w:cs="Calibri"/>
          <w:color w:val="auto"/>
          <w:kern w:val="0"/>
          <w:sz w:val="24"/>
        </w:rPr>
        <w:t>电场强度在</w:t>
      </w:r>
      <w:r>
        <w:rPr>
          <w:rFonts w:hint="eastAsia" w:ascii="Calibri" w:hAnsi="Calibri" w:cs="Calibri"/>
          <w:color w:val="auto"/>
          <w:kern w:val="0"/>
          <w:sz w:val="24"/>
          <w:lang w:val="en-US" w:eastAsia="zh-CN"/>
        </w:rPr>
        <w:t>3.2</w:t>
      </w:r>
      <w:r>
        <w:rPr>
          <w:rFonts w:hint="default" w:ascii="Calibri" w:hAnsi="Calibri" w:eastAsia="宋体" w:cs="Calibri"/>
          <w:color w:val="auto"/>
          <w:kern w:val="0"/>
          <w:sz w:val="24"/>
        </w:rPr>
        <w:t>～</w:t>
      </w:r>
      <w:r>
        <w:rPr>
          <w:rFonts w:hint="eastAsia" w:ascii="Calibri" w:hAnsi="Calibri" w:cs="Calibri"/>
          <w:color w:val="auto"/>
          <w:kern w:val="0"/>
          <w:sz w:val="24"/>
          <w:lang w:val="en-US" w:eastAsia="zh-CN"/>
        </w:rPr>
        <w:t>154</w:t>
      </w:r>
      <w:r>
        <w:rPr>
          <w:rFonts w:hint="default" w:ascii="Calibri" w:hAnsi="Calibri" w:eastAsia="宋体" w:cs="Calibri"/>
          <w:color w:val="auto"/>
          <w:kern w:val="0"/>
          <w:sz w:val="24"/>
        </w:rPr>
        <w:t>V/m之间，</w:t>
      </w:r>
      <w:r>
        <w:rPr>
          <w:rFonts w:hint="eastAsia" w:ascii="Calibri" w:hAnsi="Calibri" w:cs="Calibri"/>
          <w:color w:val="auto"/>
          <w:kern w:val="0"/>
          <w:sz w:val="24"/>
          <w:lang w:val="en-US" w:eastAsia="zh-CN"/>
        </w:rPr>
        <w:t>工频</w:t>
      </w:r>
      <w:r>
        <w:rPr>
          <w:rFonts w:hint="default" w:ascii="Calibri" w:hAnsi="Calibri" w:eastAsia="宋体" w:cs="Calibri"/>
          <w:color w:val="auto"/>
          <w:kern w:val="0"/>
          <w:sz w:val="24"/>
        </w:rPr>
        <w:t>磁感应强度在0.0</w:t>
      </w:r>
      <w:r>
        <w:rPr>
          <w:rFonts w:hint="eastAsia" w:ascii="Calibri" w:hAnsi="Calibri" w:cs="Calibri"/>
          <w:color w:val="auto"/>
          <w:kern w:val="0"/>
          <w:sz w:val="24"/>
          <w:lang w:val="en-US" w:eastAsia="zh-CN"/>
        </w:rPr>
        <w:t>08</w:t>
      </w:r>
      <w:r>
        <w:rPr>
          <w:rFonts w:hint="default" w:ascii="Calibri" w:hAnsi="Calibri" w:eastAsia="宋体" w:cs="Calibri"/>
          <w:color w:val="auto"/>
          <w:kern w:val="0"/>
          <w:sz w:val="24"/>
        </w:rPr>
        <w:t>～0.0</w:t>
      </w:r>
      <w:r>
        <w:rPr>
          <w:rFonts w:hint="eastAsia" w:ascii="Calibri" w:hAnsi="Calibri" w:cs="Calibri"/>
          <w:color w:val="auto"/>
          <w:kern w:val="0"/>
          <w:sz w:val="24"/>
          <w:lang w:val="en-US" w:eastAsia="zh-CN"/>
        </w:rPr>
        <w:t>27</w:t>
      </w:r>
      <w:r>
        <w:rPr>
          <w:rFonts w:hint="default" w:ascii="Calibri" w:hAnsi="Calibri" w:eastAsia="宋体" w:cs="Calibri"/>
          <w:color w:val="auto"/>
          <w:kern w:val="0"/>
          <w:sz w:val="24"/>
        </w:rPr>
        <w:t>μT之间，</w:t>
      </w:r>
      <w:r>
        <w:rPr>
          <w:rFonts w:hint="default" w:ascii="Calibri" w:hAnsi="Calibri" w:eastAsia="宋体" w:cs="Calibri"/>
          <w:color w:val="auto"/>
          <w:sz w:val="24"/>
          <w:szCs w:val="24"/>
        </w:rPr>
        <w:t>小于《电磁环境控制限值》</w:t>
      </w:r>
      <w:r>
        <w:rPr>
          <w:rFonts w:hint="eastAsia" w:ascii="Calibri" w:hAnsi="Calibri" w:cs="Calibri"/>
          <w:color w:val="auto"/>
          <w:sz w:val="24"/>
          <w:szCs w:val="24"/>
          <w:lang w:eastAsia="zh-CN"/>
        </w:rPr>
        <w:t>（</w:t>
      </w:r>
      <w:r>
        <w:rPr>
          <w:rFonts w:hint="default" w:ascii="Calibri" w:hAnsi="Calibri" w:eastAsia="宋体" w:cs="Calibri"/>
          <w:color w:val="auto"/>
          <w:sz w:val="24"/>
          <w:szCs w:val="24"/>
        </w:rPr>
        <w:t>GB8702-2014</w:t>
      </w:r>
      <w:r>
        <w:rPr>
          <w:rFonts w:hint="eastAsia" w:ascii="Calibri" w:hAnsi="Calibri" w:cs="Calibri"/>
          <w:color w:val="auto"/>
          <w:sz w:val="24"/>
          <w:szCs w:val="24"/>
          <w:lang w:eastAsia="zh-CN"/>
        </w:rPr>
        <w:t>）</w:t>
      </w:r>
      <w:r>
        <w:rPr>
          <w:rFonts w:hint="default" w:ascii="Calibri" w:hAnsi="Calibri" w:eastAsia="宋体" w:cs="Calibri"/>
          <w:color w:val="auto"/>
          <w:sz w:val="24"/>
          <w:szCs w:val="24"/>
        </w:rPr>
        <w:t>中相应限值：电场强度</w:t>
      </w:r>
      <w:r>
        <w:rPr>
          <w:rFonts w:hint="default" w:ascii="Calibri" w:hAnsi="Calibri" w:eastAsia="宋体" w:cs="Calibri"/>
          <w:color w:val="auto"/>
          <w:sz w:val="24"/>
          <w:szCs w:val="24"/>
          <w:lang w:eastAsia="zh-CN"/>
        </w:rPr>
        <w:t>4000V</w:t>
      </w:r>
      <w:r>
        <w:rPr>
          <w:rFonts w:hint="default" w:ascii="Calibri" w:hAnsi="Calibri" w:eastAsia="宋体" w:cs="Calibri"/>
          <w:color w:val="auto"/>
          <w:sz w:val="24"/>
          <w:szCs w:val="24"/>
        </w:rPr>
        <w:t>/m，磁感应强度100μT。</w:t>
      </w:r>
    </w:p>
    <w:p w14:paraId="221F29FE">
      <w:pPr>
        <w:pStyle w:val="4"/>
        <w:pageBreakBefore w:val="0"/>
        <w:widowControl w:val="0"/>
        <w:kinsoku/>
        <w:wordWrap/>
        <w:overflowPunct/>
        <w:topLinePunct w:val="0"/>
        <w:bidi w:val="0"/>
        <w:snapToGrid w:val="0"/>
        <w:spacing w:before="0" w:beforeLines="0" w:after="0" w:afterLines="0" w:line="480" w:lineRule="exact"/>
        <w:rPr>
          <w:rFonts w:hint="default" w:ascii="Calibri" w:hAnsi="Calibri" w:eastAsia="宋体" w:cs="Calibri"/>
          <w:color w:val="auto"/>
          <w:sz w:val="28"/>
        </w:rPr>
      </w:pPr>
      <w:bookmarkStart w:id="117" w:name="_Toc27398"/>
      <w:bookmarkStart w:id="118" w:name="_Toc10283"/>
      <w:r>
        <w:rPr>
          <w:rFonts w:hint="default" w:ascii="Calibri" w:hAnsi="Calibri" w:eastAsia="宋体" w:cs="Calibri"/>
          <w:color w:val="auto"/>
          <w:sz w:val="28"/>
        </w:rPr>
        <w:t>3.</w:t>
      </w:r>
      <w:r>
        <w:rPr>
          <w:rFonts w:hint="default" w:ascii="Calibri" w:hAnsi="Calibri" w:eastAsia="宋体" w:cs="Calibri"/>
          <w:color w:val="auto"/>
          <w:sz w:val="28"/>
          <w:lang w:val="en-US" w:eastAsia="zh-CN"/>
        </w:rPr>
        <w:t>2</w:t>
      </w:r>
      <w:r>
        <w:rPr>
          <w:rFonts w:hint="default" w:ascii="Calibri" w:hAnsi="Calibri" w:eastAsia="宋体" w:cs="Calibri"/>
          <w:color w:val="auto"/>
          <w:sz w:val="28"/>
        </w:rPr>
        <w:t>架空线路电磁环境影响模式预测</w:t>
      </w:r>
      <w:bookmarkEnd w:id="117"/>
      <w:bookmarkEnd w:id="118"/>
    </w:p>
    <w:p w14:paraId="4F5BDFA4">
      <w:pPr>
        <w:pStyle w:val="5"/>
        <w:pageBreakBefore w:val="0"/>
        <w:widowControl w:val="0"/>
        <w:kinsoku/>
        <w:wordWrap/>
        <w:overflowPunct/>
        <w:topLinePunct w:val="0"/>
        <w:bidi w:val="0"/>
        <w:snapToGrid w:val="0"/>
        <w:spacing w:line="480" w:lineRule="exact"/>
        <w:rPr>
          <w:rFonts w:hint="default" w:ascii="Calibri" w:hAnsi="Calibri" w:eastAsia="宋体" w:cs="Calibri"/>
          <w:b/>
          <w:color w:val="auto"/>
          <w:sz w:val="24"/>
        </w:rPr>
      </w:pPr>
      <w:bookmarkStart w:id="119" w:name="_Toc3057"/>
      <w:r>
        <w:rPr>
          <w:rFonts w:hint="default" w:ascii="Calibri" w:hAnsi="Calibri" w:eastAsia="宋体" w:cs="Calibri"/>
          <w:b/>
          <w:color w:val="auto"/>
          <w:sz w:val="24"/>
        </w:rPr>
        <w:t>3.</w:t>
      </w:r>
      <w:r>
        <w:rPr>
          <w:rFonts w:hint="default" w:ascii="Calibri" w:hAnsi="Calibri" w:eastAsia="宋体" w:cs="Calibri"/>
          <w:b/>
          <w:color w:val="auto"/>
          <w:sz w:val="24"/>
          <w:lang w:val="en-US" w:eastAsia="zh-CN"/>
        </w:rPr>
        <w:t>2</w:t>
      </w:r>
      <w:r>
        <w:rPr>
          <w:rFonts w:hint="default" w:ascii="Calibri" w:hAnsi="Calibri" w:eastAsia="宋体" w:cs="Calibri"/>
          <w:b/>
          <w:color w:val="auto"/>
          <w:sz w:val="24"/>
        </w:rPr>
        <w:t>.1</w:t>
      </w:r>
      <w:bookmarkEnd w:id="119"/>
      <w:r>
        <w:rPr>
          <w:rFonts w:hint="default" w:ascii="Calibri" w:hAnsi="Calibri" w:eastAsia="宋体" w:cs="Calibri"/>
          <w:b/>
          <w:color w:val="auto"/>
          <w:kern w:val="15"/>
          <w:sz w:val="24"/>
        </w:rPr>
        <w:t>计算方法</w:t>
      </w:r>
    </w:p>
    <w:p w14:paraId="1BD0CB02">
      <w:pPr>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textAlignment w:val="auto"/>
        <w:rPr>
          <w:rFonts w:hint="default" w:ascii="Calibri" w:hAnsi="Calibri" w:eastAsia="宋体" w:cs="Calibri"/>
          <w:color w:val="auto"/>
          <w:sz w:val="24"/>
          <w:highlight w:val="none"/>
        </w:rPr>
      </w:pPr>
      <w:r>
        <w:rPr>
          <w:rFonts w:hint="default" w:ascii="Calibri" w:hAnsi="Calibri" w:eastAsia="宋体" w:cs="Calibri"/>
          <w:color w:val="auto"/>
          <w:sz w:val="24"/>
          <w:highlight w:val="none"/>
        </w:rPr>
        <w:t>输电线路产生的工频电场、工频磁场影响预测计算，根据《环境影响评价技术导则 输变电》</w:t>
      </w:r>
      <w:r>
        <w:rPr>
          <w:rFonts w:hint="eastAsia" w:ascii="Calibri" w:hAnsi="Calibri" w:cs="Calibri"/>
          <w:color w:val="auto"/>
          <w:sz w:val="24"/>
          <w:highlight w:val="none"/>
          <w:lang w:eastAsia="zh-CN"/>
        </w:rPr>
        <w:t>（</w:t>
      </w:r>
      <w:r>
        <w:rPr>
          <w:rFonts w:hint="default" w:ascii="Calibri" w:hAnsi="Calibri" w:eastAsia="宋体" w:cs="Calibri"/>
          <w:color w:val="auto"/>
          <w:sz w:val="24"/>
          <w:highlight w:val="none"/>
        </w:rPr>
        <w:t>HJ 24-2020</w:t>
      </w:r>
      <w:r>
        <w:rPr>
          <w:rFonts w:hint="eastAsia" w:ascii="Calibri" w:hAnsi="Calibri" w:cs="Calibri"/>
          <w:color w:val="auto"/>
          <w:sz w:val="24"/>
          <w:highlight w:val="none"/>
          <w:lang w:eastAsia="zh-CN"/>
        </w:rPr>
        <w:t>）</w:t>
      </w:r>
      <w:r>
        <w:rPr>
          <w:rFonts w:hint="default" w:ascii="Calibri" w:hAnsi="Calibri" w:eastAsia="宋体" w:cs="Calibri"/>
          <w:color w:val="auto"/>
          <w:sz w:val="24"/>
          <w:highlight w:val="none"/>
        </w:rPr>
        <w:t>附录C、D推荐的计算模式进行。</w:t>
      </w:r>
    </w:p>
    <w:p w14:paraId="61253FFD">
      <w:pPr>
        <w:pageBreakBefore w:val="0"/>
        <w:widowControl w:val="0"/>
        <w:kinsoku/>
        <w:wordWrap/>
        <w:overflowPunct/>
        <w:topLinePunct w:val="0"/>
        <w:autoSpaceDE/>
        <w:autoSpaceDN/>
        <w:bidi w:val="0"/>
        <w:adjustRightInd w:val="0"/>
        <w:snapToGrid w:val="0"/>
        <w:spacing w:line="480" w:lineRule="exact"/>
        <w:ind w:left="0" w:leftChars="0" w:right="0" w:rightChars="0" w:firstLine="480" w:firstLineChars="200"/>
        <w:textAlignment w:val="auto"/>
        <w:rPr>
          <w:rFonts w:hint="default" w:ascii="Calibri" w:hAnsi="Calibri" w:eastAsia="宋体" w:cs="Calibri"/>
          <w:color w:val="auto"/>
          <w:sz w:val="24"/>
          <w:highlight w:val="none"/>
        </w:rPr>
      </w:pPr>
      <w:r>
        <w:rPr>
          <w:rFonts w:hint="default" w:ascii="Calibri" w:hAnsi="Calibri" w:eastAsia="宋体" w:cs="Calibri"/>
          <w:color w:val="auto"/>
          <w:sz w:val="24"/>
          <w:highlight w:val="none"/>
        </w:rPr>
        <w:t>以上计算方法适用于线路无限长而且平行于地面，由于任何线路长度都是有限的，并且有弧垂，因此需要做如下假设，设建设项目线路无限长，线路经过最大弧垂点平行于地面。这样计算出来的结果将比实际值大，对于衡量线路不超标是完全适用的，并据此指引线路的设计方案将是保守和安全的。具体计算方法如下：</w:t>
      </w:r>
    </w:p>
    <w:p w14:paraId="56B00993">
      <w:pPr>
        <w:keepNext w:val="0"/>
        <w:keepLines w:val="0"/>
        <w:pageBreakBefore w:val="0"/>
        <w:widowControl w:val="0"/>
        <w:kinsoku/>
        <w:wordWrap/>
        <w:overflowPunct/>
        <w:topLinePunct w:val="0"/>
        <w:autoSpaceDE w:val="0"/>
        <w:autoSpaceDN w:val="0"/>
        <w:bidi w:val="0"/>
        <w:adjustRightInd w:val="0"/>
        <w:snapToGrid w:val="0"/>
        <w:spacing w:line="480" w:lineRule="exact"/>
        <w:ind w:firstLine="482"/>
        <w:textAlignment w:val="auto"/>
        <w:rPr>
          <w:rFonts w:hint="default" w:ascii="Calibri" w:hAnsi="Calibri" w:eastAsia="宋体" w:cs="Calibri"/>
          <w:color w:val="auto"/>
          <w:sz w:val="24"/>
          <w:highlight w:val="none"/>
          <w:lang w:val="zh-CN"/>
        </w:rPr>
      </w:pPr>
      <w:r>
        <w:rPr>
          <w:rFonts w:hint="default" w:ascii="Calibri" w:hAnsi="Calibri" w:eastAsia="宋体" w:cs="Calibri"/>
          <w:color w:val="auto"/>
          <w:kern w:val="0"/>
          <w:sz w:val="24"/>
          <w:highlight w:val="none"/>
        </w:rPr>
        <w:t>①工频电场强度预测</w:t>
      </w:r>
    </w:p>
    <w:p w14:paraId="708E5EB6">
      <w:pPr>
        <w:keepNext w:val="0"/>
        <w:keepLines w:val="0"/>
        <w:pageBreakBefore w:val="0"/>
        <w:widowControl w:val="0"/>
        <w:kinsoku/>
        <w:wordWrap/>
        <w:overflowPunct/>
        <w:topLinePunct w:val="0"/>
        <w:autoSpaceDE w:val="0"/>
        <w:autoSpaceDN w:val="0"/>
        <w:bidi w:val="0"/>
        <w:adjustRightInd w:val="0"/>
        <w:snapToGrid w:val="0"/>
        <w:spacing w:line="480" w:lineRule="exact"/>
        <w:ind w:firstLine="482"/>
        <w:textAlignment w:val="auto"/>
        <w:rPr>
          <w:rFonts w:hint="default" w:ascii="Calibri" w:hAnsi="Calibri" w:eastAsia="宋体" w:cs="Calibri"/>
          <w:color w:val="auto"/>
          <w:sz w:val="24"/>
          <w:highlight w:val="none"/>
          <w:lang w:val="zh-CN"/>
        </w:rPr>
      </w:pPr>
      <w:r>
        <w:rPr>
          <w:rFonts w:hint="default" w:ascii="Calibri" w:hAnsi="Calibri" w:eastAsia="宋体" w:cs="Calibri"/>
          <w:color w:val="auto"/>
          <w:sz w:val="24"/>
          <w:highlight w:val="none"/>
          <w:lang w:val="zh-CN"/>
        </w:rPr>
        <w:t>高压输电线上的等效电荷是线电荷，由于高压输电线半径r远远小于架设高度h，所以等效电荷的位置可以认为是在输电导线的几何中心。</w:t>
      </w:r>
    </w:p>
    <w:p w14:paraId="48C9C7F8">
      <w:pPr>
        <w:keepNext w:val="0"/>
        <w:keepLines w:val="0"/>
        <w:pageBreakBefore w:val="0"/>
        <w:widowControl w:val="0"/>
        <w:kinsoku/>
        <w:wordWrap/>
        <w:overflowPunct/>
        <w:topLinePunct w:val="0"/>
        <w:autoSpaceDE w:val="0"/>
        <w:autoSpaceDN w:val="0"/>
        <w:bidi w:val="0"/>
        <w:adjustRightInd w:val="0"/>
        <w:snapToGrid w:val="0"/>
        <w:spacing w:line="480" w:lineRule="exact"/>
        <w:ind w:firstLine="482"/>
        <w:textAlignment w:val="auto"/>
        <w:rPr>
          <w:rFonts w:hint="default" w:ascii="Calibri" w:hAnsi="Calibri" w:eastAsia="宋体" w:cs="Calibri"/>
          <w:color w:val="auto"/>
          <w:sz w:val="24"/>
          <w:highlight w:val="none"/>
          <w:lang w:val="zh-CN"/>
        </w:rPr>
      </w:pPr>
      <w:r>
        <w:rPr>
          <w:rFonts w:hint="default" w:ascii="Calibri" w:hAnsi="Calibri" w:eastAsia="宋体" w:cs="Calibri"/>
          <w:color w:val="auto"/>
          <w:sz w:val="24"/>
          <w:highlight w:val="none"/>
          <w:lang w:val="zh-CN"/>
        </w:rPr>
        <w:t>设输电线路为无限长并且平行于地面，地面可视为良导体，利用镜像法计算输电线上的等效电荷。</w:t>
      </w:r>
    </w:p>
    <w:p w14:paraId="0ACB1197">
      <w:pPr>
        <w:keepNext w:val="0"/>
        <w:keepLines w:val="0"/>
        <w:pageBreakBefore w:val="0"/>
        <w:widowControl w:val="0"/>
        <w:kinsoku/>
        <w:wordWrap/>
        <w:overflowPunct/>
        <w:topLinePunct w:val="0"/>
        <w:autoSpaceDE w:val="0"/>
        <w:autoSpaceDN w:val="0"/>
        <w:bidi w:val="0"/>
        <w:adjustRightInd w:val="0"/>
        <w:snapToGrid w:val="0"/>
        <w:spacing w:line="480" w:lineRule="exact"/>
        <w:ind w:firstLine="480"/>
        <w:textAlignment w:val="auto"/>
        <w:rPr>
          <w:rFonts w:hint="default" w:ascii="Calibri" w:hAnsi="Calibri" w:eastAsia="宋体" w:cs="Calibri"/>
          <w:color w:val="auto"/>
          <w:sz w:val="24"/>
          <w:highlight w:val="none"/>
          <w:lang w:val="zh-CN"/>
        </w:rPr>
      </w:pPr>
      <w:r>
        <w:rPr>
          <w:rFonts w:hint="default" w:ascii="Calibri" w:hAnsi="Calibri" w:eastAsia="宋体" w:cs="Calibri"/>
          <w:color w:val="auto"/>
          <w:sz w:val="24"/>
          <w:highlight w:val="none"/>
          <w:lang w:val="zh-CN"/>
        </w:rPr>
        <w:t>为了计算多导线线路中导线上的等效电荷，可写出下列矩阵方程：</w:t>
      </w:r>
    </w:p>
    <w:p w14:paraId="39D56568">
      <w:pPr>
        <w:pStyle w:val="57"/>
        <w:ind w:firstLine="2551" w:firstLineChars="1063"/>
        <w:rPr>
          <w:rStyle w:val="58"/>
          <w:rFonts w:hint="default" w:ascii="Calibri" w:hAnsi="Calibri" w:eastAsia="宋体" w:cs="Calibri"/>
          <w:color w:val="auto"/>
          <w:szCs w:val="24"/>
          <w:highlight w:val="none"/>
        </w:rPr>
      </w:pPr>
      <w:r>
        <w:rPr>
          <w:rFonts w:hint="default" w:ascii="Calibri" w:hAnsi="Calibri" w:eastAsia="宋体" w:cs="Calibri"/>
          <w:color w:val="auto"/>
          <w:position w:val="-68"/>
          <w:szCs w:val="24"/>
          <w:highlight w:val="none"/>
        </w:rPr>
        <w:object>
          <v:shape id="_x0000_i1025" o:spt="75" type="#_x0000_t75" style="height:75.7pt;width:171.3pt;" o:ole="t" filled="f" o:preferrelative="t" stroked="f" coordsize="21600,21600">
            <v:path/>
            <v:fill on="f" focussize="0,0"/>
            <v:stroke on="f"/>
            <v:imagedata r:id="rId11" o:title=""/>
            <o:lock v:ext="edit" aspectratio="t"/>
            <w10:wrap type="none"/>
            <w10:anchorlock/>
          </v:shape>
          <o:OLEObject Type="Embed" ProgID="Equation.DSMT4" ShapeID="_x0000_i1025" DrawAspect="Content" ObjectID="_1468075725" r:id="rId10">
            <o:LockedField>false</o:LockedField>
          </o:OLEObject>
        </w:object>
      </w:r>
    </w:p>
    <w:p w14:paraId="563E35AA">
      <w:pPr>
        <w:keepNext w:val="0"/>
        <w:keepLines w:val="0"/>
        <w:pageBreakBefore w:val="0"/>
        <w:widowControl w:val="0"/>
        <w:kinsoku/>
        <w:wordWrap/>
        <w:overflowPunct/>
        <w:topLinePunct w:val="0"/>
        <w:autoSpaceDE w:val="0"/>
        <w:autoSpaceDN w:val="0"/>
        <w:bidi w:val="0"/>
        <w:adjustRightInd w:val="0"/>
        <w:snapToGrid w:val="0"/>
        <w:spacing w:line="480" w:lineRule="exact"/>
        <w:ind w:firstLine="482"/>
        <w:textAlignment w:val="auto"/>
        <w:rPr>
          <w:rFonts w:hint="default" w:ascii="Calibri" w:hAnsi="Calibri" w:eastAsia="宋体" w:cs="Calibri"/>
          <w:color w:val="auto"/>
          <w:sz w:val="24"/>
          <w:highlight w:val="none"/>
          <w:lang w:val="zh-CN"/>
        </w:rPr>
      </w:pPr>
      <w:r>
        <w:rPr>
          <w:rFonts w:hint="default" w:ascii="Calibri" w:hAnsi="Calibri" w:eastAsia="宋体" w:cs="Calibri"/>
          <w:color w:val="auto"/>
          <w:sz w:val="24"/>
          <w:highlight w:val="none"/>
          <w:lang w:val="zh-CN"/>
        </w:rPr>
        <w:t>式中：U——各导线对地电压的单列矩阵；</w:t>
      </w:r>
    </w:p>
    <w:p w14:paraId="4CDCAD03">
      <w:pPr>
        <w:keepNext w:val="0"/>
        <w:keepLines w:val="0"/>
        <w:pageBreakBefore w:val="0"/>
        <w:widowControl w:val="0"/>
        <w:kinsoku/>
        <w:wordWrap/>
        <w:overflowPunct/>
        <w:topLinePunct w:val="0"/>
        <w:autoSpaceDE w:val="0"/>
        <w:autoSpaceDN w:val="0"/>
        <w:bidi w:val="0"/>
        <w:adjustRightInd w:val="0"/>
        <w:snapToGrid w:val="0"/>
        <w:spacing w:line="480" w:lineRule="exact"/>
        <w:ind w:firstLine="1200" w:firstLineChars="500"/>
        <w:textAlignment w:val="auto"/>
        <w:rPr>
          <w:rFonts w:hint="default" w:ascii="Calibri" w:hAnsi="Calibri" w:eastAsia="宋体" w:cs="Calibri"/>
          <w:color w:val="auto"/>
          <w:sz w:val="24"/>
          <w:highlight w:val="none"/>
          <w:lang w:val="zh-CN"/>
        </w:rPr>
      </w:pPr>
      <w:bookmarkStart w:id="120" w:name="_Toc141414697"/>
      <w:r>
        <w:rPr>
          <w:rFonts w:hint="default" w:ascii="Calibri" w:hAnsi="Calibri" w:eastAsia="宋体" w:cs="Calibri"/>
          <w:color w:val="auto"/>
          <w:sz w:val="24"/>
          <w:highlight w:val="none"/>
          <w:lang w:val="zh-CN"/>
        </w:rPr>
        <w:t>Q——各导线上等效电荷的单列矩阵；</w:t>
      </w:r>
      <w:bookmarkEnd w:id="120"/>
    </w:p>
    <w:p w14:paraId="6A35E56B">
      <w:pPr>
        <w:keepNext w:val="0"/>
        <w:keepLines w:val="0"/>
        <w:pageBreakBefore w:val="0"/>
        <w:widowControl w:val="0"/>
        <w:kinsoku/>
        <w:wordWrap/>
        <w:overflowPunct/>
        <w:topLinePunct w:val="0"/>
        <w:autoSpaceDE w:val="0"/>
        <w:autoSpaceDN w:val="0"/>
        <w:bidi w:val="0"/>
        <w:adjustRightInd w:val="0"/>
        <w:snapToGrid w:val="0"/>
        <w:spacing w:line="480" w:lineRule="exact"/>
        <w:ind w:firstLine="1200" w:firstLineChars="500"/>
        <w:textAlignment w:val="auto"/>
        <w:rPr>
          <w:rFonts w:hint="default" w:ascii="Calibri" w:hAnsi="Calibri" w:eastAsia="宋体" w:cs="Calibri"/>
          <w:color w:val="auto"/>
          <w:sz w:val="24"/>
          <w:highlight w:val="none"/>
          <w:lang w:val="zh-CN"/>
        </w:rPr>
      </w:pPr>
      <w:r>
        <w:rPr>
          <w:rFonts w:hint="default" w:ascii="Calibri" w:hAnsi="Calibri" w:eastAsia="宋体" w:cs="Calibri"/>
          <w:color w:val="auto"/>
          <w:sz w:val="24"/>
          <w:highlight w:val="none"/>
          <w:lang w:val="zh-CN"/>
        </w:rPr>
        <w:t>λ——各导线的电位系数组成的m阶方阵（m为导线数目）。</w:t>
      </w:r>
    </w:p>
    <w:p w14:paraId="3D8F42B5">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Calibri" w:hAnsi="Calibri" w:eastAsia="宋体" w:cs="Calibri"/>
          <w:color w:val="auto"/>
          <w:sz w:val="24"/>
          <w:highlight w:val="none"/>
          <w:lang w:val="zh-CN"/>
        </w:rPr>
      </w:pPr>
      <w:r>
        <w:rPr>
          <w:rFonts w:hint="default" w:ascii="Calibri" w:hAnsi="Calibri" w:eastAsia="宋体" w:cs="Calibri"/>
          <w:color w:val="auto"/>
          <w:sz w:val="24"/>
          <w:highlight w:val="none"/>
          <w:lang w:val="zh-CN"/>
        </w:rPr>
        <w:t>[U]矩阵可由</w:t>
      </w:r>
      <w:r>
        <w:rPr>
          <w:rFonts w:hint="eastAsia" w:ascii="Calibri" w:hAnsi="Calibri" w:cs="Calibri"/>
          <w:color w:val="auto"/>
          <w:sz w:val="24"/>
          <w:highlight w:val="none"/>
          <w:lang w:val="zh-CN"/>
        </w:rPr>
        <w:t>输电线路</w:t>
      </w:r>
      <w:r>
        <w:rPr>
          <w:rFonts w:hint="default" w:ascii="Calibri" w:hAnsi="Calibri" w:eastAsia="宋体" w:cs="Calibri"/>
          <w:color w:val="auto"/>
          <w:sz w:val="24"/>
          <w:highlight w:val="none"/>
          <w:lang w:val="zh-CN"/>
        </w:rPr>
        <w:t>电压和相位确定，从环境保护考虑以额定电压的1.05倍作为计算电压。</w:t>
      </w:r>
    </w:p>
    <w:p w14:paraId="5F166F94">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Calibri" w:hAnsi="Calibri" w:eastAsia="宋体" w:cs="Calibri"/>
          <w:color w:val="auto"/>
          <w:sz w:val="24"/>
          <w:highlight w:val="none"/>
          <w:lang w:val="zh-CN"/>
        </w:rPr>
      </w:pPr>
      <w:r>
        <w:rPr>
          <w:rFonts w:hint="default" w:ascii="Calibri" w:hAnsi="Calibri" w:eastAsia="宋体" w:cs="Calibri"/>
          <w:color w:val="auto"/>
          <w:sz w:val="24"/>
          <w:highlight w:val="none"/>
          <w:lang w:val="zh-CN"/>
        </w:rPr>
        <w:t>对于</w:t>
      </w:r>
      <w:r>
        <w:rPr>
          <w:rFonts w:hint="default" w:ascii="Calibri" w:hAnsi="Calibri" w:eastAsia="宋体" w:cs="Calibri"/>
          <w:color w:val="auto"/>
          <w:sz w:val="24"/>
          <w:highlight w:val="none"/>
          <w:lang w:val="en-US" w:eastAsia="zh-CN"/>
        </w:rPr>
        <w:t>11</w:t>
      </w:r>
      <w:r>
        <w:rPr>
          <w:rFonts w:hint="default" w:ascii="Calibri" w:hAnsi="Calibri" w:eastAsia="宋体" w:cs="Calibri"/>
          <w:color w:val="auto"/>
          <w:sz w:val="24"/>
          <w:highlight w:val="none"/>
          <w:lang w:val="zh-CN"/>
        </w:rPr>
        <w:t>0kV三相导线，各相导线对地电压为：</w:t>
      </w:r>
    </w:p>
    <w:p w14:paraId="7D582B1A">
      <w:pPr>
        <w:keepNext w:val="0"/>
        <w:keepLines w:val="0"/>
        <w:pageBreakBefore w:val="0"/>
        <w:widowControl w:val="0"/>
        <w:kinsoku/>
        <w:wordWrap/>
        <w:overflowPunct/>
        <w:topLinePunct w:val="0"/>
        <w:autoSpaceDE w:val="0"/>
        <w:autoSpaceDN w:val="0"/>
        <w:bidi w:val="0"/>
        <w:adjustRightInd w:val="0"/>
        <w:snapToGrid w:val="0"/>
        <w:spacing w:line="480" w:lineRule="exact"/>
        <w:ind w:firstLine="900" w:firstLineChars="450"/>
        <w:textAlignment w:val="auto"/>
        <w:rPr>
          <w:rFonts w:hint="default" w:ascii="Calibri" w:hAnsi="Calibri" w:eastAsia="宋体" w:cs="Calibri"/>
          <w:color w:val="auto"/>
          <w:highlight w:val="none"/>
          <w:lang w:val="zh-CN"/>
        </w:rPr>
      </w:pPr>
      <w:r>
        <w:rPr>
          <w:rFonts w:hint="default" w:ascii="Calibri" w:hAnsi="Calibri" w:eastAsia="宋体" w:cs="Calibri"/>
          <w:color w:val="auto"/>
          <w:kern w:val="0"/>
          <w:position w:val="-14"/>
          <w:sz w:val="20"/>
          <w:highlight w:val="none"/>
          <w:lang w:val="zh-CN"/>
        </w:rPr>
        <w:object>
          <v:shape id="_x0000_i1026" o:spt="75" type="#_x0000_t75" style="height:19.9pt;width:210.1pt;" o:ole="t" filled="f" o:preferrelative="t" stroked="f" coordsize="21600,21600">
            <v:path/>
            <v:fill on="f" focussize="0,0"/>
            <v:stroke on="f"/>
            <v:imagedata r:id="rId13" o:title=""/>
            <o:lock v:ext="edit" aspectratio="t"/>
            <w10:wrap type="none"/>
            <w10:anchorlock/>
          </v:shape>
          <o:OLEObject Type="Embed" ProgID="Equation.3" ShapeID="_x0000_i1026" DrawAspect="Content" ObjectID="_1468075726" r:id="rId12">
            <o:LockedField>false</o:LockedField>
          </o:OLEObject>
        </w:object>
      </w:r>
    </w:p>
    <w:p w14:paraId="47A2492F">
      <w:pPr>
        <w:keepNext w:val="0"/>
        <w:keepLines w:val="0"/>
        <w:pageBreakBefore w:val="0"/>
        <w:widowControl w:val="0"/>
        <w:kinsoku/>
        <w:wordWrap/>
        <w:overflowPunct/>
        <w:topLinePunct w:val="0"/>
        <w:autoSpaceDE w:val="0"/>
        <w:autoSpaceDN w:val="0"/>
        <w:bidi w:val="0"/>
        <w:adjustRightInd w:val="0"/>
        <w:snapToGrid w:val="0"/>
        <w:spacing w:line="480" w:lineRule="exact"/>
        <w:ind w:firstLine="480"/>
        <w:textAlignment w:val="auto"/>
        <w:rPr>
          <w:rFonts w:hint="default" w:ascii="Calibri" w:hAnsi="Calibri" w:eastAsia="宋体" w:cs="Calibri"/>
          <w:color w:val="auto"/>
          <w:sz w:val="24"/>
          <w:highlight w:val="none"/>
          <w:lang w:val="zh-CN"/>
        </w:rPr>
      </w:pPr>
      <w:r>
        <w:rPr>
          <w:rFonts w:hint="default" w:ascii="Calibri" w:hAnsi="Calibri" w:eastAsia="宋体" w:cs="Calibri"/>
          <w:color w:val="auto"/>
          <w:sz w:val="24"/>
          <w:highlight w:val="none"/>
          <w:lang w:val="en-US" w:eastAsia="zh-CN"/>
        </w:rPr>
        <w:t>11</w:t>
      </w:r>
      <w:r>
        <w:rPr>
          <w:rFonts w:hint="default" w:ascii="Calibri" w:hAnsi="Calibri" w:eastAsia="宋体" w:cs="Calibri"/>
          <w:color w:val="auto"/>
          <w:sz w:val="24"/>
          <w:highlight w:val="none"/>
          <w:lang w:val="zh-CN"/>
        </w:rPr>
        <w:t>0kV各相导线对地电压分量为：</w:t>
      </w:r>
    </w:p>
    <w:p w14:paraId="6F5E6378">
      <w:pPr>
        <w:keepNext w:val="0"/>
        <w:keepLines w:val="0"/>
        <w:pageBreakBefore w:val="0"/>
        <w:widowControl w:val="0"/>
        <w:kinsoku/>
        <w:wordWrap/>
        <w:overflowPunct/>
        <w:topLinePunct w:val="0"/>
        <w:autoSpaceDE w:val="0"/>
        <w:autoSpaceDN w:val="0"/>
        <w:bidi w:val="0"/>
        <w:adjustRightInd w:val="0"/>
        <w:spacing w:line="480" w:lineRule="exact"/>
        <w:ind w:firstLine="3240" w:firstLineChars="1350"/>
        <w:textAlignment w:val="auto"/>
        <w:rPr>
          <w:rFonts w:hint="default" w:ascii="Calibri" w:hAnsi="Calibri" w:eastAsia="宋体" w:cs="Calibri"/>
          <w:color w:val="auto"/>
          <w:sz w:val="24"/>
          <w:highlight w:val="none"/>
          <w:lang w:val="zh-CN"/>
        </w:rPr>
      </w:pPr>
      <w:r>
        <w:rPr>
          <w:rFonts w:hint="default" w:ascii="Calibri" w:hAnsi="Calibri" w:eastAsia="宋体" w:cs="Calibri"/>
          <w:color w:val="auto"/>
          <w:sz w:val="24"/>
          <w:highlight w:val="none"/>
          <w:lang w:val="zh-CN"/>
        </w:rPr>
        <w:t>U</w:t>
      </w:r>
      <w:r>
        <w:rPr>
          <w:rFonts w:hint="default" w:ascii="Calibri" w:hAnsi="Calibri" w:eastAsia="宋体" w:cs="Calibri"/>
          <w:color w:val="auto"/>
          <w:sz w:val="24"/>
          <w:highlight w:val="none"/>
          <w:vertAlign w:val="subscript"/>
          <w:lang w:val="zh-CN"/>
        </w:rPr>
        <w:t>A</w:t>
      </w:r>
      <w:r>
        <w:rPr>
          <w:rFonts w:hint="default" w:ascii="Calibri" w:hAnsi="Calibri" w:eastAsia="宋体" w:cs="Calibri"/>
          <w:color w:val="auto"/>
          <w:sz w:val="24"/>
          <w:highlight w:val="none"/>
          <w:lang w:val="zh-CN"/>
        </w:rPr>
        <w:t>=</w:t>
      </w:r>
      <w:r>
        <w:rPr>
          <w:rFonts w:hint="eastAsia" w:ascii="Calibri" w:hAnsi="Calibri" w:cs="Calibri"/>
          <w:color w:val="auto"/>
          <w:sz w:val="24"/>
          <w:highlight w:val="none"/>
          <w:lang w:val="zh-CN"/>
        </w:rPr>
        <w:t>(</w:t>
      </w:r>
      <w:r>
        <w:rPr>
          <w:rFonts w:hint="default" w:ascii="Calibri" w:hAnsi="Calibri" w:eastAsia="宋体" w:cs="Calibri"/>
          <w:color w:val="auto"/>
          <w:sz w:val="24"/>
          <w:highlight w:val="none"/>
          <w:lang w:val="en-US" w:eastAsia="zh-CN"/>
        </w:rPr>
        <w:t>66.7</w:t>
      </w:r>
      <w:r>
        <w:rPr>
          <w:rFonts w:hint="default" w:ascii="Calibri" w:hAnsi="Calibri" w:eastAsia="宋体" w:cs="Calibri"/>
          <w:color w:val="auto"/>
          <w:sz w:val="24"/>
          <w:highlight w:val="none"/>
          <w:lang w:val="zh-CN"/>
        </w:rPr>
        <w:t>+j0</w:t>
      </w:r>
      <w:r>
        <w:rPr>
          <w:rFonts w:hint="eastAsia" w:ascii="Calibri" w:hAnsi="Calibri" w:cs="Calibri"/>
          <w:color w:val="auto"/>
          <w:sz w:val="24"/>
          <w:highlight w:val="none"/>
          <w:lang w:val="zh-CN"/>
        </w:rPr>
        <w:t>)</w:t>
      </w:r>
      <w:r>
        <w:rPr>
          <w:rFonts w:hint="default" w:ascii="Calibri" w:hAnsi="Calibri" w:eastAsia="宋体" w:cs="Calibri"/>
          <w:color w:val="auto"/>
          <w:sz w:val="24"/>
          <w:highlight w:val="none"/>
          <w:lang w:val="zh-CN"/>
        </w:rPr>
        <w:t>kV</w:t>
      </w:r>
    </w:p>
    <w:p w14:paraId="5637BCFA">
      <w:pPr>
        <w:keepNext w:val="0"/>
        <w:keepLines w:val="0"/>
        <w:pageBreakBefore w:val="0"/>
        <w:widowControl w:val="0"/>
        <w:kinsoku/>
        <w:wordWrap/>
        <w:overflowPunct/>
        <w:topLinePunct w:val="0"/>
        <w:autoSpaceDE w:val="0"/>
        <w:autoSpaceDN w:val="0"/>
        <w:bidi w:val="0"/>
        <w:adjustRightInd w:val="0"/>
        <w:spacing w:line="480" w:lineRule="exact"/>
        <w:ind w:firstLine="3240" w:firstLineChars="1350"/>
        <w:textAlignment w:val="auto"/>
        <w:rPr>
          <w:rFonts w:hint="default" w:ascii="Calibri" w:hAnsi="Calibri" w:eastAsia="宋体" w:cs="Calibri"/>
          <w:color w:val="auto"/>
          <w:sz w:val="24"/>
          <w:highlight w:val="none"/>
          <w:lang w:val="zh-CN"/>
        </w:rPr>
      </w:pPr>
      <w:r>
        <w:rPr>
          <w:rFonts w:hint="default" w:ascii="Calibri" w:hAnsi="Calibri" w:eastAsia="宋体" w:cs="Calibri"/>
          <w:color w:val="auto"/>
          <w:sz w:val="24"/>
          <w:highlight w:val="none"/>
          <w:lang w:val="zh-CN"/>
        </w:rPr>
        <w:t>U</w:t>
      </w:r>
      <w:r>
        <w:rPr>
          <w:rFonts w:hint="default" w:ascii="Calibri" w:hAnsi="Calibri" w:eastAsia="宋体" w:cs="Calibri"/>
          <w:color w:val="auto"/>
          <w:sz w:val="24"/>
          <w:highlight w:val="none"/>
          <w:vertAlign w:val="subscript"/>
          <w:lang w:val="zh-CN"/>
        </w:rPr>
        <w:t>B</w:t>
      </w:r>
      <w:r>
        <w:rPr>
          <w:rFonts w:hint="default" w:ascii="Calibri" w:hAnsi="Calibri" w:eastAsia="宋体" w:cs="Calibri"/>
          <w:color w:val="auto"/>
          <w:sz w:val="24"/>
          <w:highlight w:val="none"/>
          <w:lang w:val="zh-CN"/>
        </w:rPr>
        <w:t>=</w:t>
      </w:r>
      <w:r>
        <w:rPr>
          <w:rFonts w:hint="eastAsia" w:ascii="Calibri" w:hAnsi="Calibri" w:cs="Calibri"/>
          <w:color w:val="auto"/>
          <w:sz w:val="24"/>
          <w:highlight w:val="none"/>
          <w:lang w:val="zh-CN"/>
        </w:rPr>
        <w:t>(</w:t>
      </w:r>
      <w:r>
        <w:rPr>
          <w:rFonts w:hint="default" w:ascii="Calibri" w:hAnsi="Calibri" w:eastAsia="宋体" w:cs="Calibri"/>
          <w:color w:val="auto"/>
          <w:sz w:val="24"/>
          <w:highlight w:val="none"/>
          <w:lang w:val="zh-CN"/>
        </w:rPr>
        <w:t>-</w:t>
      </w:r>
      <w:r>
        <w:rPr>
          <w:rFonts w:hint="default" w:ascii="Calibri" w:hAnsi="Calibri" w:eastAsia="宋体" w:cs="Calibri"/>
          <w:color w:val="auto"/>
          <w:sz w:val="24"/>
          <w:highlight w:val="none"/>
          <w:lang w:val="en-US" w:eastAsia="zh-CN"/>
        </w:rPr>
        <w:t>33.4</w:t>
      </w:r>
      <w:r>
        <w:rPr>
          <w:rFonts w:hint="default" w:ascii="Calibri" w:hAnsi="Calibri" w:eastAsia="宋体" w:cs="Calibri"/>
          <w:color w:val="auto"/>
          <w:sz w:val="24"/>
          <w:highlight w:val="none"/>
          <w:lang w:val="zh-CN"/>
        </w:rPr>
        <w:t>+j</w:t>
      </w:r>
      <w:r>
        <w:rPr>
          <w:rFonts w:hint="default" w:ascii="Calibri" w:hAnsi="Calibri" w:eastAsia="宋体" w:cs="Calibri"/>
          <w:color w:val="auto"/>
          <w:sz w:val="24"/>
          <w:highlight w:val="none"/>
          <w:lang w:val="en-US" w:eastAsia="zh-CN"/>
        </w:rPr>
        <w:t>58</w:t>
      </w:r>
      <w:r>
        <w:rPr>
          <w:rFonts w:hint="eastAsia" w:ascii="Calibri" w:hAnsi="Calibri" w:cs="Calibri"/>
          <w:color w:val="auto"/>
          <w:sz w:val="24"/>
          <w:highlight w:val="none"/>
          <w:lang w:val="en-US" w:eastAsia="zh-CN"/>
        </w:rPr>
        <w:t>)</w:t>
      </w:r>
      <w:r>
        <w:rPr>
          <w:rFonts w:hint="default" w:ascii="Calibri" w:hAnsi="Calibri" w:eastAsia="宋体" w:cs="Calibri"/>
          <w:color w:val="auto"/>
          <w:sz w:val="24"/>
          <w:highlight w:val="none"/>
          <w:lang w:val="zh-CN"/>
        </w:rPr>
        <w:t>kV</w:t>
      </w:r>
    </w:p>
    <w:p w14:paraId="7EBCD766">
      <w:pPr>
        <w:keepNext w:val="0"/>
        <w:keepLines w:val="0"/>
        <w:pageBreakBefore w:val="0"/>
        <w:widowControl w:val="0"/>
        <w:kinsoku/>
        <w:wordWrap/>
        <w:overflowPunct/>
        <w:topLinePunct w:val="0"/>
        <w:autoSpaceDE w:val="0"/>
        <w:autoSpaceDN w:val="0"/>
        <w:bidi w:val="0"/>
        <w:adjustRightInd w:val="0"/>
        <w:spacing w:line="480" w:lineRule="exact"/>
        <w:ind w:firstLine="3240" w:firstLineChars="1350"/>
        <w:textAlignment w:val="auto"/>
        <w:rPr>
          <w:rFonts w:hint="default" w:ascii="Calibri" w:hAnsi="Calibri" w:eastAsia="宋体" w:cs="Calibri"/>
          <w:color w:val="auto"/>
          <w:sz w:val="24"/>
          <w:highlight w:val="none"/>
          <w:lang w:val="zh-CN"/>
        </w:rPr>
      </w:pPr>
      <w:r>
        <w:rPr>
          <w:rFonts w:hint="default" w:ascii="Calibri" w:hAnsi="Calibri" w:eastAsia="宋体" w:cs="Calibri"/>
          <w:color w:val="auto"/>
          <w:sz w:val="24"/>
          <w:highlight w:val="none"/>
          <w:lang w:val="zh-CN"/>
        </w:rPr>
        <w:t>U</w:t>
      </w:r>
      <w:r>
        <w:rPr>
          <w:rFonts w:hint="default" w:ascii="Calibri" w:hAnsi="Calibri" w:eastAsia="宋体" w:cs="Calibri"/>
          <w:color w:val="auto"/>
          <w:sz w:val="24"/>
          <w:highlight w:val="none"/>
          <w:vertAlign w:val="subscript"/>
          <w:lang w:val="zh-CN"/>
        </w:rPr>
        <w:t>C</w:t>
      </w:r>
      <w:r>
        <w:rPr>
          <w:rFonts w:hint="default" w:ascii="Calibri" w:hAnsi="Calibri" w:eastAsia="宋体" w:cs="Calibri"/>
          <w:color w:val="auto"/>
          <w:sz w:val="24"/>
          <w:highlight w:val="none"/>
          <w:lang w:val="zh-CN"/>
        </w:rPr>
        <w:t>=</w:t>
      </w:r>
      <w:r>
        <w:rPr>
          <w:rFonts w:hint="eastAsia" w:ascii="Calibri" w:hAnsi="Calibri" w:cs="Calibri"/>
          <w:color w:val="auto"/>
          <w:sz w:val="24"/>
          <w:highlight w:val="none"/>
          <w:lang w:val="zh-CN"/>
        </w:rPr>
        <w:t>(</w:t>
      </w:r>
      <w:r>
        <w:rPr>
          <w:rFonts w:hint="default" w:ascii="Calibri" w:hAnsi="Calibri" w:eastAsia="宋体" w:cs="Calibri"/>
          <w:color w:val="auto"/>
          <w:sz w:val="24"/>
          <w:highlight w:val="none"/>
          <w:lang w:val="zh-CN"/>
        </w:rPr>
        <w:t>-</w:t>
      </w:r>
      <w:r>
        <w:rPr>
          <w:rFonts w:hint="default" w:ascii="Calibri" w:hAnsi="Calibri" w:eastAsia="宋体" w:cs="Calibri"/>
          <w:color w:val="auto"/>
          <w:sz w:val="24"/>
          <w:highlight w:val="none"/>
          <w:lang w:val="en-US" w:eastAsia="zh-CN"/>
        </w:rPr>
        <w:t>33.4</w:t>
      </w:r>
      <w:r>
        <w:rPr>
          <w:rFonts w:hint="default" w:ascii="Calibri" w:hAnsi="Calibri" w:eastAsia="宋体" w:cs="Calibri"/>
          <w:color w:val="auto"/>
          <w:sz w:val="24"/>
          <w:highlight w:val="none"/>
          <w:lang w:val="zh-CN"/>
        </w:rPr>
        <w:t>-j</w:t>
      </w:r>
      <w:r>
        <w:rPr>
          <w:rFonts w:hint="default" w:ascii="Calibri" w:hAnsi="Calibri" w:eastAsia="宋体" w:cs="Calibri"/>
          <w:color w:val="auto"/>
          <w:sz w:val="24"/>
          <w:highlight w:val="none"/>
          <w:lang w:val="en-US" w:eastAsia="zh-CN"/>
        </w:rPr>
        <w:t>58</w:t>
      </w:r>
      <w:r>
        <w:rPr>
          <w:rFonts w:hint="eastAsia" w:ascii="Calibri" w:hAnsi="Calibri" w:cs="Calibri"/>
          <w:color w:val="auto"/>
          <w:sz w:val="24"/>
          <w:highlight w:val="none"/>
          <w:lang w:val="en-US" w:eastAsia="zh-CN"/>
        </w:rPr>
        <w:t>)</w:t>
      </w:r>
      <w:r>
        <w:rPr>
          <w:rFonts w:hint="default" w:ascii="Calibri" w:hAnsi="Calibri" w:eastAsia="宋体" w:cs="Calibri"/>
          <w:color w:val="auto"/>
          <w:sz w:val="24"/>
          <w:highlight w:val="none"/>
          <w:lang w:val="zh-CN"/>
        </w:rPr>
        <w:t>kV</w:t>
      </w:r>
    </w:p>
    <w:p w14:paraId="00EC284E">
      <w:pPr>
        <w:pStyle w:val="7"/>
        <w:ind w:firstLine="480"/>
        <w:jc w:val="center"/>
        <w:rPr>
          <w:rFonts w:hint="default" w:ascii="Calibri" w:hAnsi="Calibri" w:eastAsia="宋体" w:cs="Calibri"/>
          <w:color w:val="auto"/>
          <w:szCs w:val="27"/>
          <w:highlight w:val="none"/>
        </w:rPr>
      </w:pPr>
      <w:r>
        <w:rPr>
          <w:rFonts w:hint="default" w:ascii="Calibri" w:hAnsi="Calibri" w:eastAsia="宋体" w:cs="Calibri"/>
          <w:color w:val="auto"/>
          <w:highlight w:val="none"/>
        </w:rPr>
        <w:drawing>
          <wp:inline distT="0" distB="0" distL="114300" distR="114300">
            <wp:extent cx="2227580" cy="1924685"/>
            <wp:effectExtent l="0" t="0" r="1270" b="18415"/>
            <wp:docPr id="1" name="图片 3" descr="图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图A1"/>
                    <pic:cNvPicPr>
                      <a:picLocks noChangeAspect="1"/>
                    </pic:cNvPicPr>
                  </pic:nvPicPr>
                  <pic:blipFill>
                    <a:blip r:embed="rId14"/>
                    <a:stretch>
                      <a:fillRect/>
                    </a:stretch>
                  </pic:blipFill>
                  <pic:spPr>
                    <a:xfrm>
                      <a:off x="0" y="0"/>
                      <a:ext cx="2227580" cy="1924685"/>
                    </a:xfrm>
                    <a:prstGeom prst="rect">
                      <a:avLst/>
                    </a:prstGeom>
                    <a:noFill/>
                    <a:ln>
                      <a:noFill/>
                    </a:ln>
                  </pic:spPr>
                </pic:pic>
              </a:graphicData>
            </a:graphic>
          </wp:inline>
        </w:drawing>
      </w:r>
    </w:p>
    <w:p w14:paraId="687B1C9C">
      <w:pPr>
        <w:pStyle w:val="7"/>
        <w:keepNext w:val="0"/>
        <w:keepLines w:val="0"/>
        <w:pageBreakBefore w:val="0"/>
        <w:widowControl w:val="0"/>
        <w:kinsoku/>
        <w:wordWrap/>
        <w:overflowPunct/>
        <w:topLinePunct w:val="0"/>
        <w:bidi w:val="0"/>
        <w:snapToGrid/>
        <w:spacing w:line="480" w:lineRule="exact"/>
        <w:jc w:val="center"/>
        <w:textAlignment w:val="auto"/>
        <w:rPr>
          <w:rFonts w:hint="default" w:ascii="Calibri" w:hAnsi="Calibri" w:eastAsia="宋体" w:cs="Calibri"/>
          <w:b/>
          <w:color w:val="auto"/>
          <w:sz w:val="24"/>
          <w:szCs w:val="24"/>
          <w:highlight w:val="none"/>
          <w:lang w:val="zh-CN"/>
        </w:rPr>
      </w:pPr>
      <w:r>
        <w:rPr>
          <w:rFonts w:hint="default" w:ascii="Calibri" w:hAnsi="Calibri" w:eastAsia="宋体" w:cs="Calibri"/>
          <w:b/>
          <w:color w:val="auto"/>
          <w:sz w:val="24"/>
          <w:szCs w:val="24"/>
          <w:highlight w:val="none"/>
          <w:lang w:val="zh-CN"/>
        </w:rPr>
        <w:t>图</w:t>
      </w:r>
      <w:r>
        <w:rPr>
          <w:rFonts w:hint="default" w:ascii="Calibri" w:hAnsi="Calibri" w:eastAsia="宋体" w:cs="Calibri"/>
          <w:b/>
          <w:color w:val="auto"/>
          <w:sz w:val="24"/>
          <w:szCs w:val="24"/>
          <w:highlight w:val="none"/>
          <w:lang w:val="en-US" w:eastAsia="zh-CN"/>
        </w:rPr>
        <w:t>3</w:t>
      </w:r>
      <w:r>
        <w:rPr>
          <w:rFonts w:hint="default" w:ascii="Calibri" w:hAnsi="Calibri" w:eastAsia="宋体" w:cs="Calibri"/>
          <w:b/>
          <w:color w:val="auto"/>
          <w:sz w:val="24"/>
          <w:szCs w:val="24"/>
          <w:highlight w:val="none"/>
          <w:lang w:val="zh-CN"/>
        </w:rPr>
        <w:t>-1  对地电压计算图</w:t>
      </w:r>
    </w:p>
    <w:p w14:paraId="38B6CA87">
      <w:pPr>
        <w:keepNext w:val="0"/>
        <w:keepLines w:val="0"/>
        <w:pageBreakBefore w:val="0"/>
        <w:widowControl w:val="0"/>
        <w:kinsoku/>
        <w:wordWrap/>
        <w:overflowPunct/>
        <w:topLinePunct w:val="0"/>
        <w:autoSpaceDE w:val="0"/>
        <w:autoSpaceDN w:val="0"/>
        <w:bidi w:val="0"/>
        <w:adjustRightInd w:val="0"/>
        <w:snapToGrid/>
        <w:spacing w:line="480" w:lineRule="exact"/>
        <w:ind w:firstLine="480"/>
        <w:textAlignment w:val="auto"/>
        <w:rPr>
          <w:rFonts w:hint="default" w:ascii="Calibri" w:hAnsi="Calibri" w:eastAsia="宋体" w:cs="Calibri"/>
          <w:color w:val="auto"/>
          <w:sz w:val="24"/>
          <w:highlight w:val="none"/>
          <w:lang w:val="zh-CN"/>
        </w:rPr>
      </w:pPr>
      <w:r>
        <w:rPr>
          <w:rFonts w:hint="default" w:ascii="Calibri" w:hAnsi="Calibri" w:eastAsia="宋体" w:cs="Calibri"/>
          <w:color w:val="auto"/>
          <w:sz w:val="24"/>
          <w:highlight w:val="none"/>
          <w:lang w:val="zh-CN"/>
        </w:rPr>
        <w:t>[λ]矩阵由镜像原理求得。地面为电位等于零的平面，地面的感应电荷可由对应地面导线的镜像电荷代替，用i，j</w:t>
      </w:r>
      <w:r>
        <w:rPr>
          <w:rFonts w:hint="eastAsia" w:ascii="Calibri" w:hAnsi="Calibri" w:cs="Calibri"/>
          <w:color w:val="auto"/>
          <w:sz w:val="24"/>
          <w:highlight w:val="none"/>
          <w:lang w:val="zh-CN"/>
        </w:rPr>
        <w:t>…</w:t>
      </w:r>
      <w:r>
        <w:rPr>
          <w:rFonts w:hint="default" w:ascii="Calibri" w:hAnsi="Calibri" w:eastAsia="宋体" w:cs="Calibri"/>
          <w:color w:val="auto"/>
          <w:sz w:val="24"/>
          <w:highlight w:val="none"/>
          <w:lang w:val="zh-CN"/>
        </w:rPr>
        <w:t xml:space="preserve"> 表示相互平行的实际导线，用i′，j′</w:t>
      </w:r>
      <w:r>
        <w:rPr>
          <w:rFonts w:hint="eastAsia" w:ascii="Calibri" w:hAnsi="Calibri" w:cs="Calibri"/>
          <w:color w:val="auto"/>
          <w:sz w:val="24"/>
          <w:highlight w:val="none"/>
          <w:lang w:val="zh-CN"/>
        </w:rPr>
        <w:t>…</w:t>
      </w:r>
      <w:r>
        <w:rPr>
          <w:rFonts w:hint="default" w:ascii="Calibri" w:hAnsi="Calibri" w:eastAsia="宋体" w:cs="Calibri"/>
          <w:color w:val="auto"/>
          <w:sz w:val="24"/>
          <w:highlight w:val="none"/>
          <w:lang w:val="zh-CN"/>
        </w:rPr>
        <w:t xml:space="preserve"> 表示它们的镜像，电位系数可写为：</w:t>
      </w:r>
    </w:p>
    <w:p w14:paraId="3B0A0417">
      <w:pPr>
        <w:pStyle w:val="57"/>
        <w:keepNext w:val="0"/>
        <w:keepLines w:val="0"/>
        <w:pageBreakBefore w:val="0"/>
        <w:widowControl w:val="0"/>
        <w:kinsoku/>
        <w:wordWrap/>
        <w:overflowPunct/>
        <w:topLinePunct w:val="0"/>
        <w:bidi w:val="0"/>
        <w:snapToGrid/>
        <w:spacing w:line="360" w:lineRule="auto"/>
        <w:ind w:firstLine="2916" w:firstLineChars="1215"/>
        <w:textAlignment w:val="auto"/>
        <w:rPr>
          <w:rStyle w:val="58"/>
          <w:rFonts w:hint="default" w:ascii="Calibri" w:hAnsi="Calibri" w:eastAsia="宋体" w:cs="Calibri"/>
          <w:color w:val="auto"/>
          <w:szCs w:val="24"/>
          <w:highlight w:val="none"/>
        </w:rPr>
      </w:pPr>
      <w:r>
        <w:rPr>
          <w:rFonts w:hint="default" w:ascii="Calibri" w:hAnsi="Calibri" w:eastAsia="宋体" w:cs="Calibri"/>
          <w:color w:val="auto"/>
          <w:position w:val="-30"/>
          <w:szCs w:val="24"/>
          <w:highlight w:val="none"/>
        </w:rPr>
        <w:object>
          <v:shape id="_x0000_i1027" o:spt="75" type="#_x0000_t75" style="height:34.75pt;width:83.2pt;" o:ole="t" filled="f" o:preferrelative="t" stroked="f" coordsize="21600,21600">
            <v:path/>
            <v:fill on="f" focussize="0,0"/>
            <v:stroke on="f"/>
            <v:imagedata r:id="rId16" o:title=""/>
            <o:lock v:ext="edit" aspectratio="t"/>
            <w10:wrap type="none"/>
            <w10:anchorlock/>
          </v:shape>
          <o:OLEObject Type="Embed" ProgID="Equation.3" ShapeID="_x0000_i1027" DrawAspect="Content" ObjectID="_1468075727" r:id="rId15">
            <o:LockedField>false</o:LockedField>
          </o:OLEObject>
        </w:object>
      </w:r>
      <w:r>
        <w:rPr>
          <w:rFonts w:hint="default" w:ascii="Calibri" w:hAnsi="Calibri" w:eastAsia="宋体" w:cs="Calibri"/>
          <w:color w:val="auto"/>
          <w:szCs w:val="24"/>
          <w:highlight w:val="none"/>
        </w:rPr>
        <w:t xml:space="preserve">              </w:t>
      </w:r>
    </w:p>
    <w:p w14:paraId="3B36DB61">
      <w:pPr>
        <w:pStyle w:val="57"/>
        <w:keepNext w:val="0"/>
        <w:keepLines w:val="0"/>
        <w:pageBreakBefore w:val="0"/>
        <w:widowControl w:val="0"/>
        <w:kinsoku/>
        <w:wordWrap/>
        <w:overflowPunct/>
        <w:topLinePunct w:val="0"/>
        <w:bidi w:val="0"/>
        <w:snapToGrid/>
        <w:spacing w:line="360" w:lineRule="auto"/>
        <w:ind w:firstLine="2916" w:firstLineChars="1215"/>
        <w:textAlignment w:val="auto"/>
        <w:rPr>
          <w:rStyle w:val="58"/>
          <w:rFonts w:hint="default" w:ascii="Calibri" w:hAnsi="Calibri" w:eastAsia="宋体" w:cs="Calibri"/>
          <w:color w:val="auto"/>
          <w:szCs w:val="24"/>
          <w:highlight w:val="none"/>
        </w:rPr>
      </w:pPr>
      <w:r>
        <w:rPr>
          <w:rFonts w:hint="default" w:ascii="Calibri" w:hAnsi="Calibri" w:eastAsia="宋体" w:cs="Calibri"/>
          <w:color w:val="auto"/>
          <w:position w:val="-32"/>
          <w:szCs w:val="24"/>
          <w:highlight w:val="none"/>
        </w:rPr>
        <w:object>
          <v:shape id="_x0000_i1028" o:spt="75" type="#_x0000_t75" style="height:37.25pt;width:79.45pt;" o:ole="t" filled="f" o:preferrelative="t" stroked="f" coordsize="21600,21600">
            <v:path/>
            <v:fill on="f" focussize="0,0"/>
            <v:stroke on="f"/>
            <v:imagedata r:id="rId18" o:title=""/>
            <o:lock v:ext="edit" aspectratio="t"/>
            <w10:wrap type="none"/>
            <w10:anchorlock/>
          </v:shape>
          <o:OLEObject Type="Embed" ProgID="Equation.3" ShapeID="_x0000_i1028" DrawAspect="Content" ObjectID="_1468075728" r:id="rId17">
            <o:LockedField>false</o:LockedField>
          </o:OLEObject>
        </w:object>
      </w:r>
      <w:r>
        <w:rPr>
          <w:rFonts w:hint="default" w:ascii="Calibri" w:hAnsi="Calibri" w:eastAsia="宋体" w:cs="Calibri"/>
          <w:color w:val="auto"/>
          <w:szCs w:val="24"/>
          <w:highlight w:val="none"/>
        </w:rPr>
        <w:t xml:space="preserve">              </w:t>
      </w:r>
    </w:p>
    <w:p w14:paraId="63105E45">
      <w:pPr>
        <w:pStyle w:val="59"/>
        <w:keepNext w:val="0"/>
        <w:keepLines w:val="0"/>
        <w:pageBreakBefore w:val="0"/>
        <w:widowControl w:val="0"/>
        <w:kinsoku/>
        <w:wordWrap/>
        <w:overflowPunct/>
        <w:topLinePunct w:val="0"/>
        <w:bidi w:val="0"/>
        <w:snapToGrid/>
        <w:spacing w:line="360" w:lineRule="auto"/>
        <w:ind w:firstLine="2916" w:firstLineChars="1215"/>
        <w:textAlignment w:val="auto"/>
        <w:rPr>
          <w:rFonts w:hint="default" w:ascii="Calibri" w:hAnsi="Calibri" w:eastAsia="宋体" w:cs="Calibri"/>
          <w:color w:val="auto"/>
          <w:szCs w:val="24"/>
          <w:highlight w:val="none"/>
        </w:rPr>
      </w:pPr>
      <w:r>
        <w:rPr>
          <w:rFonts w:hint="default" w:ascii="Calibri" w:hAnsi="Calibri" w:eastAsia="宋体" w:cs="Calibri"/>
          <w:color w:val="auto"/>
          <w:position w:val="-14"/>
          <w:szCs w:val="24"/>
          <w:highlight w:val="none"/>
        </w:rPr>
        <w:object>
          <v:shape id="_x0000_i1029" o:spt="75" type="#_x0000_t75" style="height:19.85pt;width:42.2pt;" o:ole="t" filled="f" o:preferrelative="t" stroked="f" coordsize="21600,21600">
            <v:path/>
            <v:fill on="f" focussize="0,0"/>
            <v:stroke on="f"/>
            <v:imagedata r:id="rId20" o:title=""/>
            <o:lock v:ext="edit" aspectratio="t"/>
            <w10:wrap type="none"/>
            <w10:anchorlock/>
          </v:shape>
          <o:OLEObject Type="Embed" ProgID="Equation.3" ShapeID="_x0000_i1029" DrawAspect="Content" ObjectID="_1468075729" r:id="rId19">
            <o:LockedField>false</o:LockedField>
          </o:OLEObject>
        </w:object>
      </w:r>
      <w:r>
        <w:rPr>
          <w:rFonts w:hint="default" w:ascii="Calibri" w:hAnsi="Calibri" w:eastAsia="宋体" w:cs="Calibri"/>
          <w:color w:val="auto"/>
          <w:szCs w:val="24"/>
          <w:highlight w:val="none"/>
        </w:rPr>
        <w:t xml:space="preserve">                        </w:t>
      </w:r>
    </w:p>
    <w:p w14:paraId="1D09311F">
      <w:pPr>
        <w:pStyle w:val="59"/>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Calibri" w:hAnsi="Calibri" w:eastAsia="宋体" w:cs="Calibri"/>
          <w:color w:val="auto"/>
          <w:szCs w:val="24"/>
          <w:highlight w:val="none"/>
        </w:rPr>
      </w:pPr>
      <w:r>
        <w:rPr>
          <w:rFonts w:hint="default" w:ascii="Calibri" w:hAnsi="Calibri" w:eastAsia="宋体" w:cs="Calibri"/>
          <w:color w:val="auto"/>
          <w:szCs w:val="24"/>
          <w:highlight w:val="none"/>
          <w:lang w:val="zh-CN"/>
        </w:rPr>
        <w:t>式中：</w:t>
      </w:r>
      <w:r>
        <w:rPr>
          <w:rFonts w:hint="default" w:ascii="Calibri" w:hAnsi="Calibri" w:eastAsia="宋体" w:cs="Calibri"/>
          <w:i/>
          <w:color w:val="auto"/>
          <w:szCs w:val="24"/>
          <w:highlight w:val="none"/>
          <w:lang w:val="zh-CN"/>
        </w:rPr>
        <w:t>ε</w:t>
      </w:r>
      <w:r>
        <w:rPr>
          <w:rFonts w:hint="default" w:ascii="Calibri" w:hAnsi="Calibri" w:eastAsia="宋体" w:cs="Calibri"/>
          <w:i/>
          <w:color w:val="auto"/>
          <w:szCs w:val="24"/>
          <w:highlight w:val="none"/>
          <w:vertAlign w:val="subscript"/>
          <w:lang w:val="zh-CN"/>
        </w:rPr>
        <w:t>0</w:t>
      </w:r>
      <w:r>
        <w:rPr>
          <w:rFonts w:hint="default" w:ascii="Calibri" w:hAnsi="Calibri" w:eastAsia="宋体" w:cs="Calibri"/>
          <w:color w:val="auto"/>
          <w:szCs w:val="24"/>
          <w:highlight w:val="none"/>
          <w:lang w:val="zh-CN"/>
        </w:rPr>
        <w:t>——真空介电常数，</w:t>
      </w:r>
      <w:r>
        <w:rPr>
          <w:rFonts w:hint="default" w:ascii="Calibri" w:hAnsi="Calibri" w:eastAsia="宋体" w:cs="Calibri"/>
          <w:color w:val="auto"/>
          <w:position w:val="-24"/>
          <w:szCs w:val="24"/>
          <w:highlight w:val="none"/>
        </w:rPr>
        <w:object>
          <v:shape id="_x0000_i1030" o:spt="75" type="#_x0000_t75" style="height:27.3pt;width:89.35pt;" o:ole="t" filled="f" o:preferrelative="t" stroked="f" coordsize="21600,21600">
            <v:path/>
            <v:fill on="f" focussize="0,0"/>
            <v:stroke on="f"/>
            <v:imagedata r:id="rId22" o:title=""/>
            <o:lock v:ext="edit" aspectratio="t"/>
            <w10:wrap type="none"/>
            <w10:anchorlock/>
          </v:shape>
          <o:OLEObject Type="Embed" ProgID="Equation.3" ShapeID="_x0000_i1030" DrawAspect="Content" ObjectID="_1468075730" r:id="rId21">
            <o:LockedField>false</o:LockedField>
          </o:OLEObject>
        </w:object>
      </w:r>
      <w:r>
        <w:rPr>
          <w:rFonts w:hint="default" w:ascii="Calibri" w:hAnsi="Calibri" w:eastAsia="宋体" w:cs="Calibri"/>
          <w:color w:val="auto"/>
          <w:szCs w:val="24"/>
          <w:highlight w:val="none"/>
        </w:rPr>
        <w:t>；</w:t>
      </w:r>
    </w:p>
    <w:p w14:paraId="31E2FAD2">
      <w:pPr>
        <w:pStyle w:val="7"/>
        <w:keepNext w:val="0"/>
        <w:keepLines w:val="0"/>
        <w:pageBreakBefore w:val="0"/>
        <w:widowControl w:val="0"/>
        <w:kinsoku/>
        <w:wordWrap/>
        <w:overflowPunct/>
        <w:topLinePunct w:val="0"/>
        <w:autoSpaceDE/>
        <w:autoSpaceDN/>
        <w:bidi w:val="0"/>
        <w:adjustRightInd/>
        <w:snapToGrid/>
        <w:spacing w:line="480" w:lineRule="exact"/>
        <w:ind w:firstLine="1178" w:firstLineChars="491"/>
        <w:textAlignment w:val="auto"/>
        <w:rPr>
          <w:rFonts w:hint="default" w:ascii="Calibri" w:hAnsi="Calibri" w:eastAsia="宋体" w:cs="Calibri"/>
          <w:color w:val="auto"/>
          <w:sz w:val="24"/>
          <w:szCs w:val="24"/>
          <w:highlight w:val="none"/>
        </w:rPr>
      </w:pPr>
      <w:r>
        <w:rPr>
          <w:rFonts w:hint="default" w:ascii="Calibri" w:hAnsi="Calibri" w:eastAsia="宋体" w:cs="Calibri"/>
          <w:i/>
          <w:color w:val="auto"/>
          <w:sz w:val="24"/>
          <w:szCs w:val="24"/>
          <w:highlight w:val="none"/>
        </w:rPr>
        <w:t>R</w:t>
      </w:r>
      <w:r>
        <w:rPr>
          <w:rFonts w:hint="default" w:ascii="Calibri" w:hAnsi="Calibri" w:eastAsia="宋体" w:cs="Calibri"/>
          <w:i/>
          <w:color w:val="auto"/>
          <w:sz w:val="24"/>
          <w:szCs w:val="24"/>
          <w:highlight w:val="none"/>
          <w:vertAlign w:val="subscript"/>
        </w:rPr>
        <w:t>i</w:t>
      </w:r>
      <w:r>
        <w:rPr>
          <w:rFonts w:hint="default" w:ascii="Calibri" w:hAnsi="Calibri" w:eastAsia="宋体" w:cs="Calibri"/>
          <w:color w:val="auto"/>
          <w:sz w:val="24"/>
          <w:szCs w:val="24"/>
          <w:highlight w:val="none"/>
        </w:rPr>
        <w:t>——</w:t>
      </w:r>
      <w:r>
        <w:rPr>
          <w:rFonts w:hint="default" w:ascii="Calibri" w:hAnsi="Calibri" w:eastAsia="宋体" w:cs="Calibri"/>
          <w:color w:val="auto"/>
          <w:sz w:val="24"/>
          <w:szCs w:val="24"/>
          <w:highlight w:val="none"/>
          <w:lang w:val="zh-CN"/>
        </w:rPr>
        <w:t>输电导线半径，对于分裂导线可用等效单根导线半径代入</w:t>
      </w:r>
      <w:r>
        <w:rPr>
          <w:rFonts w:hint="default" w:ascii="Calibri" w:hAnsi="Calibri" w:eastAsia="宋体" w:cs="Calibri"/>
          <w:color w:val="auto"/>
          <w:sz w:val="24"/>
          <w:szCs w:val="24"/>
          <w:highlight w:val="none"/>
        </w:rPr>
        <w:t>，</w:t>
      </w:r>
      <w:r>
        <w:rPr>
          <w:rFonts w:hint="default" w:ascii="Calibri" w:hAnsi="Calibri" w:eastAsia="宋体" w:cs="Calibri"/>
          <w:i/>
          <w:color w:val="auto"/>
          <w:sz w:val="24"/>
          <w:szCs w:val="24"/>
          <w:highlight w:val="none"/>
        </w:rPr>
        <w:t>R</w:t>
      </w:r>
      <w:r>
        <w:rPr>
          <w:rFonts w:hint="default" w:ascii="Calibri" w:hAnsi="Calibri" w:eastAsia="宋体" w:cs="Calibri"/>
          <w:i/>
          <w:color w:val="auto"/>
          <w:sz w:val="24"/>
          <w:szCs w:val="24"/>
          <w:highlight w:val="none"/>
          <w:vertAlign w:val="subscript"/>
        </w:rPr>
        <w:t>i</w:t>
      </w:r>
      <w:r>
        <w:rPr>
          <w:rFonts w:hint="default" w:ascii="Calibri" w:hAnsi="Calibri" w:eastAsia="宋体" w:cs="Calibri"/>
          <w:color w:val="auto"/>
          <w:sz w:val="24"/>
          <w:szCs w:val="24"/>
          <w:highlight w:val="none"/>
        </w:rPr>
        <w:t>的计</w:t>
      </w:r>
      <w:r>
        <w:rPr>
          <w:rFonts w:hint="default" w:ascii="Calibri" w:hAnsi="Calibri" w:eastAsia="宋体" w:cs="Calibri"/>
          <w:color w:val="auto"/>
          <w:sz w:val="24"/>
          <w:szCs w:val="24"/>
          <w:highlight w:val="none"/>
          <w:lang w:val="zh-CN"/>
        </w:rPr>
        <w:t>算式为：</w:t>
      </w:r>
    </w:p>
    <w:p w14:paraId="7AD522EA">
      <w:pPr>
        <w:pStyle w:val="57"/>
        <w:keepNext w:val="0"/>
        <w:keepLines w:val="0"/>
        <w:pageBreakBefore w:val="0"/>
        <w:widowControl w:val="0"/>
        <w:kinsoku/>
        <w:wordWrap/>
        <w:overflowPunct/>
        <w:topLinePunct w:val="0"/>
        <w:bidi w:val="0"/>
        <w:snapToGrid/>
        <w:spacing w:line="360" w:lineRule="auto"/>
        <w:ind w:firstLine="2916" w:firstLineChars="1215"/>
        <w:textAlignment w:val="auto"/>
        <w:rPr>
          <w:rFonts w:hint="default" w:ascii="Calibri" w:hAnsi="Calibri" w:eastAsia="宋体" w:cs="Calibri"/>
          <w:color w:val="auto"/>
          <w:szCs w:val="24"/>
          <w:highlight w:val="none"/>
        </w:rPr>
      </w:pPr>
      <w:bookmarkStart w:id="121" w:name="_Toc141414698"/>
      <w:r>
        <w:rPr>
          <w:rFonts w:hint="default" w:ascii="Calibri" w:hAnsi="Calibri" w:eastAsia="宋体" w:cs="Calibri"/>
          <w:color w:val="auto"/>
          <w:position w:val="-26"/>
          <w:szCs w:val="24"/>
          <w:highlight w:val="none"/>
        </w:rPr>
        <w:object>
          <v:shape id="_x0000_i1031" o:spt="75" type="#_x0000_t75" style="height:34.75pt;width:62.05pt;" o:ole="t" filled="f" o:preferrelative="t" stroked="f" coordsize="21600,21600">
            <v:path/>
            <v:fill on="f" focussize="0,0"/>
            <v:stroke on="f"/>
            <v:imagedata r:id="rId24" o:title=""/>
            <o:lock v:ext="edit" aspectratio="t"/>
            <w10:wrap type="none"/>
            <w10:anchorlock/>
          </v:shape>
          <o:OLEObject Type="Embed" ProgID="Equation.3" ShapeID="_x0000_i1031" DrawAspect="Content" ObjectID="_1468075731" r:id="rId23">
            <o:LockedField>false</o:LockedField>
          </o:OLEObject>
        </w:object>
      </w:r>
      <w:r>
        <w:rPr>
          <w:rFonts w:hint="default" w:ascii="Calibri" w:hAnsi="Calibri" w:eastAsia="宋体" w:cs="Calibri"/>
          <w:color w:val="auto"/>
          <w:szCs w:val="24"/>
          <w:highlight w:val="none"/>
        </w:rPr>
        <w:t xml:space="preserve"> </w:t>
      </w:r>
      <w:bookmarkEnd w:id="121"/>
    </w:p>
    <w:p w14:paraId="586930AF">
      <w:pPr>
        <w:pStyle w:val="60"/>
        <w:keepNext w:val="0"/>
        <w:keepLines w:val="0"/>
        <w:pageBreakBefore w:val="0"/>
        <w:widowControl w:val="0"/>
        <w:kinsoku/>
        <w:wordWrap/>
        <w:overflowPunct/>
        <w:topLinePunct w:val="0"/>
        <w:bidi w:val="0"/>
        <w:snapToGrid/>
        <w:spacing w:line="360" w:lineRule="auto"/>
        <w:textAlignment w:val="auto"/>
        <w:rPr>
          <w:rFonts w:hint="default" w:ascii="Calibri" w:hAnsi="Calibri" w:eastAsia="宋体" w:cs="Calibri"/>
          <w:color w:val="auto"/>
          <w:szCs w:val="24"/>
          <w:highlight w:val="none"/>
        </w:rPr>
      </w:pPr>
      <w:r>
        <w:rPr>
          <w:rFonts w:hint="default" w:ascii="Calibri" w:hAnsi="Calibri" w:eastAsia="宋体" w:cs="Calibri"/>
          <w:color w:val="auto"/>
          <w:szCs w:val="24"/>
          <w:highlight w:val="none"/>
        </w:rPr>
        <w:t>式中：</w:t>
      </w:r>
      <w:r>
        <w:rPr>
          <w:rFonts w:hint="default" w:ascii="Calibri" w:hAnsi="Calibri" w:eastAsia="宋体" w:cs="Calibri"/>
          <w:i/>
          <w:color w:val="auto"/>
          <w:szCs w:val="24"/>
          <w:highlight w:val="none"/>
        </w:rPr>
        <w:t>R</w:t>
      </w:r>
      <w:r>
        <w:rPr>
          <w:rFonts w:hint="default" w:ascii="Calibri" w:hAnsi="Calibri" w:eastAsia="宋体" w:cs="Calibri"/>
          <w:color w:val="auto"/>
          <w:szCs w:val="24"/>
          <w:highlight w:val="none"/>
        </w:rPr>
        <w:t xml:space="preserve">——分裂导线半径，m； </w:t>
      </w:r>
    </w:p>
    <w:p w14:paraId="622FBBEE">
      <w:pPr>
        <w:pStyle w:val="61"/>
        <w:keepNext w:val="0"/>
        <w:keepLines w:val="0"/>
        <w:pageBreakBefore w:val="0"/>
        <w:widowControl w:val="0"/>
        <w:kinsoku/>
        <w:wordWrap/>
        <w:overflowPunct/>
        <w:topLinePunct w:val="0"/>
        <w:bidi w:val="0"/>
        <w:snapToGrid/>
        <w:spacing w:line="360" w:lineRule="auto"/>
        <w:ind w:firstLine="1200" w:firstLineChars="500"/>
        <w:textAlignment w:val="auto"/>
        <w:rPr>
          <w:rFonts w:hint="default" w:ascii="Calibri" w:hAnsi="Calibri" w:eastAsia="宋体" w:cs="Calibri"/>
          <w:color w:val="auto"/>
          <w:szCs w:val="24"/>
          <w:highlight w:val="none"/>
        </w:rPr>
      </w:pPr>
      <w:r>
        <w:rPr>
          <w:rFonts w:hint="default" w:ascii="Calibri" w:hAnsi="Calibri" w:eastAsia="宋体" w:cs="Calibri"/>
          <w:i/>
          <w:color w:val="auto"/>
          <w:szCs w:val="24"/>
          <w:highlight w:val="none"/>
        </w:rPr>
        <w:t>n</w:t>
      </w:r>
      <w:r>
        <w:rPr>
          <w:rFonts w:hint="default" w:ascii="Calibri" w:hAnsi="Calibri" w:eastAsia="宋体" w:cs="Calibri"/>
          <w:color w:val="auto"/>
          <w:szCs w:val="24"/>
          <w:highlight w:val="none"/>
        </w:rPr>
        <w:t>——次导线根数；</w:t>
      </w:r>
    </w:p>
    <w:p w14:paraId="466B7BB3">
      <w:pPr>
        <w:pStyle w:val="61"/>
        <w:keepNext w:val="0"/>
        <w:keepLines w:val="0"/>
        <w:pageBreakBefore w:val="0"/>
        <w:widowControl w:val="0"/>
        <w:kinsoku/>
        <w:wordWrap/>
        <w:overflowPunct/>
        <w:topLinePunct w:val="0"/>
        <w:bidi w:val="0"/>
        <w:snapToGrid/>
        <w:spacing w:line="360" w:lineRule="auto"/>
        <w:ind w:firstLine="1200" w:firstLineChars="500"/>
        <w:textAlignment w:val="auto"/>
        <w:rPr>
          <w:rFonts w:hint="default" w:ascii="Calibri" w:hAnsi="Calibri" w:eastAsia="宋体" w:cs="Calibri"/>
          <w:color w:val="auto"/>
          <w:szCs w:val="24"/>
          <w:highlight w:val="none"/>
        </w:rPr>
      </w:pPr>
      <w:r>
        <w:rPr>
          <w:rFonts w:hint="default" w:ascii="Calibri" w:hAnsi="Calibri" w:eastAsia="宋体" w:cs="Calibri"/>
          <w:i/>
          <w:color w:val="auto"/>
          <w:szCs w:val="24"/>
          <w:highlight w:val="none"/>
        </w:rPr>
        <w:t>r</w:t>
      </w:r>
      <w:r>
        <w:rPr>
          <w:rFonts w:hint="default" w:ascii="Calibri" w:hAnsi="Calibri" w:eastAsia="宋体" w:cs="Calibri"/>
          <w:color w:val="auto"/>
          <w:szCs w:val="24"/>
          <w:highlight w:val="none"/>
        </w:rPr>
        <w:t>——次导线半径，m。</w:t>
      </w:r>
    </w:p>
    <w:p w14:paraId="27CE8C4A">
      <w:pPr>
        <w:keepNext w:val="0"/>
        <w:keepLines w:val="0"/>
        <w:pageBreakBefore w:val="0"/>
        <w:widowControl w:val="0"/>
        <w:kinsoku/>
        <w:wordWrap/>
        <w:overflowPunct/>
        <w:topLinePunct w:val="0"/>
        <w:autoSpaceDE w:val="0"/>
        <w:autoSpaceDN w:val="0"/>
        <w:bidi w:val="0"/>
        <w:adjustRightInd w:val="0"/>
        <w:snapToGrid/>
        <w:spacing w:line="480" w:lineRule="exact"/>
        <w:ind w:firstLine="482"/>
        <w:textAlignment w:val="auto"/>
        <w:rPr>
          <w:rFonts w:hint="default" w:ascii="Calibri" w:hAnsi="Calibri" w:eastAsia="宋体" w:cs="Calibri"/>
          <w:color w:val="auto"/>
          <w:sz w:val="24"/>
          <w:highlight w:val="none"/>
          <w:lang w:val="zh-CN"/>
        </w:rPr>
      </w:pPr>
      <w:r>
        <w:rPr>
          <w:rFonts w:hint="default" w:ascii="Calibri" w:hAnsi="Calibri" w:eastAsia="宋体" w:cs="Calibri"/>
          <w:color w:val="auto"/>
          <w:sz w:val="24"/>
          <w:highlight w:val="none"/>
          <w:lang w:val="zh-CN"/>
        </w:rPr>
        <w:t>由[U]矩阵和[λ]矩阵，利用等效电荷矩阵方程即可解出[Q]矩阵。空间任意一点的电场强度可根据叠加原理计算得出，在（x，y）点的电场强度分量</w:t>
      </w:r>
      <w:r>
        <w:rPr>
          <w:rFonts w:hint="default" w:ascii="Calibri" w:hAnsi="Calibri" w:eastAsia="宋体" w:cs="Calibri"/>
          <w:i/>
          <w:color w:val="auto"/>
          <w:sz w:val="24"/>
          <w:highlight w:val="none"/>
          <w:lang w:val="zh-CN"/>
        </w:rPr>
        <w:t>Ex</w:t>
      </w:r>
      <w:r>
        <w:rPr>
          <w:rFonts w:hint="default" w:ascii="Calibri" w:hAnsi="Calibri" w:eastAsia="宋体" w:cs="Calibri"/>
          <w:color w:val="auto"/>
          <w:sz w:val="24"/>
          <w:highlight w:val="none"/>
          <w:lang w:val="zh-CN"/>
        </w:rPr>
        <w:t>和</w:t>
      </w:r>
      <w:r>
        <w:rPr>
          <w:rFonts w:hint="default" w:ascii="Calibri" w:hAnsi="Calibri" w:eastAsia="宋体" w:cs="Calibri"/>
          <w:i/>
          <w:color w:val="auto"/>
          <w:sz w:val="24"/>
          <w:highlight w:val="none"/>
          <w:lang w:val="zh-CN"/>
        </w:rPr>
        <w:t>Ey</w:t>
      </w:r>
      <w:r>
        <w:rPr>
          <w:rFonts w:hint="default" w:ascii="Calibri" w:hAnsi="Calibri" w:eastAsia="宋体" w:cs="Calibri"/>
          <w:color w:val="auto"/>
          <w:sz w:val="24"/>
          <w:highlight w:val="none"/>
          <w:lang w:val="zh-CN"/>
        </w:rPr>
        <w:t>可表示为：</w:t>
      </w:r>
    </w:p>
    <w:p w14:paraId="4DEB14CA">
      <w:pPr>
        <w:pStyle w:val="60"/>
        <w:rPr>
          <w:rFonts w:hint="default" w:ascii="Calibri" w:hAnsi="Calibri" w:eastAsia="宋体" w:cs="Calibri"/>
          <w:color w:val="auto"/>
          <w:szCs w:val="24"/>
          <w:highlight w:val="none"/>
        </w:rPr>
      </w:pPr>
      <w:r>
        <w:rPr>
          <w:rFonts w:hint="default" w:ascii="Calibri" w:hAnsi="Calibri" w:eastAsia="宋体" w:cs="Calibri"/>
          <w:color w:val="auto"/>
          <w:szCs w:val="24"/>
          <w:highlight w:val="none"/>
        </w:rPr>
        <w:drawing>
          <wp:inline distT="0" distB="0" distL="114300" distR="114300">
            <wp:extent cx="2130425" cy="1932305"/>
            <wp:effectExtent l="0" t="0" r="3175" b="10795"/>
            <wp:docPr id="2" name="图片 9"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001"/>
                    <pic:cNvPicPr>
                      <a:picLocks noChangeAspect="1"/>
                    </pic:cNvPicPr>
                  </pic:nvPicPr>
                  <pic:blipFill>
                    <a:blip r:embed="rId25"/>
                    <a:stretch>
                      <a:fillRect/>
                    </a:stretch>
                  </pic:blipFill>
                  <pic:spPr>
                    <a:xfrm>
                      <a:off x="0" y="0"/>
                      <a:ext cx="2130425" cy="1932305"/>
                    </a:xfrm>
                    <a:prstGeom prst="rect">
                      <a:avLst/>
                    </a:prstGeom>
                    <a:noFill/>
                    <a:ln>
                      <a:noFill/>
                    </a:ln>
                  </pic:spPr>
                </pic:pic>
              </a:graphicData>
            </a:graphic>
          </wp:inline>
        </w:drawing>
      </w:r>
      <w:r>
        <w:rPr>
          <w:rFonts w:hint="default" w:ascii="Calibri" w:hAnsi="Calibri" w:eastAsia="宋体" w:cs="Calibri"/>
          <w:color w:val="auto"/>
          <w:szCs w:val="24"/>
          <w:highlight w:val="none"/>
        </w:rPr>
        <w:t xml:space="preserve">         </w:t>
      </w:r>
      <w:r>
        <w:rPr>
          <w:rFonts w:hint="default" w:ascii="Calibri" w:hAnsi="Calibri" w:eastAsia="宋体" w:cs="Calibri"/>
          <w:color w:val="auto"/>
          <w:szCs w:val="24"/>
          <w:highlight w:val="none"/>
        </w:rPr>
        <w:drawing>
          <wp:inline distT="0" distB="0" distL="114300" distR="114300">
            <wp:extent cx="2074545" cy="1884045"/>
            <wp:effectExtent l="0" t="0" r="1905" b="1905"/>
            <wp:docPr id="3" name="图片 1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02"/>
                    <pic:cNvPicPr>
                      <a:picLocks noChangeAspect="1"/>
                    </pic:cNvPicPr>
                  </pic:nvPicPr>
                  <pic:blipFill>
                    <a:blip r:embed="rId26"/>
                    <a:stretch>
                      <a:fillRect/>
                    </a:stretch>
                  </pic:blipFill>
                  <pic:spPr>
                    <a:xfrm>
                      <a:off x="0" y="0"/>
                      <a:ext cx="2074545" cy="1884045"/>
                    </a:xfrm>
                    <a:prstGeom prst="rect">
                      <a:avLst/>
                    </a:prstGeom>
                    <a:noFill/>
                    <a:ln>
                      <a:noFill/>
                    </a:ln>
                  </pic:spPr>
                </pic:pic>
              </a:graphicData>
            </a:graphic>
          </wp:inline>
        </w:drawing>
      </w:r>
    </w:p>
    <w:p w14:paraId="7C822632">
      <w:pPr>
        <w:pStyle w:val="60"/>
        <w:keepNext w:val="0"/>
        <w:keepLines w:val="0"/>
        <w:pageBreakBefore w:val="0"/>
        <w:widowControl w:val="0"/>
        <w:kinsoku/>
        <w:wordWrap/>
        <w:overflowPunct/>
        <w:topLinePunct w:val="0"/>
        <w:autoSpaceDE/>
        <w:autoSpaceDN/>
        <w:bidi w:val="0"/>
        <w:adjustRightInd/>
        <w:snapToGrid/>
        <w:spacing w:before="156" w:beforeLines="50" w:line="480" w:lineRule="exact"/>
        <w:ind w:firstLine="843" w:firstLineChars="350"/>
        <w:textAlignment w:val="auto"/>
        <w:rPr>
          <w:rFonts w:hint="default" w:ascii="Calibri" w:hAnsi="Calibri" w:eastAsia="宋体" w:cs="Calibri"/>
          <w:color w:val="auto"/>
          <w:szCs w:val="24"/>
          <w:highlight w:val="none"/>
        </w:rPr>
      </w:pPr>
      <w:r>
        <w:rPr>
          <w:rFonts w:hint="default" w:ascii="Calibri" w:hAnsi="Calibri" w:eastAsia="宋体" w:cs="Calibri"/>
          <w:b/>
          <w:color w:val="auto"/>
          <w:szCs w:val="24"/>
          <w:highlight w:val="none"/>
        </w:rPr>
        <w:t>图</w:t>
      </w:r>
      <w:r>
        <w:rPr>
          <w:rFonts w:hint="default" w:ascii="Calibri" w:hAnsi="Calibri" w:eastAsia="宋体" w:cs="Calibri"/>
          <w:b/>
          <w:color w:val="auto"/>
          <w:szCs w:val="24"/>
          <w:highlight w:val="none"/>
          <w:lang w:val="en-US" w:eastAsia="zh-CN"/>
        </w:rPr>
        <w:t>3</w:t>
      </w:r>
      <w:r>
        <w:rPr>
          <w:rFonts w:hint="default" w:ascii="Calibri" w:hAnsi="Calibri" w:eastAsia="宋体" w:cs="Calibri"/>
          <w:b/>
          <w:color w:val="auto"/>
          <w:szCs w:val="24"/>
          <w:highlight w:val="none"/>
        </w:rPr>
        <w:t>-2  电位系数计算图</w:t>
      </w:r>
      <w:r>
        <w:rPr>
          <w:rFonts w:hint="default" w:ascii="Calibri" w:hAnsi="Calibri" w:eastAsia="宋体" w:cs="Calibri"/>
          <w:color w:val="auto"/>
          <w:szCs w:val="24"/>
          <w:highlight w:val="none"/>
        </w:rPr>
        <w:t xml:space="preserve">            </w:t>
      </w:r>
      <w:r>
        <w:rPr>
          <w:rFonts w:hint="default" w:ascii="Calibri" w:hAnsi="Calibri" w:eastAsia="宋体" w:cs="Calibri"/>
          <w:color w:val="auto"/>
          <w:szCs w:val="24"/>
          <w:highlight w:val="none"/>
          <w:lang w:val="en-US" w:eastAsia="zh-CN"/>
        </w:rPr>
        <w:t xml:space="preserve">  </w:t>
      </w:r>
      <w:r>
        <w:rPr>
          <w:rFonts w:hint="default" w:ascii="Calibri" w:hAnsi="Calibri" w:eastAsia="宋体" w:cs="Calibri"/>
          <w:color w:val="auto"/>
          <w:szCs w:val="24"/>
          <w:highlight w:val="none"/>
        </w:rPr>
        <w:t xml:space="preserve"> </w:t>
      </w:r>
      <w:r>
        <w:rPr>
          <w:rFonts w:hint="default" w:ascii="Calibri" w:hAnsi="Calibri" w:eastAsia="宋体" w:cs="Calibri"/>
          <w:b/>
          <w:color w:val="auto"/>
          <w:szCs w:val="24"/>
          <w:highlight w:val="none"/>
        </w:rPr>
        <w:t>图</w:t>
      </w:r>
      <w:r>
        <w:rPr>
          <w:rFonts w:hint="default" w:ascii="Calibri" w:hAnsi="Calibri" w:eastAsia="宋体" w:cs="Calibri"/>
          <w:b/>
          <w:color w:val="auto"/>
          <w:szCs w:val="24"/>
          <w:highlight w:val="none"/>
          <w:lang w:val="en-US" w:eastAsia="zh-CN"/>
        </w:rPr>
        <w:t>3</w:t>
      </w:r>
      <w:r>
        <w:rPr>
          <w:rFonts w:hint="default" w:ascii="Calibri" w:hAnsi="Calibri" w:eastAsia="宋体" w:cs="Calibri"/>
          <w:b/>
          <w:color w:val="auto"/>
          <w:szCs w:val="24"/>
          <w:highlight w:val="none"/>
        </w:rPr>
        <w:t>-3  等效半径计算图</w:t>
      </w:r>
    </w:p>
    <w:p w14:paraId="6DE0BCE7">
      <w:pPr>
        <w:pStyle w:val="60"/>
        <w:rPr>
          <w:rFonts w:hint="default" w:ascii="Calibri" w:hAnsi="Calibri" w:eastAsia="宋体" w:cs="Calibri"/>
          <w:color w:val="auto"/>
          <w:szCs w:val="24"/>
          <w:highlight w:val="none"/>
        </w:rPr>
      </w:pPr>
    </w:p>
    <w:p w14:paraId="6649116E">
      <w:pPr>
        <w:pStyle w:val="57"/>
        <w:ind w:firstLine="2916" w:firstLineChars="1215"/>
        <w:rPr>
          <w:rFonts w:hint="default" w:ascii="Calibri" w:hAnsi="Calibri" w:eastAsia="宋体" w:cs="Calibri"/>
          <w:color w:val="auto"/>
          <w:szCs w:val="24"/>
          <w:highlight w:val="none"/>
        </w:rPr>
      </w:pPr>
      <w:r>
        <w:rPr>
          <w:rFonts w:hint="default" w:ascii="Calibri" w:hAnsi="Calibri" w:eastAsia="宋体" w:cs="Calibri"/>
          <w:color w:val="auto"/>
          <w:position w:val="-38"/>
          <w:szCs w:val="24"/>
          <w:highlight w:val="none"/>
        </w:rPr>
        <w:object>
          <v:shape id="_x0000_i1032" o:spt="75" type="#_x0000_t75" style="height:42.2pt;width:162.65pt;" o:ole="t" filled="f" o:preferrelative="t" stroked="f" coordsize="21600,21600">
            <v:path/>
            <v:fill on="f" focussize="0,0"/>
            <v:stroke on="f"/>
            <v:imagedata r:id="rId28" o:title=""/>
            <o:lock v:ext="edit" aspectratio="t"/>
            <w10:wrap type="none"/>
            <w10:anchorlock/>
          </v:shape>
          <o:OLEObject Type="Embed" ProgID="Equation.3" ShapeID="_x0000_i1032" DrawAspect="Content" ObjectID="_1468075732" r:id="rId27">
            <o:LockedField>false</o:LockedField>
          </o:OLEObject>
        </w:object>
      </w:r>
      <w:r>
        <w:rPr>
          <w:rFonts w:hint="default" w:ascii="Calibri" w:hAnsi="Calibri" w:eastAsia="宋体" w:cs="Calibri"/>
          <w:color w:val="auto"/>
          <w:szCs w:val="24"/>
          <w:highlight w:val="none"/>
        </w:rPr>
        <w:t xml:space="preserve">  </w:t>
      </w:r>
    </w:p>
    <w:p w14:paraId="5097272A">
      <w:pPr>
        <w:pStyle w:val="57"/>
        <w:ind w:firstLine="2916" w:firstLineChars="1215"/>
        <w:rPr>
          <w:rFonts w:hint="default" w:ascii="Calibri" w:hAnsi="Calibri" w:eastAsia="宋体" w:cs="Calibri"/>
          <w:color w:val="auto"/>
          <w:szCs w:val="24"/>
          <w:highlight w:val="none"/>
        </w:rPr>
      </w:pPr>
      <w:r>
        <w:rPr>
          <w:rFonts w:hint="default" w:ascii="Calibri" w:hAnsi="Calibri" w:eastAsia="宋体" w:cs="Calibri"/>
          <w:color w:val="auto"/>
          <w:position w:val="-30"/>
          <w:szCs w:val="24"/>
          <w:highlight w:val="none"/>
        </w:rPr>
        <w:object>
          <v:shape id="_x0000_i1033" o:spt="75" type="#_x0000_t75" style="height:37.3pt;width:170pt;" o:ole="t" filled="f" o:preferrelative="t" stroked="f" coordsize="21600,21600">
            <v:path/>
            <v:fill on="f" focussize="0,0"/>
            <v:stroke on="f"/>
            <v:imagedata r:id="rId30" o:title=""/>
            <o:lock v:ext="edit" aspectratio="t"/>
            <w10:wrap type="none"/>
            <w10:anchorlock/>
          </v:shape>
          <o:OLEObject Type="Embed" ProgID="Equation.3" ShapeID="_x0000_i1033" DrawAspect="Content" ObjectID="_1468075733" r:id="rId29">
            <o:LockedField>false</o:LockedField>
          </o:OLEObject>
        </w:object>
      </w:r>
    </w:p>
    <w:p w14:paraId="513716A7">
      <w:pPr>
        <w:keepNext w:val="0"/>
        <w:keepLines w:val="0"/>
        <w:pageBreakBefore w:val="0"/>
        <w:widowControl w:val="0"/>
        <w:kinsoku/>
        <w:wordWrap/>
        <w:overflowPunct/>
        <w:topLinePunct w:val="0"/>
        <w:autoSpaceDE w:val="0"/>
        <w:autoSpaceDN w:val="0"/>
        <w:bidi w:val="0"/>
        <w:adjustRightInd w:val="0"/>
        <w:snapToGrid/>
        <w:spacing w:line="480" w:lineRule="exact"/>
        <w:ind w:firstLine="480"/>
        <w:textAlignment w:val="auto"/>
        <w:rPr>
          <w:rFonts w:hint="default" w:ascii="Calibri" w:hAnsi="Calibri" w:eastAsia="宋体" w:cs="Calibri"/>
          <w:color w:val="auto"/>
          <w:sz w:val="24"/>
          <w:highlight w:val="none"/>
          <w:lang w:val="zh-CN"/>
        </w:rPr>
      </w:pPr>
      <w:r>
        <w:rPr>
          <w:rFonts w:hint="default" w:ascii="Calibri" w:hAnsi="Calibri" w:eastAsia="宋体" w:cs="Calibri"/>
          <w:color w:val="auto"/>
          <w:sz w:val="24"/>
          <w:highlight w:val="none"/>
        </w:rPr>
        <w:t>式中</w:t>
      </w:r>
      <w:r>
        <w:rPr>
          <w:rFonts w:hint="default" w:ascii="Calibri" w:hAnsi="Calibri" w:eastAsia="宋体" w:cs="Calibri"/>
          <w:color w:val="auto"/>
          <w:sz w:val="24"/>
          <w:highlight w:val="none"/>
          <w:lang w:val="zh-CN"/>
        </w:rPr>
        <w:t>：</w:t>
      </w:r>
      <w:r>
        <w:rPr>
          <w:rFonts w:hint="default" w:ascii="Calibri" w:hAnsi="Calibri" w:eastAsia="宋体" w:cs="Calibri"/>
          <w:i/>
          <w:color w:val="auto"/>
          <w:sz w:val="24"/>
          <w:highlight w:val="none"/>
          <w:lang w:val="zh-CN"/>
        </w:rPr>
        <w:t>x</w:t>
      </w:r>
      <w:r>
        <w:rPr>
          <w:rFonts w:hint="default" w:ascii="Calibri" w:hAnsi="Calibri" w:eastAsia="宋体" w:cs="Calibri"/>
          <w:i/>
          <w:color w:val="auto"/>
          <w:sz w:val="24"/>
          <w:highlight w:val="none"/>
          <w:vertAlign w:val="subscript"/>
          <w:lang w:val="zh-CN"/>
        </w:rPr>
        <w:t>i</w:t>
      </w:r>
      <w:r>
        <w:rPr>
          <w:rFonts w:hint="default" w:ascii="Calibri" w:hAnsi="Calibri" w:eastAsia="宋体" w:cs="Calibri"/>
          <w:color w:val="auto"/>
          <w:sz w:val="24"/>
          <w:highlight w:val="none"/>
          <w:lang w:val="zh-CN"/>
        </w:rPr>
        <w:t>，</w:t>
      </w:r>
      <w:r>
        <w:rPr>
          <w:rFonts w:hint="default" w:ascii="Calibri" w:hAnsi="Calibri" w:eastAsia="宋体" w:cs="Calibri"/>
          <w:i/>
          <w:color w:val="auto"/>
          <w:sz w:val="24"/>
          <w:highlight w:val="none"/>
          <w:lang w:val="zh-CN"/>
        </w:rPr>
        <w:t xml:space="preserve"> y</w:t>
      </w:r>
      <w:r>
        <w:rPr>
          <w:rFonts w:hint="default" w:ascii="Calibri" w:hAnsi="Calibri" w:eastAsia="宋体" w:cs="Calibri"/>
          <w:i/>
          <w:color w:val="auto"/>
          <w:sz w:val="24"/>
          <w:highlight w:val="none"/>
          <w:vertAlign w:val="subscript"/>
          <w:lang w:val="zh-CN"/>
        </w:rPr>
        <w:t>i</w:t>
      </w:r>
      <w:r>
        <w:rPr>
          <w:rFonts w:hint="default" w:ascii="Calibri" w:hAnsi="Calibri" w:eastAsia="宋体" w:cs="Calibri"/>
          <w:color w:val="auto"/>
          <w:sz w:val="24"/>
          <w:highlight w:val="none"/>
          <w:vertAlign w:val="subscript"/>
          <w:lang w:val="zh-CN"/>
        </w:rPr>
        <w:t xml:space="preserve"> </w:t>
      </w:r>
      <w:r>
        <w:rPr>
          <w:rFonts w:hint="default" w:ascii="Calibri" w:hAnsi="Calibri" w:eastAsia="宋体" w:cs="Calibri"/>
          <w:color w:val="auto"/>
          <w:sz w:val="24"/>
          <w:highlight w:val="none"/>
          <w:lang w:val="zh-CN"/>
        </w:rPr>
        <w:t>——导线i的坐标（i=1、2</w:t>
      </w:r>
      <w:r>
        <w:rPr>
          <w:rFonts w:hint="eastAsia" w:ascii="Calibri" w:hAnsi="Calibri" w:cs="Calibri"/>
          <w:color w:val="auto"/>
          <w:sz w:val="24"/>
          <w:highlight w:val="none"/>
          <w:lang w:val="zh-CN"/>
        </w:rPr>
        <w:t>…</w:t>
      </w:r>
      <w:r>
        <w:rPr>
          <w:rFonts w:hint="default" w:ascii="Calibri" w:hAnsi="Calibri" w:eastAsia="宋体" w:cs="Calibri"/>
          <w:color w:val="auto"/>
          <w:sz w:val="24"/>
          <w:highlight w:val="none"/>
          <w:lang w:val="zh-CN"/>
        </w:rPr>
        <w:t>m）；</w:t>
      </w:r>
    </w:p>
    <w:p w14:paraId="23DAF906">
      <w:pPr>
        <w:keepNext w:val="0"/>
        <w:keepLines w:val="0"/>
        <w:pageBreakBefore w:val="0"/>
        <w:widowControl w:val="0"/>
        <w:kinsoku/>
        <w:wordWrap/>
        <w:overflowPunct/>
        <w:topLinePunct w:val="0"/>
        <w:autoSpaceDE w:val="0"/>
        <w:autoSpaceDN w:val="0"/>
        <w:bidi w:val="0"/>
        <w:adjustRightInd w:val="0"/>
        <w:snapToGrid/>
        <w:spacing w:line="480" w:lineRule="exact"/>
        <w:ind w:firstLine="1200" w:firstLineChars="500"/>
        <w:textAlignment w:val="auto"/>
        <w:rPr>
          <w:rFonts w:hint="default" w:ascii="Calibri" w:hAnsi="Calibri" w:eastAsia="宋体" w:cs="Calibri"/>
          <w:color w:val="auto"/>
          <w:sz w:val="24"/>
          <w:highlight w:val="none"/>
          <w:lang w:val="zh-CN"/>
        </w:rPr>
      </w:pPr>
      <w:r>
        <w:rPr>
          <w:rFonts w:hint="default" w:ascii="Calibri" w:hAnsi="Calibri" w:eastAsia="宋体" w:cs="Calibri"/>
          <w:i/>
          <w:color w:val="auto"/>
          <w:sz w:val="24"/>
          <w:highlight w:val="none"/>
          <w:lang w:val="zh-CN"/>
        </w:rPr>
        <w:t xml:space="preserve">m </w:t>
      </w:r>
      <w:r>
        <w:rPr>
          <w:rFonts w:hint="default" w:ascii="Calibri" w:hAnsi="Calibri" w:eastAsia="宋体" w:cs="Calibri"/>
          <w:color w:val="auto"/>
          <w:sz w:val="24"/>
          <w:highlight w:val="none"/>
          <w:lang w:val="zh-CN"/>
        </w:rPr>
        <w:t>——导线数目；</w:t>
      </w:r>
    </w:p>
    <w:p w14:paraId="0BDCF8F0">
      <w:pPr>
        <w:keepNext w:val="0"/>
        <w:keepLines w:val="0"/>
        <w:pageBreakBefore w:val="0"/>
        <w:widowControl w:val="0"/>
        <w:kinsoku/>
        <w:wordWrap/>
        <w:overflowPunct/>
        <w:topLinePunct w:val="0"/>
        <w:autoSpaceDE w:val="0"/>
        <w:autoSpaceDN w:val="0"/>
        <w:bidi w:val="0"/>
        <w:adjustRightInd w:val="0"/>
        <w:snapToGrid/>
        <w:spacing w:line="480" w:lineRule="exact"/>
        <w:ind w:firstLine="1200" w:firstLineChars="500"/>
        <w:textAlignment w:val="auto"/>
        <w:rPr>
          <w:rFonts w:hint="default" w:ascii="Calibri" w:hAnsi="Calibri" w:eastAsia="宋体" w:cs="Calibri"/>
          <w:color w:val="auto"/>
          <w:sz w:val="24"/>
          <w:highlight w:val="none"/>
          <w:lang w:val="zh-CN"/>
        </w:rPr>
      </w:pPr>
      <w:r>
        <w:rPr>
          <w:rFonts w:hint="default" w:ascii="Calibri" w:hAnsi="Calibri" w:eastAsia="宋体" w:cs="Calibri"/>
          <w:i/>
          <w:color w:val="auto"/>
          <w:sz w:val="24"/>
          <w:highlight w:val="none"/>
          <w:lang w:val="zh-CN"/>
        </w:rPr>
        <w:t>L</w:t>
      </w:r>
      <w:r>
        <w:rPr>
          <w:rFonts w:hint="default" w:ascii="Calibri" w:hAnsi="Calibri" w:eastAsia="宋体" w:cs="Calibri"/>
          <w:i/>
          <w:color w:val="auto"/>
          <w:sz w:val="24"/>
          <w:highlight w:val="none"/>
          <w:vertAlign w:val="subscript"/>
          <w:lang w:val="zh-CN"/>
        </w:rPr>
        <w:t>i</w:t>
      </w:r>
      <w:r>
        <w:rPr>
          <w:rFonts w:hint="default" w:ascii="Calibri" w:hAnsi="Calibri" w:eastAsia="宋体" w:cs="Calibri"/>
          <w:i/>
          <w:color w:val="auto"/>
          <w:sz w:val="24"/>
          <w:highlight w:val="none"/>
          <w:lang w:val="zh-CN"/>
        </w:rPr>
        <w:t>，L</w:t>
      </w:r>
      <w:r>
        <w:rPr>
          <w:rFonts w:hint="default" w:ascii="Calibri" w:hAnsi="Calibri" w:eastAsia="宋体" w:cs="Calibri"/>
          <w:i/>
          <w:color w:val="auto"/>
          <w:sz w:val="24"/>
          <w:highlight w:val="none"/>
          <w:vertAlign w:val="subscript"/>
          <w:lang w:val="zh-CN"/>
        </w:rPr>
        <w:t xml:space="preserve">'i </w:t>
      </w:r>
      <w:r>
        <w:rPr>
          <w:rFonts w:hint="default" w:ascii="Calibri" w:hAnsi="Calibri" w:eastAsia="宋体" w:cs="Calibri"/>
          <w:color w:val="auto"/>
          <w:sz w:val="24"/>
          <w:highlight w:val="none"/>
          <w:lang w:val="zh-CN"/>
        </w:rPr>
        <w:t>——分别为导线i及其镜像至计算点的距离，m。</w:t>
      </w:r>
    </w:p>
    <w:p w14:paraId="29A98F23">
      <w:pPr>
        <w:keepNext w:val="0"/>
        <w:keepLines w:val="0"/>
        <w:pageBreakBefore w:val="0"/>
        <w:widowControl w:val="0"/>
        <w:kinsoku/>
        <w:wordWrap/>
        <w:overflowPunct/>
        <w:topLinePunct w:val="0"/>
        <w:autoSpaceDE w:val="0"/>
        <w:autoSpaceDN w:val="0"/>
        <w:bidi w:val="0"/>
        <w:adjustRightInd w:val="0"/>
        <w:snapToGrid/>
        <w:spacing w:line="480" w:lineRule="exact"/>
        <w:ind w:firstLine="480"/>
        <w:textAlignment w:val="auto"/>
        <w:rPr>
          <w:rFonts w:hint="default" w:ascii="Calibri" w:hAnsi="Calibri" w:eastAsia="宋体" w:cs="Calibri"/>
          <w:color w:val="auto"/>
          <w:sz w:val="24"/>
          <w:highlight w:val="none"/>
          <w:lang w:val="zh-CN"/>
        </w:rPr>
      </w:pPr>
      <w:r>
        <w:rPr>
          <w:rFonts w:hint="default" w:ascii="Calibri" w:hAnsi="Calibri" w:eastAsia="宋体" w:cs="Calibri"/>
          <w:color w:val="auto"/>
          <w:sz w:val="24"/>
          <w:highlight w:val="none"/>
          <w:lang w:val="zh-CN"/>
        </w:rPr>
        <w:t>对于三相交流线路，可根据求得的电荷计算空间任一点电场强度的水平和垂直分量为：</w:t>
      </w:r>
    </w:p>
    <w:p w14:paraId="49B41A8B">
      <w:pPr>
        <w:pStyle w:val="59"/>
        <w:ind w:firstLine="2916" w:firstLineChars="1215"/>
        <w:rPr>
          <w:rFonts w:hint="default" w:ascii="Calibri" w:hAnsi="Calibri" w:eastAsia="宋体" w:cs="Calibri"/>
          <w:color w:val="auto"/>
          <w:szCs w:val="24"/>
          <w:highlight w:val="none"/>
        </w:rPr>
      </w:pPr>
      <w:r>
        <w:rPr>
          <w:rFonts w:hint="default" w:ascii="Calibri" w:hAnsi="Calibri" w:eastAsia="宋体" w:cs="Calibri"/>
          <w:color w:val="auto"/>
          <w:position w:val="-28"/>
          <w:szCs w:val="24"/>
          <w:highlight w:val="none"/>
        </w:rPr>
        <w:object>
          <v:shape id="_x0000_i1034" o:spt="75" type="#_x0000_t75" style="height:34.75pt;width:114.25pt;" o:ole="t" filled="f" o:preferrelative="t" stroked="f" coordsize="21600,21600">
            <v:path/>
            <v:fill on="f" focussize="0,0"/>
            <v:stroke on="f"/>
            <v:imagedata r:id="rId32" o:title=""/>
            <o:lock v:ext="edit" aspectratio="t"/>
            <w10:wrap type="none"/>
            <w10:anchorlock/>
          </v:shape>
          <o:OLEObject Type="Embed" ProgID="Equation.3" ShapeID="_x0000_i1034" DrawAspect="Content" ObjectID="_1468075734" r:id="rId31">
            <o:LockedField>false</o:LockedField>
          </o:OLEObject>
        </w:object>
      </w:r>
    </w:p>
    <w:p w14:paraId="31192C81">
      <w:pPr>
        <w:pStyle w:val="59"/>
        <w:ind w:firstLine="3312" w:firstLineChars="1380"/>
        <w:rPr>
          <w:rFonts w:hint="default" w:ascii="Calibri" w:hAnsi="Calibri" w:eastAsia="宋体" w:cs="Calibri"/>
          <w:color w:val="auto"/>
          <w:szCs w:val="24"/>
          <w:highlight w:val="none"/>
        </w:rPr>
      </w:pPr>
      <w:r>
        <w:rPr>
          <w:rFonts w:hint="default" w:ascii="Calibri" w:hAnsi="Calibri" w:eastAsia="宋体" w:cs="Calibri"/>
          <w:color w:val="auto"/>
          <w:szCs w:val="24"/>
          <w:highlight w:val="none"/>
        </w:rPr>
        <w:t xml:space="preserve">= </w:t>
      </w:r>
      <w:r>
        <w:rPr>
          <w:rFonts w:hint="default" w:ascii="Calibri" w:hAnsi="Calibri" w:eastAsia="宋体" w:cs="Calibri"/>
          <w:color w:val="auto"/>
          <w:position w:val="-12"/>
          <w:szCs w:val="24"/>
          <w:highlight w:val="none"/>
        </w:rPr>
        <w:object>
          <v:shape id="_x0000_i1035" o:spt="75" type="#_x0000_t75" style="height:17.4pt;width:50.9pt;" o:ole="t" filled="f" o:preferrelative="t" stroked="f" coordsize="21600,21600">
            <v:path/>
            <v:fill on="f" focussize="0,0"/>
            <v:stroke on="f"/>
            <v:imagedata r:id="rId34" o:title=""/>
            <o:lock v:ext="edit" aspectratio="t"/>
            <w10:wrap type="none"/>
            <w10:anchorlock/>
          </v:shape>
          <o:OLEObject Type="Embed" ProgID="Equation.3" ShapeID="_x0000_i1035" DrawAspect="Content" ObjectID="_1468075735" r:id="rId33">
            <o:LockedField>false</o:LockedField>
          </o:OLEObject>
        </w:object>
      </w:r>
      <w:r>
        <w:rPr>
          <w:rFonts w:hint="default" w:ascii="Calibri" w:hAnsi="Calibri" w:eastAsia="宋体" w:cs="Calibri"/>
          <w:color w:val="auto"/>
          <w:szCs w:val="24"/>
          <w:highlight w:val="none"/>
        </w:rPr>
        <w:t xml:space="preserve">             </w:t>
      </w:r>
    </w:p>
    <w:p w14:paraId="15BB44BC">
      <w:pPr>
        <w:pStyle w:val="59"/>
        <w:ind w:firstLine="2916" w:firstLineChars="1215"/>
        <w:rPr>
          <w:rFonts w:hint="default" w:ascii="Calibri" w:hAnsi="Calibri" w:eastAsia="宋体" w:cs="Calibri"/>
          <w:color w:val="auto"/>
          <w:szCs w:val="24"/>
          <w:highlight w:val="none"/>
        </w:rPr>
      </w:pPr>
      <w:r>
        <w:rPr>
          <w:rFonts w:hint="default" w:ascii="Calibri" w:hAnsi="Calibri" w:eastAsia="宋体" w:cs="Calibri"/>
          <w:color w:val="auto"/>
          <w:position w:val="-28"/>
          <w:szCs w:val="24"/>
          <w:highlight w:val="none"/>
        </w:rPr>
        <w:object>
          <v:shape id="_x0000_i1036" o:spt="75" type="#_x0000_t75" style="height:34.75pt;width:114.25pt;" o:ole="t" filled="f" o:preferrelative="t" stroked="f" coordsize="21600,21600">
            <v:path/>
            <v:fill on="f" focussize="0,0"/>
            <v:stroke on="f"/>
            <v:imagedata r:id="rId36" o:title=""/>
            <o:lock v:ext="edit" aspectratio="t"/>
            <w10:wrap type="none"/>
            <w10:anchorlock/>
          </v:shape>
          <o:OLEObject Type="Embed" ProgID="Equation.3" ShapeID="_x0000_i1036" DrawAspect="Content" ObjectID="_1468075736" r:id="rId35">
            <o:LockedField>false</o:LockedField>
          </o:OLEObject>
        </w:object>
      </w:r>
    </w:p>
    <w:p w14:paraId="178E594F">
      <w:pPr>
        <w:pStyle w:val="59"/>
        <w:ind w:firstLine="3312" w:firstLineChars="1380"/>
        <w:rPr>
          <w:rFonts w:hint="default" w:ascii="Calibri" w:hAnsi="Calibri" w:eastAsia="宋体" w:cs="Calibri"/>
          <w:color w:val="auto"/>
          <w:szCs w:val="24"/>
          <w:highlight w:val="none"/>
        </w:rPr>
      </w:pPr>
      <w:r>
        <w:rPr>
          <w:rFonts w:hint="default" w:ascii="Calibri" w:hAnsi="Calibri" w:eastAsia="宋体" w:cs="Calibri"/>
          <w:color w:val="auto"/>
          <w:szCs w:val="24"/>
          <w:highlight w:val="none"/>
        </w:rPr>
        <w:t xml:space="preserve">= </w:t>
      </w:r>
      <w:r>
        <w:rPr>
          <w:rFonts w:hint="default" w:ascii="Calibri" w:hAnsi="Calibri" w:eastAsia="宋体" w:cs="Calibri"/>
          <w:color w:val="auto"/>
          <w:position w:val="-14"/>
          <w:szCs w:val="24"/>
          <w:highlight w:val="none"/>
        </w:rPr>
        <w:object>
          <v:shape id="_x0000_i1037" o:spt="75" type="#_x0000_t75" style="height:19.85pt;width:52.15pt;" o:ole="t" filled="f" o:preferrelative="t" stroked="f" coordsize="21600,21600">
            <v:path/>
            <v:fill on="f" focussize="0,0"/>
            <v:stroke on="f"/>
            <v:imagedata r:id="rId38" o:title=""/>
            <o:lock v:ext="edit" aspectratio="t"/>
            <w10:wrap type="none"/>
            <w10:anchorlock/>
          </v:shape>
          <o:OLEObject Type="Embed" ProgID="Equation.3" ShapeID="_x0000_i1037" DrawAspect="Content" ObjectID="_1468075737" r:id="rId37">
            <o:LockedField>false</o:LockedField>
          </o:OLEObject>
        </w:object>
      </w:r>
      <w:r>
        <w:rPr>
          <w:rFonts w:hint="default" w:ascii="Calibri" w:hAnsi="Calibri" w:eastAsia="宋体" w:cs="Calibri"/>
          <w:color w:val="auto"/>
          <w:szCs w:val="24"/>
          <w:highlight w:val="none"/>
        </w:rPr>
        <w:t xml:space="preserve">              </w:t>
      </w:r>
    </w:p>
    <w:p w14:paraId="0718BEBB">
      <w:pPr>
        <w:pStyle w:val="59"/>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Calibri" w:hAnsi="Calibri" w:eastAsia="宋体" w:cs="Calibri"/>
          <w:color w:val="auto"/>
          <w:szCs w:val="24"/>
          <w:highlight w:val="none"/>
        </w:rPr>
      </w:pPr>
      <w:r>
        <w:rPr>
          <w:rFonts w:hint="default" w:ascii="Calibri" w:hAnsi="Calibri" w:eastAsia="宋体" w:cs="Calibri"/>
          <w:color w:val="auto"/>
          <w:szCs w:val="24"/>
          <w:highlight w:val="none"/>
          <w:lang w:val="zh-CN"/>
        </w:rPr>
        <w:t>式中：</w:t>
      </w:r>
      <w:r>
        <w:rPr>
          <w:rFonts w:hint="default" w:ascii="Calibri" w:hAnsi="Calibri" w:eastAsia="宋体" w:cs="Calibri"/>
          <w:color w:val="auto"/>
          <w:position w:val="-12"/>
          <w:szCs w:val="24"/>
          <w:highlight w:val="none"/>
        </w:rPr>
        <w:object>
          <v:shape id="_x0000_i1038" o:spt="75" type="#_x0000_t75" style="height:17.4pt;width:19.85pt;" o:ole="t" filled="f" o:preferrelative="t" stroked="f" coordsize="21600,21600">
            <v:path/>
            <v:fill on="f" focussize="0,0"/>
            <v:stroke on="f"/>
            <v:imagedata r:id="rId40" o:title=""/>
            <o:lock v:ext="edit" aspectratio="t"/>
            <w10:wrap type="none"/>
            <w10:anchorlock/>
          </v:shape>
          <o:OLEObject Type="Embed" ProgID="Equation.3" ShapeID="_x0000_i1038" DrawAspect="Content" ObjectID="_1468075738" r:id="rId39">
            <o:LockedField>false</o:LockedField>
          </o:OLEObject>
        </w:object>
      </w:r>
      <w:r>
        <w:rPr>
          <w:rFonts w:hint="default" w:ascii="Calibri" w:hAnsi="Calibri" w:eastAsia="宋体" w:cs="Calibri"/>
          <w:color w:val="auto"/>
          <w:szCs w:val="24"/>
          <w:highlight w:val="none"/>
          <w:vertAlign w:val="subscript"/>
        </w:rPr>
        <w:t>————</w:t>
      </w:r>
      <w:r>
        <w:rPr>
          <w:rFonts w:hint="default" w:ascii="Calibri" w:hAnsi="Calibri" w:eastAsia="宋体" w:cs="Calibri"/>
          <w:color w:val="auto"/>
          <w:szCs w:val="24"/>
          <w:highlight w:val="none"/>
          <w:lang w:val="zh-CN"/>
        </w:rPr>
        <w:t>由各导线的实部电荷在该点产生场强的水平分量；</w:t>
      </w:r>
    </w:p>
    <w:p w14:paraId="0EFDCB98">
      <w:pPr>
        <w:pStyle w:val="59"/>
        <w:keepNext w:val="0"/>
        <w:keepLines w:val="0"/>
        <w:pageBreakBefore w:val="0"/>
        <w:widowControl w:val="0"/>
        <w:kinsoku/>
        <w:wordWrap/>
        <w:overflowPunct/>
        <w:topLinePunct w:val="0"/>
        <w:autoSpaceDE/>
        <w:autoSpaceDN/>
        <w:bidi w:val="0"/>
        <w:adjustRightInd/>
        <w:snapToGrid/>
        <w:spacing w:line="480" w:lineRule="exact"/>
        <w:ind w:firstLine="1178" w:firstLineChars="491"/>
        <w:textAlignment w:val="auto"/>
        <w:rPr>
          <w:rFonts w:hint="default" w:ascii="Calibri" w:hAnsi="Calibri" w:eastAsia="宋体" w:cs="Calibri"/>
          <w:color w:val="auto"/>
          <w:szCs w:val="24"/>
          <w:highlight w:val="none"/>
        </w:rPr>
      </w:pPr>
      <w:r>
        <w:rPr>
          <w:rFonts w:hint="default" w:ascii="Calibri" w:hAnsi="Calibri" w:eastAsia="宋体" w:cs="Calibri"/>
          <w:color w:val="auto"/>
          <w:position w:val="-12"/>
          <w:szCs w:val="24"/>
          <w:highlight w:val="none"/>
        </w:rPr>
        <w:object>
          <v:shape id="_x0000_i1039" o:spt="75" type="#_x0000_t75" style="height:17.4pt;width:19.85pt;" o:ole="t" filled="f" o:preferrelative="t" stroked="f" coordsize="21600,21600">
            <v:path/>
            <v:fill on="f" focussize="0,0"/>
            <v:stroke on="f"/>
            <v:imagedata r:id="rId42" o:title=""/>
            <o:lock v:ext="edit" aspectratio="t"/>
            <w10:wrap type="none"/>
            <w10:anchorlock/>
          </v:shape>
          <o:OLEObject Type="Embed" ProgID="Equation.3" ShapeID="_x0000_i1039" DrawAspect="Content" ObjectID="_1468075739" r:id="rId41">
            <o:LockedField>false</o:LockedField>
          </o:OLEObject>
        </w:object>
      </w:r>
      <w:r>
        <w:rPr>
          <w:rFonts w:hint="default" w:ascii="Calibri" w:hAnsi="Calibri" w:eastAsia="宋体" w:cs="Calibri"/>
          <w:color w:val="auto"/>
          <w:szCs w:val="24"/>
          <w:highlight w:val="none"/>
          <w:vertAlign w:val="subscript"/>
        </w:rPr>
        <w:t>————</w:t>
      </w:r>
      <w:r>
        <w:rPr>
          <w:rFonts w:hint="default" w:ascii="Calibri" w:hAnsi="Calibri" w:eastAsia="宋体" w:cs="Calibri"/>
          <w:color w:val="auto"/>
          <w:szCs w:val="24"/>
          <w:highlight w:val="none"/>
          <w:lang w:val="zh-CN"/>
        </w:rPr>
        <w:t>由各导线的虚部电荷在该点产生场强的水平分量；</w:t>
      </w:r>
    </w:p>
    <w:p w14:paraId="44E8AA38">
      <w:pPr>
        <w:pStyle w:val="59"/>
        <w:keepNext w:val="0"/>
        <w:keepLines w:val="0"/>
        <w:pageBreakBefore w:val="0"/>
        <w:widowControl w:val="0"/>
        <w:kinsoku/>
        <w:wordWrap/>
        <w:overflowPunct/>
        <w:topLinePunct w:val="0"/>
        <w:autoSpaceDE/>
        <w:autoSpaceDN/>
        <w:bidi w:val="0"/>
        <w:adjustRightInd/>
        <w:snapToGrid/>
        <w:spacing w:line="480" w:lineRule="exact"/>
        <w:ind w:firstLine="1178" w:firstLineChars="491"/>
        <w:textAlignment w:val="auto"/>
        <w:rPr>
          <w:rFonts w:hint="default" w:ascii="Calibri" w:hAnsi="Calibri" w:eastAsia="宋体" w:cs="Calibri"/>
          <w:color w:val="auto"/>
          <w:szCs w:val="24"/>
          <w:highlight w:val="none"/>
        </w:rPr>
      </w:pPr>
      <w:r>
        <w:rPr>
          <w:rFonts w:hint="default" w:ascii="Calibri" w:hAnsi="Calibri" w:eastAsia="宋体" w:cs="Calibri"/>
          <w:color w:val="auto"/>
          <w:position w:val="-14"/>
          <w:szCs w:val="24"/>
          <w:highlight w:val="none"/>
        </w:rPr>
        <w:object>
          <v:shape id="_x0000_i1040" o:spt="75" type="#_x0000_t75" style="height:19.85pt;width:19.85pt;" o:ole="t" filled="f" o:preferrelative="t" stroked="f" coordsize="21600,21600">
            <v:path/>
            <v:fill on="f" focussize="0,0"/>
            <v:stroke on="f"/>
            <v:imagedata r:id="rId44" o:title=""/>
            <o:lock v:ext="edit" aspectratio="t"/>
            <w10:wrap type="none"/>
            <w10:anchorlock/>
          </v:shape>
          <o:OLEObject Type="Embed" ProgID="Equation.3" ShapeID="_x0000_i1040" DrawAspect="Content" ObjectID="_1468075740" r:id="rId43">
            <o:LockedField>false</o:LockedField>
          </o:OLEObject>
        </w:object>
      </w:r>
      <w:r>
        <w:rPr>
          <w:rFonts w:hint="default" w:ascii="Calibri" w:hAnsi="Calibri" w:eastAsia="宋体" w:cs="Calibri"/>
          <w:color w:val="auto"/>
          <w:szCs w:val="24"/>
          <w:highlight w:val="none"/>
          <w:vertAlign w:val="subscript"/>
        </w:rPr>
        <w:t>————</w:t>
      </w:r>
      <w:r>
        <w:rPr>
          <w:rFonts w:hint="default" w:ascii="Calibri" w:hAnsi="Calibri" w:eastAsia="宋体" w:cs="Calibri"/>
          <w:color w:val="auto"/>
          <w:szCs w:val="24"/>
          <w:highlight w:val="none"/>
          <w:lang w:val="zh-CN"/>
        </w:rPr>
        <w:t>由各导线的实部电荷在该点产生场强的垂直分量；</w:t>
      </w:r>
    </w:p>
    <w:p w14:paraId="0F6FE272">
      <w:pPr>
        <w:pStyle w:val="59"/>
        <w:keepNext w:val="0"/>
        <w:keepLines w:val="0"/>
        <w:pageBreakBefore w:val="0"/>
        <w:widowControl w:val="0"/>
        <w:kinsoku/>
        <w:wordWrap/>
        <w:overflowPunct/>
        <w:topLinePunct w:val="0"/>
        <w:autoSpaceDE/>
        <w:autoSpaceDN/>
        <w:bidi w:val="0"/>
        <w:adjustRightInd/>
        <w:snapToGrid/>
        <w:spacing w:line="480" w:lineRule="exact"/>
        <w:ind w:firstLine="1178" w:firstLineChars="491"/>
        <w:textAlignment w:val="auto"/>
        <w:rPr>
          <w:rFonts w:hint="default" w:ascii="Calibri" w:hAnsi="Calibri" w:eastAsia="宋体" w:cs="Calibri"/>
          <w:color w:val="auto"/>
          <w:szCs w:val="24"/>
          <w:highlight w:val="none"/>
        </w:rPr>
      </w:pPr>
      <w:r>
        <w:rPr>
          <w:rFonts w:hint="default" w:ascii="Calibri" w:hAnsi="Calibri" w:eastAsia="宋体" w:cs="Calibri"/>
          <w:color w:val="auto"/>
          <w:position w:val="-14"/>
          <w:szCs w:val="24"/>
          <w:highlight w:val="none"/>
        </w:rPr>
        <w:object>
          <v:shape id="_x0000_i1041" o:spt="75" type="#_x0000_t75" style="height:19.85pt;width:19.85pt;" o:ole="t" filled="f" o:preferrelative="t" stroked="f" coordsize="21600,21600">
            <v:path/>
            <v:fill on="f" focussize="0,0"/>
            <v:stroke on="f"/>
            <v:imagedata r:id="rId46" o:title=""/>
            <o:lock v:ext="edit" aspectratio="t"/>
            <w10:wrap type="none"/>
            <w10:anchorlock/>
          </v:shape>
          <o:OLEObject Type="Embed" ProgID="Equation.3" ShapeID="_x0000_i1041" DrawAspect="Content" ObjectID="_1468075741" r:id="rId45">
            <o:LockedField>false</o:LockedField>
          </o:OLEObject>
        </w:object>
      </w:r>
      <w:r>
        <w:rPr>
          <w:rFonts w:hint="default" w:ascii="Calibri" w:hAnsi="Calibri" w:eastAsia="宋体" w:cs="Calibri"/>
          <w:color w:val="auto"/>
          <w:szCs w:val="24"/>
          <w:highlight w:val="none"/>
          <w:vertAlign w:val="subscript"/>
        </w:rPr>
        <w:t>————</w:t>
      </w:r>
      <w:r>
        <w:rPr>
          <w:rFonts w:hint="default" w:ascii="Calibri" w:hAnsi="Calibri" w:eastAsia="宋体" w:cs="Calibri"/>
          <w:color w:val="auto"/>
          <w:szCs w:val="24"/>
          <w:highlight w:val="none"/>
          <w:lang w:val="zh-CN"/>
        </w:rPr>
        <w:t>由各导线的虚部电荷在该点产生场强的垂直分量。</w:t>
      </w:r>
    </w:p>
    <w:p w14:paraId="51C4DDA0">
      <w:pPr>
        <w:pStyle w:val="59"/>
        <w:keepNext w:val="0"/>
        <w:keepLines w:val="0"/>
        <w:pageBreakBefore w:val="0"/>
        <w:widowControl w:val="0"/>
        <w:kinsoku/>
        <w:wordWrap/>
        <w:overflowPunct/>
        <w:topLinePunct w:val="0"/>
        <w:autoSpaceDE/>
        <w:autoSpaceDN/>
        <w:bidi w:val="0"/>
        <w:adjustRightInd/>
        <w:snapToGrid/>
        <w:spacing w:line="480" w:lineRule="exact"/>
        <w:ind w:firstLine="698" w:firstLineChars="291"/>
        <w:textAlignment w:val="auto"/>
        <w:rPr>
          <w:rFonts w:hint="default" w:ascii="Calibri" w:hAnsi="Calibri" w:eastAsia="宋体" w:cs="Calibri"/>
          <w:color w:val="auto"/>
          <w:szCs w:val="24"/>
          <w:highlight w:val="none"/>
          <w:lang w:val="zh-CN"/>
        </w:rPr>
      </w:pPr>
      <w:r>
        <w:rPr>
          <w:rFonts w:hint="default" w:ascii="Calibri" w:hAnsi="Calibri" w:eastAsia="宋体" w:cs="Calibri"/>
          <w:color w:val="auto"/>
          <w:szCs w:val="24"/>
          <w:highlight w:val="none"/>
          <w:lang w:val="zh-CN"/>
        </w:rPr>
        <w:t>该点的合成的电场强度则为：</w:t>
      </w:r>
    </w:p>
    <w:p w14:paraId="0E291BD7">
      <w:pPr>
        <w:pStyle w:val="57"/>
        <w:ind w:firstLine="2916" w:firstLineChars="1215"/>
        <w:rPr>
          <w:rStyle w:val="58"/>
          <w:rFonts w:hint="default" w:ascii="Calibri" w:hAnsi="Calibri" w:eastAsia="宋体" w:cs="Calibri"/>
          <w:color w:val="auto"/>
          <w:szCs w:val="24"/>
          <w:highlight w:val="none"/>
        </w:rPr>
      </w:pPr>
      <w:r>
        <w:rPr>
          <w:rFonts w:hint="default" w:ascii="Calibri" w:hAnsi="Calibri" w:eastAsia="宋体" w:cs="Calibri"/>
          <w:color w:val="auto"/>
          <w:position w:val="-12"/>
          <w:szCs w:val="24"/>
          <w:highlight w:val="none"/>
        </w:rPr>
        <w:object>
          <v:shape id="_x0000_i1042" o:spt="75" type="#_x0000_t75" style="height:22.35pt;width:91.85pt;" o:ole="t" filled="f" o:preferrelative="t" stroked="f" coordsize="21600,21600">
            <v:path/>
            <v:fill on="f" focussize="0,0"/>
            <v:stroke on="f"/>
            <v:imagedata r:id="rId48" o:title=""/>
            <o:lock v:ext="edit" aspectratio="t"/>
            <w10:wrap type="none"/>
            <w10:anchorlock/>
          </v:shape>
          <o:OLEObject Type="Embed" ProgID="Equation.3" ShapeID="_x0000_i1042" DrawAspect="Content" ObjectID="_1468075742" r:id="rId47">
            <o:LockedField>false</o:LockedField>
          </o:OLEObject>
        </w:object>
      </w:r>
      <w:r>
        <w:rPr>
          <w:rStyle w:val="58"/>
          <w:rFonts w:hint="default" w:ascii="Calibri" w:hAnsi="Calibri" w:eastAsia="宋体" w:cs="Calibri"/>
          <w:color w:val="auto"/>
          <w:szCs w:val="24"/>
          <w:highlight w:val="none"/>
        </w:rPr>
        <w:t xml:space="preserve"> + </w:t>
      </w:r>
      <w:r>
        <w:rPr>
          <w:rFonts w:hint="default" w:ascii="Calibri" w:hAnsi="Calibri" w:eastAsia="宋体" w:cs="Calibri"/>
          <w:color w:val="auto"/>
          <w:position w:val="-14"/>
          <w:szCs w:val="24"/>
          <w:highlight w:val="none"/>
        </w:rPr>
        <w:object>
          <v:shape id="_x0000_i1043" o:spt="75" type="#_x0000_t75" style="height:22.35pt;width:67pt;" o:ole="t" filled="f" o:preferrelative="t" stroked="f" coordsize="21600,21600">
            <v:path/>
            <v:fill on="f" focussize="0,0"/>
            <v:stroke on="f"/>
            <v:imagedata r:id="rId50" o:title=""/>
            <o:lock v:ext="edit" aspectratio="t"/>
            <w10:wrap type="none"/>
            <w10:anchorlock/>
          </v:shape>
          <o:OLEObject Type="Embed" ProgID="Equation.3" ShapeID="_x0000_i1043" DrawAspect="Content" ObjectID="_1468075743" r:id="rId49">
            <o:LockedField>false</o:LockedField>
          </o:OLEObject>
        </w:object>
      </w:r>
    </w:p>
    <w:p w14:paraId="4C9025EB">
      <w:pPr>
        <w:pStyle w:val="7"/>
        <w:ind w:firstLine="3151" w:firstLineChars="1313"/>
        <w:rPr>
          <w:rStyle w:val="58"/>
          <w:rFonts w:hint="default" w:ascii="Calibri" w:hAnsi="Calibri" w:eastAsia="宋体" w:cs="Calibri"/>
          <w:color w:val="auto"/>
          <w:szCs w:val="24"/>
          <w:highlight w:val="none"/>
        </w:rPr>
      </w:pPr>
      <w:r>
        <w:rPr>
          <w:rFonts w:hint="default" w:ascii="Calibri" w:hAnsi="Calibri" w:eastAsia="宋体" w:cs="Calibri"/>
          <w:color w:val="auto"/>
          <w:position w:val="-14"/>
          <w:sz w:val="24"/>
          <w:szCs w:val="24"/>
          <w:highlight w:val="none"/>
        </w:rPr>
        <w:object>
          <v:shape id="_x0000_i1044" o:spt="75" type="#_x0000_t75" style="height:22.35pt;width:49.65pt;" o:ole="t" filled="f" o:preferrelative="t" stroked="f" coordsize="21600,21600">
            <v:path/>
            <v:fill on="f" focussize="0,0"/>
            <v:stroke on="f"/>
            <v:imagedata r:id="rId52" o:title=""/>
            <o:lock v:ext="edit" aspectratio="t"/>
            <w10:wrap type="none"/>
            <w10:anchorlock/>
          </v:shape>
          <o:OLEObject Type="Embed" ProgID="Equation.3" ShapeID="_x0000_i1044" DrawAspect="Content" ObjectID="_1468075744" r:id="rId51">
            <o:LockedField>false</o:LockedField>
          </o:OLEObject>
        </w:object>
      </w:r>
      <w:r>
        <w:rPr>
          <w:rStyle w:val="58"/>
          <w:rFonts w:hint="default" w:ascii="Calibri" w:hAnsi="Calibri" w:eastAsia="宋体" w:cs="Calibri"/>
          <w:color w:val="auto"/>
          <w:szCs w:val="24"/>
          <w:highlight w:val="none"/>
        </w:rPr>
        <w:tab/>
      </w:r>
      <w:r>
        <w:rPr>
          <w:rFonts w:hint="default" w:ascii="Calibri" w:hAnsi="Calibri" w:eastAsia="宋体" w:cs="Calibri"/>
          <w:color w:val="auto"/>
          <w:sz w:val="24"/>
          <w:szCs w:val="24"/>
          <w:highlight w:val="none"/>
        </w:rPr>
        <w:t xml:space="preserve">             </w:t>
      </w:r>
    </w:p>
    <w:p w14:paraId="5C1890B5">
      <w:pPr>
        <w:pStyle w:val="59"/>
        <w:ind w:firstLine="698" w:firstLineChars="291"/>
        <w:rPr>
          <w:rFonts w:hint="default" w:ascii="Calibri" w:hAnsi="Calibri" w:eastAsia="宋体" w:cs="Calibri"/>
          <w:color w:val="auto"/>
          <w:szCs w:val="24"/>
          <w:highlight w:val="none"/>
          <w:lang w:val="zh-CN"/>
        </w:rPr>
      </w:pPr>
      <w:r>
        <w:rPr>
          <w:rFonts w:hint="default" w:ascii="Calibri" w:hAnsi="Calibri" w:eastAsia="宋体" w:cs="Calibri"/>
          <w:color w:val="auto"/>
          <w:szCs w:val="24"/>
          <w:highlight w:val="none"/>
          <w:lang w:val="zh-CN"/>
        </w:rPr>
        <w:t>式中：</w:t>
      </w:r>
    </w:p>
    <w:p w14:paraId="2A657ED3">
      <w:pPr>
        <w:pStyle w:val="57"/>
        <w:ind w:firstLine="2916" w:firstLineChars="1215"/>
        <w:rPr>
          <w:rStyle w:val="58"/>
          <w:rFonts w:hint="default" w:ascii="Calibri" w:hAnsi="Calibri" w:eastAsia="宋体" w:cs="Calibri"/>
          <w:color w:val="auto"/>
          <w:szCs w:val="24"/>
          <w:highlight w:val="none"/>
        </w:rPr>
      </w:pPr>
      <w:r>
        <w:rPr>
          <w:rFonts w:hint="default" w:ascii="Calibri" w:hAnsi="Calibri" w:eastAsia="宋体" w:cs="Calibri"/>
          <w:color w:val="auto"/>
          <w:position w:val="-14"/>
          <w:szCs w:val="24"/>
          <w:highlight w:val="none"/>
        </w:rPr>
        <w:object>
          <v:shape id="_x0000_i1045" o:spt="75" type="#_x0000_t75" style="height:22.35pt;width:83.2pt;" o:ole="t" filled="f" o:preferrelative="t" stroked="f" coordsize="21600,21600">
            <v:path/>
            <v:fill on="f" focussize="0,0"/>
            <v:stroke on="f"/>
            <v:imagedata r:id="rId54" o:title=""/>
            <o:lock v:ext="edit" aspectratio="t"/>
            <w10:wrap type="none"/>
            <w10:anchorlock/>
          </v:shape>
          <o:OLEObject Type="Embed" ProgID="Equation.3" ShapeID="_x0000_i1045" DrawAspect="Content" ObjectID="_1468075745" r:id="rId53">
            <o:LockedField>false</o:LockedField>
          </o:OLEObject>
        </w:object>
      </w:r>
      <w:r>
        <w:rPr>
          <w:rFonts w:hint="default" w:ascii="Calibri" w:hAnsi="Calibri" w:eastAsia="宋体" w:cs="Calibri"/>
          <w:color w:val="auto"/>
          <w:szCs w:val="24"/>
          <w:highlight w:val="none"/>
        </w:rPr>
        <w:t xml:space="preserve">             </w:t>
      </w:r>
    </w:p>
    <w:p w14:paraId="3D4B8799">
      <w:pPr>
        <w:autoSpaceDE w:val="0"/>
        <w:autoSpaceDN w:val="0"/>
        <w:adjustRightInd w:val="0"/>
        <w:spacing w:line="480" w:lineRule="exact"/>
        <w:ind w:firstLine="2880" w:firstLineChars="1200"/>
        <w:rPr>
          <w:rFonts w:hint="default" w:ascii="Calibri" w:hAnsi="Calibri" w:eastAsia="宋体" w:cs="Calibri"/>
          <w:color w:val="auto"/>
          <w:sz w:val="24"/>
          <w:highlight w:val="none"/>
        </w:rPr>
      </w:pPr>
      <w:r>
        <w:rPr>
          <w:rFonts w:hint="default" w:ascii="Calibri" w:hAnsi="Calibri" w:eastAsia="宋体" w:cs="Calibri"/>
          <w:color w:val="auto"/>
          <w:position w:val="-16"/>
          <w:sz w:val="24"/>
          <w:highlight w:val="none"/>
        </w:rPr>
        <w:object>
          <v:shape id="_x0000_i1046" o:spt="75" type="#_x0000_t75" style="height:22.35pt;width:83.15pt;" o:ole="t" filled="f" o:preferrelative="t" stroked="f" coordsize="21600,21600">
            <v:path/>
            <v:fill on="f" focussize="0,0"/>
            <v:stroke on="f"/>
            <v:imagedata r:id="rId56" o:title=""/>
            <o:lock v:ext="edit" aspectratio="t"/>
            <w10:wrap type="none"/>
            <w10:anchorlock/>
          </v:shape>
          <o:OLEObject Type="Embed" ProgID="Equation.3" ShapeID="_x0000_i1046" DrawAspect="Content" ObjectID="_1468075746" r:id="rId55">
            <o:LockedField>false</o:LockedField>
          </o:OLEObject>
        </w:object>
      </w:r>
      <w:r>
        <w:rPr>
          <w:rFonts w:hint="default" w:ascii="Calibri" w:hAnsi="Calibri" w:eastAsia="宋体" w:cs="Calibri"/>
          <w:color w:val="auto"/>
          <w:sz w:val="24"/>
          <w:highlight w:val="none"/>
        </w:rPr>
        <w:t xml:space="preserve">              </w:t>
      </w:r>
    </w:p>
    <w:p w14:paraId="3FCFF076">
      <w:pPr>
        <w:keepNext w:val="0"/>
        <w:keepLines w:val="0"/>
        <w:pageBreakBefore w:val="0"/>
        <w:widowControl w:val="0"/>
        <w:kinsoku/>
        <w:wordWrap/>
        <w:overflowPunct/>
        <w:topLinePunct w:val="0"/>
        <w:autoSpaceDE w:val="0"/>
        <w:autoSpaceDN w:val="0"/>
        <w:bidi w:val="0"/>
        <w:adjustRightInd w:val="0"/>
        <w:snapToGrid/>
        <w:spacing w:before="156" w:beforeLines="50" w:line="480" w:lineRule="exact"/>
        <w:ind w:firstLine="482"/>
        <w:textAlignment w:val="auto"/>
        <w:rPr>
          <w:rFonts w:hint="default" w:ascii="Calibri" w:hAnsi="Calibri" w:eastAsia="宋体" w:cs="Calibri"/>
          <w:color w:val="auto"/>
          <w:sz w:val="24"/>
          <w:highlight w:val="none"/>
          <w:lang w:val="zh-CN"/>
        </w:rPr>
      </w:pPr>
      <w:r>
        <w:rPr>
          <w:rFonts w:hint="default" w:ascii="Calibri" w:hAnsi="Calibri" w:eastAsia="宋体" w:cs="Calibri"/>
          <w:color w:val="auto"/>
          <w:kern w:val="0"/>
          <w:sz w:val="24"/>
          <w:highlight w:val="none"/>
        </w:rPr>
        <w:t>②工频磁感应强度预测</w:t>
      </w:r>
    </w:p>
    <w:p w14:paraId="6535104A">
      <w:pPr>
        <w:keepNext w:val="0"/>
        <w:keepLines w:val="0"/>
        <w:pageBreakBefore w:val="0"/>
        <w:widowControl w:val="0"/>
        <w:kinsoku/>
        <w:wordWrap/>
        <w:overflowPunct/>
        <w:topLinePunct w:val="0"/>
        <w:autoSpaceDE w:val="0"/>
        <w:autoSpaceDN w:val="0"/>
        <w:bidi w:val="0"/>
        <w:adjustRightInd w:val="0"/>
        <w:snapToGrid/>
        <w:spacing w:line="480" w:lineRule="exact"/>
        <w:ind w:firstLine="480"/>
        <w:textAlignment w:val="auto"/>
        <w:rPr>
          <w:rFonts w:hint="default" w:ascii="Calibri" w:hAnsi="Calibri" w:eastAsia="宋体" w:cs="Calibri"/>
          <w:color w:val="auto"/>
          <w:sz w:val="24"/>
          <w:highlight w:val="none"/>
          <w:lang w:val="zh-CN"/>
        </w:rPr>
      </w:pPr>
      <w:r>
        <w:rPr>
          <w:rFonts w:hint="default" w:ascii="Calibri" w:hAnsi="Calibri" w:eastAsia="宋体" w:cs="Calibri"/>
          <w:color w:val="auto"/>
          <w:sz w:val="24"/>
          <w:highlight w:val="none"/>
          <w:lang w:val="zh-CN"/>
        </w:rPr>
        <w:t>由于工频情况下电磁性能具有准静态特性，线路的磁场仅由电流产生。应用安培定律，将计算结果按矢量叠加，可得出导线周围的磁场强度。</w:t>
      </w:r>
    </w:p>
    <w:p w14:paraId="770BE3AB">
      <w:pPr>
        <w:keepNext w:val="0"/>
        <w:keepLines w:val="0"/>
        <w:pageBreakBefore w:val="0"/>
        <w:widowControl w:val="0"/>
        <w:kinsoku/>
        <w:wordWrap/>
        <w:overflowPunct/>
        <w:topLinePunct w:val="0"/>
        <w:autoSpaceDE w:val="0"/>
        <w:autoSpaceDN w:val="0"/>
        <w:bidi w:val="0"/>
        <w:adjustRightInd w:val="0"/>
        <w:snapToGrid/>
        <w:spacing w:line="480" w:lineRule="exact"/>
        <w:ind w:firstLine="480"/>
        <w:textAlignment w:val="auto"/>
        <w:rPr>
          <w:rFonts w:hint="default" w:ascii="Calibri" w:hAnsi="Calibri" w:eastAsia="宋体" w:cs="Calibri"/>
          <w:color w:val="auto"/>
          <w:sz w:val="24"/>
          <w:highlight w:val="none"/>
          <w:lang w:val="zh-CN"/>
        </w:rPr>
      </w:pPr>
      <w:r>
        <w:rPr>
          <w:rFonts w:hint="default" w:ascii="Calibri" w:hAnsi="Calibri" w:eastAsia="宋体" w:cs="Calibri"/>
          <w:color w:val="auto"/>
          <w:sz w:val="24"/>
          <w:highlight w:val="none"/>
          <w:lang w:val="zh-CN"/>
        </w:rPr>
        <w:t>和电场强度计算不同的是关于镜像导线的考虑，与导线所处高度相比这些镜像导线位于地下很深的距离</w:t>
      </w:r>
      <w:r>
        <w:rPr>
          <w:rFonts w:hint="default" w:ascii="Calibri" w:hAnsi="Calibri" w:eastAsia="宋体" w:cs="Calibri"/>
          <w:i/>
          <w:color w:val="auto"/>
          <w:sz w:val="24"/>
          <w:highlight w:val="none"/>
          <w:lang w:val="zh-CN"/>
        </w:rPr>
        <w:t>d</w:t>
      </w:r>
      <w:r>
        <w:rPr>
          <w:rFonts w:hint="default" w:ascii="Calibri" w:hAnsi="Calibri" w:eastAsia="宋体" w:cs="Calibri"/>
          <w:color w:val="auto"/>
          <w:sz w:val="24"/>
          <w:highlight w:val="none"/>
          <w:lang w:val="zh-CN"/>
        </w:rPr>
        <w:t>：</w:t>
      </w:r>
    </w:p>
    <w:p w14:paraId="16D13E99">
      <w:pPr>
        <w:pStyle w:val="59"/>
        <w:ind w:firstLine="2880" w:firstLineChars="1200"/>
        <w:rPr>
          <w:rFonts w:hint="default" w:ascii="Calibri" w:hAnsi="Calibri" w:eastAsia="宋体" w:cs="Calibri"/>
          <w:color w:val="auto"/>
          <w:szCs w:val="24"/>
          <w:highlight w:val="none"/>
        </w:rPr>
      </w:pPr>
      <w:r>
        <w:rPr>
          <w:rFonts w:hint="default" w:ascii="Calibri" w:hAnsi="Calibri" w:eastAsia="宋体" w:cs="Calibri"/>
          <w:color w:val="auto"/>
          <w:position w:val="-30"/>
          <w:szCs w:val="24"/>
          <w:highlight w:val="none"/>
        </w:rPr>
        <w:object>
          <v:shape id="_x0000_i1047" o:spt="75" type="#_x0000_t75" style="height:37.25pt;width:59.6pt;" o:ole="t" filled="f" o:preferrelative="t" stroked="f" coordsize="21600,21600">
            <v:path/>
            <v:fill on="f" focussize="0,0"/>
            <v:stroke on="f"/>
            <v:imagedata r:id="rId58" o:title=""/>
            <o:lock v:ext="edit" aspectratio="t"/>
            <w10:wrap type="none"/>
            <w10:anchorlock/>
          </v:shape>
          <o:OLEObject Type="Embed" ProgID="Equation.3" ShapeID="_x0000_i1047" DrawAspect="Content" ObjectID="_1468075747" r:id="rId57">
            <o:LockedField>false</o:LockedField>
          </o:OLEObject>
        </w:object>
      </w:r>
      <w:r>
        <w:rPr>
          <w:rFonts w:hint="default" w:ascii="Calibri" w:hAnsi="Calibri" w:eastAsia="宋体" w:cs="Calibri"/>
          <w:color w:val="auto"/>
          <w:szCs w:val="24"/>
          <w:highlight w:val="none"/>
        </w:rPr>
        <w:t xml:space="preserve"> </w:t>
      </w:r>
      <w:r>
        <w:rPr>
          <w:rFonts w:hint="eastAsia" w:ascii="Calibri" w:hAnsi="Calibri" w:eastAsia="宋体" w:cs="Calibri"/>
          <w:color w:val="auto"/>
          <w:szCs w:val="24"/>
          <w:highlight w:val="none"/>
          <w:lang w:eastAsia="zh-CN"/>
        </w:rPr>
        <w:t>(</w:t>
      </w:r>
      <w:r>
        <w:rPr>
          <w:rFonts w:hint="default" w:ascii="Calibri" w:hAnsi="Calibri" w:eastAsia="宋体" w:cs="Calibri"/>
          <w:color w:val="auto"/>
          <w:szCs w:val="24"/>
          <w:highlight w:val="none"/>
        </w:rPr>
        <w:t>m</w:t>
      </w:r>
      <w:r>
        <w:rPr>
          <w:rFonts w:hint="eastAsia" w:ascii="Calibri" w:hAnsi="Calibri" w:eastAsia="宋体" w:cs="Calibri"/>
          <w:color w:val="auto"/>
          <w:szCs w:val="24"/>
          <w:highlight w:val="none"/>
          <w:lang w:eastAsia="zh-CN"/>
        </w:rPr>
        <w:t>)</w:t>
      </w:r>
      <w:r>
        <w:rPr>
          <w:rFonts w:hint="default" w:ascii="Calibri" w:hAnsi="Calibri" w:eastAsia="宋体" w:cs="Calibri"/>
          <w:color w:val="auto"/>
          <w:szCs w:val="24"/>
          <w:highlight w:val="none"/>
        </w:rPr>
        <w:t xml:space="preserve">           </w:t>
      </w:r>
    </w:p>
    <w:p w14:paraId="1F3AFB01">
      <w:pPr>
        <w:pStyle w:val="59"/>
        <w:spacing w:line="360" w:lineRule="auto"/>
        <w:ind w:firstLine="480"/>
        <w:rPr>
          <w:rFonts w:hint="default" w:ascii="Calibri" w:hAnsi="Calibri" w:eastAsia="宋体" w:cs="Calibri"/>
          <w:color w:val="auto"/>
          <w:szCs w:val="24"/>
          <w:highlight w:val="none"/>
        </w:rPr>
      </w:pPr>
      <w:r>
        <w:rPr>
          <w:rFonts w:hint="default" w:ascii="Calibri" w:hAnsi="Calibri" w:eastAsia="宋体" w:cs="Calibri"/>
          <w:color w:val="auto"/>
          <w:szCs w:val="24"/>
          <w:highlight w:val="none"/>
          <w:lang w:val="zh-CN"/>
        </w:rPr>
        <w:t>式中：</w:t>
      </w:r>
      <w:r>
        <w:rPr>
          <w:rFonts w:hint="default" w:ascii="Calibri" w:hAnsi="Calibri" w:eastAsia="宋体" w:cs="Calibri"/>
          <w:i/>
          <w:color w:val="auto"/>
          <w:szCs w:val="24"/>
          <w:highlight w:val="none"/>
        </w:rPr>
        <w:t>ρ</w:t>
      </w:r>
      <w:r>
        <w:rPr>
          <w:rFonts w:hint="default" w:ascii="Calibri" w:hAnsi="Calibri" w:eastAsia="宋体" w:cs="Calibri"/>
          <w:color w:val="auto"/>
          <w:szCs w:val="24"/>
          <w:highlight w:val="none"/>
        </w:rPr>
        <w:t>——</w:t>
      </w:r>
      <w:r>
        <w:rPr>
          <w:rFonts w:hint="default" w:ascii="Calibri" w:hAnsi="Calibri" w:eastAsia="宋体" w:cs="Calibri"/>
          <w:color w:val="auto"/>
          <w:szCs w:val="24"/>
          <w:highlight w:val="none"/>
          <w:lang w:val="zh-CN"/>
        </w:rPr>
        <w:t>大地电阻率</w:t>
      </w:r>
      <w:r>
        <w:rPr>
          <w:rFonts w:hint="default" w:ascii="Calibri" w:hAnsi="Calibri" w:eastAsia="宋体" w:cs="Calibri"/>
          <w:color w:val="auto"/>
          <w:szCs w:val="24"/>
          <w:highlight w:val="none"/>
        </w:rPr>
        <w:t>，</w:t>
      </w:r>
      <w:r>
        <w:rPr>
          <w:rFonts w:hint="default" w:ascii="Calibri" w:hAnsi="Calibri" w:eastAsia="宋体" w:cs="Calibri"/>
          <w:color w:val="auto"/>
          <w:position w:val="-6"/>
          <w:szCs w:val="24"/>
          <w:highlight w:val="none"/>
        </w:rPr>
        <w:object>
          <v:shape id="_x0000_i1048" o:spt="75" type="#_x0000_t75" style="height:14.9pt;width:29.8pt;" o:ole="t" filled="f" o:preferrelative="t" stroked="f" coordsize="21600,21600">
            <v:path/>
            <v:fill on="f" focussize="0,0"/>
            <v:stroke on="f"/>
            <v:imagedata r:id="rId60" o:title=""/>
            <o:lock v:ext="edit" aspectratio="t"/>
            <w10:wrap type="none"/>
            <w10:anchorlock/>
          </v:shape>
          <o:OLEObject Type="Embed" ProgID="Equation.3" ShapeID="_x0000_i1048" DrawAspect="Content" ObjectID="_1468075748" r:id="rId59">
            <o:LockedField>false</o:LockedField>
          </o:OLEObject>
        </w:object>
      </w:r>
      <w:r>
        <w:rPr>
          <w:rFonts w:hint="default" w:ascii="Calibri" w:hAnsi="Calibri" w:eastAsia="宋体" w:cs="Calibri"/>
          <w:color w:val="auto"/>
          <w:szCs w:val="24"/>
          <w:highlight w:val="none"/>
        </w:rPr>
        <w:t>；</w:t>
      </w:r>
    </w:p>
    <w:p w14:paraId="694207C1">
      <w:pPr>
        <w:pStyle w:val="7"/>
        <w:spacing w:line="360" w:lineRule="auto"/>
        <w:ind w:firstLine="1178" w:firstLineChars="491"/>
        <w:rPr>
          <w:rStyle w:val="58"/>
          <w:rFonts w:hint="default" w:ascii="Calibri" w:hAnsi="Calibri" w:eastAsia="宋体" w:cs="Calibri"/>
          <w:color w:val="auto"/>
          <w:szCs w:val="24"/>
          <w:highlight w:val="none"/>
        </w:rPr>
      </w:pPr>
      <w:r>
        <w:rPr>
          <w:rFonts w:hint="default" w:ascii="Calibri" w:hAnsi="Calibri" w:eastAsia="宋体" w:cs="Calibri"/>
          <w:i/>
          <w:color w:val="auto"/>
          <w:sz w:val="24"/>
          <w:szCs w:val="24"/>
          <w:highlight w:val="none"/>
        </w:rPr>
        <w:t>f</w:t>
      </w:r>
      <w:r>
        <w:rPr>
          <w:rStyle w:val="58"/>
          <w:rFonts w:hint="default" w:ascii="Calibri" w:hAnsi="Calibri" w:eastAsia="宋体" w:cs="Calibri"/>
          <w:color w:val="auto"/>
          <w:szCs w:val="24"/>
          <w:highlight w:val="none"/>
        </w:rPr>
        <w:t>——</w:t>
      </w:r>
      <w:r>
        <w:rPr>
          <w:rFonts w:hint="default" w:ascii="Calibri" w:hAnsi="Calibri" w:eastAsia="宋体" w:cs="Calibri"/>
          <w:color w:val="auto"/>
          <w:sz w:val="24"/>
          <w:szCs w:val="24"/>
          <w:highlight w:val="none"/>
          <w:lang w:val="zh-CN"/>
        </w:rPr>
        <w:t>频率，</w:t>
      </w:r>
      <w:r>
        <w:rPr>
          <w:rStyle w:val="58"/>
          <w:rFonts w:hint="default" w:ascii="Calibri" w:hAnsi="Calibri" w:eastAsia="宋体" w:cs="Calibri"/>
          <w:color w:val="auto"/>
          <w:szCs w:val="24"/>
          <w:highlight w:val="none"/>
        </w:rPr>
        <w:t>Hz。</w:t>
      </w:r>
    </w:p>
    <w:p w14:paraId="2140D885">
      <w:pPr>
        <w:keepNext w:val="0"/>
        <w:keepLines w:val="0"/>
        <w:pageBreakBefore w:val="0"/>
        <w:widowControl w:val="0"/>
        <w:kinsoku/>
        <w:wordWrap/>
        <w:overflowPunct/>
        <w:topLinePunct w:val="0"/>
        <w:autoSpaceDE w:val="0"/>
        <w:autoSpaceDN w:val="0"/>
        <w:bidi w:val="0"/>
        <w:adjustRightInd w:val="0"/>
        <w:snapToGrid/>
        <w:spacing w:line="480" w:lineRule="exact"/>
        <w:ind w:firstLine="482"/>
        <w:textAlignment w:val="auto"/>
        <w:rPr>
          <w:rFonts w:hint="default" w:ascii="Calibri" w:hAnsi="Calibri" w:eastAsia="宋体" w:cs="Calibri"/>
          <w:color w:val="auto"/>
          <w:sz w:val="24"/>
          <w:highlight w:val="none"/>
          <w:lang w:val="zh-CN"/>
        </w:rPr>
      </w:pPr>
      <w:r>
        <w:rPr>
          <w:rFonts w:hint="default" w:ascii="Calibri" w:hAnsi="Calibri" w:eastAsia="宋体" w:cs="Calibri"/>
          <w:color w:val="auto"/>
          <w:sz w:val="24"/>
          <w:highlight w:val="none"/>
          <w:lang w:val="zh-CN"/>
        </w:rPr>
        <w:t>在很多情况下，只考虑处于空间的实际导线，忽略它的镜像进行计算，其结果已足够符合实际。如图3-4，考虑导线</w:t>
      </w:r>
      <w:r>
        <w:rPr>
          <w:rFonts w:hint="default" w:ascii="Calibri" w:hAnsi="Calibri" w:eastAsia="宋体" w:cs="Calibri"/>
          <w:i/>
          <w:color w:val="auto"/>
          <w:sz w:val="24"/>
          <w:highlight w:val="none"/>
          <w:lang w:val="zh-CN"/>
        </w:rPr>
        <w:t>i</w:t>
      </w:r>
      <w:r>
        <w:rPr>
          <w:rFonts w:hint="default" w:ascii="Calibri" w:hAnsi="Calibri" w:eastAsia="宋体" w:cs="Calibri"/>
          <w:color w:val="auto"/>
          <w:sz w:val="24"/>
          <w:highlight w:val="none"/>
          <w:lang w:val="zh-CN"/>
        </w:rPr>
        <w:t>的镜像时，可计算在A点其产生的磁场强度：</w:t>
      </w:r>
    </w:p>
    <w:p w14:paraId="209C52AB">
      <w:pPr>
        <w:pStyle w:val="7"/>
        <w:ind w:firstLine="2880" w:firstLineChars="1200"/>
        <w:rPr>
          <w:rStyle w:val="58"/>
          <w:rFonts w:hint="default" w:ascii="Calibri" w:hAnsi="Calibri" w:eastAsia="宋体" w:cs="Calibri"/>
          <w:color w:val="auto"/>
          <w:szCs w:val="24"/>
          <w:highlight w:val="none"/>
        </w:rPr>
      </w:pPr>
      <w:r>
        <w:rPr>
          <w:rFonts w:hint="eastAsia" w:ascii="Calibri" w:hAnsi="Calibri" w:cs="Calibri"/>
          <w:color w:val="auto"/>
          <w:sz w:val="24"/>
          <w:szCs w:val="24"/>
          <w:highlight w:val="none"/>
          <w:lang w:eastAsia="zh-CN"/>
        </w:rPr>
        <w:t>=</w:t>
      </w:r>
      <w:r>
        <w:rPr>
          <w:rFonts w:hint="default" w:ascii="Calibri" w:hAnsi="Calibri" w:eastAsia="宋体" w:cs="Calibri"/>
          <w:color w:val="auto"/>
          <w:position w:val="-30"/>
          <w:sz w:val="24"/>
          <w:szCs w:val="24"/>
          <w:highlight w:val="none"/>
        </w:rPr>
        <w:object>
          <v:shape id="_x0000_i1049" o:spt="75" type="#_x0000_t75" style="height:34.75pt;width:62.05pt;" o:ole="t" filled="f" o:preferrelative="t" stroked="f" coordsize="21600,21600">
            <v:path/>
            <v:fill on="f" focussize="0,0"/>
            <v:stroke on="f"/>
            <v:imagedata r:id="rId62" o:title=""/>
            <o:lock v:ext="edit" aspectratio="t"/>
            <w10:wrap type="none"/>
            <w10:anchorlock/>
          </v:shape>
          <o:OLEObject Type="Embed" ProgID="Equation.3" ShapeID="_x0000_i1049" DrawAspect="Content" ObjectID="_1468075749" r:id="rId61">
            <o:LockedField>false</o:LockedField>
          </o:OLEObject>
        </w:object>
      </w:r>
      <w:r>
        <w:rPr>
          <w:rFonts w:hint="default" w:ascii="Calibri" w:hAnsi="Calibri" w:eastAsia="宋体" w:cs="Calibri"/>
          <w:color w:val="auto"/>
          <w:sz w:val="24"/>
          <w:szCs w:val="24"/>
          <w:highlight w:val="none"/>
        </w:rPr>
        <w:t xml:space="preserve"> </w:t>
      </w:r>
      <w:r>
        <w:rPr>
          <w:rFonts w:hint="eastAsia" w:ascii="Calibri" w:hAnsi="Calibri" w:cs="Calibri"/>
          <w:color w:val="auto"/>
          <w:sz w:val="24"/>
          <w:szCs w:val="24"/>
          <w:highlight w:val="none"/>
          <w:lang w:eastAsia="zh-CN"/>
        </w:rPr>
        <w:t>(</w:t>
      </w:r>
      <w:r>
        <w:rPr>
          <w:rFonts w:hint="default" w:ascii="Calibri" w:hAnsi="Calibri" w:eastAsia="宋体" w:cs="Calibri"/>
          <w:color w:val="auto"/>
          <w:sz w:val="24"/>
          <w:szCs w:val="24"/>
          <w:highlight w:val="none"/>
        </w:rPr>
        <w:t>A/m</w:t>
      </w:r>
      <w:r>
        <w:rPr>
          <w:rFonts w:hint="eastAsia" w:ascii="Calibri" w:hAnsi="Calibri" w:cs="Calibri"/>
          <w:color w:val="auto"/>
          <w:sz w:val="24"/>
          <w:szCs w:val="24"/>
          <w:highlight w:val="none"/>
          <w:lang w:eastAsia="zh-CN"/>
        </w:rPr>
        <w:t>)</w:t>
      </w:r>
      <w:r>
        <w:rPr>
          <w:rFonts w:hint="default" w:ascii="Calibri" w:hAnsi="Calibri" w:eastAsia="宋体" w:cs="Calibri"/>
          <w:color w:val="auto"/>
          <w:sz w:val="24"/>
          <w:szCs w:val="24"/>
          <w:highlight w:val="none"/>
        </w:rPr>
        <w:t xml:space="preserve">  </w:t>
      </w:r>
    </w:p>
    <w:p w14:paraId="33070EA8">
      <w:pPr>
        <w:keepNext w:val="0"/>
        <w:keepLines w:val="0"/>
        <w:pageBreakBefore w:val="0"/>
        <w:widowControl w:val="0"/>
        <w:kinsoku/>
        <w:wordWrap/>
        <w:overflowPunct/>
        <w:topLinePunct w:val="0"/>
        <w:autoSpaceDE w:val="0"/>
        <w:autoSpaceDN w:val="0"/>
        <w:bidi w:val="0"/>
        <w:adjustRightInd w:val="0"/>
        <w:snapToGrid/>
        <w:spacing w:line="480" w:lineRule="exact"/>
        <w:ind w:firstLine="480"/>
        <w:textAlignment w:val="auto"/>
        <w:rPr>
          <w:rFonts w:hint="default" w:ascii="Calibri" w:hAnsi="Calibri" w:eastAsia="宋体" w:cs="Calibri"/>
          <w:color w:val="auto"/>
          <w:sz w:val="24"/>
          <w:highlight w:val="none"/>
          <w:lang w:val="zh-CN"/>
        </w:rPr>
      </w:pPr>
      <w:r>
        <w:rPr>
          <w:rFonts w:hint="default" w:ascii="Calibri" w:hAnsi="Calibri" w:eastAsia="宋体" w:cs="Calibri"/>
          <w:color w:val="auto"/>
          <w:sz w:val="24"/>
          <w:highlight w:val="none"/>
          <w:lang w:val="zh-CN"/>
        </w:rPr>
        <w:t>式中：</w:t>
      </w:r>
      <w:r>
        <w:rPr>
          <w:rFonts w:hint="default" w:ascii="Calibri" w:hAnsi="Calibri" w:eastAsia="宋体" w:cs="Calibri"/>
          <w:i/>
          <w:color w:val="auto"/>
          <w:sz w:val="24"/>
          <w:highlight w:val="none"/>
          <w:lang w:val="zh-CN"/>
        </w:rPr>
        <w:t>I</w:t>
      </w:r>
      <w:r>
        <w:rPr>
          <w:rFonts w:hint="default" w:ascii="Calibri" w:hAnsi="Calibri" w:eastAsia="宋体" w:cs="Calibri"/>
          <w:color w:val="auto"/>
          <w:sz w:val="24"/>
          <w:highlight w:val="none"/>
          <w:lang w:val="zh-CN"/>
        </w:rPr>
        <w:t>——导线i中的电流值，A；</w:t>
      </w:r>
    </w:p>
    <w:p w14:paraId="4BA8CD3D">
      <w:pPr>
        <w:keepNext w:val="0"/>
        <w:keepLines w:val="0"/>
        <w:pageBreakBefore w:val="0"/>
        <w:widowControl w:val="0"/>
        <w:kinsoku/>
        <w:wordWrap/>
        <w:overflowPunct/>
        <w:topLinePunct w:val="0"/>
        <w:autoSpaceDE w:val="0"/>
        <w:autoSpaceDN w:val="0"/>
        <w:bidi w:val="0"/>
        <w:adjustRightInd w:val="0"/>
        <w:snapToGrid/>
        <w:spacing w:line="480" w:lineRule="exact"/>
        <w:ind w:firstLine="1200" w:firstLineChars="500"/>
        <w:textAlignment w:val="auto"/>
        <w:rPr>
          <w:rFonts w:hint="default" w:ascii="Calibri" w:hAnsi="Calibri" w:eastAsia="宋体" w:cs="Calibri"/>
          <w:color w:val="auto"/>
          <w:sz w:val="24"/>
          <w:highlight w:val="none"/>
          <w:lang w:val="zh-CN"/>
        </w:rPr>
      </w:pPr>
      <w:r>
        <w:rPr>
          <w:rFonts w:hint="default" w:ascii="Calibri" w:hAnsi="Calibri" w:eastAsia="宋体" w:cs="Calibri"/>
          <w:i/>
          <w:color w:val="auto"/>
          <w:sz w:val="24"/>
          <w:highlight w:val="none"/>
          <w:lang w:val="zh-CN"/>
        </w:rPr>
        <w:t>h</w:t>
      </w:r>
      <w:r>
        <w:rPr>
          <w:rFonts w:hint="default" w:ascii="Calibri" w:hAnsi="Calibri" w:eastAsia="宋体" w:cs="Calibri"/>
          <w:color w:val="auto"/>
          <w:sz w:val="24"/>
          <w:highlight w:val="none"/>
          <w:lang w:val="zh-CN"/>
        </w:rPr>
        <w:t>——导线与预测点的高差，m；</w:t>
      </w:r>
    </w:p>
    <w:p w14:paraId="305FA1C4">
      <w:pPr>
        <w:keepNext w:val="0"/>
        <w:keepLines w:val="0"/>
        <w:pageBreakBefore w:val="0"/>
        <w:widowControl w:val="0"/>
        <w:kinsoku/>
        <w:wordWrap/>
        <w:overflowPunct/>
        <w:topLinePunct w:val="0"/>
        <w:autoSpaceDE w:val="0"/>
        <w:autoSpaceDN w:val="0"/>
        <w:bidi w:val="0"/>
        <w:adjustRightInd w:val="0"/>
        <w:snapToGrid/>
        <w:spacing w:line="480" w:lineRule="exact"/>
        <w:ind w:firstLine="1200" w:firstLineChars="500"/>
        <w:textAlignment w:val="auto"/>
        <w:rPr>
          <w:rFonts w:hint="default" w:ascii="Calibri" w:hAnsi="Calibri" w:eastAsia="宋体" w:cs="Calibri"/>
          <w:color w:val="auto"/>
          <w:sz w:val="24"/>
          <w:highlight w:val="none"/>
          <w:lang w:val="zh-CN"/>
        </w:rPr>
      </w:pPr>
      <w:r>
        <w:rPr>
          <w:rFonts w:hint="default" w:ascii="Calibri" w:hAnsi="Calibri" w:eastAsia="宋体" w:cs="Calibri"/>
          <w:i/>
          <w:color w:val="auto"/>
          <w:sz w:val="24"/>
          <w:highlight w:val="none"/>
          <w:lang w:val="zh-CN"/>
        </w:rPr>
        <w:t>L</w:t>
      </w:r>
      <w:r>
        <w:rPr>
          <w:rFonts w:hint="default" w:ascii="Calibri" w:hAnsi="Calibri" w:eastAsia="宋体" w:cs="Calibri"/>
          <w:color w:val="auto"/>
          <w:sz w:val="24"/>
          <w:highlight w:val="none"/>
          <w:lang w:val="zh-CN"/>
        </w:rPr>
        <w:t xml:space="preserve"> ——导线与预测点水平距离，m。</w:t>
      </w:r>
    </w:p>
    <w:p w14:paraId="43DBDC67">
      <w:pPr>
        <w:keepNext w:val="0"/>
        <w:keepLines w:val="0"/>
        <w:pageBreakBefore w:val="0"/>
        <w:widowControl w:val="0"/>
        <w:kinsoku/>
        <w:wordWrap/>
        <w:overflowPunct/>
        <w:topLinePunct w:val="0"/>
        <w:autoSpaceDE w:val="0"/>
        <w:autoSpaceDN w:val="0"/>
        <w:bidi w:val="0"/>
        <w:adjustRightInd w:val="0"/>
        <w:snapToGrid/>
        <w:spacing w:line="480" w:lineRule="exact"/>
        <w:ind w:firstLine="480"/>
        <w:textAlignment w:val="auto"/>
        <w:rPr>
          <w:rFonts w:hint="default" w:ascii="Calibri" w:hAnsi="Calibri" w:eastAsia="宋体" w:cs="Calibri"/>
          <w:color w:val="auto"/>
          <w:sz w:val="24"/>
          <w:highlight w:val="none"/>
          <w:lang w:val="zh-CN"/>
        </w:rPr>
      </w:pPr>
      <w:r>
        <w:rPr>
          <w:rFonts w:hint="default" w:ascii="Calibri" w:hAnsi="Calibri" w:eastAsia="宋体" w:cs="Calibri"/>
          <w:color w:val="auto"/>
          <w:sz w:val="24"/>
          <w:highlight w:val="none"/>
          <w:lang w:val="zh-CN"/>
        </w:rPr>
        <w:t>对于三相线路，由相位不同形成的磁场强度水平和垂直分量都应分别考虑电流间的相角，按相位矢量来合成。合成的旋转矢量在空间的轨迹是一个椭圆。</w:t>
      </w:r>
    </w:p>
    <w:p w14:paraId="11852C30">
      <w:pPr>
        <w:pStyle w:val="7"/>
        <w:ind w:firstLine="480"/>
        <w:jc w:val="center"/>
        <w:rPr>
          <w:rFonts w:hint="default" w:ascii="Calibri" w:hAnsi="Calibri" w:eastAsia="宋体" w:cs="Calibri"/>
          <w:color w:val="auto"/>
          <w:sz w:val="24"/>
          <w:szCs w:val="24"/>
          <w:highlight w:val="none"/>
        </w:rPr>
      </w:pPr>
      <w:r>
        <w:rPr>
          <w:rFonts w:hint="default" w:ascii="Calibri" w:hAnsi="Calibri" w:eastAsia="宋体" w:cs="Calibri"/>
          <w:color w:val="auto"/>
          <w:sz w:val="24"/>
          <w:szCs w:val="24"/>
          <w:highlight w:val="none"/>
        </w:rPr>
        <w:drawing>
          <wp:inline distT="0" distB="0" distL="114300" distR="114300">
            <wp:extent cx="2730500" cy="2115185"/>
            <wp:effectExtent l="0" t="0" r="12700" b="18415"/>
            <wp:docPr id="32" name="图片 3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descr="05"/>
                    <pic:cNvPicPr>
                      <a:picLocks noChangeAspect="1"/>
                    </pic:cNvPicPr>
                  </pic:nvPicPr>
                  <pic:blipFill>
                    <a:blip r:embed="rId63"/>
                    <a:stretch>
                      <a:fillRect/>
                    </a:stretch>
                  </pic:blipFill>
                  <pic:spPr>
                    <a:xfrm>
                      <a:off x="0" y="0"/>
                      <a:ext cx="2730500" cy="2115185"/>
                    </a:xfrm>
                    <a:prstGeom prst="rect">
                      <a:avLst/>
                    </a:prstGeom>
                    <a:noFill/>
                    <a:ln>
                      <a:noFill/>
                    </a:ln>
                  </pic:spPr>
                </pic:pic>
              </a:graphicData>
            </a:graphic>
          </wp:inline>
        </w:drawing>
      </w:r>
    </w:p>
    <w:p w14:paraId="2D2C9309">
      <w:pPr>
        <w:snapToGrid w:val="0"/>
        <w:spacing w:line="360" w:lineRule="auto"/>
        <w:ind w:firstLine="3614" w:firstLineChars="1500"/>
        <w:rPr>
          <w:rFonts w:hint="default" w:ascii="Calibri" w:hAnsi="Calibri" w:eastAsia="宋体" w:cs="Calibri"/>
          <w:color w:val="auto"/>
          <w:sz w:val="24"/>
          <w:szCs w:val="24"/>
        </w:rPr>
      </w:pPr>
      <w:bookmarkStart w:id="122" w:name="_Toc185260014"/>
      <w:r>
        <w:rPr>
          <w:rFonts w:hint="default" w:ascii="Calibri" w:hAnsi="Calibri" w:eastAsia="宋体" w:cs="Calibri"/>
          <w:b/>
          <w:color w:val="auto"/>
          <w:sz w:val="24"/>
          <w:szCs w:val="24"/>
          <w:highlight w:val="none"/>
        </w:rPr>
        <w:t>图</w:t>
      </w:r>
      <w:r>
        <w:rPr>
          <w:rFonts w:hint="default" w:ascii="Calibri" w:hAnsi="Calibri" w:eastAsia="宋体" w:cs="Calibri"/>
          <w:b/>
          <w:color w:val="auto"/>
          <w:sz w:val="24"/>
          <w:szCs w:val="24"/>
          <w:highlight w:val="none"/>
          <w:lang w:val="en-US" w:eastAsia="zh-CN"/>
        </w:rPr>
        <w:t>3</w:t>
      </w:r>
      <w:r>
        <w:rPr>
          <w:rFonts w:hint="default" w:ascii="Calibri" w:hAnsi="Calibri" w:eastAsia="宋体" w:cs="Calibri"/>
          <w:b/>
          <w:color w:val="auto"/>
          <w:sz w:val="24"/>
          <w:szCs w:val="24"/>
          <w:highlight w:val="none"/>
        </w:rPr>
        <w:t>-</w:t>
      </w:r>
      <w:r>
        <w:rPr>
          <w:rFonts w:hint="default" w:ascii="Calibri" w:hAnsi="Calibri" w:eastAsia="宋体" w:cs="Calibri"/>
          <w:b/>
          <w:color w:val="auto"/>
          <w:sz w:val="24"/>
          <w:szCs w:val="24"/>
          <w:highlight w:val="none"/>
          <w:lang w:val="en-US" w:eastAsia="zh-CN"/>
        </w:rPr>
        <w:t>4</w:t>
      </w:r>
      <w:r>
        <w:rPr>
          <w:rFonts w:hint="default" w:ascii="Calibri" w:hAnsi="Calibri" w:eastAsia="宋体" w:cs="Calibri"/>
          <w:b/>
          <w:color w:val="auto"/>
          <w:sz w:val="24"/>
          <w:szCs w:val="24"/>
          <w:highlight w:val="none"/>
        </w:rPr>
        <w:t xml:space="preserve">  磁场向量图</w:t>
      </w:r>
      <w:bookmarkEnd w:id="122"/>
    </w:p>
    <w:p w14:paraId="7281CF71">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textAlignment w:val="auto"/>
        <w:rPr>
          <w:rFonts w:hint="default" w:ascii="Calibri" w:hAnsi="Calibri" w:eastAsia="宋体" w:cs="Calibri"/>
          <w:color w:val="auto"/>
          <w:sz w:val="24"/>
        </w:rPr>
      </w:pPr>
    </w:p>
    <w:p w14:paraId="370D170C">
      <w:pPr>
        <w:keepNext w:val="0"/>
        <w:keepLines w:val="0"/>
        <w:pageBreakBefore w:val="0"/>
        <w:widowControl w:val="0"/>
        <w:kinsoku/>
        <w:wordWrap/>
        <w:overflowPunct/>
        <w:topLinePunct w:val="0"/>
        <w:autoSpaceDE/>
        <w:autoSpaceDN/>
        <w:bidi w:val="0"/>
        <w:adjustRightInd/>
        <w:snapToGrid w:val="0"/>
        <w:spacing w:line="480" w:lineRule="exact"/>
        <w:textAlignment w:val="auto"/>
        <w:outlineLvl w:val="2"/>
        <w:rPr>
          <w:rFonts w:hint="default" w:ascii="Calibri" w:hAnsi="Calibri" w:eastAsia="宋体" w:cs="Calibri"/>
          <w:b/>
          <w:color w:val="auto"/>
          <w:kern w:val="15"/>
          <w:sz w:val="24"/>
        </w:rPr>
      </w:pPr>
      <w:bookmarkStart w:id="123" w:name="_Toc22779"/>
      <w:r>
        <w:rPr>
          <w:rFonts w:hint="default" w:ascii="Calibri" w:hAnsi="Calibri" w:eastAsia="宋体" w:cs="Calibri"/>
          <w:b/>
          <w:color w:val="auto"/>
          <w:kern w:val="15"/>
          <w:sz w:val="24"/>
        </w:rPr>
        <w:t>3.</w:t>
      </w:r>
      <w:r>
        <w:rPr>
          <w:rFonts w:hint="default" w:ascii="Calibri" w:hAnsi="Calibri" w:eastAsia="宋体" w:cs="Calibri"/>
          <w:b/>
          <w:color w:val="auto"/>
          <w:kern w:val="15"/>
          <w:sz w:val="24"/>
          <w:lang w:val="en-US" w:eastAsia="zh-CN"/>
        </w:rPr>
        <w:t>2</w:t>
      </w:r>
      <w:r>
        <w:rPr>
          <w:rFonts w:hint="default" w:ascii="Calibri" w:hAnsi="Calibri" w:eastAsia="宋体" w:cs="Calibri"/>
          <w:b/>
          <w:color w:val="auto"/>
          <w:kern w:val="15"/>
          <w:sz w:val="24"/>
        </w:rPr>
        <w:t>.2计算所需参数</w:t>
      </w:r>
      <w:bookmarkEnd w:id="123"/>
    </w:p>
    <w:p w14:paraId="6F134EB6">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jc w:val="both"/>
        <w:textAlignment w:val="auto"/>
        <w:outlineLvl w:val="9"/>
        <w:rPr>
          <w:rFonts w:hint="default" w:ascii="Calibri" w:hAnsi="Calibri" w:eastAsia="宋体" w:cs="Calibri"/>
          <w:color w:val="auto"/>
          <w:sz w:val="24"/>
        </w:rPr>
      </w:pPr>
      <w:r>
        <w:rPr>
          <w:rFonts w:hint="default" w:ascii="Calibri" w:hAnsi="Calibri" w:eastAsia="宋体" w:cs="Calibri"/>
          <w:color w:val="auto"/>
          <w:sz w:val="24"/>
          <w:lang w:eastAsia="zh-CN"/>
        </w:rPr>
        <w:t>综合比较各种塔型的参数，本次评价选择导线相间距最大的不利塔型进行理论计算，绝缘子串按1.8m计，塔型为：单回路塔型：BZC3直线</w:t>
      </w:r>
      <w:r>
        <w:rPr>
          <w:rFonts w:hint="eastAsia" w:ascii="Calibri" w:hAnsi="Calibri" w:cs="Calibri"/>
          <w:color w:val="auto"/>
          <w:sz w:val="24"/>
          <w:lang w:eastAsia="zh-CN"/>
        </w:rPr>
        <w:t>塔</w:t>
      </w:r>
      <w:r>
        <w:rPr>
          <w:rFonts w:hint="default" w:ascii="Calibri" w:hAnsi="Calibri" w:eastAsia="宋体" w:cs="Calibri"/>
          <w:color w:val="auto"/>
          <w:sz w:val="24"/>
          <w:lang w:eastAsia="zh-CN"/>
        </w:rPr>
        <w:t>，双回路塔型：SZC4直线塔、SDJC耐张塔，其中双回路按最终规模进行预测。</w:t>
      </w:r>
      <w:r>
        <w:rPr>
          <w:rFonts w:hint="default" w:ascii="Calibri" w:hAnsi="Calibri" w:eastAsia="宋体" w:cs="Calibri"/>
          <w:color w:val="auto"/>
          <w:sz w:val="24"/>
        </w:rPr>
        <w:t>计算参数详见表3-</w:t>
      </w:r>
      <w:r>
        <w:rPr>
          <w:rFonts w:hint="default" w:ascii="Calibri" w:hAnsi="Calibri" w:eastAsia="宋体" w:cs="Calibri"/>
          <w:color w:val="auto"/>
          <w:sz w:val="24"/>
          <w:lang w:val="en-US" w:eastAsia="zh-CN"/>
        </w:rPr>
        <w:t>4、表3-5</w:t>
      </w:r>
      <w:r>
        <w:rPr>
          <w:rFonts w:hint="default" w:ascii="Calibri" w:hAnsi="Calibri" w:eastAsia="宋体" w:cs="Calibri"/>
          <w:color w:val="auto"/>
          <w:sz w:val="24"/>
        </w:rPr>
        <w:t>。</w:t>
      </w:r>
    </w:p>
    <w:p w14:paraId="3991C6FE">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708" w:firstLineChars="294"/>
        <w:jc w:val="both"/>
        <w:textAlignment w:val="auto"/>
        <w:outlineLvl w:val="9"/>
        <w:rPr>
          <w:rFonts w:hint="eastAsia" w:ascii="宋体" w:hAnsi="宋体" w:cs="宋体"/>
          <w:b/>
          <w:bCs/>
          <w:color w:val="auto"/>
          <w:sz w:val="24"/>
          <w:highlight w:val="none"/>
        </w:rPr>
      </w:pPr>
    </w:p>
    <w:p w14:paraId="2FA8A5FA">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708" w:firstLineChars="294"/>
        <w:jc w:val="both"/>
        <w:textAlignment w:val="auto"/>
        <w:outlineLvl w:val="9"/>
        <w:rPr>
          <w:rFonts w:hint="eastAsia" w:ascii="宋体" w:hAnsi="宋体" w:cs="宋体"/>
          <w:b/>
          <w:bCs/>
          <w:color w:val="auto"/>
          <w:sz w:val="24"/>
          <w:highlight w:val="none"/>
        </w:rPr>
      </w:pPr>
    </w:p>
    <w:p w14:paraId="39098CA0">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708" w:firstLineChars="294"/>
        <w:jc w:val="both"/>
        <w:textAlignment w:val="auto"/>
        <w:outlineLvl w:val="9"/>
        <w:rPr>
          <w:rFonts w:hint="eastAsia" w:ascii="宋体" w:hAnsi="宋体" w:cs="宋体"/>
          <w:b/>
          <w:bCs/>
          <w:color w:val="auto"/>
          <w:sz w:val="24"/>
          <w:highlight w:val="none"/>
        </w:rPr>
      </w:pPr>
    </w:p>
    <w:p w14:paraId="6A9081C2">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708" w:firstLineChars="294"/>
        <w:jc w:val="both"/>
        <w:textAlignment w:val="auto"/>
        <w:outlineLvl w:val="9"/>
        <w:rPr>
          <w:rFonts w:hint="eastAsia" w:ascii="宋体" w:hAnsi="宋体" w:cs="宋体"/>
          <w:b/>
          <w:bCs/>
          <w:color w:val="auto"/>
          <w:sz w:val="24"/>
          <w:highlight w:val="none"/>
        </w:rPr>
      </w:pPr>
    </w:p>
    <w:p w14:paraId="417B6DA3">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708" w:firstLineChars="294"/>
        <w:jc w:val="both"/>
        <w:textAlignment w:val="auto"/>
        <w:outlineLvl w:val="9"/>
        <w:rPr>
          <w:rFonts w:hint="eastAsia" w:ascii="宋体" w:hAnsi="宋体" w:cs="宋体"/>
          <w:b/>
          <w:bCs/>
          <w:color w:val="auto"/>
          <w:sz w:val="24"/>
          <w:highlight w:val="none"/>
        </w:rPr>
      </w:pPr>
    </w:p>
    <w:p w14:paraId="1775FC31">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708" w:firstLineChars="294"/>
        <w:jc w:val="both"/>
        <w:textAlignment w:val="auto"/>
        <w:outlineLvl w:val="9"/>
        <w:rPr>
          <w:rFonts w:hint="eastAsia" w:ascii="宋体" w:hAnsi="宋体" w:cs="宋体"/>
          <w:b/>
          <w:bCs/>
          <w:color w:val="auto"/>
          <w:sz w:val="24"/>
          <w:highlight w:val="none"/>
        </w:rPr>
      </w:pPr>
    </w:p>
    <w:p w14:paraId="3672A5F8">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708" w:firstLineChars="294"/>
        <w:jc w:val="both"/>
        <w:textAlignment w:val="auto"/>
        <w:outlineLvl w:val="9"/>
        <w:rPr>
          <w:rFonts w:hint="eastAsia" w:ascii="宋体" w:hAnsi="宋体" w:cs="宋体"/>
          <w:b/>
          <w:bCs/>
          <w:color w:val="auto"/>
          <w:sz w:val="24"/>
          <w:highlight w:val="none"/>
        </w:rPr>
      </w:pPr>
    </w:p>
    <w:p w14:paraId="1E0E6C5F">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708" w:firstLineChars="294"/>
        <w:jc w:val="both"/>
        <w:textAlignment w:val="auto"/>
        <w:outlineLvl w:val="9"/>
        <w:rPr>
          <w:rFonts w:ascii="宋体" w:hAnsi="宋体"/>
          <w:b/>
          <w:color w:val="auto"/>
          <w:sz w:val="24"/>
          <w:highlight w:val="none"/>
        </w:rPr>
      </w:pPr>
      <w:r>
        <w:rPr>
          <w:rFonts w:hint="eastAsia" w:ascii="宋体" w:hAnsi="宋体" w:cs="宋体"/>
          <w:b/>
          <w:bCs/>
          <w:color w:val="auto"/>
          <w:sz w:val="24"/>
          <w:highlight w:val="none"/>
        </w:rPr>
        <w:t>表3</w:t>
      </w:r>
      <w:r>
        <w:rPr>
          <w:rFonts w:hint="eastAsia" w:ascii="宋体" w:hAnsi="宋体" w:cs="宋体"/>
          <w:b/>
          <w:bCs/>
          <w:color w:val="auto"/>
          <w:sz w:val="24"/>
          <w:highlight w:val="none"/>
          <w:lang w:val="en-US" w:eastAsia="zh-CN"/>
        </w:rPr>
        <w:t>-4</w:t>
      </w:r>
      <w:r>
        <w:rPr>
          <w:rFonts w:hint="eastAsia" w:ascii="宋体" w:hAnsi="宋体" w:cs="宋体"/>
          <w:b/>
          <w:bCs/>
          <w:color w:val="auto"/>
          <w:sz w:val="24"/>
          <w:highlight w:val="none"/>
        </w:rPr>
        <w:t xml:space="preserve">     </w:t>
      </w:r>
      <w:r>
        <w:rPr>
          <w:rFonts w:hint="eastAsia" w:ascii="宋体" w:hAnsi="宋体"/>
          <w:b/>
          <w:color w:val="auto"/>
          <w:sz w:val="24"/>
          <w:highlight w:val="none"/>
          <w:lang w:eastAsia="zh-CN"/>
        </w:rPr>
        <w:t>本项目</w:t>
      </w:r>
      <w:r>
        <w:rPr>
          <w:rFonts w:hint="eastAsia" w:ascii="宋体" w:hAnsi="宋体"/>
          <w:b/>
          <w:color w:val="auto"/>
          <w:sz w:val="24"/>
          <w:highlight w:val="none"/>
          <w:lang w:val="en-US" w:eastAsia="zh-CN"/>
        </w:rPr>
        <w:t>110</w:t>
      </w:r>
      <w:r>
        <w:rPr>
          <w:rFonts w:ascii="宋体" w:hAnsi="宋体"/>
          <w:b/>
          <w:color w:val="auto"/>
          <w:sz w:val="24"/>
          <w:highlight w:val="none"/>
        </w:rPr>
        <w:t>kV</w:t>
      </w:r>
      <w:r>
        <w:rPr>
          <w:rFonts w:hint="eastAsia" w:ascii="宋体" w:hAnsi="宋体"/>
          <w:b/>
          <w:color w:val="auto"/>
          <w:sz w:val="24"/>
          <w:highlight w:val="none"/>
          <w:lang w:val="en-US" w:eastAsia="zh-CN"/>
        </w:rPr>
        <w:t>单回路</w:t>
      </w:r>
      <w:r>
        <w:rPr>
          <w:rFonts w:hint="eastAsia" w:ascii="宋体" w:hAnsi="宋体"/>
          <w:b/>
          <w:color w:val="auto"/>
          <w:sz w:val="24"/>
          <w:highlight w:val="none"/>
        </w:rPr>
        <w:t>线路段</w:t>
      </w:r>
      <w:r>
        <w:rPr>
          <w:rFonts w:hint="eastAsia" w:ascii="宋体" w:hAnsi="宋体" w:cs="宋体"/>
          <w:b/>
          <w:bCs/>
          <w:color w:val="auto"/>
          <w:sz w:val="24"/>
          <w:highlight w:val="none"/>
        </w:rPr>
        <w:t>电磁理论</w:t>
      </w:r>
      <w:r>
        <w:rPr>
          <w:rFonts w:ascii="宋体" w:hAnsi="宋体"/>
          <w:b/>
          <w:color w:val="auto"/>
          <w:sz w:val="24"/>
          <w:highlight w:val="none"/>
        </w:rPr>
        <w:t>计算</w:t>
      </w:r>
      <w:r>
        <w:rPr>
          <w:rFonts w:hint="eastAsia" w:ascii="宋体" w:hAnsi="宋体"/>
          <w:b/>
          <w:color w:val="auto"/>
          <w:sz w:val="24"/>
          <w:highlight w:val="none"/>
          <w:lang w:val="en-US" w:eastAsia="zh-CN"/>
        </w:rPr>
        <w:t>基础</w:t>
      </w:r>
      <w:r>
        <w:rPr>
          <w:rFonts w:ascii="宋体" w:hAnsi="宋体"/>
          <w:b/>
          <w:color w:val="auto"/>
          <w:sz w:val="24"/>
          <w:highlight w:val="none"/>
        </w:rPr>
        <w:t>参数</w:t>
      </w:r>
    </w:p>
    <w:tbl>
      <w:tblPr>
        <w:tblStyle w:val="22"/>
        <w:tblW w:w="4996"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519"/>
        <w:gridCol w:w="2881"/>
        <w:gridCol w:w="443"/>
        <w:gridCol w:w="951"/>
        <w:gridCol w:w="3255"/>
      </w:tblGrid>
      <w:tr w14:paraId="44814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41" w:hRule="atLeast"/>
          <w:jc w:val="center"/>
        </w:trPr>
        <w:tc>
          <w:tcPr>
            <w:tcW w:w="850" w:type="pct"/>
            <w:tcBorders>
              <w:tl2br w:val="nil"/>
              <w:tr2bl w:val="nil"/>
            </w:tcBorders>
            <w:noWrap w:val="0"/>
            <w:vAlign w:val="center"/>
          </w:tcPr>
          <w:p w14:paraId="18022EF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color w:val="auto"/>
                <w:kern w:val="0"/>
                <w:sz w:val="21"/>
                <w:szCs w:val="21"/>
              </w:rPr>
            </w:pPr>
            <w:r>
              <w:rPr>
                <w:rFonts w:ascii="宋体" w:hAnsi="宋体"/>
                <w:color w:val="auto"/>
                <w:kern w:val="0"/>
                <w:sz w:val="21"/>
                <w:szCs w:val="21"/>
              </w:rPr>
              <w:t>线</w:t>
            </w:r>
            <w:r>
              <w:rPr>
                <w:rFonts w:hint="eastAsia" w:ascii="宋体" w:hAnsi="宋体"/>
                <w:color w:val="auto"/>
                <w:kern w:val="0"/>
                <w:sz w:val="21"/>
                <w:szCs w:val="21"/>
                <w:lang w:val="en-US" w:eastAsia="zh-CN"/>
              </w:rPr>
              <w:t xml:space="preserve">  </w:t>
            </w:r>
            <w:r>
              <w:rPr>
                <w:rFonts w:ascii="宋体" w:hAnsi="宋体"/>
                <w:color w:val="auto"/>
                <w:kern w:val="0"/>
                <w:sz w:val="21"/>
                <w:szCs w:val="21"/>
              </w:rPr>
              <w:t>路</w:t>
            </w:r>
          </w:p>
        </w:tc>
        <w:tc>
          <w:tcPr>
            <w:tcW w:w="1602" w:type="pct"/>
            <w:tcBorders>
              <w:tl2br w:val="nil"/>
              <w:tr2bl w:val="nil"/>
            </w:tcBorders>
            <w:noWrap w:val="0"/>
            <w:vAlign w:val="center"/>
          </w:tcPr>
          <w:p w14:paraId="5A3345F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s="Times New Roman"/>
                <w:color w:val="auto"/>
                <w:kern w:val="0"/>
                <w:sz w:val="21"/>
                <w:szCs w:val="21"/>
                <w:lang w:val="en-US"/>
              </w:rPr>
            </w:pPr>
            <w:r>
              <w:rPr>
                <w:rFonts w:hint="eastAsia" w:ascii="宋体" w:hAnsi="宋体" w:cs="Times New Roman"/>
                <w:color w:val="auto"/>
                <w:kern w:val="0"/>
                <w:sz w:val="21"/>
                <w:szCs w:val="21"/>
                <w:lang w:val="en-US" w:eastAsia="zh-CN"/>
              </w:rPr>
              <w:t>110kV单回输电线路</w:t>
            </w:r>
          </w:p>
        </w:tc>
        <w:tc>
          <w:tcPr>
            <w:tcW w:w="773" w:type="pct"/>
            <w:gridSpan w:val="2"/>
            <w:vMerge w:val="restart"/>
            <w:tcBorders>
              <w:tl2br w:val="nil"/>
              <w:tr2bl w:val="nil"/>
            </w:tcBorders>
            <w:noWrap w:val="0"/>
            <w:vAlign w:val="center"/>
          </w:tcPr>
          <w:p w14:paraId="4CE85226">
            <w:pPr>
              <w:widowControl/>
              <w:spacing w:line="276" w:lineRule="auto"/>
              <w:jc w:val="center"/>
              <w:rPr>
                <w:rFonts w:ascii="宋体" w:hAnsi="宋体"/>
                <w:color w:val="auto"/>
                <w:kern w:val="0"/>
                <w:sz w:val="21"/>
                <w:szCs w:val="21"/>
              </w:rPr>
            </w:pPr>
            <w:r>
              <w:rPr>
                <w:rFonts w:hint="eastAsia" w:ascii="宋体" w:hAnsi="宋体"/>
                <w:color w:val="auto"/>
                <w:kern w:val="0"/>
                <w:sz w:val="21"/>
                <w:szCs w:val="21"/>
              </w:rPr>
              <w:t>计算原点</w:t>
            </w:r>
          </w:p>
        </w:tc>
        <w:tc>
          <w:tcPr>
            <w:tcW w:w="1773" w:type="pct"/>
            <w:vMerge w:val="restart"/>
            <w:tcBorders>
              <w:tl2br w:val="nil"/>
              <w:tr2bl w:val="nil"/>
            </w:tcBorders>
            <w:noWrap w:val="0"/>
            <w:vAlign w:val="center"/>
          </w:tcPr>
          <w:p w14:paraId="6C66EB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olor w:val="auto"/>
                <w:kern w:val="0"/>
                <w:sz w:val="21"/>
                <w:szCs w:val="21"/>
                <w:lang w:val="en-US" w:eastAsia="zh-CN"/>
              </w:rPr>
            </w:pPr>
            <w:r>
              <w:rPr>
                <w:rFonts w:hint="eastAsia" w:ascii="宋体" w:hAnsi="宋体"/>
                <w:color w:val="auto"/>
                <w:sz w:val="21"/>
                <w:szCs w:val="21"/>
              </w:rPr>
              <w:t>线路走廊截面与</w:t>
            </w:r>
            <w:r>
              <w:rPr>
                <w:rFonts w:hint="eastAsia" w:ascii="宋体" w:hAnsi="宋体" w:eastAsia="宋体" w:cs="Times New Roman"/>
                <w:color w:val="auto"/>
                <w:sz w:val="21"/>
                <w:szCs w:val="21"/>
                <w:highlight w:val="none"/>
                <w:lang w:eastAsia="zh-CN"/>
              </w:rPr>
              <w:t>中相导线地面投影</w:t>
            </w:r>
            <w:r>
              <w:rPr>
                <w:rFonts w:hint="eastAsia" w:ascii="宋体" w:hAnsi="宋体"/>
                <w:color w:val="auto"/>
                <w:sz w:val="21"/>
                <w:szCs w:val="21"/>
              </w:rPr>
              <w:t>的交点</w:t>
            </w:r>
          </w:p>
        </w:tc>
      </w:tr>
      <w:tr w14:paraId="53B13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8" w:hRule="atLeast"/>
          <w:jc w:val="center"/>
        </w:trPr>
        <w:tc>
          <w:tcPr>
            <w:tcW w:w="850" w:type="pct"/>
            <w:tcBorders>
              <w:tl2br w:val="nil"/>
              <w:tr2bl w:val="nil"/>
            </w:tcBorders>
            <w:noWrap w:val="0"/>
            <w:vAlign w:val="center"/>
          </w:tcPr>
          <w:p w14:paraId="2787B80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color w:val="auto"/>
                <w:kern w:val="0"/>
                <w:sz w:val="21"/>
                <w:szCs w:val="21"/>
                <w:highlight w:val="none"/>
              </w:rPr>
            </w:pPr>
            <w:r>
              <w:rPr>
                <w:rFonts w:ascii="宋体" w:hAnsi="宋体"/>
                <w:color w:val="auto"/>
                <w:kern w:val="0"/>
                <w:sz w:val="21"/>
                <w:szCs w:val="21"/>
                <w:highlight w:val="none"/>
              </w:rPr>
              <w:t>采用塔型</w:t>
            </w:r>
          </w:p>
        </w:tc>
        <w:tc>
          <w:tcPr>
            <w:tcW w:w="1602" w:type="pct"/>
            <w:tcBorders>
              <w:tl2br w:val="nil"/>
              <w:tr2bl w:val="nil"/>
            </w:tcBorders>
            <w:noWrap w:val="0"/>
            <w:vAlign w:val="center"/>
          </w:tcPr>
          <w:p w14:paraId="02BCF77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s="Times New Roman"/>
                <w:color w:val="auto"/>
                <w:kern w:val="0"/>
                <w:sz w:val="21"/>
                <w:szCs w:val="21"/>
                <w:highlight w:val="none"/>
                <w:lang w:val="en-US" w:eastAsia="zh-CN"/>
              </w:rPr>
            </w:pPr>
            <w:r>
              <w:rPr>
                <w:rFonts w:hint="eastAsia" w:ascii="宋体" w:hAnsi="宋体" w:cs="Times New Roman"/>
                <w:color w:val="auto"/>
                <w:kern w:val="0"/>
                <w:sz w:val="21"/>
                <w:szCs w:val="21"/>
                <w:highlight w:val="none"/>
                <w:lang w:val="en-US" w:eastAsia="zh-CN"/>
              </w:rPr>
              <w:t>BZC3直线塔</w:t>
            </w:r>
          </w:p>
        </w:tc>
        <w:tc>
          <w:tcPr>
            <w:tcW w:w="773" w:type="pct"/>
            <w:gridSpan w:val="2"/>
            <w:vMerge w:val="continue"/>
            <w:tcBorders>
              <w:tl2br w:val="nil"/>
              <w:tr2bl w:val="nil"/>
            </w:tcBorders>
            <w:noWrap w:val="0"/>
            <w:vAlign w:val="center"/>
          </w:tcPr>
          <w:p w14:paraId="08AAFC4C">
            <w:pPr>
              <w:widowControl/>
              <w:spacing w:line="276" w:lineRule="auto"/>
              <w:ind w:firstLine="200"/>
              <w:jc w:val="center"/>
              <w:rPr>
                <w:rFonts w:ascii="宋体" w:hAnsi="宋体"/>
                <w:color w:val="auto"/>
                <w:kern w:val="0"/>
                <w:sz w:val="21"/>
                <w:szCs w:val="21"/>
              </w:rPr>
            </w:pPr>
          </w:p>
        </w:tc>
        <w:tc>
          <w:tcPr>
            <w:tcW w:w="1773" w:type="pct"/>
            <w:vMerge w:val="continue"/>
            <w:tcBorders>
              <w:tl2br w:val="nil"/>
              <w:tr2bl w:val="nil"/>
            </w:tcBorders>
            <w:noWrap w:val="0"/>
            <w:vAlign w:val="center"/>
          </w:tcPr>
          <w:p w14:paraId="619BC1CA">
            <w:pPr>
              <w:widowControl/>
              <w:spacing w:line="276" w:lineRule="auto"/>
              <w:jc w:val="center"/>
              <w:rPr>
                <w:rFonts w:ascii="宋体" w:hAnsi="宋体"/>
                <w:color w:val="auto"/>
                <w:kern w:val="0"/>
                <w:sz w:val="21"/>
                <w:szCs w:val="21"/>
              </w:rPr>
            </w:pPr>
          </w:p>
        </w:tc>
      </w:tr>
      <w:tr w14:paraId="718EE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850" w:type="pct"/>
            <w:tcBorders>
              <w:tl2br w:val="nil"/>
              <w:tr2bl w:val="nil"/>
            </w:tcBorders>
            <w:noWrap w:val="0"/>
            <w:vAlign w:val="center"/>
          </w:tcPr>
          <w:p w14:paraId="7B5A4D6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olor w:val="auto"/>
                <w:kern w:val="0"/>
                <w:sz w:val="21"/>
                <w:szCs w:val="21"/>
                <w:lang w:val="en-US" w:eastAsia="zh-CN"/>
              </w:rPr>
            </w:pPr>
            <w:r>
              <w:rPr>
                <w:rFonts w:hint="eastAsia" w:ascii="宋体" w:hAnsi="宋体"/>
                <w:color w:val="auto"/>
                <w:kern w:val="0"/>
                <w:sz w:val="21"/>
                <w:szCs w:val="21"/>
                <w:lang w:val="en-US" w:eastAsia="zh-CN"/>
              </w:rPr>
              <w:t>导线排列方式</w:t>
            </w:r>
          </w:p>
        </w:tc>
        <w:tc>
          <w:tcPr>
            <w:tcW w:w="1602" w:type="pct"/>
            <w:tcBorders>
              <w:tl2br w:val="nil"/>
              <w:tr2bl w:val="nil"/>
            </w:tcBorders>
            <w:noWrap w:val="0"/>
            <w:vAlign w:val="center"/>
          </w:tcPr>
          <w:p w14:paraId="76A749B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s="Times New Roman"/>
                <w:color w:val="auto"/>
                <w:kern w:val="0"/>
                <w:sz w:val="21"/>
                <w:szCs w:val="21"/>
                <w:lang w:val="en-US" w:eastAsia="zh-CN"/>
              </w:rPr>
            </w:pPr>
            <w:r>
              <w:rPr>
                <w:rFonts w:hint="eastAsia" w:ascii="宋体" w:hAnsi="宋体" w:cs="Times New Roman"/>
                <w:color w:val="auto"/>
                <w:kern w:val="0"/>
                <w:sz w:val="21"/>
                <w:szCs w:val="21"/>
                <w:lang w:val="en-US" w:eastAsia="zh-CN"/>
              </w:rPr>
              <w:t>水平</w:t>
            </w:r>
            <w:r>
              <w:rPr>
                <w:rFonts w:hint="eastAsia" w:ascii="宋体" w:hAnsi="宋体" w:eastAsia="宋体" w:cs="Times New Roman"/>
                <w:color w:val="auto"/>
                <w:kern w:val="0"/>
                <w:sz w:val="21"/>
                <w:szCs w:val="21"/>
                <w:lang w:val="en-US" w:eastAsia="zh-CN"/>
              </w:rPr>
              <w:t>排列</w:t>
            </w:r>
          </w:p>
        </w:tc>
        <w:tc>
          <w:tcPr>
            <w:tcW w:w="255" w:type="pct"/>
            <w:vMerge w:val="restart"/>
            <w:tcBorders>
              <w:tl2br w:val="nil"/>
              <w:tr2bl w:val="nil"/>
            </w:tcBorders>
            <w:noWrap w:val="0"/>
            <w:vAlign w:val="center"/>
          </w:tcPr>
          <w:p w14:paraId="2867F651">
            <w:pPr>
              <w:spacing w:line="276" w:lineRule="auto"/>
              <w:jc w:val="center"/>
              <w:rPr>
                <w:rFonts w:ascii="宋体" w:hAnsi="宋体"/>
                <w:color w:val="auto"/>
                <w:kern w:val="0"/>
                <w:sz w:val="21"/>
                <w:szCs w:val="21"/>
              </w:rPr>
            </w:pPr>
            <w:r>
              <w:rPr>
                <w:rFonts w:ascii="宋体" w:hAnsi="宋体"/>
                <w:color w:val="auto"/>
                <w:kern w:val="0"/>
                <w:sz w:val="21"/>
                <w:szCs w:val="21"/>
              </w:rPr>
              <w:t>相间距坐标</w:t>
            </w:r>
          </w:p>
        </w:tc>
        <w:tc>
          <w:tcPr>
            <w:tcW w:w="2291" w:type="pct"/>
            <w:gridSpan w:val="2"/>
            <w:vMerge w:val="restart"/>
            <w:tcBorders>
              <w:tl2br w:val="nil"/>
              <w:tr2bl w:val="nil"/>
            </w:tcBorders>
            <w:noWrap w:val="0"/>
            <w:vAlign w:val="center"/>
          </w:tcPr>
          <w:p w14:paraId="6D28E095">
            <w:pPr>
              <w:spacing w:line="276" w:lineRule="auto"/>
              <w:jc w:val="center"/>
              <w:rPr>
                <w:rFonts w:hint="eastAsia" w:ascii="宋体" w:hAnsi="宋体" w:eastAsia="宋体" w:cs="Times New Roman"/>
                <w:color w:val="auto"/>
                <w:kern w:val="0"/>
                <w:sz w:val="21"/>
                <w:szCs w:val="21"/>
                <w:lang w:val="en-US" w:eastAsia="zh-CN" w:bidi="ar-SA"/>
              </w:rPr>
            </w:pPr>
            <w:r>
              <w:rPr>
                <w:rFonts w:hint="eastAsia" w:ascii="宋体" w:hAnsi="宋体" w:eastAsia="宋体" w:cs="Times New Roman"/>
                <w:color w:val="auto"/>
                <w:kern w:val="0"/>
                <w:sz w:val="21"/>
                <w:szCs w:val="21"/>
                <w:lang w:val="en-US" w:eastAsia="zh-CN" w:bidi="ar-SA"/>
              </w:rPr>
              <w:drawing>
                <wp:inline distT="0" distB="0" distL="114300" distR="114300">
                  <wp:extent cx="2526665" cy="3091180"/>
                  <wp:effectExtent l="0" t="0" r="6985" b="13970"/>
                  <wp:docPr id="36" name="图片 36" descr="单回路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单回路 拷贝"/>
                          <pic:cNvPicPr>
                            <a:picLocks noChangeAspect="1"/>
                          </pic:cNvPicPr>
                        </pic:nvPicPr>
                        <pic:blipFill>
                          <a:blip r:embed="rId64"/>
                          <a:stretch>
                            <a:fillRect/>
                          </a:stretch>
                        </pic:blipFill>
                        <pic:spPr>
                          <a:xfrm>
                            <a:off x="0" y="0"/>
                            <a:ext cx="2526665" cy="3091180"/>
                          </a:xfrm>
                          <a:prstGeom prst="rect">
                            <a:avLst/>
                          </a:prstGeom>
                        </pic:spPr>
                      </pic:pic>
                    </a:graphicData>
                  </a:graphic>
                </wp:inline>
              </w:drawing>
            </w:r>
          </w:p>
        </w:tc>
      </w:tr>
      <w:tr w14:paraId="00003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850" w:type="pct"/>
            <w:tcBorders>
              <w:tl2br w:val="nil"/>
              <w:tr2bl w:val="nil"/>
            </w:tcBorders>
            <w:noWrap w:val="0"/>
            <w:vAlign w:val="center"/>
          </w:tcPr>
          <w:p w14:paraId="320A321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cs="Times New Roman"/>
                <w:color w:val="auto"/>
                <w:kern w:val="0"/>
                <w:sz w:val="21"/>
                <w:szCs w:val="21"/>
                <w:lang w:val="en-US" w:eastAsia="zh-CN"/>
              </w:rPr>
            </w:pPr>
            <w:r>
              <w:rPr>
                <w:rFonts w:hint="eastAsia" w:ascii="宋体" w:hAnsi="宋体" w:cs="Times New Roman"/>
                <w:color w:val="auto"/>
                <w:kern w:val="0"/>
                <w:sz w:val="21"/>
                <w:szCs w:val="21"/>
                <w:lang w:val="en-US" w:eastAsia="zh-CN"/>
              </w:rPr>
              <w:t>导线型号</w:t>
            </w:r>
          </w:p>
        </w:tc>
        <w:tc>
          <w:tcPr>
            <w:tcW w:w="1602" w:type="pct"/>
            <w:tcBorders>
              <w:tl2br w:val="nil"/>
              <w:tr2bl w:val="nil"/>
            </w:tcBorders>
            <w:noWrap w:val="0"/>
            <w:vAlign w:val="center"/>
          </w:tcPr>
          <w:p w14:paraId="3BE8222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cs="Times New Roman"/>
                <w:color w:val="auto"/>
                <w:kern w:val="0"/>
                <w:sz w:val="21"/>
                <w:szCs w:val="21"/>
                <w:lang w:val="en-US" w:eastAsia="zh-CN"/>
              </w:rPr>
            </w:pPr>
            <w:r>
              <w:rPr>
                <w:rFonts w:hint="eastAsia" w:ascii="宋体" w:hAnsi="宋体" w:cs="Times New Roman"/>
                <w:color w:val="auto"/>
                <w:kern w:val="0"/>
                <w:sz w:val="21"/>
                <w:szCs w:val="21"/>
                <w:lang w:val="en-US" w:eastAsia="zh-CN"/>
              </w:rPr>
              <w:t>JL/G1A-240/40型钢芯铝绞线</w:t>
            </w:r>
          </w:p>
        </w:tc>
        <w:tc>
          <w:tcPr>
            <w:tcW w:w="255" w:type="pct"/>
            <w:vMerge w:val="continue"/>
            <w:tcBorders>
              <w:tl2br w:val="nil"/>
              <w:tr2bl w:val="nil"/>
            </w:tcBorders>
            <w:noWrap w:val="0"/>
            <w:vAlign w:val="center"/>
          </w:tcPr>
          <w:p w14:paraId="30C29696">
            <w:pPr>
              <w:spacing w:line="276" w:lineRule="auto"/>
              <w:jc w:val="center"/>
              <w:rPr>
                <w:rFonts w:ascii="宋体" w:hAnsi="宋体"/>
                <w:color w:val="auto"/>
                <w:kern w:val="0"/>
                <w:sz w:val="21"/>
                <w:szCs w:val="21"/>
              </w:rPr>
            </w:pPr>
          </w:p>
        </w:tc>
        <w:tc>
          <w:tcPr>
            <w:tcW w:w="2291" w:type="pct"/>
            <w:gridSpan w:val="2"/>
            <w:vMerge w:val="continue"/>
            <w:tcBorders>
              <w:tl2br w:val="nil"/>
              <w:tr2bl w:val="nil"/>
            </w:tcBorders>
            <w:noWrap w:val="0"/>
            <w:vAlign w:val="center"/>
          </w:tcPr>
          <w:p w14:paraId="62B3BD1D">
            <w:pPr>
              <w:spacing w:line="276" w:lineRule="auto"/>
              <w:jc w:val="center"/>
              <w:rPr>
                <w:rFonts w:ascii="宋体" w:hAnsi="宋体"/>
                <w:color w:val="auto"/>
                <w:kern w:val="0"/>
                <w:sz w:val="21"/>
                <w:szCs w:val="21"/>
              </w:rPr>
            </w:pPr>
          </w:p>
        </w:tc>
      </w:tr>
      <w:tr w14:paraId="764D1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8" w:hRule="atLeast"/>
          <w:jc w:val="center"/>
        </w:trPr>
        <w:tc>
          <w:tcPr>
            <w:tcW w:w="850" w:type="pct"/>
            <w:tcBorders>
              <w:tl2br w:val="nil"/>
              <w:tr2bl w:val="nil"/>
            </w:tcBorders>
            <w:noWrap w:val="0"/>
            <w:vAlign w:val="center"/>
          </w:tcPr>
          <w:p w14:paraId="2A0203C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color w:val="auto"/>
                <w:kern w:val="0"/>
                <w:sz w:val="21"/>
                <w:szCs w:val="21"/>
                <w:highlight w:val="none"/>
              </w:rPr>
            </w:pPr>
            <w:r>
              <w:rPr>
                <w:rFonts w:ascii="宋体" w:hAnsi="宋体"/>
                <w:color w:val="auto"/>
                <w:kern w:val="0"/>
                <w:sz w:val="21"/>
                <w:szCs w:val="21"/>
                <w:highlight w:val="none"/>
              </w:rPr>
              <w:t>导线外径</w:t>
            </w:r>
          </w:p>
        </w:tc>
        <w:tc>
          <w:tcPr>
            <w:tcW w:w="1602" w:type="pct"/>
            <w:tcBorders>
              <w:tl2br w:val="nil"/>
              <w:tr2bl w:val="nil"/>
            </w:tcBorders>
            <w:noWrap w:val="0"/>
            <w:vAlign w:val="center"/>
          </w:tcPr>
          <w:p w14:paraId="11B89C00">
            <w:pPr>
              <w:keepNext w:val="0"/>
              <w:keepLines w:val="0"/>
              <w:pageBreakBefore w:val="0"/>
              <w:kinsoku/>
              <w:wordWrap/>
              <w:overflowPunct/>
              <w:topLinePunct w:val="0"/>
              <w:autoSpaceDE/>
              <w:autoSpaceDN/>
              <w:bidi w:val="0"/>
              <w:adjustRightInd/>
              <w:snapToGrid/>
              <w:spacing w:line="300" w:lineRule="exact"/>
              <w:jc w:val="center"/>
              <w:textAlignment w:val="auto"/>
              <w:rPr>
                <w:rFonts w:ascii="宋体" w:hAnsi="宋体"/>
                <w:color w:val="auto"/>
                <w:kern w:val="0"/>
                <w:sz w:val="21"/>
                <w:szCs w:val="21"/>
                <w:highlight w:val="none"/>
              </w:rPr>
            </w:pPr>
            <w:r>
              <w:rPr>
                <w:rFonts w:hint="eastAsia" w:ascii="宋体" w:hAnsi="宋体"/>
                <w:color w:val="auto"/>
                <w:sz w:val="21"/>
                <w:szCs w:val="21"/>
                <w:highlight w:val="none"/>
                <w:lang w:val="en-US" w:eastAsia="zh-CN"/>
              </w:rPr>
              <w:t>21.7</w:t>
            </w:r>
            <w:r>
              <w:rPr>
                <w:rFonts w:ascii="宋体" w:hAnsi="宋体"/>
                <w:color w:val="auto"/>
                <w:sz w:val="21"/>
                <w:szCs w:val="21"/>
                <w:highlight w:val="none"/>
              </w:rPr>
              <w:t>mm</w:t>
            </w:r>
          </w:p>
        </w:tc>
        <w:tc>
          <w:tcPr>
            <w:tcW w:w="255" w:type="pct"/>
            <w:vMerge w:val="continue"/>
            <w:tcBorders>
              <w:tl2br w:val="nil"/>
              <w:tr2bl w:val="nil"/>
            </w:tcBorders>
            <w:noWrap w:val="0"/>
            <w:vAlign w:val="center"/>
          </w:tcPr>
          <w:p w14:paraId="5E7BD7CC">
            <w:pPr>
              <w:spacing w:line="276" w:lineRule="auto"/>
              <w:ind w:firstLine="200"/>
              <w:jc w:val="center"/>
              <w:rPr>
                <w:rFonts w:ascii="宋体" w:hAnsi="宋体"/>
                <w:color w:val="auto"/>
                <w:kern w:val="0"/>
                <w:sz w:val="21"/>
                <w:szCs w:val="21"/>
              </w:rPr>
            </w:pPr>
          </w:p>
        </w:tc>
        <w:tc>
          <w:tcPr>
            <w:tcW w:w="2291" w:type="pct"/>
            <w:gridSpan w:val="2"/>
            <w:vMerge w:val="continue"/>
            <w:tcBorders>
              <w:tl2br w:val="nil"/>
              <w:tr2bl w:val="nil"/>
            </w:tcBorders>
            <w:noWrap w:val="0"/>
            <w:vAlign w:val="center"/>
          </w:tcPr>
          <w:p w14:paraId="3631EE11">
            <w:pPr>
              <w:spacing w:line="276" w:lineRule="auto"/>
              <w:ind w:firstLine="200"/>
              <w:jc w:val="center"/>
              <w:rPr>
                <w:rFonts w:ascii="宋体" w:hAnsi="宋体"/>
                <w:color w:val="auto"/>
                <w:kern w:val="0"/>
                <w:sz w:val="21"/>
                <w:szCs w:val="21"/>
              </w:rPr>
            </w:pPr>
          </w:p>
        </w:tc>
      </w:tr>
      <w:tr w14:paraId="0B7E8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850" w:type="pct"/>
            <w:tcBorders>
              <w:tl2br w:val="nil"/>
              <w:tr2bl w:val="nil"/>
            </w:tcBorders>
            <w:noWrap w:val="0"/>
            <w:vAlign w:val="center"/>
          </w:tcPr>
          <w:p w14:paraId="040793E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olor w:val="auto"/>
                <w:kern w:val="0"/>
                <w:sz w:val="21"/>
                <w:szCs w:val="21"/>
                <w:highlight w:val="none"/>
                <w:lang w:val="en-US" w:eastAsia="zh-CN"/>
              </w:rPr>
            </w:pPr>
            <w:r>
              <w:rPr>
                <w:rFonts w:hint="eastAsia" w:ascii="宋体" w:hAnsi="宋体"/>
                <w:color w:val="auto"/>
                <w:kern w:val="0"/>
                <w:sz w:val="21"/>
                <w:szCs w:val="21"/>
                <w:highlight w:val="none"/>
                <w:lang w:val="en-US" w:eastAsia="zh-CN"/>
              </w:rPr>
              <w:t>预测电压</w:t>
            </w:r>
          </w:p>
        </w:tc>
        <w:tc>
          <w:tcPr>
            <w:tcW w:w="1602" w:type="pct"/>
            <w:tcBorders>
              <w:tl2br w:val="nil"/>
              <w:tr2bl w:val="nil"/>
            </w:tcBorders>
            <w:noWrap w:val="0"/>
            <w:vAlign w:val="center"/>
          </w:tcPr>
          <w:p w14:paraId="5A69F5A5">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shd w:val="clear" w:color="auto" w:fill="auto"/>
                <w:lang w:val="en-US" w:eastAsia="zh-CN"/>
              </w:rPr>
              <w:t>115.5kV</w:t>
            </w:r>
          </w:p>
        </w:tc>
        <w:tc>
          <w:tcPr>
            <w:tcW w:w="255" w:type="pct"/>
            <w:vMerge w:val="continue"/>
            <w:tcBorders>
              <w:tl2br w:val="nil"/>
              <w:tr2bl w:val="nil"/>
            </w:tcBorders>
            <w:noWrap w:val="0"/>
            <w:vAlign w:val="center"/>
          </w:tcPr>
          <w:p w14:paraId="24FC6660">
            <w:pPr>
              <w:spacing w:line="276" w:lineRule="auto"/>
              <w:ind w:firstLine="200"/>
              <w:jc w:val="center"/>
              <w:rPr>
                <w:rFonts w:ascii="宋体" w:hAnsi="宋体"/>
                <w:color w:val="auto"/>
                <w:kern w:val="0"/>
                <w:sz w:val="21"/>
                <w:szCs w:val="21"/>
              </w:rPr>
            </w:pPr>
          </w:p>
        </w:tc>
        <w:tc>
          <w:tcPr>
            <w:tcW w:w="2291" w:type="pct"/>
            <w:gridSpan w:val="2"/>
            <w:vMerge w:val="continue"/>
            <w:tcBorders>
              <w:tl2br w:val="nil"/>
              <w:tr2bl w:val="nil"/>
            </w:tcBorders>
            <w:noWrap w:val="0"/>
            <w:vAlign w:val="center"/>
          </w:tcPr>
          <w:p w14:paraId="2C765E3F">
            <w:pPr>
              <w:spacing w:line="276" w:lineRule="auto"/>
              <w:ind w:firstLine="200"/>
              <w:jc w:val="center"/>
              <w:rPr>
                <w:rFonts w:ascii="宋体" w:hAnsi="宋体"/>
                <w:color w:val="auto"/>
                <w:kern w:val="0"/>
                <w:sz w:val="21"/>
                <w:szCs w:val="21"/>
              </w:rPr>
            </w:pPr>
          </w:p>
        </w:tc>
      </w:tr>
      <w:tr w14:paraId="237B9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65" w:hRule="atLeast"/>
          <w:jc w:val="center"/>
        </w:trPr>
        <w:tc>
          <w:tcPr>
            <w:tcW w:w="850" w:type="pct"/>
            <w:tcBorders>
              <w:tl2br w:val="nil"/>
              <w:tr2bl w:val="nil"/>
            </w:tcBorders>
            <w:noWrap w:val="0"/>
            <w:vAlign w:val="center"/>
          </w:tcPr>
          <w:p w14:paraId="7792AF6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olor w:val="auto"/>
                <w:kern w:val="0"/>
                <w:sz w:val="21"/>
                <w:szCs w:val="21"/>
                <w:highlight w:val="none"/>
                <w:lang w:val="en-US" w:eastAsia="zh-CN"/>
              </w:rPr>
            </w:pPr>
            <w:r>
              <w:rPr>
                <w:rFonts w:hint="eastAsia" w:ascii="宋体" w:hAnsi="宋体"/>
                <w:bCs/>
                <w:color w:val="auto"/>
                <w:sz w:val="21"/>
                <w:szCs w:val="21"/>
                <w:highlight w:val="none"/>
              </w:rPr>
              <w:t>地线型</w:t>
            </w:r>
            <w:r>
              <w:rPr>
                <w:rFonts w:hint="eastAsia" w:ascii="宋体" w:hAnsi="宋体"/>
                <w:bCs/>
                <w:color w:val="auto"/>
                <w:sz w:val="21"/>
                <w:szCs w:val="21"/>
                <w:highlight w:val="none"/>
                <w:lang w:val="en-US" w:eastAsia="zh-CN"/>
              </w:rPr>
              <w:t>号</w:t>
            </w:r>
          </w:p>
        </w:tc>
        <w:tc>
          <w:tcPr>
            <w:tcW w:w="1602" w:type="pct"/>
            <w:tcBorders>
              <w:tl2br w:val="nil"/>
              <w:tr2bl w:val="nil"/>
            </w:tcBorders>
            <w:noWrap w:val="0"/>
            <w:vAlign w:val="center"/>
          </w:tcPr>
          <w:p w14:paraId="4D24C324">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采用2</w:t>
            </w:r>
            <w:r>
              <w:rPr>
                <w:rFonts w:hint="default" w:ascii="宋体" w:hAnsi="宋体"/>
                <w:color w:val="auto"/>
                <w:sz w:val="21"/>
                <w:szCs w:val="21"/>
                <w:highlight w:val="none"/>
                <w:lang w:val="en-US" w:eastAsia="zh-CN"/>
              </w:rPr>
              <w:t>根24芯OPGW</w:t>
            </w:r>
            <w:r>
              <w:rPr>
                <w:rFonts w:hint="eastAsia" w:ascii="宋体" w:hAnsi="宋体"/>
                <w:color w:val="auto"/>
                <w:sz w:val="21"/>
                <w:szCs w:val="21"/>
                <w:highlight w:val="none"/>
                <w:lang w:val="en-US" w:eastAsia="zh-CN"/>
              </w:rPr>
              <w:t>光缆，外径按12.5mm考虑</w:t>
            </w:r>
          </w:p>
        </w:tc>
        <w:tc>
          <w:tcPr>
            <w:tcW w:w="255" w:type="pct"/>
            <w:vMerge w:val="continue"/>
            <w:tcBorders>
              <w:tl2br w:val="nil"/>
              <w:tr2bl w:val="nil"/>
            </w:tcBorders>
            <w:noWrap w:val="0"/>
            <w:vAlign w:val="center"/>
          </w:tcPr>
          <w:p w14:paraId="17E6DB4A">
            <w:pPr>
              <w:spacing w:line="276" w:lineRule="auto"/>
              <w:ind w:firstLine="200"/>
              <w:jc w:val="center"/>
              <w:rPr>
                <w:rFonts w:ascii="宋体" w:hAnsi="宋体"/>
                <w:color w:val="auto"/>
                <w:kern w:val="0"/>
                <w:sz w:val="21"/>
                <w:szCs w:val="21"/>
              </w:rPr>
            </w:pPr>
          </w:p>
        </w:tc>
        <w:tc>
          <w:tcPr>
            <w:tcW w:w="2291" w:type="pct"/>
            <w:gridSpan w:val="2"/>
            <w:vMerge w:val="continue"/>
            <w:tcBorders>
              <w:tl2br w:val="nil"/>
              <w:tr2bl w:val="nil"/>
            </w:tcBorders>
            <w:noWrap w:val="0"/>
            <w:vAlign w:val="center"/>
          </w:tcPr>
          <w:p w14:paraId="53523699">
            <w:pPr>
              <w:spacing w:line="276" w:lineRule="auto"/>
              <w:ind w:firstLine="200"/>
              <w:jc w:val="center"/>
              <w:rPr>
                <w:rFonts w:ascii="宋体" w:hAnsi="宋体"/>
                <w:color w:val="auto"/>
                <w:kern w:val="0"/>
                <w:sz w:val="21"/>
                <w:szCs w:val="21"/>
              </w:rPr>
            </w:pPr>
          </w:p>
        </w:tc>
      </w:tr>
      <w:tr w14:paraId="5D890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5" w:hRule="atLeast"/>
          <w:jc w:val="center"/>
        </w:trPr>
        <w:tc>
          <w:tcPr>
            <w:tcW w:w="850" w:type="pct"/>
            <w:tcBorders>
              <w:tl2br w:val="nil"/>
              <w:tr2bl w:val="nil"/>
            </w:tcBorders>
            <w:noWrap w:val="0"/>
            <w:vAlign w:val="center"/>
          </w:tcPr>
          <w:p w14:paraId="19622F1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s="Calibri"/>
                <w:color w:val="auto"/>
                <w:kern w:val="0"/>
                <w:sz w:val="21"/>
                <w:szCs w:val="21"/>
                <w:highlight w:val="none"/>
                <w:lang w:val="en-US" w:eastAsia="zh-CN" w:bidi="ar-SA"/>
              </w:rPr>
            </w:pPr>
            <w:r>
              <w:rPr>
                <w:rFonts w:hint="eastAsia" w:ascii="宋体" w:hAnsi="宋体" w:cs="Calibri"/>
                <w:color w:val="auto"/>
                <w:kern w:val="0"/>
                <w:sz w:val="21"/>
                <w:szCs w:val="21"/>
                <w:highlight w:val="none"/>
                <w:lang w:val="en-US" w:eastAsia="zh-CN" w:bidi="ar-SA"/>
              </w:rPr>
              <w:t>极限输送容量</w:t>
            </w:r>
          </w:p>
        </w:tc>
        <w:tc>
          <w:tcPr>
            <w:tcW w:w="1602" w:type="pct"/>
            <w:tcBorders>
              <w:tl2br w:val="nil"/>
              <w:tr2bl w:val="nil"/>
            </w:tcBorders>
            <w:noWrap w:val="0"/>
            <w:vAlign w:val="center"/>
          </w:tcPr>
          <w:p w14:paraId="61D6A999">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宋体" w:hAnsi="宋体" w:cs="Calibri"/>
                <w:color w:val="auto"/>
                <w:kern w:val="2"/>
                <w:sz w:val="21"/>
                <w:szCs w:val="21"/>
                <w:highlight w:val="none"/>
                <w:lang w:val="en-US" w:eastAsia="zh-CN" w:bidi="ar-SA"/>
              </w:rPr>
            </w:pPr>
            <w:r>
              <w:rPr>
                <w:rFonts w:hint="eastAsia" w:ascii="宋体" w:hAnsi="宋体"/>
                <w:bCs/>
                <w:color w:val="auto"/>
                <w:sz w:val="21"/>
                <w:szCs w:val="21"/>
                <w:highlight w:val="none"/>
                <w:lang w:val="en-US" w:eastAsia="zh-CN"/>
              </w:rPr>
              <w:t>116MVA</w:t>
            </w:r>
          </w:p>
        </w:tc>
        <w:tc>
          <w:tcPr>
            <w:tcW w:w="255" w:type="pct"/>
            <w:vMerge w:val="continue"/>
            <w:tcBorders>
              <w:tl2br w:val="nil"/>
              <w:tr2bl w:val="nil"/>
            </w:tcBorders>
            <w:noWrap w:val="0"/>
            <w:vAlign w:val="center"/>
          </w:tcPr>
          <w:p w14:paraId="28FFF3DE">
            <w:pPr>
              <w:spacing w:line="276" w:lineRule="auto"/>
              <w:ind w:firstLine="200"/>
              <w:jc w:val="center"/>
              <w:rPr>
                <w:rFonts w:ascii="宋体" w:hAnsi="宋体"/>
                <w:color w:val="auto"/>
                <w:kern w:val="0"/>
                <w:sz w:val="21"/>
                <w:szCs w:val="21"/>
              </w:rPr>
            </w:pPr>
          </w:p>
        </w:tc>
        <w:tc>
          <w:tcPr>
            <w:tcW w:w="2291" w:type="pct"/>
            <w:gridSpan w:val="2"/>
            <w:vMerge w:val="continue"/>
            <w:tcBorders>
              <w:tl2br w:val="nil"/>
              <w:tr2bl w:val="nil"/>
            </w:tcBorders>
            <w:noWrap w:val="0"/>
            <w:vAlign w:val="center"/>
          </w:tcPr>
          <w:p w14:paraId="0893490B">
            <w:pPr>
              <w:spacing w:line="276" w:lineRule="auto"/>
              <w:ind w:firstLine="200"/>
              <w:jc w:val="center"/>
              <w:rPr>
                <w:rFonts w:ascii="宋体" w:hAnsi="宋体"/>
                <w:color w:val="auto"/>
                <w:kern w:val="0"/>
                <w:sz w:val="21"/>
                <w:szCs w:val="21"/>
              </w:rPr>
            </w:pPr>
          </w:p>
        </w:tc>
      </w:tr>
      <w:tr w14:paraId="74F3E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65" w:hRule="atLeast"/>
          <w:jc w:val="center"/>
        </w:trPr>
        <w:tc>
          <w:tcPr>
            <w:tcW w:w="850" w:type="pct"/>
            <w:tcBorders>
              <w:tl2br w:val="nil"/>
              <w:tr2bl w:val="nil"/>
            </w:tcBorders>
            <w:noWrap w:val="0"/>
            <w:vAlign w:val="center"/>
          </w:tcPr>
          <w:p w14:paraId="7BC216E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color w:val="auto"/>
                <w:kern w:val="0"/>
                <w:sz w:val="21"/>
                <w:szCs w:val="21"/>
                <w:highlight w:val="none"/>
              </w:rPr>
            </w:pPr>
            <w:r>
              <w:rPr>
                <w:rFonts w:hint="eastAsia" w:ascii="宋体" w:hAnsi="宋体"/>
                <w:color w:val="auto"/>
                <w:kern w:val="0"/>
                <w:sz w:val="21"/>
                <w:szCs w:val="21"/>
                <w:highlight w:val="none"/>
              </w:rPr>
              <w:t>导线垂直间距</w:t>
            </w:r>
          </w:p>
        </w:tc>
        <w:tc>
          <w:tcPr>
            <w:tcW w:w="1602" w:type="pct"/>
            <w:tcBorders>
              <w:tl2br w:val="nil"/>
              <w:tr2bl w:val="nil"/>
            </w:tcBorders>
            <w:noWrap w:val="0"/>
            <w:vAlign w:val="center"/>
          </w:tcPr>
          <w:p w14:paraId="6FA36CE6">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宋体" w:hAnsi="宋体" w:eastAsia="宋体"/>
                <w:color w:val="auto"/>
                <w:kern w:val="0"/>
                <w:sz w:val="21"/>
                <w:szCs w:val="21"/>
                <w:highlight w:val="none"/>
                <w:lang w:val="en-US" w:eastAsia="zh-CN"/>
              </w:rPr>
            </w:pPr>
            <w:r>
              <w:rPr>
                <w:rFonts w:hint="eastAsia" w:ascii="宋体" w:hAnsi="宋体"/>
                <w:color w:val="auto"/>
                <w:kern w:val="0"/>
                <w:sz w:val="21"/>
                <w:szCs w:val="21"/>
                <w:highlight w:val="none"/>
              </w:rPr>
              <w:t>A相-B相：</w:t>
            </w:r>
            <w:r>
              <w:rPr>
                <w:rFonts w:hint="eastAsia" w:ascii="宋体" w:hAnsi="宋体"/>
                <w:color w:val="auto"/>
                <w:kern w:val="0"/>
                <w:sz w:val="21"/>
                <w:szCs w:val="21"/>
                <w:highlight w:val="none"/>
                <w:lang w:val="en-US" w:eastAsia="zh-CN"/>
              </w:rPr>
              <w:t>0</w:t>
            </w:r>
            <w:r>
              <w:rPr>
                <w:rFonts w:hint="eastAsia" w:ascii="宋体" w:hAnsi="宋体"/>
                <w:color w:val="auto"/>
                <w:kern w:val="0"/>
                <w:sz w:val="21"/>
                <w:szCs w:val="21"/>
                <w:highlight w:val="none"/>
              </w:rPr>
              <w:t>m</w:t>
            </w:r>
          </w:p>
          <w:p w14:paraId="6B7A867A">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color w:val="auto"/>
                <w:kern w:val="0"/>
                <w:sz w:val="21"/>
                <w:szCs w:val="21"/>
                <w:highlight w:val="none"/>
              </w:rPr>
            </w:pPr>
            <w:r>
              <w:rPr>
                <w:rFonts w:hint="eastAsia" w:ascii="宋体" w:hAnsi="宋体"/>
                <w:color w:val="auto"/>
                <w:kern w:val="0"/>
                <w:sz w:val="21"/>
                <w:szCs w:val="21"/>
                <w:highlight w:val="none"/>
              </w:rPr>
              <w:t>C相-B相：</w:t>
            </w:r>
            <w:r>
              <w:rPr>
                <w:rFonts w:hint="eastAsia" w:ascii="宋体" w:hAnsi="宋体"/>
                <w:color w:val="auto"/>
                <w:kern w:val="0"/>
                <w:sz w:val="21"/>
                <w:szCs w:val="21"/>
                <w:highlight w:val="none"/>
                <w:lang w:val="en-US" w:eastAsia="zh-CN"/>
              </w:rPr>
              <w:t>0</w:t>
            </w:r>
            <w:r>
              <w:rPr>
                <w:rFonts w:hint="eastAsia" w:ascii="宋体" w:hAnsi="宋体"/>
                <w:color w:val="auto"/>
                <w:kern w:val="0"/>
                <w:sz w:val="21"/>
                <w:szCs w:val="21"/>
                <w:highlight w:val="none"/>
              </w:rPr>
              <w:t>m</w:t>
            </w:r>
          </w:p>
          <w:p w14:paraId="60BD479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color w:val="auto"/>
                <w:kern w:val="0"/>
                <w:sz w:val="21"/>
                <w:szCs w:val="21"/>
                <w:highlight w:val="none"/>
              </w:rPr>
            </w:pPr>
            <w:r>
              <w:rPr>
                <w:rFonts w:hint="eastAsia" w:ascii="宋体" w:hAnsi="宋体"/>
                <w:color w:val="auto"/>
                <w:kern w:val="0"/>
                <w:sz w:val="21"/>
                <w:szCs w:val="21"/>
                <w:highlight w:val="none"/>
              </w:rPr>
              <w:t>A相-C相：</w:t>
            </w:r>
            <w:r>
              <w:rPr>
                <w:rFonts w:hint="eastAsia" w:ascii="宋体" w:hAnsi="宋体"/>
                <w:color w:val="auto"/>
                <w:kern w:val="0"/>
                <w:sz w:val="21"/>
                <w:szCs w:val="21"/>
                <w:highlight w:val="none"/>
                <w:lang w:val="en-US" w:eastAsia="zh-CN"/>
              </w:rPr>
              <w:t>0</w:t>
            </w:r>
            <w:r>
              <w:rPr>
                <w:rFonts w:hint="eastAsia" w:ascii="宋体" w:hAnsi="宋体"/>
                <w:color w:val="auto"/>
                <w:kern w:val="0"/>
                <w:sz w:val="21"/>
                <w:szCs w:val="21"/>
                <w:highlight w:val="none"/>
              </w:rPr>
              <w:t>m</w:t>
            </w:r>
          </w:p>
        </w:tc>
        <w:tc>
          <w:tcPr>
            <w:tcW w:w="255" w:type="pct"/>
            <w:vMerge w:val="continue"/>
            <w:tcBorders>
              <w:tl2br w:val="nil"/>
              <w:tr2bl w:val="nil"/>
            </w:tcBorders>
            <w:noWrap w:val="0"/>
            <w:vAlign w:val="center"/>
          </w:tcPr>
          <w:p w14:paraId="0BFA3080">
            <w:pPr>
              <w:spacing w:line="276" w:lineRule="auto"/>
              <w:ind w:firstLine="200"/>
              <w:jc w:val="center"/>
              <w:rPr>
                <w:rFonts w:ascii="宋体" w:hAnsi="宋体"/>
                <w:color w:val="auto"/>
                <w:kern w:val="0"/>
                <w:sz w:val="21"/>
                <w:szCs w:val="21"/>
              </w:rPr>
            </w:pPr>
          </w:p>
        </w:tc>
        <w:tc>
          <w:tcPr>
            <w:tcW w:w="2291" w:type="pct"/>
            <w:gridSpan w:val="2"/>
            <w:vMerge w:val="continue"/>
            <w:tcBorders>
              <w:tl2br w:val="nil"/>
              <w:tr2bl w:val="nil"/>
            </w:tcBorders>
            <w:noWrap w:val="0"/>
            <w:vAlign w:val="center"/>
          </w:tcPr>
          <w:p w14:paraId="6AA6A19F">
            <w:pPr>
              <w:spacing w:line="276" w:lineRule="auto"/>
              <w:ind w:firstLine="200"/>
              <w:jc w:val="center"/>
              <w:rPr>
                <w:rFonts w:ascii="宋体" w:hAnsi="宋体"/>
                <w:color w:val="auto"/>
                <w:kern w:val="0"/>
                <w:sz w:val="21"/>
                <w:szCs w:val="21"/>
              </w:rPr>
            </w:pPr>
          </w:p>
        </w:tc>
      </w:tr>
      <w:tr w14:paraId="78950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9" w:hRule="atLeast"/>
          <w:jc w:val="center"/>
        </w:trPr>
        <w:tc>
          <w:tcPr>
            <w:tcW w:w="850" w:type="pct"/>
            <w:tcBorders>
              <w:tl2br w:val="nil"/>
              <w:tr2bl w:val="nil"/>
            </w:tcBorders>
            <w:noWrap w:val="0"/>
            <w:vAlign w:val="center"/>
          </w:tcPr>
          <w:p w14:paraId="190AA3C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color w:val="auto"/>
                <w:kern w:val="0"/>
                <w:sz w:val="21"/>
                <w:szCs w:val="21"/>
              </w:rPr>
            </w:pPr>
            <w:r>
              <w:rPr>
                <w:rFonts w:ascii="宋体" w:hAnsi="宋体"/>
                <w:color w:val="auto"/>
                <w:kern w:val="0"/>
                <w:sz w:val="21"/>
                <w:szCs w:val="21"/>
              </w:rPr>
              <w:t>相序</w:t>
            </w:r>
          </w:p>
        </w:tc>
        <w:tc>
          <w:tcPr>
            <w:tcW w:w="1602" w:type="pct"/>
            <w:tcBorders>
              <w:tl2br w:val="nil"/>
              <w:tr2bl w:val="nil"/>
            </w:tcBorders>
            <w:noWrap w:val="0"/>
            <w:vAlign w:val="center"/>
          </w:tcPr>
          <w:p w14:paraId="5EC2213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olor w:val="auto"/>
                <w:kern w:val="0"/>
                <w:sz w:val="21"/>
                <w:szCs w:val="21"/>
                <w:highlight w:val="none"/>
                <w:lang w:eastAsia="zh-CN"/>
              </w:rPr>
            </w:pPr>
            <w:r>
              <w:rPr>
                <w:rFonts w:ascii="宋体" w:hAnsi="宋体"/>
                <w:color w:val="auto"/>
                <w:kern w:val="0"/>
                <w:sz w:val="21"/>
                <w:szCs w:val="21"/>
                <w:highlight w:val="none"/>
              </w:rPr>
              <w:t>A-B-C</w:t>
            </w:r>
            <w:r>
              <w:rPr>
                <w:rFonts w:hint="eastAsia" w:ascii="宋体" w:hAnsi="宋体"/>
                <w:color w:val="auto"/>
                <w:kern w:val="0"/>
                <w:sz w:val="21"/>
                <w:szCs w:val="21"/>
                <w:highlight w:val="none"/>
                <w:lang w:eastAsia="zh-CN"/>
              </w:rPr>
              <w:t>（</w:t>
            </w:r>
            <w:r>
              <w:rPr>
                <w:rFonts w:hint="eastAsia" w:ascii="宋体" w:hAnsi="宋体"/>
                <w:color w:val="auto"/>
                <w:kern w:val="0"/>
                <w:sz w:val="21"/>
                <w:szCs w:val="21"/>
                <w:highlight w:val="none"/>
                <w:lang w:val="en-US" w:eastAsia="zh-CN"/>
              </w:rPr>
              <w:t>水平排列）</w:t>
            </w:r>
          </w:p>
        </w:tc>
        <w:tc>
          <w:tcPr>
            <w:tcW w:w="255" w:type="pct"/>
            <w:vMerge w:val="continue"/>
            <w:tcBorders>
              <w:tl2br w:val="nil"/>
              <w:tr2bl w:val="nil"/>
            </w:tcBorders>
            <w:noWrap w:val="0"/>
            <w:vAlign w:val="center"/>
          </w:tcPr>
          <w:p w14:paraId="4DFA7244">
            <w:pPr>
              <w:spacing w:line="276" w:lineRule="auto"/>
              <w:ind w:firstLine="200"/>
              <w:jc w:val="center"/>
              <w:rPr>
                <w:rFonts w:ascii="宋体" w:hAnsi="宋体"/>
                <w:color w:val="auto"/>
                <w:kern w:val="0"/>
                <w:sz w:val="21"/>
                <w:szCs w:val="21"/>
              </w:rPr>
            </w:pPr>
          </w:p>
        </w:tc>
        <w:tc>
          <w:tcPr>
            <w:tcW w:w="2291" w:type="pct"/>
            <w:gridSpan w:val="2"/>
            <w:vMerge w:val="continue"/>
            <w:tcBorders>
              <w:tl2br w:val="nil"/>
              <w:tr2bl w:val="nil"/>
            </w:tcBorders>
            <w:noWrap w:val="0"/>
            <w:vAlign w:val="center"/>
          </w:tcPr>
          <w:p w14:paraId="37D33912">
            <w:pPr>
              <w:spacing w:line="276" w:lineRule="auto"/>
              <w:ind w:firstLine="200"/>
              <w:jc w:val="center"/>
              <w:rPr>
                <w:rFonts w:ascii="宋体" w:hAnsi="宋体"/>
                <w:color w:val="auto"/>
                <w:kern w:val="0"/>
                <w:sz w:val="21"/>
                <w:szCs w:val="21"/>
              </w:rPr>
            </w:pPr>
          </w:p>
        </w:tc>
      </w:tr>
      <w:tr w14:paraId="42D97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65" w:hRule="atLeast"/>
          <w:jc w:val="center"/>
        </w:trPr>
        <w:tc>
          <w:tcPr>
            <w:tcW w:w="850" w:type="pct"/>
            <w:tcBorders>
              <w:tl2br w:val="nil"/>
              <w:tr2bl w:val="nil"/>
            </w:tcBorders>
            <w:noWrap w:val="0"/>
            <w:vAlign w:val="center"/>
          </w:tcPr>
          <w:p w14:paraId="37E0A99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color w:val="auto"/>
                <w:kern w:val="0"/>
                <w:sz w:val="21"/>
                <w:szCs w:val="21"/>
                <w:highlight w:val="none"/>
              </w:rPr>
            </w:pPr>
            <w:r>
              <w:rPr>
                <w:rFonts w:hint="eastAsia" w:ascii="宋体" w:hAnsi="宋体"/>
                <w:color w:val="auto"/>
                <w:kern w:val="0"/>
                <w:sz w:val="21"/>
                <w:szCs w:val="21"/>
                <w:highlight w:val="none"/>
              </w:rPr>
              <w:t>导线水平间距</w:t>
            </w:r>
          </w:p>
        </w:tc>
        <w:tc>
          <w:tcPr>
            <w:tcW w:w="1602" w:type="pct"/>
            <w:tcBorders>
              <w:tl2br w:val="nil"/>
              <w:tr2bl w:val="nil"/>
            </w:tcBorders>
            <w:noWrap w:val="0"/>
            <w:vAlign w:val="center"/>
          </w:tcPr>
          <w:p w14:paraId="7F0C795F">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宋体" w:hAnsi="宋体" w:eastAsia="宋体"/>
                <w:color w:val="auto"/>
                <w:kern w:val="0"/>
                <w:sz w:val="21"/>
                <w:szCs w:val="21"/>
                <w:highlight w:val="none"/>
                <w:lang w:val="en-US" w:eastAsia="zh-CN"/>
              </w:rPr>
            </w:pPr>
            <w:r>
              <w:rPr>
                <w:rFonts w:hint="eastAsia" w:ascii="宋体" w:hAnsi="宋体"/>
                <w:color w:val="auto"/>
                <w:kern w:val="0"/>
                <w:sz w:val="21"/>
                <w:szCs w:val="21"/>
                <w:highlight w:val="none"/>
              </w:rPr>
              <w:t>A相-B相：</w:t>
            </w:r>
            <w:r>
              <w:rPr>
                <w:rFonts w:hint="eastAsia" w:ascii="宋体" w:hAnsi="宋体"/>
                <w:color w:val="auto"/>
                <w:kern w:val="0"/>
                <w:sz w:val="21"/>
                <w:szCs w:val="21"/>
                <w:highlight w:val="none"/>
                <w:lang w:val="en-US" w:eastAsia="zh-CN"/>
              </w:rPr>
              <w:t>6.85m</w:t>
            </w:r>
          </w:p>
          <w:p w14:paraId="06A64D5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color w:val="auto"/>
                <w:kern w:val="0"/>
                <w:sz w:val="21"/>
                <w:szCs w:val="21"/>
                <w:highlight w:val="none"/>
              </w:rPr>
            </w:pPr>
            <w:r>
              <w:rPr>
                <w:rFonts w:hint="eastAsia" w:ascii="宋体" w:hAnsi="宋体"/>
                <w:color w:val="auto"/>
                <w:kern w:val="0"/>
                <w:sz w:val="21"/>
                <w:szCs w:val="21"/>
                <w:highlight w:val="none"/>
              </w:rPr>
              <w:t>C相-B相：</w:t>
            </w:r>
            <w:r>
              <w:rPr>
                <w:rFonts w:hint="eastAsia" w:ascii="宋体" w:hAnsi="宋体"/>
                <w:color w:val="auto"/>
                <w:kern w:val="0"/>
                <w:sz w:val="21"/>
                <w:szCs w:val="21"/>
                <w:highlight w:val="none"/>
                <w:lang w:val="en-US" w:eastAsia="zh-CN"/>
              </w:rPr>
              <w:t>6.85</w:t>
            </w:r>
            <w:r>
              <w:rPr>
                <w:rFonts w:hint="eastAsia" w:ascii="宋体" w:hAnsi="宋体"/>
                <w:color w:val="auto"/>
                <w:kern w:val="0"/>
                <w:sz w:val="21"/>
                <w:szCs w:val="21"/>
                <w:highlight w:val="none"/>
              </w:rPr>
              <w:t>m</w:t>
            </w:r>
          </w:p>
          <w:p w14:paraId="3A5CEFA2">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color w:val="auto"/>
                <w:kern w:val="0"/>
                <w:sz w:val="21"/>
                <w:szCs w:val="21"/>
                <w:highlight w:val="none"/>
              </w:rPr>
            </w:pPr>
            <w:r>
              <w:rPr>
                <w:rFonts w:hint="eastAsia" w:ascii="宋体" w:hAnsi="宋体"/>
                <w:color w:val="auto"/>
                <w:kern w:val="0"/>
                <w:sz w:val="21"/>
                <w:szCs w:val="21"/>
                <w:highlight w:val="none"/>
              </w:rPr>
              <w:t>A相-C相：</w:t>
            </w:r>
            <w:r>
              <w:rPr>
                <w:rFonts w:hint="eastAsia" w:ascii="宋体" w:hAnsi="宋体"/>
                <w:color w:val="auto"/>
                <w:kern w:val="0"/>
                <w:sz w:val="21"/>
                <w:szCs w:val="21"/>
                <w:highlight w:val="none"/>
                <w:lang w:val="en-US" w:eastAsia="zh-CN"/>
              </w:rPr>
              <w:t>13.7</w:t>
            </w:r>
            <w:r>
              <w:rPr>
                <w:rFonts w:hint="eastAsia" w:ascii="宋体" w:hAnsi="宋体"/>
                <w:color w:val="auto"/>
                <w:kern w:val="0"/>
                <w:sz w:val="21"/>
                <w:szCs w:val="21"/>
                <w:highlight w:val="none"/>
              </w:rPr>
              <w:t>m</w:t>
            </w:r>
          </w:p>
        </w:tc>
        <w:tc>
          <w:tcPr>
            <w:tcW w:w="255" w:type="pct"/>
            <w:vMerge w:val="continue"/>
            <w:tcBorders>
              <w:tl2br w:val="nil"/>
              <w:tr2bl w:val="nil"/>
            </w:tcBorders>
            <w:noWrap w:val="0"/>
            <w:vAlign w:val="center"/>
          </w:tcPr>
          <w:p w14:paraId="7C5E09B1">
            <w:pPr>
              <w:spacing w:line="276" w:lineRule="auto"/>
              <w:ind w:firstLine="200"/>
              <w:jc w:val="center"/>
              <w:rPr>
                <w:rFonts w:ascii="宋体" w:hAnsi="宋体"/>
                <w:color w:val="auto"/>
                <w:kern w:val="0"/>
                <w:sz w:val="21"/>
                <w:szCs w:val="21"/>
              </w:rPr>
            </w:pPr>
          </w:p>
        </w:tc>
        <w:tc>
          <w:tcPr>
            <w:tcW w:w="2291" w:type="pct"/>
            <w:gridSpan w:val="2"/>
            <w:vMerge w:val="continue"/>
            <w:tcBorders>
              <w:tl2br w:val="nil"/>
              <w:tr2bl w:val="nil"/>
            </w:tcBorders>
            <w:noWrap w:val="0"/>
            <w:vAlign w:val="center"/>
          </w:tcPr>
          <w:p w14:paraId="7774C5F6">
            <w:pPr>
              <w:spacing w:line="276" w:lineRule="auto"/>
              <w:ind w:firstLine="200"/>
              <w:jc w:val="center"/>
              <w:rPr>
                <w:rFonts w:ascii="宋体" w:hAnsi="宋体"/>
                <w:color w:val="auto"/>
                <w:kern w:val="0"/>
                <w:sz w:val="21"/>
                <w:szCs w:val="21"/>
              </w:rPr>
            </w:pPr>
          </w:p>
        </w:tc>
      </w:tr>
      <w:tr w14:paraId="56234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21" w:hRule="atLeast"/>
          <w:jc w:val="center"/>
        </w:trPr>
        <w:tc>
          <w:tcPr>
            <w:tcW w:w="850" w:type="pct"/>
            <w:tcBorders>
              <w:tl2br w:val="nil"/>
              <w:tr2bl w:val="nil"/>
            </w:tcBorders>
            <w:noWrap w:val="0"/>
            <w:vAlign w:val="center"/>
          </w:tcPr>
          <w:p w14:paraId="50738B5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olor w:val="auto"/>
                <w:kern w:val="0"/>
                <w:sz w:val="21"/>
                <w:szCs w:val="21"/>
                <w:highlight w:val="none"/>
                <w:lang w:val="en-US" w:eastAsia="zh-CN" w:bidi="ar-SA"/>
              </w:rPr>
            </w:pPr>
            <w:r>
              <w:rPr>
                <w:rFonts w:hint="eastAsia" w:ascii="宋体" w:hAnsi="宋体"/>
                <w:color w:val="auto"/>
                <w:kern w:val="0"/>
                <w:sz w:val="21"/>
                <w:szCs w:val="21"/>
                <w:highlight w:val="none"/>
                <w:lang w:val="en-US" w:eastAsia="zh-CN"/>
              </w:rPr>
              <w:t>地线水平间距</w:t>
            </w:r>
          </w:p>
        </w:tc>
        <w:tc>
          <w:tcPr>
            <w:tcW w:w="1602" w:type="pct"/>
            <w:tcBorders>
              <w:tl2br w:val="nil"/>
              <w:tr2bl w:val="nil"/>
            </w:tcBorders>
            <w:noWrap w:val="0"/>
            <w:vAlign w:val="center"/>
          </w:tcPr>
          <w:p w14:paraId="10B967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olor w:val="auto"/>
                <w:kern w:val="0"/>
                <w:sz w:val="21"/>
                <w:szCs w:val="21"/>
                <w:highlight w:val="none"/>
                <w:lang w:val="en-US" w:eastAsia="zh-CN"/>
              </w:rPr>
            </w:pPr>
            <w:r>
              <w:rPr>
                <w:rFonts w:hint="eastAsia" w:ascii="宋体" w:hAnsi="宋体"/>
                <w:color w:val="auto"/>
                <w:kern w:val="0"/>
                <w:sz w:val="21"/>
                <w:szCs w:val="21"/>
                <w:highlight w:val="none"/>
                <w:lang w:val="en-US" w:eastAsia="zh-CN"/>
              </w:rPr>
              <w:t>D1-(0,0):5.35</w:t>
            </w:r>
          </w:p>
          <w:p w14:paraId="06AF1450">
            <w:pPr>
              <w:pStyle w:val="13"/>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Courier New" w:eastAsia="仿宋_GB2312"/>
                <w:color w:val="auto"/>
                <w:kern w:val="2"/>
                <w:sz w:val="21"/>
                <w:szCs w:val="21"/>
                <w:lang w:val="en-US" w:eastAsia="zh-CN" w:bidi="ar-SA"/>
              </w:rPr>
            </w:pPr>
            <w:r>
              <w:rPr>
                <w:rFonts w:hint="eastAsia" w:ascii="宋体" w:hAnsi="宋体"/>
                <w:color w:val="auto"/>
                <w:kern w:val="0"/>
                <w:sz w:val="21"/>
                <w:szCs w:val="21"/>
                <w:highlight w:val="none"/>
                <w:lang w:val="en-US" w:eastAsia="zh-CN"/>
              </w:rPr>
              <w:t>D2-(0,0)</w:t>
            </w:r>
            <w:r>
              <w:rPr>
                <w:rFonts w:hint="eastAsia" w:hAnsi="宋体"/>
                <w:color w:val="auto"/>
                <w:kern w:val="0"/>
                <w:sz w:val="21"/>
                <w:szCs w:val="21"/>
                <w:highlight w:val="none"/>
                <w:lang w:val="en-US" w:eastAsia="zh-CN"/>
              </w:rPr>
              <w:t>:5.35</w:t>
            </w:r>
          </w:p>
        </w:tc>
        <w:tc>
          <w:tcPr>
            <w:tcW w:w="255" w:type="pct"/>
            <w:vMerge w:val="continue"/>
            <w:tcBorders>
              <w:tl2br w:val="nil"/>
              <w:tr2bl w:val="nil"/>
            </w:tcBorders>
            <w:noWrap w:val="0"/>
            <w:vAlign w:val="center"/>
          </w:tcPr>
          <w:p w14:paraId="76B8B76C">
            <w:pPr>
              <w:spacing w:line="276" w:lineRule="auto"/>
              <w:ind w:firstLine="200"/>
              <w:jc w:val="center"/>
              <w:rPr>
                <w:rFonts w:ascii="宋体" w:hAnsi="宋体"/>
                <w:color w:val="auto"/>
                <w:kern w:val="0"/>
                <w:sz w:val="21"/>
                <w:szCs w:val="21"/>
              </w:rPr>
            </w:pPr>
          </w:p>
        </w:tc>
        <w:tc>
          <w:tcPr>
            <w:tcW w:w="2291" w:type="pct"/>
            <w:gridSpan w:val="2"/>
            <w:vMerge w:val="continue"/>
            <w:tcBorders>
              <w:tl2br w:val="nil"/>
              <w:tr2bl w:val="nil"/>
            </w:tcBorders>
            <w:noWrap w:val="0"/>
            <w:vAlign w:val="center"/>
          </w:tcPr>
          <w:p w14:paraId="369CA7A8">
            <w:pPr>
              <w:spacing w:line="276" w:lineRule="auto"/>
              <w:ind w:firstLine="200"/>
              <w:jc w:val="center"/>
              <w:rPr>
                <w:rFonts w:ascii="宋体" w:hAnsi="宋体"/>
                <w:color w:val="auto"/>
                <w:kern w:val="0"/>
                <w:sz w:val="21"/>
                <w:szCs w:val="21"/>
              </w:rPr>
            </w:pPr>
          </w:p>
        </w:tc>
      </w:tr>
      <w:tr w14:paraId="31C9A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4" w:hRule="atLeast"/>
          <w:jc w:val="center"/>
        </w:trPr>
        <w:tc>
          <w:tcPr>
            <w:tcW w:w="850" w:type="pct"/>
            <w:tcBorders>
              <w:tl2br w:val="nil"/>
              <w:tr2bl w:val="nil"/>
            </w:tcBorders>
            <w:noWrap w:val="0"/>
            <w:vAlign w:val="center"/>
          </w:tcPr>
          <w:p w14:paraId="7D4AC8CA">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宋体" w:hAnsi="宋体"/>
                <w:color w:val="auto"/>
                <w:kern w:val="0"/>
                <w:sz w:val="21"/>
                <w:szCs w:val="21"/>
                <w:highlight w:val="none"/>
                <w:lang w:val="en-US" w:eastAsia="zh-CN"/>
              </w:rPr>
            </w:pPr>
            <w:r>
              <w:rPr>
                <w:rFonts w:hint="eastAsia" w:ascii="宋体" w:hAnsi="宋体"/>
                <w:color w:val="auto"/>
                <w:kern w:val="0"/>
                <w:sz w:val="21"/>
                <w:szCs w:val="21"/>
                <w:highlight w:val="none"/>
                <w:lang w:val="en-US" w:eastAsia="zh-CN"/>
              </w:rPr>
              <w:t>绝缘子串高度</w:t>
            </w:r>
          </w:p>
        </w:tc>
        <w:tc>
          <w:tcPr>
            <w:tcW w:w="1602" w:type="pct"/>
            <w:tcBorders>
              <w:tl2br w:val="nil"/>
              <w:tr2bl w:val="nil"/>
            </w:tcBorders>
            <w:noWrap w:val="0"/>
            <w:vAlign w:val="center"/>
          </w:tcPr>
          <w:p w14:paraId="61604D50">
            <w:pPr>
              <w:pStyle w:val="13"/>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宋体" w:hAnsi="宋体"/>
                <w:color w:val="auto"/>
                <w:kern w:val="0"/>
                <w:sz w:val="21"/>
                <w:szCs w:val="21"/>
                <w:highlight w:val="none"/>
                <w:lang w:val="en-US" w:eastAsia="zh-CN"/>
              </w:rPr>
            </w:pPr>
            <w:r>
              <w:rPr>
                <w:rFonts w:hint="eastAsia" w:hAnsi="宋体"/>
                <w:color w:val="auto"/>
                <w:kern w:val="0"/>
                <w:sz w:val="21"/>
                <w:szCs w:val="21"/>
                <w:highlight w:val="none"/>
                <w:lang w:val="en-US" w:eastAsia="zh-CN"/>
              </w:rPr>
              <w:t>1.8m</w:t>
            </w:r>
          </w:p>
        </w:tc>
        <w:tc>
          <w:tcPr>
            <w:tcW w:w="255" w:type="pct"/>
            <w:vMerge w:val="continue"/>
            <w:tcBorders>
              <w:tl2br w:val="nil"/>
              <w:tr2bl w:val="nil"/>
            </w:tcBorders>
            <w:noWrap w:val="0"/>
            <w:vAlign w:val="center"/>
          </w:tcPr>
          <w:p w14:paraId="53F4B235">
            <w:pPr>
              <w:spacing w:line="276" w:lineRule="auto"/>
              <w:ind w:firstLine="200"/>
              <w:jc w:val="center"/>
              <w:rPr>
                <w:rFonts w:ascii="宋体" w:hAnsi="宋体"/>
                <w:color w:val="auto"/>
                <w:kern w:val="0"/>
                <w:sz w:val="21"/>
                <w:szCs w:val="21"/>
              </w:rPr>
            </w:pPr>
          </w:p>
        </w:tc>
        <w:tc>
          <w:tcPr>
            <w:tcW w:w="2291" w:type="pct"/>
            <w:gridSpan w:val="2"/>
            <w:vMerge w:val="continue"/>
            <w:tcBorders>
              <w:tl2br w:val="nil"/>
              <w:tr2bl w:val="nil"/>
            </w:tcBorders>
            <w:noWrap w:val="0"/>
            <w:vAlign w:val="center"/>
          </w:tcPr>
          <w:p w14:paraId="1D4A6380">
            <w:pPr>
              <w:spacing w:line="276" w:lineRule="auto"/>
              <w:ind w:firstLine="200"/>
              <w:jc w:val="center"/>
              <w:rPr>
                <w:rFonts w:ascii="宋体" w:hAnsi="宋体"/>
                <w:color w:val="auto"/>
                <w:kern w:val="0"/>
                <w:sz w:val="21"/>
                <w:szCs w:val="21"/>
              </w:rPr>
            </w:pPr>
          </w:p>
        </w:tc>
      </w:tr>
      <w:tr w14:paraId="55401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6" w:hRule="atLeast"/>
          <w:jc w:val="center"/>
        </w:trPr>
        <w:tc>
          <w:tcPr>
            <w:tcW w:w="850" w:type="pct"/>
            <w:tcBorders>
              <w:tl2br w:val="nil"/>
              <w:tr2bl w:val="nil"/>
            </w:tcBorders>
            <w:noWrap w:val="0"/>
            <w:vAlign w:val="center"/>
          </w:tcPr>
          <w:p w14:paraId="072DF6D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olor w:val="auto"/>
                <w:kern w:val="0"/>
                <w:sz w:val="21"/>
                <w:szCs w:val="21"/>
                <w:lang w:val="en-US" w:eastAsia="zh-CN" w:bidi="ar-SA"/>
              </w:rPr>
            </w:pPr>
            <w:r>
              <w:rPr>
                <w:rFonts w:hint="eastAsia" w:ascii="宋体" w:hAnsi="宋体"/>
                <w:color w:val="auto"/>
                <w:kern w:val="0"/>
                <w:sz w:val="21"/>
                <w:szCs w:val="21"/>
              </w:rPr>
              <w:t>导线</w:t>
            </w:r>
            <w:r>
              <w:rPr>
                <w:rFonts w:hint="eastAsia" w:ascii="宋体" w:hAnsi="宋体"/>
                <w:color w:val="auto"/>
                <w:kern w:val="0"/>
                <w:sz w:val="21"/>
                <w:szCs w:val="21"/>
                <w:lang w:eastAsia="zh-CN"/>
              </w:rPr>
              <w:t>－</w:t>
            </w:r>
            <w:r>
              <w:rPr>
                <w:rFonts w:hint="eastAsia" w:ascii="宋体" w:hAnsi="宋体"/>
                <w:color w:val="auto"/>
                <w:kern w:val="0"/>
                <w:sz w:val="21"/>
                <w:szCs w:val="21"/>
              </w:rPr>
              <w:t>地线垂直间距</w:t>
            </w:r>
          </w:p>
        </w:tc>
        <w:tc>
          <w:tcPr>
            <w:tcW w:w="1602" w:type="pct"/>
            <w:tcBorders>
              <w:tl2br w:val="nil"/>
              <w:tr2bl w:val="nil"/>
            </w:tcBorders>
            <w:noWrap w:val="0"/>
            <w:vAlign w:val="center"/>
          </w:tcPr>
          <w:p w14:paraId="384F1BC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olor w:val="auto"/>
                <w:kern w:val="0"/>
                <w:sz w:val="21"/>
                <w:szCs w:val="21"/>
                <w:highlight w:val="none"/>
                <w:lang w:val="en-US" w:eastAsia="zh-CN" w:bidi="ar-SA"/>
              </w:rPr>
            </w:pPr>
            <w:r>
              <w:rPr>
                <w:rFonts w:hint="eastAsia" w:ascii="宋体" w:hAnsi="宋体"/>
                <w:color w:val="auto"/>
                <w:kern w:val="0"/>
                <w:sz w:val="21"/>
                <w:szCs w:val="21"/>
                <w:highlight w:val="none"/>
                <w:lang w:val="en-US" w:eastAsia="zh-CN"/>
              </w:rPr>
              <w:t>6.1</w:t>
            </w:r>
            <w:r>
              <w:rPr>
                <w:rFonts w:hint="eastAsia" w:ascii="宋体" w:hAnsi="宋体"/>
                <w:color w:val="auto"/>
                <w:kern w:val="0"/>
                <w:sz w:val="21"/>
                <w:szCs w:val="21"/>
                <w:highlight w:val="none"/>
              </w:rPr>
              <w:t>m</w:t>
            </w:r>
            <w:r>
              <w:rPr>
                <w:rFonts w:hint="eastAsia" w:ascii="宋体" w:hAnsi="宋体"/>
                <w:color w:val="auto"/>
                <w:kern w:val="0"/>
                <w:sz w:val="21"/>
                <w:szCs w:val="21"/>
                <w:highlight w:val="none"/>
                <w:lang w:eastAsia="zh-CN"/>
              </w:rPr>
              <w:t>（</w:t>
            </w:r>
            <w:r>
              <w:rPr>
                <w:rFonts w:hint="eastAsia" w:ascii="宋体" w:hAnsi="宋体"/>
                <w:color w:val="auto"/>
                <w:kern w:val="0"/>
                <w:sz w:val="21"/>
                <w:szCs w:val="21"/>
                <w:highlight w:val="none"/>
                <w:lang w:val="en-US" w:eastAsia="zh-CN"/>
              </w:rPr>
              <w:t>导线距离地线距离，直线塔虑绝缘子串高度）</w:t>
            </w:r>
          </w:p>
        </w:tc>
        <w:tc>
          <w:tcPr>
            <w:tcW w:w="255" w:type="pct"/>
            <w:vMerge w:val="continue"/>
            <w:tcBorders>
              <w:tl2br w:val="nil"/>
              <w:tr2bl w:val="nil"/>
            </w:tcBorders>
            <w:noWrap w:val="0"/>
            <w:vAlign w:val="center"/>
          </w:tcPr>
          <w:p w14:paraId="4AF88136">
            <w:pPr>
              <w:spacing w:line="276" w:lineRule="auto"/>
              <w:ind w:firstLine="200"/>
              <w:jc w:val="center"/>
              <w:rPr>
                <w:rFonts w:ascii="宋体" w:hAnsi="宋体"/>
                <w:color w:val="auto"/>
                <w:kern w:val="0"/>
                <w:sz w:val="21"/>
                <w:szCs w:val="21"/>
              </w:rPr>
            </w:pPr>
          </w:p>
        </w:tc>
        <w:tc>
          <w:tcPr>
            <w:tcW w:w="2291" w:type="pct"/>
            <w:gridSpan w:val="2"/>
            <w:vMerge w:val="continue"/>
            <w:tcBorders>
              <w:tl2br w:val="nil"/>
              <w:tr2bl w:val="nil"/>
            </w:tcBorders>
            <w:noWrap w:val="0"/>
            <w:vAlign w:val="center"/>
          </w:tcPr>
          <w:p w14:paraId="292A5DDF">
            <w:pPr>
              <w:spacing w:line="276" w:lineRule="auto"/>
              <w:ind w:firstLine="200"/>
              <w:jc w:val="center"/>
              <w:rPr>
                <w:rFonts w:ascii="宋体" w:hAnsi="宋体"/>
                <w:color w:val="auto"/>
                <w:kern w:val="0"/>
                <w:sz w:val="21"/>
                <w:szCs w:val="21"/>
              </w:rPr>
            </w:pPr>
          </w:p>
        </w:tc>
      </w:tr>
    </w:tbl>
    <w:p w14:paraId="38ABA511">
      <w:pPr>
        <w:keepNext w:val="0"/>
        <w:keepLines w:val="0"/>
        <w:pageBreakBefore w:val="0"/>
        <w:widowControl w:val="0"/>
        <w:kinsoku/>
        <w:wordWrap/>
        <w:overflowPunct/>
        <w:topLinePunct w:val="0"/>
        <w:autoSpaceDE/>
        <w:autoSpaceDN/>
        <w:bidi w:val="0"/>
        <w:adjustRightInd/>
        <w:snapToGrid/>
        <w:spacing w:line="240" w:lineRule="auto"/>
        <w:ind w:right="0" w:rightChars="0" w:firstLine="482" w:firstLineChars="200"/>
        <w:jc w:val="both"/>
        <w:textAlignment w:val="auto"/>
        <w:outlineLvl w:val="9"/>
        <w:rPr>
          <w:rFonts w:hint="default" w:ascii="Calibri" w:hAnsi="Calibri" w:eastAsia="宋体" w:cs="Calibri"/>
          <w:b/>
          <w:color w:val="FF0000"/>
          <w:sz w:val="24"/>
        </w:rPr>
      </w:pPr>
    </w:p>
    <w:p w14:paraId="61F2E25C">
      <w:pPr>
        <w:keepNext w:val="0"/>
        <w:keepLines w:val="0"/>
        <w:pageBreakBefore w:val="0"/>
        <w:widowControl w:val="0"/>
        <w:kinsoku/>
        <w:wordWrap/>
        <w:overflowPunct/>
        <w:topLinePunct w:val="0"/>
        <w:autoSpaceDE/>
        <w:autoSpaceDN/>
        <w:bidi w:val="0"/>
        <w:adjustRightInd/>
        <w:snapToGrid/>
        <w:spacing w:line="240" w:lineRule="auto"/>
        <w:ind w:right="0" w:rightChars="0" w:firstLine="482" w:firstLineChars="200"/>
        <w:jc w:val="both"/>
        <w:textAlignment w:val="auto"/>
        <w:outlineLvl w:val="9"/>
        <w:rPr>
          <w:rFonts w:hint="default" w:ascii="Calibri" w:hAnsi="Calibri" w:eastAsia="宋体" w:cs="Calibri"/>
          <w:b/>
          <w:color w:val="FF0000"/>
          <w:sz w:val="24"/>
        </w:rPr>
      </w:pPr>
    </w:p>
    <w:p w14:paraId="1FC5FD76">
      <w:pPr>
        <w:keepNext w:val="0"/>
        <w:keepLines w:val="0"/>
        <w:pageBreakBefore w:val="0"/>
        <w:widowControl w:val="0"/>
        <w:kinsoku/>
        <w:wordWrap/>
        <w:overflowPunct/>
        <w:topLinePunct w:val="0"/>
        <w:autoSpaceDE/>
        <w:autoSpaceDN/>
        <w:bidi w:val="0"/>
        <w:adjustRightInd/>
        <w:snapToGrid/>
        <w:spacing w:line="240" w:lineRule="auto"/>
        <w:ind w:right="0" w:rightChars="0" w:firstLine="482" w:firstLineChars="200"/>
        <w:jc w:val="both"/>
        <w:textAlignment w:val="auto"/>
        <w:outlineLvl w:val="9"/>
        <w:rPr>
          <w:rFonts w:hint="default" w:ascii="Calibri" w:hAnsi="Calibri" w:eastAsia="宋体" w:cs="Calibri"/>
          <w:b/>
          <w:color w:val="FF0000"/>
          <w:sz w:val="24"/>
        </w:rPr>
      </w:pPr>
    </w:p>
    <w:p w14:paraId="11EBA8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08" w:firstLineChars="294"/>
        <w:jc w:val="both"/>
        <w:textAlignment w:val="auto"/>
        <w:outlineLvl w:val="9"/>
        <w:rPr>
          <w:rFonts w:hint="default" w:ascii="Calibri" w:hAnsi="Calibri" w:eastAsia="宋体" w:cs="Calibri"/>
          <w:b/>
          <w:color w:val="FF0000"/>
          <w:sz w:val="24"/>
        </w:rPr>
      </w:pPr>
    </w:p>
    <w:p w14:paraId="764CB1D4">
      <w:pPr>
        <w:pStyle w:val="2"/>
        <w:rPr>
          <w:rFonts w:hint="default" w:ascii="Calibri" w:hAnsi="Calibri" w:eastAsia="宋体" w:cs="Calibri"/>
          <w:b/>
          <w:color w:val="FF0000"/>
          <w:sz w:val="24"/>
        </w:rPr>
      </w:pPr>
    </w:p>
    <w:p w14:paraId="2A5C8404">
      <w:pPr>
        <w:rPr>
          <w:rFonts w:hint="default" w:ascii="Calibri" w:hAnsi="Calibri" w:eastAsia="宋体" w:cs="Calibri"/>
          <w:b/>
          <w:color w:val="FF0000"/>
          <w:sz w:val="24"/>
        </w:rPr>
      </w:pPr>
    </w:p>
    <w:p w14:paraId="0DAC0A48">
      <w:pPr>
        <w:pStyle w:val="2"/>
        <w:rPr>
          <w:rFonts w:hint="default" w:ascii="Calibri" w:hAnsi="Calibri" w:eastAsia="宋体" w:cs="Calibri"/>
          <w:b/>
          <w:color w:val="FF0000"/>
          <w:sz w:val="24"/>
        </w:rPr>
      </w:pPr>
    </w:p>
    <w:p w14:paraId="0F52288A">
      <w:pPr>
        <w:rPr>
          <w:rFonts w:hint="default" w:ascii="Calibri" w:hAnsi="Calibri" w:eastAsia="宋体" w:cs="Calibri"/>
          <w:b/>
          <w:color w:val="FF0000"/>
          <w:sz w:val="24"/>
        </w:rPr>
      </w:pPr>
    </w:p>
    <w:p w14:paraId="1ABA2E4A">
      <w:pPr>
        <w:pStyle w:val="2"/>
        <w:rPr>
          <w:rFonts w:hint="default" w:ascii="Calibri" w:hAnsi="Calibri" w:eastAsia="宋体" w:cs="Calibri"/>
          <w:b/>
          <w:color w:val="FF0000"/>
          <w:sz w:val="24"/>
        </w:rPr>
      </w:pPr>
    </w:p>
    <w:p w14:paraId="21B1D205">
      <w:pPr>
        <w:rPr>
          <w:rFonts w:hint="default" w:ascii="Calibri" w:hAnsi="Calibri" w:eastAsia="宋体" w:cs="Calibri"/>
          <w:b/>
          <w:color w:val="FF0000"/>
          <w:sz w:val="24"/>
        </w:rPr>
      </w:pPr>
    </w:p>
    <w:p w14:paraId="2AC72C5C">
      <w:pPr>
        <w:pStyle w:val="2"/>
        <w:rPr>
          <w:rFonts w:hint="default" w:ascii="Calibri" w:hAnsi="Calibri" w:eastAsia="宋体" w:cs="Calibri"/>
          <w:b/>
          <w:color w:val="FF0000"/>
          <w:sz w:val="24"/>
        </w:rPr>
      </w:pPr>
    </w:p>
    <w:p w14:paraId="2DE149D6">
      <w:pPr>
        <w:rPr>
          <w:rFonts w:hint="default" w:ascii="Calibri" w:hAnsi="Calibri" w:eastAsia="宋体" w:cs="Calibri"/>
          <w:b/>
          <w:color w:val="FF0000"/>
          <w:sz w:val="24"/>
        </w:rPr>
      </w:pPr>
    </w:p>
    <w:p w14:paraId="5FCDA3F8">
      <w:pPr>
        <w:pStyle w:val="2"/>
        <w:rPr>
          <w:rFonts w:hint="default" w:ascii="Calibri" w:hAnsi="Calibri" w:eastAsia="宋体" w:cs="Calibri"/>
          <w:b/>
          <w:color w:val="FF0000"/>
          <w:sz w:val="24"/>
        </w:rPr>
      </w:pPr>
    </w:p>
    <w:p w14:paraId="1F2A62D9">
      <w:pPr>
        <w:rPr>
          <w:rFonts w:hint="default" w:ascii="Calibri" w:hAnsi="Calibri" w:eastAsia="宋体" w:cs="Calibri"/>
          <w:b/>
          <w:color w:val="FF0000"/>
          <w:sz w:val="24"/>
        </w:rPr>
      </w:pPr>
    </w:p>
    <w:p w14:paraId="205916A5">
      <w:pPr>
        <w:pStyle w:val="2"/>
        <w:rPr>
          <w:rFonts w:hint="default" w:ascii="Calibri" w:hAnsi="Calibri" w:eastAsia="宋体" w:cs="Calibri"/>
          <w:b/>
          <w:color w:val="FF0000"/>
          <w:sz w:val="24"/>
        </w:rPr>
      </w:pPr>
    </w:p>
    <w:p w14:paraId="1F1E9BA8">
      <w:pPr>
        <w:rPr>
          <w:rFonts w:hint="default" w:ascii="Calibri" w:hAnsi="Calibri" w:eastAsia="宋体" w:cs="Calibri"/>
          <w:b/>
          <w:color w:val="FF0000"/>
          <w:sz w:val="24"/>
        </w:rPr>
      </w:pPr>
    </w:p>
    <w:p w14:paraId="06029C04">
      <w:pPr>
        <w:pStyle w:val="2"/>
        <w:rPr>
          <w:rFonts w:hint="default" w:ascii="Calibri" w:hAnsi="Calibri" w:eastAsia="宋体" w:cs="Calibri"/>
          <w:b/>
          <w:color w:val="FF0000"/>
          <w:sz w:val="24"/>
        </w:rPr>
      </w:pPr>
    </w:p>
    <w:p w14:paraId="507F4963">
      <w:pPr>
        <w:rPr>
          <w:rFonts w:hint="default" w:ascii="Calibri" w:hAnsi="Calibri" w:eastAsia="宋体" w:cs="Calibri"/>
          <w:b/>
          <w:color w:val="FF0000"/>
          <w:sz w:val="24"/>
        </w:rPr>
      </w:pPr>
    </w:p>
    <w:p w14:paraId="33545E89">
      <w:pPr>
        <w:pStyle w:val="2"/>
        <w:rPr>
          <w:rFonts w:hint="default" w:ascii="Calibri" w:hAnsi="Calibri" w:eastAsia="宋体" w:cs="Calibri"/>
          <w:b/>
          <w:color w:val="FF0000"/>
          <w:sz w:val="24"/>
        </w:rPr>
      </w:pPr>
    </w:p>
    <w:p w14:paraId="31AA4FFB">
      <w:pPr>
        <w:rPr>
          <w:rFonts w:hint="default" w:ascii="Calibri" w:hAnsi="Calibri" w:eastAsia="宋体" w:cs="Calibri"/>
          <w:b/>
          <w:color w:val="FF0000"/>
          <w:sz w:val="24"/>
        </w:rPr>
      </w:pPr>
    </w:p>
    <w:p w14:paraId="7D9BF9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708" w:firstLineChars="294"/>
        <w:jc w:val="both"/>
        <w:textAlignment w:val="auto"/>
        <w:outlineLvl w:val="9"/>
        <w:rPr>
          <w:rFonts w:hint="eastAsia" w:ascii="宋体" w:hAnsi="宋体" w:cs="宋体"/>
          <w:b/>
          <w:bCs/>
          <w:color w:val="auto"/>
          <w:sz w:val="24"/>
          <w:highlight w:val="none"/>
        </w:rPr>
      </w:pPr>
    </w:p>
    <w:p w14:paraId="5467734B">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708" w:firstLineChars="294"/>
        <w:jc w:val="both"/>
        <w:textAlignment w:val="auto"/>
        <w:outlineLvl w:val="9"/>
        <w:rPr>
          <w:rFonts w:ascii="宋体" w:hAnsi="宋体"/>
          <w:b/>
          <w:color w:val="auto"/>
          <w:sz w:val="24"/>
          <w:highlight w:val="none"/>
        </w:rPr>
      </w:pPr>
      <w:r>
        <w:rPr>
          <w:rFonts w:hint="eastAsia" w:ascii="宋体" w:hAnsi="宋体" w:cs="宋体"/>
          <w:b/>
          <w:bCs/>
          <w:color w:val="auto"/>
          <w:sz w:val="24"/>
          <w:highlight w:val="none"/>
        </w:rPr>
        <w:t>表3</w:t>
      </w:r>
      <w:r>
        <w:rPr>
          <w:rFonts w:hint="eastAsia" w:ascii="宋体" w:hAnsi="宋体" w:cs="宋体"/>
          <w:b/>
          <w:bCs/>
          <w:color w:val="auto"/>
          <w:sz w:val="24"/>
          <w:highlight w:val="none"/>
          <w:lang w:val="en-US" w:eastAsia="zh-CN"/>
        </w:rPr>
        <w:t>-5</w:t>
      </w:r>
      <w:r>
        <w:rPr>
          <w:rFonts w:hint="eastAsia" w:ascii="宋体" w:hAnsi="宋体" w:cs="宋体"/>
          <w:b/>
          <w:bCs/>
          <w:color w:val="auto"/>
          <w:sz w:val="24"/>
          <w:highlight w:val="none"/>
        </w:rPr>
        <w:t xml:space="preserve">      </w:t>
      </w:r>
      <w:r>
        <w:rPr>
          <w:rFonts w:hint="eastAsia" w:ascii="宋体" w:hAnsi="宋体"/>
          <w:b/>
          <w:color w:val="auto"/>
          <w:sz w:val="24"/>
          <w:highlight w:val="none"/>
          <w:lang w:eastAsia="zh-CN"/>
        </w:rPr>
        <w:t>本项目</w:t>
      </w:r>
      <w:r>
        <w:rPr>
          <w:rFonts w:hint="eastAsia" w:ascii="宋体" w:hAnsi="宋体"/>
          <w:b/>
          <w:color w:val="auto"/>
          <w:sz w:val="24"/>
          <w:highlight w:val="none"/>
          <w:lang w:val="en-US" w:eastAsia="zh-CN"/>
        </w:rPr>
        <w:t>110</w:t>
      </w:r>
      <w:r>
        <w:rPr>
          <w:rFonts w:ascii="宋体" w:hAnsi="宋体"/>
          <w:b/>
          <w:color w:val="auto"/>
          <w:sz w:val="24"/>
          <w:highlight w:val="none"/>
        </w:rPr>
        <w:t>kV</w:t>
      </w:r>
      <w:r>
        <w:rPr>
          <w:rFonts w:hint="eastAsia" w:ascii="宋体" w:hAnsi="宋体"/>
          <w:b/>
          <w:color w:val="auto"/>
          <w:sz w:val="24"/>
          <w:highlight w:val="none"/>
          <w:lang w:val="en-US" w:eastAsia="zh-CN"/>
        </w:rPr>
        <w:t>双回路输电线路</w:t>
      </w:r>
      <w:r>
        <w:rPr>
          <w:rFonts w:hint="eastAsia" w:ascii="宋体" w:hAnsi="宋体" w:cs="宋体"/>
          <w:b/>
          <w:bCs/>
          <w:color w:val="auto"/>
          <w:sz w:val="24"/>
          <w:highlight w:val="none"/>
        </w:rPr>
        <w:t>电磁理论</w:t>
      </w:r>
      <w:r>
        <w:rPr>
          <w:rFonts w:ascii="宋体" w:hAnsi="宋体"/>
          <w:b/>
          <w:color w:val="auto"/>
          <w:sz w:val="24"/>
          <w:highlight w:val="none"/>
        </w:rPr>
        <w:t>计算</w:t>
      </w:r>
      <w:r>
        <w:rPr>
          <w:rFonts w:hint="eastAsia" w:ascii="宋体" w:hAnsi="宋体"/>
          <w:b/>
          <w:color w:val="auto"/>
          <w:sz w:val="24"/>
          <w:highlight w:val="none"/>
          <w:lang w:val="en-US" w:eastAsia="zh-CN"/>
        </w:rPr>
        <w:t>基础</w:t>
      </w:r>
      <w:r>
        <w:rPr>
          <w:rFonts w:ascii="宋体" w:hAnsi="宋体"/>
          <w:b/>
          <w:color w:val="auto"/>
          <w:sz w:val="24"/>
          <w:highlight w:val="none"/>
        </w:rPr>
        <w:t>参数</w:t>
      </w:r>
    </w:p>
    <w:tbl>
      <w:tblPr>
        <w:tblStyle w:val="22"/>
        <w:tblW w:w="4996"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542"/>
        <w:gridCol w:w="2836"/>
        <w:gridCol w:w="435"/>
        <w:gridCol w:w="6"/>
        <w:gridCol w:w="954"/>
        <w:gridCol w:w="3276"/>
      </w:tblGrid>
      <w:tr w14:paraId="244DC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02" w:hRule="atLeast"/>
          <w:jc w:val="center"/>
        </w:trPr>
        <w:tc>
          <w:tcPr>
            <w:tcW w:w="862" w:type="pct"/>
            <w:tcBorders>
              <w:tl2br w:val="nil"/>
              <w:tr2bl w:val="nil"/>
            </w:tcBorders>
            <w:noWrap w:val="0"/>
            <w:vAlign w:val="center"/>
          </w:tcPr>
          <w:p w14:paraId="18D56ED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color w:val="auto"/>
                <w:kern w:val="0"/>
                <w:sz w:val="21"/>
                <w:szCs w:val="21"/>
              </w:rPr>
            </w:pPr>
            <w:r>
              <w:rPr>
                <w:rFonts w:ascii="宋体" w:hAnsi="宋体"/>
                <w:color w:val="auto"/>
                <w:kern w:val="0"/>
                <w:sz w:val="21"/>
                <w:szCs w:val="21"/>
              </w:rPr>
              <w:t>线</w:t>
            </w:r>
            <w:r>
              <w:rPr>
                <w:rFonts w:hint="eastAsia" w:ascii="宋体" w:hAnsi="宋体"/>
                <w:color w:val="auto"/>
                <w:kern w:val="0"/>
                <w:sz w:val="21"/>
                <w:szCs w:val="21"/>
                <w:lang w:val="en-US" w:eastAsia="zh-CN"/>
              </w:rPr>
              <w:t xml:space="preserve">  </w:t>
            </w:r>
            <w:r>
              <w:rPr>
                <w:rFonts w:ascii="宋体" w:hAnsi="宋体"/>
                <w:color w:val="auto"/>
                <w:kern w:val="0"/>
                <w:sz w:val="21"/>
                <w:szCs w:val="21"/>
              </w:rPr>
              <w:t>路</w:t>
            </w:r>
          </w:p>
        </w:tc>
        <w:tc>
          <w:tcPr>
            <w:tcW w:w="1576" w:type="pct"/>
            <w:tcBorders>
              <w:tl2br w:val="nil"/>
              <w:tr2bl w:val="nil"/>
            </w:tcBorders>
            <w:noWrap w:val="0"/>
            <w:vAlign w:val="center"/>
          </w:tcPr>
          <w:p w14:paraId="235C41E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s="Times New Roman"/>
                <w:color w:val="auto"/>
                <w:kern w:val="0"/>
                <w:sz w:val="21"/>
                <w:szCs w:val="21"/>
                <w:lang w:val="en-US"/>
              </w:rPr>
            </w:pPr>
            <w:r>
              <w:rPr>
                <w:rFonts w:hint="eastAsia" w:ascii="宋体" w:hAnsi="宋体" w:cs="Times New Roman"/>
                <w:color w:val="auto"/>
                <w:kern w:val="0"/>
                <w:sz w:val="21"/>
                <w:szCs w:val="21"/>
                <w:lang w:val="en-US" w:eastAsia="zh-CN"/>
              </w:rPr>
              <w:t>110kV双回输电线路</w:t>
            </w:r>
          </w:p>
        </w:tc>
        <w:tc>
          <w:tcPr>
            <w:tcW w:w="773" w:type="pct"/>
            <w:gridSpan w:val="3"/>
            <w:tcBorders>
              <w:tl2br w:val="nil"/>
              <w:tr2bl w:val="nil"/>
            </w:tcBorders>
            <w:noWrap w:val="0"/>
            <w:vAlign w:val="center"/>
          </w:tcPr>
          <w:p w14:paraId="103B050F">
            <w:pPr>
              <w:widowControl/>
              <w:spacing w:line="276" w:lineRule="auto"/>
              <w:jc w:val="center"/>
              <w:rPr>
                <w:rFonts w:ascii="宋体" w:hAnsi="宋体"/>
                <w:color w:val="auto"/>
                <w:kern w:val="0"/>
                <w:sz w:val="21"/>
                <w:szCs w:val="21"/>
              </w:rPr>
            </w:pPr>
            <w:r>
              <w:rPr>
                <w:rFonts w:hint="eastAsia" w:ascii="宋体" w:hAnsi="宋体"/>
                <w:color w:val="auto"/>
                <w:kern w:val="0"/>
                <w:sz w:val="21"/>
                <w:szCs w:val="21"/>
              </w:rPr>
              <w:t>计算原点</w:t>
            </w:r>
          </w:p>
        </w:tc>
        <w:tc>
          <w:tcPr>
            <w:tcW w:w="1786" w:type="pct"/>
            <w:tcBorders>
              <w:tl2br w:val="nil"/>
              <w:tr2bl w:val="nil"/>
            </w:tcBorders>
            <w:noWrap w:val="0"/>
            <w:vAlign w:val="center"/>
          </w:tcPr>
          <w:p w14:paraId="54CA9D08">
            <w:pPr>
              <w:spacing w:line="276" w:lineRule="auto"/>
              <w:jc w:val="center"/>
              <w:rPr>
                <w:rFonts w:ascii="宋体" w:hAnsi="宋体"/>
                <w:color w:val="auto"/>
                <w:kern w:val="0"/>
                <w:sz w:val="21"/>
                <w:szCs w:val="21"/>
              </w:rPr>
            </w:pPr>
            <w:r>
              <w:rPr>
                <w:rFonts w:hint="eastAsia" w:ascii="宋体" w:hAnsi="宋体"/>
                <w:color w:val="auto"/>
                <w:sz w:val="21"/>
                <w:szCs w:val="21"/>
              </w:rPr>
              <w:t>线路走廊截面与</w:t>
            </w:r>
            <w:r>
              <w:rPr>
                <w:rFonts w:hint="eastAsia" w:ascii="宋体" w:hAnsi="宋体"/>
                <w:color w:val="auto"/>
                <w:sz w:val="21"/>
                <w:szCs w:val="21"/>
                <w:lang w:val="en-US" w:eastAsia="zh-CN"/>
              </w:rPr>
              <w:t>杆塔中心线</w:t>
            </w:r>
            <w:r>
              <w:rPr>
                <w:rFonts w:hint="eastAsia" w:ascii="宋体" w:hAnsi="宋体"/>
                <w:color w:val="auto"/>
                <w:sz w:val="21"/>
                <w:szCs w:val="21"/>
              </w:rPr>
              <w:t>在地面投影的交点</w:t>
            </w:r>
          </w:p>
        </w:tc>
      </w:tr>
      <w:tr w14:paraId="464BF1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8" w:hRule="atLeast"/>
          <w:jc w:val="center"/>
        </w:trPr>
        <w:tc>
          <w:tcPr>
            <w:tcW w:w="862" w:type="pct"/>
            <w:tcBorders>
              <w:tl2br w:val="nil"/>
              <w:tr2bl w:val="nil"/>
            </w:tcBorders>
            <w:noWrap w:val="0"/>
            <w:vAlign w:val="center"/>
          </w:tcPr>
          <w:p w14:paraId="71C5E7D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color w:val="auto"/>
                <w:kern w:val="0"/>
                <w:sz w:val="21"/>
                <w:szCs w:val="21"/>
                <w:highlight w:val="none"/>
              </w:rPr>
            </w:pPr>
            <w:r>
              <w:rPr>
                <w:rFonts w:ascii="宋体" w:hAnsi="宋体"/>
                <w:color w:val="auto"/>
                <w:kern w:val="0"/>
                <w:sz w:val="21"/>
                <w:szCs w:val="21"/>
                <w:highlight w:val="none"/>
              </w:rPr>
              <w:t>采用塔型</w:t>
            </w:r>
          </w:p>
        </w:tc>
        <w:tc>
          <w:tcPr>
            <w:tcW w:w="1576" w:type="pct"/>
            <w:tcBorders>
              <w:tl2br w:val="nil"/>
              <w:tr2bl w:val="nil"/>
            </w:tcBorders>
            <w:noWrap w:val="0"/>
            <w:vAlign w:val="center"/>
          </w:tcPr>
          <w:p w14:paraId="6CE3404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s="Times New Roman"/>
                <w:color w:val="auto"/>
                <w:kern w:val="0"/>
                <w:sz w:val="21"/>
                <w:szCs w:val="21"/>
                <w:highlight w:val="none"/>
                <w:lang w:val="en-US" w:eastAsia="zh-CN"/>
              </w:rPr>
            </w:pPr>
            <w:r>
              <w:rPr>
                <w:rFonts w:hint="eastAsia" w:ascii="宋体" w:hAnsi="宋体" w:cs="Times New Roman"/>
                <w:color w:val="auto"/>
                <w:kern w:val="0"/>
                <w:sz w:val="21"/>
                <w:szCs w:val="21"/>
                <w:highlight w:val="none"/>
                <w:lang w:val="en-US" w:eastAsia="zh-CN"/>
              </w:rPr>
              <w:t>SZC4塔型</w:t>
            </w:r>
          </w:p>
        </w:tc>
        <w:tc>
          <w:tcPr>
            <w:tcW w:w="253" w:type="pct"/>
            <w:gridSpan w:val="2"/>
            <w:vMerge w:val="restart"/>
            <w:tcBorders>
              <w:tl2br w:val="nil"/>
              <w:tr2bl w:val="nil"/>
            </w:tcBorders>
            <w:noWrap w:val="0"/>
            <w:vAlign w:val="center"/>
          </w:tcPr>
          <w:p w14:paraId="19F885F4">
            <w:pPr>
              <w:spacing w:line="276" w:lineRule="auto"/>
              <w:jc w:val="center"/>
              <w:rPr>
                <w:rFonts w:ascii="宋体" w:hAnsi="宋体"/>
                <w:color w:val="auto"/>
                <w:kern w:val="0"/>
                <w:sz w:val="21"/>
                <w:szCs w:val="21"/>
              </w:rPr>
            </w:pPr>
            <w:r>
              <w:rPr>
                <w:rFonts w:ascii="宋体" w:hAnsi="宋体"/>
                <w:color w:val="auto"/>
                <w:kern w:val="0"/>
                <w:sz w:val="21"/>
                <w:szCs w:val="21"/>
              </w:rPr>
              <w:t>相间距坐标</w:t>
            </w:r>
          </w:p>
        </w:tc>
        <w:tc>
          <w:tcPr>
            <w:tcW w:w="2307" w:type="pct"/>
            <w:gridSpan w:val="2"/>
            <w:vMerge w:val="restart"/>
            <w:tcBorders>
              <w:tl2br w:val="nil"/>
              <w:tr2bl w:val="nil"/>
            </w:tcBorders>
            <w:noWrap w:val="0"/>
            <w:vAlign w:val="center"/>
          </w:tcPr>
          <w:p w14:paraId="1F138C7F">
            <w:pPr>
              <w:spacing w:line="276" w:lineRule="auto"/>
              <w:jc w:val="center"/>
              <w:rPr>
                <w:rFonts w:hint="eastAsia" w:ascii="宋体" w:hAnsi="宋体" w:eastAsia="宋体" w:cs="Times New Roman"/>
                <w:color w:val="auto"/>
                <w:kern w:val="0"/>
                <w:sz w:val="21"/>
                <w:szCs w:val="21"/>
                <w:lang w:val="en-US" w:eastAsia="zh-CN" w:bidi="ar-SA"/>
              </w:rPr>
            </w:pPr>
            <w:r>
              <w:rPr>
                <w:rFonts w:hint="eastAsia" w:ascii="宋体" w:hAnsi="宋体" w:eastAsia="宋体" w:cs="Times New Roman"/>
                <w:color w:val="auto"/>
                <w:kern w:val="0"/>
                <w:sz w:val="21"/>
                <w:szCs w:val="21"/>
                <w:lang w:val="en-US" w:eastAsia="zh-CN" w:bidi="ar-SA"/>
              </w:rPr>
              <w:drawing>
                <wp:inline distT="0" distB="0" distL="114300" distR="114300">
                  <wp:extent cx="2530475" cy="3959860"/>
                  <wp:effectExtent l="0" t="0" r="3175" b="2540"/>
                  <wp:docPr id="37" name="图片 37" descr="双回路直线塔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双回路直线塔 拷贝"/>
                          <pic:cNvPicPr>
                            <a:picLocks noChangeAspect="1"/>
                          </pic:cNvPicPr>
                        </pic:nvPicPr>
                        <pic:blipFill>
                          <a:blip r:embed="rId65"/>
                          <a:stretch>
                            <a:fillRect/>
                          </a:stretch>
                        </pic:blipFill>
                        <pic:spPr>
                          <a:xfrm>
                            <a:off x="0" y="0"/>
                            <a:ext cx="2530475" cy="3959860"/>
                          </a:xfrm>
                          <a:prstGeom prst="rect">
                            <a:avLst/>
                          </a:prstGeom>
                        </pic:spPr>
                      </pic:pic>
                    </a:graphicData>
                  </a:graphic>
                </wp:inline>
              </w:drawing>
            </w:r>
          </w:p>
        </w:tc>
      </w:tr>
      <w:tr w14:paraId="2C75D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862" w:type="pct"/>
            <w:tcBorders>
              <w:tl2br w:val="nil"/>
              <w:tr2bl w:val="nil"/>
            </w:tcBorders>
            <w:noWrap w:val="0"/>
            <w:vAlign w:val="center"/>
          </w:tcPr>
          <w:p w14:paraId="14C68BF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olor w:val="auto"/>
                <w:kern w:val="0"/>
                <w:sz w:val="21"/>
                <w:szCs w:val="21"/>
                <w:lang w:val="en-US" w:eastAsia="zh-CN"/>
              </w:rPr>
            </w:pPr>
            <w:r>
              <w:rPr>
                <w:rFonts w:hint="eastAsia" w:ascii="宋体" w:hAnsi="宋体"/>
                <w:color w:val="auto"/>
                <w:kern w:val="0"/>
                <w:sz w:val="21"/>
                <w:szCs w:val="21"/>
                <w:lang w:val="en-US" w:eastAsia="zh-CN"/>
              </w:rPr>
              <w:t>导线排列方式</w:t>
            </w:r>
          </w:p>
        </w:tc>
        <w:tc>
          <w:tcPr>
            <w:tcW w:w="1576" w:type="pct"/>
            <w:tcBorders>
              <w:tl2br w:val="nil"/>
              <w:tr2bl w:val="nil"/>
            </w:tcBorders>
            <w:noWrap w:val="0"/>
            <w:vAlign w:val="center"/>
          </w:tcPr>
          <w:p w14:paraId="6C4DEDF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s="Times New Roman"/>
                <w:color w:val="auto"/>
                <w:kern w:val="0"/>
                <w:sz w:val="21"/>
                <w:szCs w:val="21"/>
                <w:highlight w:val="none"/>
                <w:lang w:val="en-US" w:eastAsia="zh-CN"/>
              </w:rPr>
            </w:pPr>
            <w:r>
              <w:rPr>
                <w:rFonts w:hint="eastAsia" w:ascii="宋体" w:hAnsi="宋体" w:cs="Times New Roman"/>
                <w:color w:val="auto"/>
                <w:kern w:val="0"/>
                <w:sz w:val="21"/>
                <w:szCs w:val="21"/>
                <w:highlight w:val="none"/>
                <w:lang w:val="en-US" w:eastAsia="zh-CN"/>
              </w:rPr>
              <w:t>垂直</w:t>
            </w:r>
            <w:r>
              <w:rPr>
                <w:rFonts w:hint="eastAsia" w:ascii="宋体" w:hAnsi="宋体" w:eastAsia="宋体" w:cs="Times New Roman"/>
                <w:color w:val="auto"/>
                <w:kern w:val="0"/>
                <w:sz w:val="21"/>
                <w:szCs w:val="21"/>
                <w:highlight w:val="none"/>
                <w:lang w:val="en-US" w:eastAsia="zh-CN"/>
              </w:rPr>
              <w:t>排列</w:t>
            </w:r>
          </w:p>
        </w:tc>
        <w:tc>
          <w:tcPr>
            <w:tcW w:w="253" w:type="pct"/>
            <w:gridSpan w:val="2"/>
            <w:vMerge w:val="continue"/>
            <w:tcBorders>
              <w:tl2br w:val="nil"/>
              <w:tr2bl w:val="nil"/>
            </w:tcBorders>
            <w:noWrap w:val="0"/>
            <w:vAlign w:val="center"/>
          </w:tcPr>
          <w:p w14:paraId="40A4F0DC">
            <w:pPr>
              <w:spacing w:line="276" w:lineRule="auto"/>
              <w:jc w:val="center"/>
              <w:rPr>
                <w:rFonts w:ascii="宋体" w:hAnsi="宋体"/>
                <w:color w:val="auto"/>
                <w:kern w:val="0"/>
                <w:sz w:val="21"/>
                <w:szCs w:val="21"/>
              </w:rPr>
            </w:pPr>
          </w:p>
        </w:tc>
        <w:tc>
          <w:tcPr>
            <w:tcW w:w="2307" w:type="pct"/>
            <w:gridSpan w:val="2"/>
            <w:vMerge w:val="continue"/>
            <w:tcBorders>
              <w:tl2br w:val="nil"/>
              <w:tr2bl w:val="nil"/>
            </w:tcBorders>
            <w:noWrap w:val="0"/>
            <w:vAlign w:val="center"/>
          </w:tcPr>
          <w:p w14:paraId="109CFE65">
            <w:pPr>
              <w:spacing w:line="276" w:lineRule="auto"/>
              <w:jc w:val="center"/>
              <w:rPr>
                <w:rFonts w:hint="eastAsia" w:ascii="宋体" w:hAnsi="宋体" w:eastAsia="宋体" w:cs="Times New Roman"/>
                <w:color w:val="auto"/>
                <w:kern w:val="0"/>
                <w:sz w:val="21"/>
                <w:szCs w:val="21"/>
                <w:lang w:val="en-US" w:eastAsia="zh-CN" w:bidi="ar-SA"/>
              </w:rPr>
            </w:pPr>
          </w:p>
        </w:tc>
      </w:tr>
      <w:tr w14:paraId="664D2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862" w:type="pct"/>
            <w:tcBorders>
              <w:tl2br w:val="nil"/>
              <w:tr2bl w:val="nil"/>
            </w:tcBorders>
            <w:noWrap w:val="0"/>
            <w:vAlign w:val="center"/>
          </w:tcPr>
          <w:p w14:paraId="5BA92F1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cs="Times New Roman"/>
                <w:color w:val="auto"/>
                <w:kern w:val="0"/>
                <w:sz w:val="21"/>
                <w:szCs w:val="21"/>
                <w:lang w:val="en-US" w:eastAsia="zh-CN"/>
              </w:rPr>
            </w:pPr>
            <w:r>
              <w:rPr>
                <w:rFonts w:hint="eastAsia" w:ascii="宋体" w:hAnsi="宋体" w:cs="Times New Roman"/>
                <w:color w:val="auto"/>
                <w:kern w:val="0"/>
                <w:sz w:val="21"/>
                <w:szCs w:val="21"/>
                <w:lang w:val="en-US" w:eastAsia="zh-CN"/>
              </w:rPr>
              <w:t>导线型号</w:t>
            </w:r>
          </w:p>
        </w:tc>
        <w:tc>
          <w:tcPr>
            <w:tcW w:w="1576" w:type="pct"/>
            <w:tcBorders>
              <w:tl2br w:val="nil"/>
              <w:tr2bl w:val="nil"/>
            </w:tcBorders>
            <w:noWrap w:val="0"/>
            <w:vAlign w:val="center"/>
          </w:tcPr>
          <w:p w14:paraId="7CFC8E6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cs="Times New Roman"/>
                <w:color w:val="auto"/>
                <w:kern w:val="0"/>
                <w:sz w:val="21"/>
                <w:szCs w:val="21"/>
                <w:highlight w:val="none"/>
                <w:lang w:val="en-US" w:eastAsia="zh-CN"/>
              </w:rPr>
            </w:pPr>
            <w:r>
              <w:rPr>
                <w:rFonts w:hint="eastAsia" w:ascii="宋体" w:hAnsi="宋体" w:cs="Times New Roman"/>
                <w:color w:val="auto"/>
                <w:kern w:val="0"/>
                <w:sz w:val="21"/>
                <w:szCs w:val="21"/>
                <w:highlight w:val="none"/>
                <w:lang w:val="en-US" w:eastAsia="zh-CN"/>
              </w:rPr>
              <w:t>JL/G1A-240/40型钢芯铝绞线</w:t>
            </w:r>
          </w:p>
        </w:tc>
        <w:tc>
          <w:tcPr>
            <w:tcW w:w="253" w:type="pct"/>
            <w:gridSpan w:val="2"/>
            <w:vMerge w:val="continue"/>
            <w:tcBorders>
              <w:tl2br w:val="nil"/>
              <w:tr2bl w:val="nil"/>
            </w:tcBorders>
            <w:noWrap w:val="0"/>
            <w:vAlign w:val="center"/>
          </w:tcPr>
          <w:p w14:paraId="38DCED4F">
            <w:pPr>
              <w:spacing w:line="276" w:lineRule="auto"/>
              <w:jc w:val="center"/>
              <w:rPr>
                <w:rFonts w:ascii="宋体" w:hAnsi="宋体"/>
                <w:color w:val="auto"/>
                <w:kern w:val="0"/>
                <w:sz w:val="21"/>
                <w:szCs w:val="21"/>
              </w:rPr>
            </w:pPr>
          </w:p>
        </w:tc>
        <w:tc>
          <w:tcPr>
            <w:tcW w:w="2307" w:type="pct"/>
            <w:gridSpan w:val="2"/>
            <w:vMerge w:val="continue"/>
            <w:tcBorders>
              <w:tl2br w:val="nil"/>
              <w:tr2bl w:val="nil"/>
            </w:tcBorders>
            <w:noWrap w:val="0"/>
            <w:vAlign w:val="center"/>
          </w:tcPr>
          <w:p w14:paraId="1C57678D">
            <w:pPr>
              <w:spacing w:line="276" w:lineRule="auto"/>
              <w:jc w:val="center"/>
              <w:rPr>
                <w:rFonts w:ascii="宋体" w:hAnsi="宋体"/>
                <w:color w:val="auto"/>
                <w:kern w:val="0"/>
                <w:sz w:val="21"/>
                <w:szCs w:val="21"/>
              </w:rPr>
            </w:pPr>
          </w:p>
        </w:tc>
      </w:tr>
      <w:tr w14:paraId="02F48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28" w:hRule="atLeast"/>
          <w:jc w:val="center"/>
        </w:trPr>
        <w:tc>
          <w:tcPr>
            <w:tcW w:w="862" w:type="pct"/>
            <w:tcBorders>
              <w:tl2br w:val="nil"/>
              <w:tr2bl w:val="nil"/>
            </w:tcBorders>
            <w:noWrap w:val="0"/>
            <w:vAlign w:val="center"/>
          </w:tcPr>
          <w:p w14:paraId="75FE412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color w:val="auto"/>
                <w:kern w:val="0"/>
                <w:sz w:val="21"/>
                <w:szCs w:val="21"/>
                <w:highlight w:val="none"/>
              </w:rPr>
            </w:pPr>
            <w:r>
              <w:rPr>
                <w:rFonts w:ascii="宋体" w:hAnsi="宋体"/>
                <w:color w:val="auto"/>
                <w:kern w:val="0"/>
                <w:sz w:val="21"/>
                <w:szCs w:val="21"/>
                <w:highlight w:val="none"/>
              </w:rPr>
              <w:t>导线外径</w:t>
            </w:r>
          </w:p>
        </w:tc>
        <w:tc>
          <w:tcPr>
            <w:tcW w:w="1576" w:type="pct"/>
            <w:tcBorders>
              <w:tl2br w:val="nil"/>
              <w:tr2bl w:val="nil"/>
            </w:tcBorders>
            <w:noWrap w:val="0"/>
            <w:vAlign w:val="center"/>
          </w:tcPr>
          <w:p w14:paraId="49E114CA">
            <w:pPr>
              <w:keepNext w:val="0"/>
              <w:keepLines w:val="0"/>
              <w:pageBreakBefore w:val="0"/>
              <w:kinsoku/>
              <w:wordWrap/>
              <w:overflowPunct/>
              <w:topLinePunct w:val="0"/>
              <w:autoSpaceDE/>
              <w:autoSpaceDN/>
              <w:bidi w:val="0"/>
              <w:adjustRightInd/>
              <w:snapToGrid/>
              <w:spacing w:line="300" w:lineRule="exact"/>
              <w:jc w:val="center"/>
              <w:textAlignment w:val="auto"/>
              <w:rPr>
                <w:rFonts w:ascii="宋体" w:hAnsi="宋体"/>
                <w:color w:val="auto"/>
                <w:kern w:val="0"/>
                <w:sz w:val="21"/>
                <w:szCs w:val="21"/>
                <w:highlight w:val="none"/>
              </w:rPr>
            </w:pPr>
            <w:r>
              <w:rPr>
                <w:rFonts w:hint="eastAsia" w:ascii="宋体" w:hAnsi="宋体"/>
                <w:color w:val="auto"/>
                <w:sz w:val="21"/>
                <w:szCs w:val="21"/>
                <w:highlight w:val="none"/>
                <w:lang w:val="en-US" w:eastAsia="zh-CN"/>
              </w:rPr>
              <w:t>21.7</w:t>
            </w:r>
            <w:r>
              <w:rPr>
                <w:rFonts w:ascii="宋体" w:hAnsi="宋体"/>
                <w:color w:val="auto"/>
                <w:sz w:val="21"/>
                <w:szCs w:val="21"/>
                <w:highlight w:val="none"/>
              </w:rPr>
              <w:t>mm</w:t>
            </w:r>
          </w:p>
        </w:tc>
        <w:tc>
          <w:tcPr>
            <w:tcW w:w="253" w:type="pct"/>
            <w:gridSpan w:val="2"/>
            <w:vMerge w:val="continue"/>
            <w:tcBorders>
              <w:tl2br w:val="nil"/>
              <w:tr2bl w:val="nil"/>
            </w:tcBorders>
            <w:noWrap w:val="0"/>
            <w:vAlign w:val="center"/>
          </w:tcPr>
          <w:p w14:paraId="77220802">
            <w:pPr>
              <w:spacing w:line="276" w:lineRule="auto"/>
              <w:ind w:firstLine="200"/>
              <w:jc w:val="center"/>
              <w:rPr>
                <w:rFonts w:ascii="宋体" w:hAnsi="宋体"/>
                <w:color w:val="auto"/>
                <w:kern w:val="0"/>
                <w:sz w:val="21"/>
                <w:szCs w:val="21"/>
              </w:rPr>
            </w:pPr>
          </w:p>
        </w:tc>
        <w:tc>
          <w:tcPr>
            <w:tcW w:w="2307" w:type="pct"/>
            <w:gridSpan w:val="2"/>
            <w:vMerge w:val="continue"/>
            <w:tcBorders>
              <w:tl2br w:val="nil"/>
              <w:tr2bl w:val="nil"/>
            </w:tcBorders>
            <w:noWrap w:val="0"/>
            <w:vAlign w:val="center"/>
          </w:tcPr>
          <w:p w14:paraId="1BCE5F2B">
            <w:pPr>
              <w:spacing w:line="276" w:lineRule="auto"/>
              <w:ind w:firstLine="200"/>
              <w:jc w:val="center"/>
              <w:rPr>
                <w:rFonts w:ascii="宋体" w:hAnsi="宋体"/>
                <w:color w:val="auto"/>
                <w:kern w:val="0"/>
                <w:sz w:val="21"/>
                <w:szCs w:val="21"/>
              </w:rPr>
            </w:pPr>
          </w:p>
        </w:tc>
      </w:tr>
      <w:tr w14:paraId="24E19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862" w:type="pct"/>
            <w:tcBorders>
              <w:tl2br w:val="nil"/>
              <w:tr2bl w:val="nil"/>
            </w:tcBorders>
            <w:noWrap w:val="0"/>
            <w:vAlign w:val="center"/>
          </w:tcPr>
          <w:p w14:paraId="2DDF03E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olor w:val="auto"/>
                <w:kern w:val="0"/>
                <w:sz w:val="21"/>
                <w:szCs w:val="21"/>
                <w:highlight w:val="none"/>
                <w:lang w:val="en-US" w:eastAsia="zh-CN"/>
              </w:rPr>
            </w:pPr>
            <w:r>
              <w:rPr>
                <w:rFonts w:hint="eastAsia" w:ascii="宋体" w:hAnsi="宋体"/>
                <w:color w:val="auto"/>
                <w:kern w:val="0"/>
                <w:sz w:val="21"/>
                <w:szCs w:val="21"/>
                <w:highlight w:val="none"/>
                <w:lang w:val="en-US" w:eastAsia="zh-CN"/>
              </w:rPr>
              <w:t>预测电压</w:t>
            </w:r>
          </w:p>
        </w:tc>
        <w:tc>
          <w:tcPr>
            <w:tcW w:w="1576" w:type="pct"/>
            <w:tcBorders>
              <w:tl2br w:val="nil"/>
              <w:tr2bl w:val="nil"/>
            </w:tcBorders>
            <w:noWrap w:val="0"/>
            <w:vAlign w:val="center"/>
          </w:tcPr>
          <w:p w14:paraId="25C11423">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shd w:val="clear" w:color="auto" w:fill="auto"/>
                <w:lang w:val="en-US" w:eastAsia="zh-CN"/>
              </w:rPr>
              <w:t>115.5kV</w:t>
            </w:r>
          </w:p>
        </w:tc>
        <w:tc>
          <w:tcPr>
            <w:tcW w:w="253" w:type="pct"/>
            <w:gridSpan w:val="2"/>
            <w:vMerge w:val="continue"/>
            <w:tcBorders>
              <w:tl2br w:val="nil"/>
              <w:tr2bl w:val="nil"/>
            </w:tcBorders>
            <w:noWrap w:val="0"/>
            <w:vAlign w:val="center"/>
          </w:tcPr>
          <w:p w14:paraId="364A2824">
            <w:pPr>
              <w:spacing w:line="276" w:lineRule="auto"/>
              <w:ind w:firstLine="200"/>
              <w:jc w:val="center"/>
              <w:rPr>
                <w:rFonts w:ascii="宋体" w:hAnsi="宋体"/>
                <w:color w:val="auto"/>
                <w:kern w:val="0"/>
                <w:sz w:val="21"/>
                <w:szCs w:val="21"/>
              </w:rPr>
            </w:pPr>
          </w:p>
        </w:tc>
        <w:tc>
          <w:tcPr>
            <w:tcW w:w="2307" w:type="pct"/>
            <w:gridSpan w:val="2"/>
            <w:vMerge w:val="continue"/>
            <w:tcBorders>
              <w:tl2br w:val="nil"/>
              <w:tr2bl w:val="nil"/>
            </w:tcBorders>
            <w:noWrap w:val="0"/>
            <w:vAlign w:val="center"/>
          </w:tcPr>
          <w:p w14:paraId="57E532CF">
            <w:pPr>
              <w:spacing w:line="276" w:lineRule="auto"/>
              <w:ind w:firstLine="200"/>
              <w:jc w:val="center"/>
              <w:rPr>
                <w:rFonts w:ascii="宋体" w:hAnsi="宋体"/>
                <w:color w:val="auto"/>
                <w:kern w:val="0"/>
                <w:sz w:val="21"/>
                <w:szCs w:val="21"/>
              </w:rPr>
            </w:pPr>
          </w:p>
        </w:tc>
      </w:tr>
      <w:tr w14:paraId="53747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65" w:hRule="atLeast"/>
          <w:jc w:val="center"/>
        </w:trPr>
        <w:tc>
          <w:tcPr>
            <w:tcW w:w="862" w:type="pct"/>
            <w:tcBorders>
              <w:tl2br w:val="nil"/>
              <w:tr2bl w:val="nil"/>
            </w:tcBorders>
            <w:noWrap w:val="0"/>
            <w:vAlign w:val="center"/>
          </w:tcPr>
          <w:p w14:paraId="6FCFBDD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olor w:val="auto"/>
                <w:kern w:val="0"/>
                <w:sz w:val="21"/>
                <w:szCs w:val="21"/>
                <w:highlight w:val="none"/>
                <w:lang w:val="en-US" w:eastAsia="zh-CN"/>
              </w:rPr>
            </w:pPr>
            <w:r>
              <w:rPr>
                <w:rFonts w:hint="eastAsia" w:ascii="宋体" w:hAnsi="宋体"/>
                <w:bCs/>
                <w:color w:val="auto"/>
                <w:sz w:val="21"/>
                <w:szCs w:val="21"/>
                <w:highlight w:val="none"/>
              </w:rPr>
              <w:t>地线型</w:t>
            </w:r>
            <w:r>
              <w:rPr>
                <w:rFonts w:hint="eastAsia" w:ascii="宋体" w:hAnsi="宋体"/>
                <w:bCs/>
                <w:color w:val="auto"/>
                <w:sz w:val="21"/>
                <w:szCs w:val="21"/>
                <w:highlight w:val="none"/>
                <w:lang w:val="en-US" w:eastAsia="zh-CN"/>
              </w:rPr>
              <w:t>号</w:t>
            </w:r>
          </w:p>
        </w:tc>
        <w:tc>
          <w:tcPr>
            <w:tcW w:w="1576" w:type="pct"/>
            <w:tcBorders>
              <w:tl2br w:val="nil"/>
              <w:tr2bl w:val="nil"/>
            </w:tcBorders>
            <w:noWrap w:val="0"/>
            <w:vAlign w:val="center"/>
          </w:tcPr>
          <w:p w14:paraId="57808D81">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采用2</w:t>
            </w:r>
            <w:r>
              <w:rPr>
                <w:rFonts w:hint="default" w:ascii="宋体" w:hAnsi="宋体"/>
                <w:color w:val="auto"/>
                <w:sz w:val="21"/>
                <w:szCs w:val="21"/>
                <w:highlight w:val="none"/>
                <w:lang w:val="en-US" w:eastAsia="zh-CN"/>
              </w:rPr>
              <w:t>根24芯OPGW</w:t>
            </w:r>
            <w:r>
              <w:rPr>
                <w:rFonts w:hint="eastAsia" w:ascii="宋体" w:hAnsi="宋体"/>
                <w:color w:val="auto"/>
                <w:sz w:val="21"/>
                <w:szCs w:val="21"/>
                <w:highlight w:val="none"/>
                <w:lang w:val="en-US" w:eastAsia="zh-CN"/>
              </w:rPr>
              <w:t>光缆，外径按12.5mm考虑</w:t>
            </w:r>
          </w:p>
        </w:tc>
        <w:tc>
          <w:tcPr>
            <w:tcW w:w="253" w:type="pct"/>
            <w:gridSpan w:val="2"/>
            <w:vMerge w:val="continue"/>
            <w:tcBorders>
              <w:tl2br w:val="nil"/>
              <w:tr2bl w:val="nil"/>
            </w:tcBorders>
            <w:noWrap w:val="0"/>
            <w:vAlign w:val="center"/>
          </w:tcPr>
          <w:p w14:paraId="2E559270">
            <w:pPr>
              <w:spacing w:line="276" w:lineRule="auto"/>
              <w:ind w:firstLine="200"/>
              <w:jc w:val="center"/>
              <w:rPr>
                <w:rFonts w:ascii="宋体" w:hAnsi="宋体"/>
                <w:color w:val="auto"/>
                <w:kern w:val="0"/>
                <w:sz w:val="21"/>
                <w:szCs w:val="21"/>
              </w:rPr>
            </w:pPr>
          </w:p>
        </w:tc>
        <w:tc>
          <w:tcPr>
            <w:tcW w:w="2307" w:type="pct"/>
            <w:gridSpan w:val="2"/>
            <w:vMerge w:val="continue"/>
            <w:tcBorders>
              <w:tl2br w:val="nil"/>
              <w:tr2bl w:val="nil"/>
            </w:tcBorders>
            <w:noWrap w:val="0"/>
            <w:vAlign w:val="center"/>
          </w:tcPr>
          <w:p w14:paraId="184D8882">
            <w:pPr>
              <w:spacing w:line="276" w:lineRule="auto"/>
              <w:ind w:firstLine="200"/>
              <w:jc w:val="center"/>
              <w:rPr>
                <w:rFonts w:ascii="宋体" w:hAnsi="宋体"/>
                <w:color w:val="auto"/>
                <w:kern w:val="0"/>
                <w:sz w:val="21"/>
                <w:szCs w:val="21"/>
              </w:rPr>
            </w:pPr>
          </w:p>
        </w:tc>
      </w:tr>
      <w:tr w14:paraId="331CA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5" w:hRule="atLeast"/>
          <w:jc w:val="center"/>
        </w:trPr>
        <w:tc>
          <w:tcPr>
            <w:tcW w:w="862" w:type="pct"/>
            <w:tcBorders>
              <w:tl2br w:val="nil"/>
              <w:tr2bl w:val="nil"/>
            </w:tcBorders>
            <w:noWrap w:val="0"/>
            <w:vAlign w:val="center"/>
          </w:tcPr>
          <w:p w14:paraId="5EB7100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s="Calibri"/>
                <w:color w:val="auto"/>
                <w:kern w:val="0"/>
                <w:sz w:val="21"/>
                <w:szCs w:val="21"/>
                <w:highlight w:val="none"/>
                <w:lang w:val="en-US" w:eastAsia="zh-CN" w:bidi="ar-SA"/>
              </w:rPr>
            </w:pPr>
            <w:r>
              <w:rPr>
                <w:rFonts w:hint="eastAsia" w:ascii="宋体" w:hAnsi="宋体" w:cs="Calibri"/>
                <w:color w:val="auto"/>
                <w:kern w:val="0"/>
                <w:sz w:val="21"/>
                <w:szCs w:val="21"/>
                <w:highlight w:val="none"/>
                <w:lang w:val="en-US" w:eastAsia="zh-CN" w:bidi="ar-SA"/>
              </w:rPr>
              <w:t>极限输送容量</w:t>
            </w:r>
          </w:p>
        </w:tc>
        <w:tc>
          <w:tcPr>
            <w:tcW w:w="1576" w:type="pct"/>
            <w:tcBorders>
              <w:tl2br w:val="nil"/>
              <w:tr2bl w:val="nil"/>
            </w:tcBorders>
            <w:noWrap w:val="0"/>
            <w:vAlign w:val="center"/>
          </w:tcPr>
          <w:p w14:paraId="06708520">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宋体" w:hAnsi="宋体" w:cs="Calibri"/>
                <w:color w:val="auto"/>
                <w:kern w:val="2"/>
                <w:sz w:val="21"/>
                <w:szCs w:val="21"/>
                <w:highlight w:val="none"/>
                <w:lang w:val="en-US" w:eastAsia="zh-CN" w:bidi="ar-SA"/>
              </w:rPr>
            </w:pPr>
            <w:r>
              <w:rPr>
                <w:rFonts w:hint="eastAsia" w:ascii="宋体" w:hAnsi="宋体"/>
                <w:bCs/>
                <w:color w:val="auto"/>
                <w:sz w:val="21"/>
                <w:szCs w:val="21"/>
                <w:highlight w:val="none"/>
                <w:lang w:val="en-US" w:eastAsia="zh-CN"/>
              </w:rPr>
              <w:t>116MVA</w:t>
            </w:r>
          </w:p>
        </w:tc>
        <w:tc>
          <w:tcPr>
            <w:tcW w:w="253" w:type="pct"/>
            <w:gridSpan w:val="2"/>
            <w:vMerge w:val="continue"/>
            <w:tcBorders>
              <w:tl2br w:val="nil"/>
              <w:tr2bl w:val="nil"/>
            </w:tcBorders>
            <w:noWrap w:val="0"/>
            <w:vAlign w:val="center"/>
          </w:tcPr>
          <w:p w14:paraId="0CC004E2">
            <w:pPr>
              <w:spacing w:line="276" w:lineRule="auto"/>
              <w:ind w:firstLine="200"/>
              <w:jc w:val="center"/>
              <w:rPr>
                <w:rFonts w:ascii="宋体" w:hAnsi="宋体"/>
                <w:color w:val="auto"/>
                <w:kern w:val="0"/>
                <w:sz w:val="21"/>
                <w:szCs w:val="21"/>
              </w:rPr>
            </w:pPr>
          </w:p>
        </w:tc>
        <w:tc>
          <w:tcPr>
            <w:tcW w:w="2307" w:type="pct"/>
            <w:gridSpan w:val="2"/>
            <w:vMerge w:val="continue"/>
            <w:tcBorders>
              <w:tl2br w:val="nil"/>
              <w:tr2bl w:val="nil"/>
            </w:tcBorders>
            <w:noWrap w:val="0"/>
            <w:vAlign w:val="center"/>
          </w:tcPr>
          <w:p w14:paraId="6987E943">
            <w:pPr>
              <w:spacing w:line="276" w:lineRule="auto"/>
              <w:ind w:firstLine="200"/>
              <w:jc w:val="center"/>
              <w:rPr>
                <w:rFonts w:ascii="宋体" w:hAnsi="宋体"/>
                <w:color w:val="auto"/>
                <w:kern w:val="0"/>
                <w:sz w:val="21"/>
                <w:szCs w:val="21"/>
              </w:rPr>
            </w:pPr>
          </w:p>
        </w:tc>
      </w:tr>
      <w:tr w14:paraId="277EED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65" w:hRule="atLeast"/>
          <w:jc w:val="center"/>
        </w:trPr>
        <w:tc>
          <w:tcPr>
            <w:tcW w:w="862" w:type="pct"/>
            <w:tcBorders>
              <w:tl2br w:val="nil"/>
              <w:tr2bl w:val="nil"/>
            </w:tcBorders>
            <w:noWrap w:val="0"/>
            <w:vAlign w:val="center"/>
          </w:tcPr>
          <w:p w14:paraId="2BC7B19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color w:val="auto"/>
                <w:kern w:val="0"/>
                <w:sz w:val="21"/>
                <w:szCs w:val="21"/>
                <w:highlight w:val="none"/>
              </w:rPr>
            </w:pPr>
            <w:r>
              <w:rPr>
                <w:rFonts w:hint="eastAsia" w:ascii="宋体" w:hAnsi="宋体"/>
                <w:color w:val="auto"/>
                <w:kern w:val="0"/>
                <w:sz w:val="21"/>
                <w:szCs w:val="21"/>
                <w:highlight w:val="none"/>
              </w:rPr>
              <w:t>导线垂直间距</w:t>
            </w:r>
          </w:p>
        </w:tc>
        <w:tc>
          <w:tcPr>
            <w:tcW w:w="1576" w:type="pct"/>
            <w:tcBorders>
              <w:tl2br w:val="nil"/>
              <w:tr2bl w:val="nil"/>
            </w:tcBorders>
            <w:noWrap w:val="0"/>
            <w:vAlign w:val="center"/>
          </w:tcPr>
          <w:p w14:paraId="357B1434">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宋体" w:hAnsi="宋体" w:eastAsia="宋体"/>
                <w:color w:val="auto"/>
                <w:kern w:val="0"/>
                <w:sz w:val="21"/>
                <w:szCs w:val="21"/>
                <w:highlight w:val="none"/>
                <w:lang w:val="en-US" w:eastAsia="zh-CN"/>
              </w:rPr>
            </w:pPr>
            <w:r>
              <w:rPr>
                <w:rFonts w:hint="eastAsia" w:ascii="宋体" w:hAnsi="宋体"/>
                <w:color w:val="auto"/>
                <w:kern w:val="0"/>
                <w:sz w:val="21"/>
                <w:szCs w:val="21"/>
                <w:highlight w:val="none"/>
              </w:rPr>
              <w:t>A相-B相</w:t>
            </w:r>
            <w:r>
              <w:rPr>
                <w:rFonts w:hint="eastAsia" w:ascii="宋体" w:hAnsi="宋体"/>
                <w:color w:val="auto"/>
                <w:kern w:val="0"/>
                <w:sz w:val="21"/>
                <w:szCs w:val="21"/>
                <w:highlight w:val="none"/>
                <w:lang w:eastAsia="zh-CN"/>
              </w:rPr>
              <w:t>（</w:t>
            </w:r>
            <w:r>
              <w:rPr>
                <w:rFonts w:hint="eastAsia" w:ascii="宋体" w:hAnsi="宋体"/>
                <w:color w:val="auto"/>
                <w:kern w:val="0"/>
                <w:sz w:val="21"/>
                <w:szCs w:val="21"/>
                <w:highlight w:val="none"/>
                <w:lang w:val="en-US" w:eastAsia="zh-CN"/>
              </w:rPr>
              <w:t>a-b）</w:t>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6.1</w:t>
            </w:r>
            <w:r>
              <w:rPr>
                <w:rFonts w:hint="eastAsia" w:ascii="宋体" w:hAnsi="宋体"/>
                <w:color w:val="auto"/>
                <w:kern w:val="0"/>
                <w:sz w:val="21"/>
                <w:szCs w:val="21"/>
                <w:highlight w:val="none"/>
              </w:rPr>
              <w:t>m</w:t>
            </w:r>
          </w:p>
          <w:p w14:paraId="3325585A">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color w:val="auto"/>
                <w:kern w:val="0"/>
                <w:sz w:val="21"/>
                <w:szCs w:val="21"/>
                <w:highlight w:val="none"/>
              </w:rPr>
            </w:pPr>
            <w:r>
              <w:rPr>
                <w:rFonts w:hint="eastAsia" w:ascii="宋体" w:hAnsi="宋体"/>
                <w:color w:val="auto"/>
                <w:kern w:val="0"/>
                <w:sz w:val="21"/>
                <w:szCs w:val="21"/>
                <w:highlight w:val="none"/>
              </w:rPr>
              <w:t>C相-B相</w:t>
            </w:r>
            <w:r>
              <w:rPr>
                <w:rFonts w:hint="eastAsia" w:ascii="宋体" w:hAnsi="宋体"/>
                <w:color w:val="auto"/>
                <w:kern w:val="0"/>
                <w:sz w:val="21"/>
                <w:szCs w:val="21"/>
                <w:highlight w:val="none"/>
                <w:lang w:eastAsia="zh-CN"/>
              </w:rPr>
              <w:t>（</w:t>
            </w:r>
            <w:r>
              <w:rPr>
                <w:rFonts w:hint="eastAsia" w:ascii="宋体" w:hAnsi="宋体"/>
                <w:color w:val="auto"/>
                <w:kern w:val="0"/>
                <w:sz w:val="21"/>
                <w:szCs w:val="21"/>
                <w:highlight w:val="none"/>
                <w:lang w:val="en-US" w:eastAsia="zh-CN"/>
              </w:rPr>
              <w:t>c-b）</w:t>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5.5</w:t>
            </w:r>
            <w:r>
              <w:rPr>
                <w:rFonts w:hint="eastAsia" w:ascii="宋体" w:hAnsi="宋体"/>
                <w:color w:val="auto"/>
                <w:kern w:val="0"/>
                <w:sz w:val="21"/>
                <w:szCs w:val="21"/>
                <w:highlight w:val="none"/>
              </w:rPr>
              <w:t>m</w:t>
            </w:r>
          </w:p>
          <w:p w14:paraId="5FE55A28">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color w:val="auto"/>
                <w:kern w:val="0"/>
                <w:sz w:val="21"/>
                <w:szCs w:val="21"/>
                <w:highlight w:val="none"/>
              </w:rPr>
            </w:pPr>
            <w:r>
              <w:rPr>
                <w:rFonts w:hint="eastAsia" w:ascii="宋体" w:hAnsi="宋体"/>
                <w:color w:val="auto"/>
                <w:kern w:val="0"/>
                <w:sz w:val="21"/>
                <w:szCs w:val="21"/>
                <w:highlight w:val="none"/>
              </w:rPr>
              <w:t>A相-C相</w:t>
            </w:r>
            <w:r>
              <w:rPr>
                <w:rFonts w:hint="eastAsia" w:ascii="宋体" w:hAnsi="宋体"/>
                <w:color w:val="auto"/>
                <w:kern w:val="0"/>
                <w:sz w:val="21"/>
                <w:szCs w:val="21"/>
                <w:highlight w:val="none"/>
                <w:lang w:eastAsia="zh-CN"/>
              </w:rPr>
              <w:t>（</w:t>
            </w:r>
            <w:r>
              <w:rPr>
                <w:rFonts w:hint="eastAsia" w:ascii="宋体" w:hAnsi="宋体"/>
                <w:color w:val="auto"/>
                <w:kern w:val="0"/>
                <w:sz w:val="21"/>
                <w:szCs w:val="21"/>
                <w:highlight w:val="none"/>
                <w:lang w:val="en-US" w:eastAsia="zh-CN"/>
              </w:rPr>
              <w:t>a-c）</w:t>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11.6</w:t>
            </w:r>
            <w:r>
              <w:rPr>
                <w:rFonts w:hint="eastAsia" w:ascii="宋体" w:hAnsi="宋体"/>
                <w:color w:val="auto"/>
                <w:kern w:val="0"/>
                <w:sz w:val="21"/>
                <w:szCs w:val="21"/>
                <w:highlight w:val="none"/>
              </w:rPr>
              <w:t>m</w:t>
            </w:r>
          </w:p>
        </w:tc>
        <w:tc>
          <w:tcPr>
            <w:tcW w:w="253" w:type="pct"/>
            <w:gridSpan w:val="2"/>
            <w:vMerge w:val="continue"/>
            <w:tcBorders>
              <w:tl2br w:val="nil"/>
              <w:tr2bl w:val="nil"/>
            </w:tcBorders>
            <w:noWrap w:val="0"/>
            <w:vAlign w:val="center"/>
          </w:tcPr>
          <w:p w14:paraId="5A24D1D6">
            <w:pPr>
              <w:spacing w:line="276" w:lineRule="auto"/>
              <w:ind w:firstLine="200"/>
              <w:jc w:val="center"/>
              <w:rPr>
                <w:rFonts w:ascii="宋体" w:hAnsi="宋体"/>
                <w:color w:val="auto"/>
                <w:kern w:val="0"/>
                <w:sz w:val="21"/>
                <w:szCs w:val="21"/>
              </w:rPr>
            </w:pPr>
          </w:p>
        </w:tc>
        <w:tc>
          <w:tcPr>
            <w:tcW w:w="2307" w:type="pct"/>
            <w:gridSpan w:val="2"/>
            <w:vMerge w:val="continue"/>
            <w:tcBorders>
              <w:tl2br w:val="nil"/>
              <w:tr2bl w:val="nil"/>
            </w:tcBorders>
            <w:noWrap w:val="0"/>
            <w:vAlign w:val="center"/>
          </w:tcPr>
          <w:p w14:paraId="4442D457">
            <w:pPr>
              <w:spacing w:line="276" w:lineRule="auto"/>
              <w:ind w:firstLine="200"/>
              <w:jc w:val="center"/>
              <w:rPr>
                <w:rFonts w:ascii="宋体" w:hAnsi="宋体"/>
                <w:color w:val="auto"/>
                <w:kern w:val="0"/>
                <w:sz w:val="21"/>
                <w:szCs w:val="21"/>
              </w:rPr>
            </w:pPr>
          </w:p>
        </w:tc>
      </w:tr>
      <w:tr w14:paraId="6AF9B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9" w:hRule="atLeast"/>
          <w:jc w:val="center"/>
        </w:trPr>
        <w:tc>
          <w:tcPr>
            <w:tcW w:w="862" w:type="pct"/>
            <w:tcBorders>
              <w:tl2br w:val="nil"/>
              <w:tr2bl w:val="nil"/>
            </w:tcBorders>
            <w:noWrap w:val="0"/>
            <w:vAlign w:val="center"/>
          </w:tcPr>
          <w:p w14:paraId="13390C0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color w:val="auto"/>
                <w:kern w:val="0"/>
                <w:sz w:val="21"/>
                <w:szCs w:val="21"/>
              </w:rPr>
            </w:pPr>
            <w:r>
              <w:rPr>
                <w:rFonts w:ascii="宋体" w:hAnsi="宋体"/>
                <w:color w:val="auto"/>
                <w:kern w:val="0"/>
                <w:sz w:val="21"/>
                <w:szCs w:val="21"/>
              </w:rPr>
              <w:t>相序</w:t>
            </w:r>
          </w:p>
        </w:tc>
        <w:tc>
          <w:tcPr>
            <w:tcW w:w="1576" w:type="pct"/>
            <w:tcBorders>
              <w:tl2br w:val="nil"/>
              <w:tr2bl w:val="nil"/>
            </w:tcBorders>
            <w:noWrap w:val="0"/>
            <w:vAlign w:val="center"/>
          </w:tcPr>
          <w:p w14:paraId="166D83B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olor w:val="auto"/>
                <w:kern w:val="0"/>
                <w:sz w:val="21"/>
                <w:szCs w:val="21"/>
                <w:highlight w:val="none"/>
                <w:lang w:eastAsia="zh-CN"/>
              </w:rPr>
            </w:pPr>
            <w:r>
              <w:rPr>
                <w:rFonts w:ascii="宋体" w:hAnsi="宋体"/>
                <w:color w:val="auto"/>
                <w:kern w:val="0"/>
                <w:sz w:val="21"/>
                <w:szCs w:val="21"/>
                <w:highlight w:val="none"/>
              </w:rPr>
              <w:t>A-B-C</w:t>
            </w:r>
            <w:r>
              <w:rPr>
                <w:rFonts w:hint="eastAsia" w:ascii="宋体" w:hAnsi="宋体"/>
                <w:color w:val="auto"/>
                <w:kern w:val="0"/>
                <w:sz w:val="21"/>
                <w:szCs w:val="21"/>
                <w:highlight w:val="none"/>
                <w:lang w:val="en-US" w:eastAsia="zh-CN"/>
              </w:rPr>
              <w:t>((a-b-c)</w:t>
            </w:r>
            <w:r>
              <w:rPr>
                <w:rFonts w:hint="eastAsia" w:ascii="宋体" w:hAnsi="宋体"/>
                <w:color w:val="auto"/>
                <w:kern w:val="0"/>
                <w:sz w:val="21"/>
                <w:szCs w:val="21"/>
                <w:highlight w:val="none"/>
                <w:lang w:eastAsia="zh-CN"/>
              </w:rPr>
              <w:t>(</w:t>
            </w:r>
            <w:r>
              <w:rPr>
                <w:rFonts w:hint="eastAsia" w:ascii="宋体" w:hAnsi="宋体"/>
                <w:color w:val="auto"/>
                <w:kern w:val="0"/>
                <w:sz w:val="21"/>
                <w:szCs w:val="21"/>
                <w:highlight w:val="none"/>
                <w:lang w:val="en-US" w:eastAsia="zh-CN"/>
              </w:rPr>
              <w:t>正相序</w:t>
            </w:r>
            <w:r>
              <w:rPr>
                <w:rFonts w:hint="eastAsia" w:ascii="宋体" w:hAnsi="宋体"/>
                <w:color w:val="auto"/>
                <w:kern w:val="0"/>
                <w:sz w:val="21"/>
                <w:szCs w:val="21"/>
                <w:highlight w:val="none"/>
                <w:lang w:eastAsia="zh-CN"/>
              </w:rPr>
              <w:t>)</w:t>
            </w:r>
          </w:p>
        </w:tc>
        <w:tc>
          <w:tcPr>
            <w:tcW w:w="253" w:type="pct"/>
            <w:gridSpan w:val="2"/>
            <w:vMerge w:val="continue"/>
            <w:tcBorders>
              <w:tl2br w:val="nil"/>
              <w:tr2bl w:val="nil"/>
            </w:tcBorders>
            <w:noWrap w:val="0"/>
            <w:vAlign w:val="center"/>
          </w:tcPr>
          <w:p w14:paraId="128093B0">
            <w:pPr>
              <w:spacing w:line="276" w:lineRule="auto"/>
              <w:ind w:firstLine="200"/>
              <w:jc w:val="center"/>
              <w:rPr>
                <w:rFonts w:ascii="宋体" w:hAnsi="宋体"/>
                <w:color w:val="auto"/>
                <w:kern w:val="0"/>
                <w:sz w:val="21"/>
                <w:szCs w:val="21"/>
              </w:rPr>
            </w:pPr>
          </w:p>
        </w:tc>
        <w:tc>
          <w:tcPr>
            <w:tcW w:w="2307" w:type="pct"/>
            <w:gridSpan w:val="2"/>
            <w:vMerge w:val="continue"/>
            <w:tcBorders>
              <w:tl2br w:val="nil"/>
              <w:tr2bl w:val="nil"/>
            </w:tcBorders>
            <w:noWrap w:val="0"/>
            <w:vAlign w:val="center"/>
          </w:tcPr>
          <w:p w14:paraId="16C54589">
            <w:pPr>
              <w:spacing w:line="276" w:lineRule="auto"/>
              <w:ind w:firstLine="200"/>
              <w:jc w:val="center"/>
              <w:rPr>
                <w:rFonts w:ascii="宋体" w:hAnsi="宋体"/>
                <w:color w:val="auto"/>
                <w:kern w:val="0"/>
                <w:sz w:val="21"/>
                <w:szCs w:val="21"/>
              </w:rPr>
            </w:pPr>
          </w:p>
        </w:tc>
      </w:tr>
      <w:tr w14:paraId="4E8E1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65" w:hRule="atLeast"/>
          <w:jc w:val="center"/>
        </w:trPr>
        <w:tc>
          <w:tcPr>
            <w:tcW w:w="862" w:type="pct"/>
            <w:tcBorders>
              <w:tl2br w:val="nil"/>
              <w:tr2bl w:val="nil"/>
            </w:tcBorders>
            <w:noWrap w:val="0"/>
            <w:vAlign w:val="center"/>
          </w:tcPr>
          <w:p w14:paraId="5F4A4B5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color w:val="auto"/>
                <w:kern w:val="0"/>
                <w:sz w:val="21"/>
                <w:szCs w:val="21"/>
                <w:highlight w:val="none"/>
              </w:rPr>
            </w:pPr>
            <w:r>
              <w:rPr>
                <w:rFonts w:hint="eastAsia" w:ascii="宋体" w:hAnsi="宋体"/>
                <w:color w:val="auto"/>
                <w:kern w:val="0"/>
                <w:sz w:val="21"/>
                <w:szCs w:val="21"/>
                <w:highlight w:val="none"/>
              </w:rPr>
              <w:t>导线水平间距</w:t>
            </w:r>
          </w:p>
        </w:tc>
        <w:tc>
          <w:tcPr>
            <w:tcW w:w="1576" w:type="pct"/>
            <w:tcBorders>
              <w:tl2br w:val="nil"/>
              <w:tr2bl w:val="nil"/>
            </w:tcBorders>
            <w:noWrap w:val="0"/>
            <w:vAlign w:val="center"/>
          </w:tcPr>
          <w:p w14:paraId="6E5468DB">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宋体" w:hAnsi="宋体" w:eastAsia="宋体"/>
                <w:color w:val="auto"/>
                <w:kern w:val="0"/>
                <w:sz w:val="21"/>
                <w:szCs w:val="21"/>
                <w:highlight w:val="none"/>
                <w:lang w:val="en-US" w:eastAsia="zh-CN"/>
              </w:rPr>
            </w:pPr>
            <w:r>
              <w:rPr>
                <w:rFonts w:hint="eastAsia" w:ascii="宋体" w:hAnsi="宋体"/>
                <w:color w:val="auto"/>
                <w:kern w:val="0"/>
                <w:sz w:val="21"/>
                <w:szCs w:val="21"/>
                <w:highlight w:val="none"/>
              </w:rPr>
              <w:t>A相-B相</w:t>
            </w:r>
            <w:r>
              <w:rPr>
                <w:rFonts w:hint="eastAsia" w:ascii="宋体" w:hAnsi="宋体"/>
                <w:color w:val="auto"/>
                <w:kern w:val="0"/>
                <w:sz w:val="21"/>
                <w:szCs w:val="21"/>
                <w:highlight w:val="none"/>
                <w:lang w:val="en-US" w:eastAsia="zh-CN"/>
              </w:rPr>
              <w:t>(a-b)</w:t>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1.1m</w:t>
            </w:r>
          </w:p>
          <w:p w14:paraId="14CA380D">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color w:val="auto"/>
                <w:kern w:val="0"/>
                <w:sz w:val="21"/>
                <w:szCs w:val="21"/>
                <w:highlight w:val="none"/>
              </w:rPr>
            </w:pPr>
            <w:r>
              <w:rPr>
                <w:rFonts w:hint="eastAsia" w:ascii="宋体" w:hAnsi="宋体"/>
                <w:color w:val="auto"/>
                <w:kern w:val="0"/>
                <w:sz w:val="21"/>
                <w:szCs w:val="21"/>
                <w:highlight w:val="none"/>
              </w:rPr>
              <w:t>C相-B相</w:t>
            </w:r>
            <w:r>
              <w:rPr>
                <w:rFonts w:hint="eastAsia" w:ascii="宋体" w:hAnsi="宋体"/>
                <w:color w:val="auto"/>
                <w:kern w:val="0"/>
                <w:sz w:val="21"/>
                <w:szCs w:val="21"/>
                <w:highlight w:val="none"/>
                <w:lang w:val="en-US" w:eastAsia="zh-CN"/>
              </w:rPr>
              <w:t>c-b）</w:t>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0.75</w:t>
            </w:r>
            <w:r>
              <w:rPr>
                <w:rFonts w:hint="eastAsia" w:ascii="宋体" w:hAnsi="宋体"/>
                <w:color w:val="auto"/>
                <w:kern w:val="0"/>
                <w:sz w:val="21"/>
                <w:szCs w:val="21"/>
                <w:highlight w:val="none"/>
              </w:rPr>
              <w:t>m</w:t>
            </w:r>
          </w:p>
          <w:p w14:paraId="0212CFA6">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color w:val="auto"/>
                <w:kern w:val="0"/>
                <w:sz w:val="21"/>
                <w:szCs w:val="21"/>
                <w:highlight w:val="none"/>
              </w:rPr>
            </w:pPr>
            <w:r>
              <w:rPr>
                <w:rFonts w:hint="eastAsia" w:ascii="宋体" w:hAnsi="宋体"/>
                <w:color w:val="auto"/>
                <w:kern w:val="0"/>
                <w:sz w:val="21"/>
                <w:szCs w:val="21"/>
                <w:highlight w:val="none"/>
              </w:rPr>
              <w:t>A相-C相</w:t>
            </w:r>
            <w:r>
              <w:rPr>
                <w:rFonts w:hint="eastAsia" w:ascii="宋体" w:hAnsi="宋体"/>
                <w:color w:val="auto"/>
                <w:kern w:val="0"/>
                <w:sz w:val="21"/>
                <w:szCs w:val="21"/>
                <w:highlight w:val="none"/>
                <w:lang w:eastAsia="zh-CN"/>
              </w:rPr>
              <w:t>（</w:t>
            </w:r>
            <w:r>
              <w:rPr>
                <w:rFonts w:hint="eastAsia" w:ascii="宋体" w:hAnsi="宋体"/>
                <w:color w:val="auto"/>
                <w:kern w:val="0"/>
                <w:sz w:val="21"/>
                <w:szCs w:val="21"/>
                <w:highlight w:val="none"/>
                <w:lang w:val="en-US" w:eastAsia="zh-CN"/>
              </w:rPr>
              <w:t>a-c）</w:t>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0.35</w:t>
            </w:r>
            <w:r>
              <w:rPr>
                <w:rFonts w:hint="eastAsia" w:ascii="宋体" w:hAnsi="宋体"/>
                <w:color w:val="auto"/>
                <w:kern w:val="0"/>
                <w:sz w:val="21"/>
                <w:szCs w:val="21"/>
                <w:highlight w:val="none"/>
              </w:rPr>
              <w:t>m</w:t>
            </w:r>
          </w:p>
        </w:tc>
        <w:tc>
          <w:tcPr>
            <w:tcW w:w="253" w:type="pct"/>
            <w:gridSpan w:val="2"/>
            <w:vMerge w:val="continue"/>
            <w:tcBorders>
              <w:tl2br w:val="nil"/>
              <w:tr2bl w:val="nil"/>
            </w:tcBorders>
            <w:noWrap w:val="0"/>
            <w:vAlign w:val="center"/>
          </w:tcPr>
          <w:p w14:paraId="1E8D3A32">
            <w:pPr>
              <w:spacing w:line="276" w:lineRule="auto"/>
              <w:ind w:firstLine="200"/>
              <w:jc w:val="center"/>
              <w:rPr>
                <w:rFonts w:ascii="宋体" w:hAnsi="宋体"/>
                <w:color w:val="auto"/>
                <w:kern w:val="0"/>
                <w:sz w:val="21"/>
                <w:szCs w:val="21"/>
              </w:rPr>
            </w:pPr>
          </w:p>
        </w:tc>
        <w:tc>
          <w:tcPr>
            <w:tcW w:w="2307" w:type="pct"/>
            <w:gridSpan w:val="2"/>
            <w:vMerge w:val="continue"/>
            <w:tcBorders>
              <w:tl2br w:val="nil"/>
              <w:tr2bl w:val="nil"/>
            </w:tcBorders>
            <w:noWrap w:val="0"/>
            <w:vAlign w:val="center"/>
          </w:tcPr>
          <w:p w14:paraId="76DE1EEE">
            <w:pPr>
              <w:spacing w:line="276" w:lineRule="auto"/>
              <w:ind w:firstLine="200"/>
              <w:jc w:val="center"/>
              <w:rPr>
                <w:rFonts w:ascii="宋体" w:hAnsi="宋体"/>
                <w:color w:val="auto"/>
                <w:kern w:val="0"/>
                <w:sz w:val="21"/>
                <w:szCs w:val="21"/>
              </w:rPr>
            </w:pPr>
          </w:p>
        </w:tc>
      </w:tr>
      <w:tr w14:paraId="189A7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65" w:hRule="atLeast"/>
          <w:jc w:val="center"/>
        </w:trPr>
        <w:tc>
          <w:tcPr>
            <w:tcW w:w="862" w:type="pct"/>
            <w:tcBorders>
              <w:tl2br w:val="nil"/>
              <w:tr2bl w:val="nil"/>
            </w:tcBorders>
            <w:noWrap w:val="0"/>
            <w:vAlign w:val="center"/>
          </w:tcPr>
          <w:p w14:paraId="3D9E8E6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olor w:val="auto"/>
                <w:kern w:val="0"/>
                <w:sz w:val="21"/>
                <w:szCs w:val="21"/>
                <w:highlight w:val="none"/>
                <w:lang w:val="en-US" w:eastAsia="zh-CN" w:bidi="ar-SA"/>
              </w:rPr>
            </w:pPr>
            <w:r>
              <w:rPr>
                <w:rFonts w:hint="eastAsia" w:ascii="宋体" w:hAnsi="宋体"/>
                <w:color w:val="auto"/>
                <w:kern w:val="0"/>
                <w:sz w:val="21"/>
                <w:szCs w:val="21"/>
                <w:highlight w:val="none"/>
                <w:lang w:val="en-US" w:eastAsia="zh-CN"/>
              </w:rPr>
              <w:t>地线水平间距</w:t>
            </w:r>
          </w:p>
        </w:tc>
        <w:tc>
          <w:tcPr>
            <w:tcW w:w="1576" w:type="pct"/>
            <w:tcBorders>
              <w:tl2br w:val="nil"/>
              <w:tr2bl w:val="nil"/>
            </w:tcBorders>
            <w:noWrap w:val="0"/>
            <w:vAlign w:val="center"/>
          </w:tcPr>
          <w:p w14:paraId="4FD3C2A4">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宋体" w:hAnsi="宋体"/>
                <w:color w:val="auto"/>
                <w:kern w:val="0"/>
                <w:sz w:val="21"/>
                <w:szCs w:val="21"/>
                <w:highlight w:val="none"/>
                <w:lang w:val="en-US" w:eastAsia="zh-CN"/>
              </w:rPr>
            </w:pPr>
            <w:r>
              <w:rPr>
                <w:rFonts w:hint="eastAsia" w:ascii="宋体" w:hAnsi="宋体"/>
                <w:color w:val="auto"/>
                <w:kern w:val="0"/>
                <w:sz w:val="21"/>
                <w:szCs w:val="21"/>
                <w:highlight w:val="none"/>
                <w:lang w:val="en-US" w:eastAsia="zh-CN"/>
              </w:rPr>
              <w:t>D1-(0,0):3.5</w:t>
            </w:r>
          </w:p>
          <w:p w14:paraId="4709101F">
            <w:pPr>
              <w:pStyle w:val="13"/>
              <w:jc w:val="center"/>
              <w:rPr>
                <w:rFonts w:hint="default" w:ascii="宋体" w:hAnsi="Courier New" w:eastAsia="仿宋_GB2312"/>
                <w:color w:val="auto"/>
                <w:kern w:val="2"/>
                <w:sz w:val="21"/>
                <w:szCs w:val="21"/>
                <w:highlight w:val="none"/>
                <w:lang w:val="en-US" w:eastAsia="zh-CN" w:bidi="ar-SA"/>
              </w:rPr>
            </w:pPr>
            <w:r>
              <w:rPr>
                <w:rFonts w:hint="eastAsia" w:ascii="宋体" w:hAnsi="宋体"/>
                <w:color w:val="auto"/>
                <w:kern w:val="0"/>
                <w:sz w:val="21"/>
                <w:szCs w:val="21"/>
                <w:highlight w:val="none"/>
                <w:lang w:val="en-US" w:eastAsia="zh-CN"/>
              </w:rPr>
              <w:t>D2-(0,0)</w:t>
            </w:r>
            <w:r>
              <w:rPr>
                <w:rFonts w:hint="eastAsia" w:hAnsi="宋体"/>
                <w:color w:val="auto"/>
                <w:kern w:val="0"/>
                <w:sz w:val="21"/>
                <w:szCs w:val="21"/>
                <w:highlight w:val="none"/>
                <w:lang w:val="en-US" w:eastAsia="zh-CN"/>
              </w:rPr>
              <w:t>:3.5</w:t>
            </w:r>
          </w:p>
        </w:tc>
        <w:tc>
          <w:tcPr>
            <w:tcW w:w="253" w:type="pct"/>
            <w:gridSpan w:val="2"/>
            <w:vMerge w:val="continue"/>
            <w:tcBorders>
              <w:tl2br w:val="nil"/>
              <w:tr2bl w:val="nil"/>
            </w:tcBorders>
            <w:noWrap w:val="0"/>
            <w:vAlign w:val="center"/>
          </w:tcPr>
          <w:p w14:paraId="338C35C0">
            <w:pPr>
              <w:spacing w:line="276" w:lineRule="auto"/>
              <w:ind w:firstLine="200"/>
              <w:jc w:val="center"/>
              <w:rPr>
                <w:rFonts w:ascii="宋体" w:hAnsi="宋体"/>
                <w:color w:val="auto"/>
                <w:kern w:val="0"/>
                <w:sz w:val="21"/>
                <w:szCs w:val="21"/>
              </w:rPr>
            </w:pPr>
          </w:p>
        </w:tc>
        <w:tc>
          <w:tcPr>
            <w:tcW w:w="2307" w:type="pct"/>
            <w:gridSpan w:val="2"/>
            <w:vMerge w:val="continue"/>
            <w:tcBorders>
              <w:tl2br w:val="nil"/>
              <w:tr2bl w:val="nil"/>
            </w:tcBorders>
            <w:noWrap w:val="0"/>
            <w:vAlign w:val="center"/>
          </w:tcPr>
          <w:p w14:paraId="6F384BA2">
            <w:pPr>
              <w:spacing w:line="276" w:lineRule="auto"/>
              <w:ind w:firstLine="200"/>
              <w:jc w:val="center"/>
              <w:rPr>
                <w:rFonts w:ascii="宋体" w:hAnsi="宋体"/>
                <w:color w:val="auto"/>
                <w:kern w:val="0"/>
                <w:sz w:val="21"/>
                <w:szCs w:val="21"/>
              </w:rPr>
            </w:pPr>
          </w:p>
        </w:tc>
      </w:tr>
      <w:tr w14:paraId="60B40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2" w:hRule="atLeast"/>
          <w:jc w:val="center"/>
        </w:trPr>
        <w:tc>
          <w:tcPr>
            <w:tcW w:w="862" w:type="pct"/>
            <w:tcBorders>
              <w:tl2br w:val="nil"/>
              <w:tr2bl w:val="nil"/>
            </w:tcBorders>
            <w:noWrap w:val="0"/>
            <w:vAlign w:val="center"/>
          </w:tcPr>
          <w:p w14:paraId="3A588C01">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宋体" w:hAnsi="宋体"/>
                <w:color w:val="auto"/>
                <w:kern w:val="0"/>
                <w:sz w:val="21"/>
                <w:szCs w:val="21"/>
                <w:highlight w:val="none"/>
                <w:lang w:val="en-US" w:eastAsia="zh-CN"/>
              </w:rPr>
            </w:pPr>
            <w:r>
              <w:rPr>
                <w:rFonts w:hint="eastAsia" w:ascii="宋体" w:hAnsi="宋体"/>
                <w:color w:val="auto"/>
                <w:kern w:val="0"/>
                <w:sz w:val="21"/>
                <w:szCs w:val="21"/>
                <w:highlight w:val="none"/>
                <w:lang w:val="en-US" w:eastAsia="zh-CN"/>
              </w:rPr>
              <w:t>绝缘子串高度</w:t>
            </w:r>
          </w:p>
        </w:tc>
        <w:tc>
          <w:tcPr>
            <w:tcW w:w="1576" w:type="pct"/>
            <w:tcBorders>
              <w:tl2br w:val="nil"/>
              <w:tr2bl w:val="nil"/>
            </w:tcBorders>
            <w:noWrap w:val="0"/>
            <w:vAlign w:val="center"/>
          </w:tcPr>
          <w:p w14:paraId="6975B66D">
            <w:pPr>
              <w:pStyle w:val="13"/>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宋体" w:hAnsi="宋体"/>
                <w:color w:val="auto"/>
                <w:kern w:val="0"/>
                <w:sz w:val="21"/>
                <w:szCs w:val="21"/>
                <w:highlight w:val="none"/>
                <w:lang w:val="en-US" w:eastAsia="zh-CN"/>
              </w:rPr>
            </w:pPr>
            <w:r>
              <w:rPr>
                <w:rFonts w:hint="eastAsia" w:hAnsi="宋体"/>
                <w:color w:val="auto"/>
                <w:kern w:val="0"/>
                <w:sz w:val="21"/>
                <w:szCs w:val="21"/>
                <w:highlight w:val="none"/>
                <w:lang w:val="en-US" w:eastAsia="zh-CN"/>
              </w:rPr>
              <w:t>1.8m</w:t>
            </w:r>
          </w:p>
        </w:tc>
        <w:tc>
          <w:tcPr>
            <w:tcW w:w="253" w:type="pct"/>
            <w:gridSpan w:val="2"/>
            <w:vMerge w:val="continue"/>
            <w:tcBorders>
              <w:tl2br w:val="nil"/>
              <w:tr2bl w:val="nil"/>
            </w:tcBorders>
            <w:noWrap w:val="0"/>
            <w:vAlign w:val="center"/>
          </w:tcPr>
          <w:p w14:paraId="2970ACD3">
            <w:pPr>
              <w:keepNext w:val="0"/>
              <w:keepLines w:val="0"/>
              <w:pageBreakBefore w:val="0"/>
              <w:kinsoku/>
              <w:wordWrap/>
              <w:overflowPunct/>
              <w:topLinePunct w:val="0"/>
              <w:autoSpaceDE/>
              <w:autoSpaceDN/>
              <w:bidi w:val="0"/>
              <w:adjustRightInd w:val="0"/>
              <w:snapToGrid w:val="0"/>
              <w:spacing w:line="240" w:lineRule="auto"/>
              <w:ind w:firstLine="200"/>
              <w:jc w:val="center"/>
              <w:textAlignment w:val="auto"/>
              <w:rPr>
                <w:rFonts w:ascii="宋体" w:hAnsi="宋体"/>
                <w:color w:val="auto"/>
                <w:kern w:val="0"/>
                <w:sz w:val="21"/>
                <w:szCs w:val="21"/>
              </w:rPr>
            </w:pPr>
          </w:p>
        </w:tc>
        <w:tc>
          <w:tcPr>
            <w:tcW w:w="2307" w:type="pct"/>
            <w:gridSpan w:val="2"/>
            <w:vMerge w:val="continue"/>
            <w:tcBorders>
              <w:tl2br w:val="nil"/>
              <w:tr2bl w:val="nil"/>
            </w:tcBorders>
            <w:noWrap w:val="0"/>
            <w:vAlign w:val="center"/>
          </w:tcPr>
          <w:p w14:paraId="6C02CE3C">
            <w:pPr>
              <w:keepNext w:val="0"/>
              <w:keepLines w:val="0"/>
              <w:pageBreakBefore w:val="0"/>
              <w:kinsoku/>
              <w:wordWrap/>
              <w:overflowPunct/>
              <w:topLinePunct w:val="0"/>
              <w:autoSpaceDE/>
              <w:autoSpaceDN/>
              <w:bidi w:val="0"/>
              <w:adjustRightInd w:val="0"/>
              <w:snapToGrid w:val="0"/>
              <w:spacing w:line="240" w:lineRule="auto"/>
              <w:ind w:firstLine="200"/>
              <w:jc w:val="center"/>
              <w:textAlignment w:val="auto"/>
              <w:rPr>
                <w:rFonts w:ascii="宋体" w:hAnsi="宋体"/>
                <w:color w:val="auto"/>
                <w:kern w:val="0"/>
                <w:sz w:val="21"/>
                <w:szCs w:val="21"/>
              </w:rPr>
            </w:pPr>
          </w:p>
        </w:tc>
      </w:tr>
      <w:tr w14:paraId="73E77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8" w:hRule="atLeast"/>
          <w:jc w:val="center"/>
        </w:trPr>
        <w:tc>
          <w:tcPr>
            <w:tcW w:w="862" w:type="pct"/>
            <w:tcBorders>
              <w:tl2br w:val="nil"/>
              <w:tr2bl w:val="nil"/>
            </w:tcBorders>
            <w:noWrap w:val="0"/>
            <w:vAlign w:val="center"/>
          </w:tcPr>
          <w:p w14:paraId="0FE68DF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olor w:val="auto"/>
                <w:kern w:val="0"/>
                <w:sz w:val="21"/>
                <w:szCs w:val="21"/>
                <w:lang w:val="en-US" w:eastAsia="zh-CN" w:bidi="ar-SA"/>
              </w:rPr>
            </w:pPr>
            <w:r>
              <w:rPr>
                <w:rFonts w:hint="eastAsia" w:ascii="宋体" w:hAnsi="宋体"/>
                <w:color w:val="auto"/>
                <w:kern w:val="0"/>
                <w:sz w:val="21"/>
                <w:szCs w:val="21"/>
              </w:rPr>
              <w:t>导线</w:t>
            </w:r>
            <w:r>
              <w:rPr>
                <w:rFonts w:hint="eastAsia" w:ascii="宋体" w:hAnsi="宋体"/>
                <w:color w:val="auto"/>
                <w:kern w:val="0"/>
                <w:sz w:val="21"/>
                <w:szCs w:val="21"/>
                <w:lang w:eastAsia="zh-CN"/>
              </w:rPr>
              <w:t>－</w:t>
            </w:r>
            <w:r>
              <w:rPr>
                <w:rFonts w:hint="eastAsia" w:ascii="宋体" w:hAnsi="宋体"/>
                <w:color w:val="auto"/>
                <w:kern w:val="0"/>
                <w:sz w:val="21"/>
                <w:szCs w:val="21"/>
              </w:rPr>
              <w:t>地线垂直间距</w:t>
            </w:r>
          </w:p>
        </w:tc>
        <w:tc>
          <w:tcPr>
            <w:tcW w:w="1576" w:type="pct"/>
            <w:tcBorders>
              <w:tl2br w:val="nil"/>
              <w:tr2bl w:val="nil"/>
            </w:tcBorders>
            <w:noWrap w:val="0"/>
            <w:vAlign w:val="center"/>
          </w:tcPr>
          <w:p w14:paraId="28A03CBB">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olor w:val="auto"/>
                <w:kern w:val="0"/>
                <w:sz w:val="21"/>
                <w:szCs w:val="21"/>
                <w:highlight w:val="none"/>
                <w:lang w:val="en-US" w:eastAsia="zh-CN" w:bidi="ar-SA"/>
              </w:rPr>
            </w:pPr>
            <w:r>
              <w:rPr>
                <w:rFonts w:hint="eastAsia" w:ascii="宋体" w:hAnsi="宋体"/>
                <w:color w:val="auto"/>
                <w:kern w:val="0"/>
                <w:sz w:val="21"/>
                <w:szCs w:val="21"/>
                <w:highlight w:val="none"/>
                <w:lang w:val="en-US" w:eastAsia="zh-CN"/>
              </w:rPr>
              <w:t>5.3</w:t>
            </w:r>
            <w:r>
              <w:rPr>
                <w:rFonts w:hint="eastAsia" w:ascii="宋体" w:hAnsi="宋体"/>
                <w:color w:val="auto"/>
                <w:kern w:val="0"/>
                <w:sz w:val="21"/>
                <w:szCs w:val="21"/>
                <w:highlight w:val="none"/>
              </w:rPr>
              <w:t>m</w:t>
            </w:r>
            <w:r>
              <w:rPr>
                <w:rFonts w:hint="eastAsia" w:ascii="宋体" w:hAnsi="宋体"/>
                <w:color w:val="auto"/>
                <w:kern w:val="0"/>
                <w:sz w:val="21"/>
                <w:szCs w:val="21"/>
                <w:highlight w:val="none"/>
                <w:lang w:eastAsia="zh-CN"/>
              </w:rPr>
              <w:t>(</w:t>
            </w:r>
            <w:r>
              <w:rPr>
                <w:rFonts w:hint="eastAsia" w:ascii="宋体" w:hAnsi="宋体"/>
                <w:color w:val="auto"/>
                <w:kern w:val="0"/>
                <w:sz w:val="21"/>
                <w:szCs w:val="21"/>
                <w:highlight w:val="none"/>
                <w:lang w:val="en-US" w:eastAsia="zh-CN"/>
              </w:rPr>
              <w:t>A相导线距离地线距离，直线塔虑绝缘子串高度）</w:t>
            </w:r>
          </w:p>
        </w:tc>
        <w:tc>
          <w:tcPr>
            <w:tcW w:w="253" w:type="pct"/>
            <w:gridSpan w:val="2"/>
            <w:vMerge w:val="continue"/>
            <w:tcBorders>
              <w:tl2br w:val="nil"/>
              <w:tr2bl w:val="nil"/>
            </w:tcBorders>
            <w:noWrap w:val="0"/>
            <w:vAlign w:val="center"/>
          </w:tcPr>
          <w:p w14:paraId="300803C9">
            <w:pPr>
              <w:spacing w:line="276" w:lineRule="auto"/>
              <w:ind w:firstLine="200"/>
              <w:jc w:val="center"/>
              <w:rPr>
                <w:rFonts w:ascii="宋体" w:hAnsi="宋体"/>
                <w:color w:val="auto"/>
                <w:kern w:val="0"/>
                <w:sz w:val="21"/>
                <w:szCs w:val="21"/>
              </w:rPr>
            </w:pPr>
          </w:p>
        </w:tc>
        <w:tc>
          <w:tcPr>
            <w:tcW w:w="2307" w:type="pct"/>
            <w:gridSpan w:val="2"/>
            <w:vMerge w:val="continue"/>
            <w:tcBorders>
              <w:tl2br w:val="nil"/>
              <w:tr2bl w:val="nil"/>
            </w:tcBorders>
            <w:noWrap w:val="0"/>
            <w:vAlign w:val="center"/>
          </w:tcPr>
          <w:p w14:paraId="21D8D40F">
            <w:pPr>
              <w:spacing w:line="276" w:lineRule="auto"/>
              <w:ind w:firstLine="200"/>
              <w:jc w:val="center"/>
              <w:rPr>
                <w:rFonts w:ascii="宋体" w:hAnsi="宋体"/>
                <w:color w:val="auto"/>
                <w:kern w:val="0"/>
                <w:sz w:val="21"/>
                <w:szCs w:val="21"/>
              </w:rPr>
            </w:pPr>
          </w:p>
        </w:tc>
      </w:tr>
      <w:tr w14:paraId="31918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8" w:hRule="atLeast"/>
          <w:jc w:val="center"/>
        </w:trPr>
        <w:tc>
          <w:tcPr>
            <w:tcW w:w="862" w:type="pct"/>
            <w:tcBorders>
              <w:tl2br w:val="nil"/>
              <w:tr2bl w:val="nil"/>
            </w:tcBorders>
            <w:noWrap w:val="0"/>
            <w:vAlign w:val="center"/>
          </w:tcPr>
          <w:p w14:paraId="64E590F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color w:val="auto"/>
                <w:kern w:val="0"/>
                <w:sz w:val="21"/>
                <w:szCs w:val="21"/>
                <w:highlight w:val="none"/>
              </w:rPr>
            </w:pPr>
            <w:r>
              <w:rPr>
                <w:rFonts w:ascii="宋体" w:hAnsi="宋体"/>
                <w:color w:val="auto"/>
                <w:kern w:val="0"/>
                <w:sz w:val="21"/>
                <w:szCs w:val="21"/>
                <w:highlight w:val="none"/>
              </w:rPr>
              <w:t>采用塔型</w:t>
            </w:r>
          </w:p>
        </w:tc>
        <w:tc>
          <w:tcPr>
            <w:tcW w:w="1576" w:type="pct"/>
            <w:tcBorders>
              <w:tl2br w:val="nil"/>
              <w:tr2bl w:val="nil"/>
            </w:tcBorders>
            <w:noWrap w:val="0"/>
            <w:vAlign w:val="center"/>
          </w:tcPr>
          <w:p w14:paraId="6250AB5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s="Times New Roman"/>
                <w:color w:val="auto"/>
                <w:kern w:val="0"/>
                <w:sz w:val="21"/>
                <w:szCs w:val="21"/>
                <w:highlight w:val="none"/>
                <w:lang w:val="en-US" w:eastAsia="zh-CN"/>
              </w:rPr>
            </w:pPr>
            <w:r>
              <w:rPr>
                <w:rFonts w:hint="eastAsia" w:ascii="宋体" w:hAnsi="宋体" w:cs="Times New Roman"/>
                <w:color w:val="auto"/>
                <w:kern w:val="0"/>
                <w:sz w:val="21"/>
                <w:szCs w:val="21"/>
                <w:highlight w:val="none"/>
                <w:lang w:val="en-US" w:eastAsia="zh-CN"/>
              </w:rPr>
              <w:t>SDJC塔型</w:t>
            </w:r>
          </w:p>
        </w:tc>
        <w:tc>
          <w:tcPr>
            <w:tcW w:w="250" w:type="pct"/>
            <w:vMerge w:val="restart"/>
            <w:tcBorders>
              <w:tl2br w:val="nil"/>
              <w:tr2bl w:val="nil"/>
            </w:tcBorders>
            <w:noWrap w:val="0"/>
            <w:vAlign w:val="center"/>
          </w:tcPr>
          <w:p w14:paraId="43F57FEA">
            <w:pPr>
              <w:spacing w:line="276" w:lineRule="auto"/>
              <w:jc w:val="center"/>
              <w:rPr>
                <w:rFonts w:ascii="宋体" w:hAnsi="宋体"/>
                <w:color w:val="auto"/>
                <w:kern w:val="0"/>
                <w:sz w:val="21"/>
                <w:szCs w:val="21"/>
              </w:rPr>
            </w:pPr>
            <w:r>
              <w:rPr>
                <w:rFonts w:ascii="宋体" w:hAnsi="宋体"/>
                <w:color w:val="auto"/>
                <w:kern w:val="0"/>
                <w:sz w:val="21"/>
                <w:szCs w:val="21"/>
              </w:rPr>
              <w:t>相间距坐标</w:t>
            </w:r>
          </w:p>
        </w:tc>
        <w:tc>
          <w:tcPr>
            <w:tcW w:w="2309" w:type="pct"/>
            <w:gridSpan w:val="3"/>
            <w:vMerge w:val="restart"/>
            <w:tcBorders>
              <w:tl2br w:val="nil"/>
              <w:tr2bl w:val="nil"/>
            </w:tcBorders>
            <w:noWrap w:val="0"/>
            <w:vAlign w:val="center"/>
          </w:tcPr>
          <w:p w14:paraId="692239FC">
            <w:pPr>
              <w:spacing w:line="276" w:lineRule="auto"/>
              <w:jc w:val="center"/>
              <w:rPr>
                <w:rFonts w:hint="eastAsia" w:ascii="宋体" w:hAnsi="宋体" w:eastAsia="宋体" w:cs="Times New Roman"/>
                <w:color w:val="auto"/>
                <w:kern w:val="0"/>
                <w:sz w:val="21"/>
                <w:szCs w:val="21"/>
                <w:lang w:val="en-US" w:eastAsia="zh-CN" w:bidi="ar-SA"/>
              </w:rPr>
            </w:pPr>
            <w:r>
              <w:rPr>
                <w:rFonts w:hint="eastAsia" w:ascii="宋体" w:hAnsi="宋体" w:eastAsia="宋体" w:cs="Times New Roman"/>
                <w:color w:val="auto"/>
                <w:kern w:val="0"/>
                <w:sz w:val="21"/>
                <w:szCs w:val="21"/>
                <w:lang w:val="en-US" w:eastAsia="zh-CN" w:bidi="ar-SA"/>
              </w:rPr>
              <w:drawing>
                <wp:inline distT="0" distB="0" distL="114300" distR="114300">
                  <wp:extent cx="2543175" cy="3453130"/>
                  <wp:effectExtent l="0" t="0" r="9525" b="13970"/>
                  <wp:docPr id="38" name="图片 38" descr="双回路转角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双回路转角 拷贝"/>
                          <pic:cNvPicPr>
                            <a:picLocks noChangeAspect="1"/>
                          </pic:cNvPicPr>
                        </pic:nvPicPr>
                        <pic:blipFill>
                          <a:blip r:embed="rId66"/>
                          <a:stretch>
                            <a:fillRect/>
                          </a:stretch>
                        </pic:blipFill>
                        <pic:spPr>
                          <a:xfrm>
                            <a:off x="0" y="0"/>
                            <a:ext cx="2543175" cy="3453130"/>
                          </a:xfrm>
                          <a:prstGeom prst="rect">
                            <a:avLst/>
                          </a:prstGeom>
                        </pic:spPr>
                      </pic:pic>
                    </a:graphicData>
                  </a:graphic>
                </wp:inline>
              </w:drawing>
            </w:r>
          </w:p>
        </w:tc>
      </w:tr>
      <w:tr w14:paraId="73D7A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862" w:type="pct"/>
            <w:tcBorders>
              <w:tl2br w:val="nil"/>
              <w:tr2bl w:val="nil"/>
            </w:tcBorders>
            <w:noWrap w:val="0"/>
            <w:vAlign w:val="center"/>
          </w:tcPr>
          <w:p w14:paraId="5572F71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olor w:val="auto"/>
                <w:kern w:val="0"/>
                <w:sz w:val="21"/>
                <w:szCs w:val="21"/>
                <w:lang w:val="en-US" w:eastAsia="zh-CN"/>
              </w:rPr>
            </w:pPr>
            <w:r>
              <w:rPr>
                <w:rFonts w:hint="eastAsia" w:ascii="宋体" w:hAnsi="宋体"/>
                <w:color w:val="auto"/>
                <w:kern w:val="0"/>
                <w:sz w:val="21"/>
                <w:szCs w:val="21"/>
                <w:lang w:val="en-US" w:eastAsia="zh-CN"/>
              </w:rPr>
              <w:t>导线排列方式</w:t>
            </w:r>
          </w:p>
        </w:tc>
        <w:tc>
          <w:tcPr>
            <w:tcW w:w="1576" w:type="pct"/>
            <w:tcBorders>
              <w:tl2br w:val="nil"/>
              <w:tr2bl w:val="nil"/>
            </w:tcBorders>
            <w:noWrap w:val="0"/>
            <w:vAlign w:val="center"/>
          </w:tcPr>
          <w:p w14:paraId="7F712B7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s="Times New Roman"/>
                <w:color w:val="auto"/>
                <w:kern w:val="0"/>
                <w:sz w:val="21"/>
                <w:szCs w:val="21"/>
                <w:highlight w:val="none"/>
                <w:lang w:val="en-US" w:eastAsia="zh-CN"/>
              </w:rPr>
            </w:pPr>
            <w:r>
              <w:rPr>
                <w:rFonts w:hint="eastAsia" w:ascii="宋体" w:hAnsi="宋体" w:cs="Times New Roman"/>
                <w:color w:val="auto"/>
                <w:kern w:val="0"/>
                <w:sz w:val="21"/>
                <w:szCs w:val="21"/>
                <w:highlight w:val="none"/>
                <w:lang w:val="en-US" w:eastAsia="zh-CN"/>
              </w:rPr>
              <w:t>垂直</w:t>
            </w:r>
            <w:r>
              <w:rPr>
                <w:rFonts w:hint="eastAsia" w:ascii="宋体" w:hAnsi="宋体" w:eastAsia="宋体" w:cs="Times New Roman"/>
                <w:color w:val="auto"/>
                <w:kern w:val="0"/>
                <w:sz w:val="21"/>
                <w:szCs w:val="21"/>
                <w:highlight w:val="none"/>
                <w:lang w:val="en-US" w:eastAsia="zh-CN"/>
              </w:rPr>
              <w:t>排列</w:t>
            </w:r>
          </w:p>
        </w:tc>
        <w:tc>
          <w:tcPr>
            <w:tcW w:w="250" w:type="pct"/>
            <w:vMerge w:val="continue"/>
            <w:tcBorders>
              <w:tl2br w:val="nil"/>
              <w:tr2bl w:val="nil"/>
            </w:tcBorders>
            <w:noWrap w:val="0"/>
            <w:vAlign w:val="center"/>
          </w:tcPr>
          <w:p w14:paraId="4B4408EB">
            <w:pPr>
              <w:spacing w:line="276" w:lineRule="auto"/>
              <w:jc w:val="center"/>
              <w:rPr>
                <w:rFonts w:ascii="宋体" w:hAnsi="宋体"/>
                <w:color w:val="auto"/>
                <w:kern w:val="0"/>
                <w:sz w:val="21"/>
                <w:szCs w:val="21"/>
              </w:rPr>
            </w:pPr>
          </w:p>
        </w:tc>
        <w:tc>
          <w:tcPr>
            <w:tcW w:w="2309" w:type="pct"/>
            <w:gridSpan w:val="3"/>
            <w:vMerge w:val="continue"/>
            <w:tcBorders>
              <w:tl2br w:val="nil"/>
              <w:tr2bl w:val="nil"/>
            </w:tcBorders>
            <w:noWrap w:val="0"/>
            <w:vAlign w:val="center"/>
          </w:tcPr>
          <w:p w14:paraId="2A78A0AE">
            <w:pPr>
              <w:spacing w:line="276" w:lineRule="auto"/>
              <w:jc w:val="center"/>
              <w:rPr>
                <w:rFonts w:hint="eastAsia" w:ascii="宋体" w:hAnsi="宋体" w:eastAsia="宋体" w:cs="Times New Roman"/>
                <w:color w:val="auto"/>
                <w:kern w:val="0"/>
                <w:sz w:val="21"/>
                <w:szCs w:val="21"/>
                <w:lang w:val="en-US" w:eastAsia="zh-CN" w:bidi="ar-SA"/>
              </w:rPr>
            </w:pPr>
          </w:p>
        </w:tc>
      </w:tr>
      <w:tr w14:paraId="7E23A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862" w:type="pct"/>
            <w:tcBorders>
              <w:tl2br w:val="nil"/>
              <w:tr2bl w:val="nil"/>
            </w:tcBorders>
            <w:noWrap w:val="0"/>
            <w:vAlign w:val="center"/>
          </w:tcPr>
          <w:p w14:paraId="77BA53F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cs="Times New Roman"/>
                <w:color w:val="auto"/>
                <w:kern w:val="0"/>
                <w:sz w:val="21"/>
                <w:szCs w:val="21"/>
                <w:lang w:val="en-US" w:eastAsia="zh-CN"/>
              </w:rPr>
            </w:pPr>
            <w:r>
              <w:rPr>
                <w:rFonts w:hint="eastAsia" w:ascii="宋体" w:hAnsi="宋体" w:cs="Times New Roman"/>
                <w:color w:val="auto"/>
                <w:kern w:val="0"/>
                <w:sz w:val="21"/>
                <w:szCs w:val="21"/>
                <w:lang w:val="en-US" w:eastAsia="zh-CN"/>
              </w:rPr>
              <w:t>导线型号</w:t>
            </w:r>
          </w:p>
        </w:tc>
        <w:tc>
          <w:tcPr>
            <w:tcW w:w="1576" w:type="pct"/>
            <w:tcBorders>
              <w:tl2br w:val="nil"/>
              <w:tr2bl w:val="nil"/>
            </w:tcBorders>
            <w:noWrap w:val="0"/>
            <w:vAlign w:val="center"/>
          </w:tcPr>
          <w:p w14:paraId="79201ED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cs="Times New Roman"/>
                <w:color w:val="auto"/>
                <w:kern w:val="0"/>
                <w:sz w:val="21"/>
                <w:szCs w:val="21"/>
                <w:highlight w:val="none"/>
                <w:lang w:val="en-US" w:eastAsia="zh-CN"/>
              </w:rPr>
            </w:pPr>
            <w:r>
              <w:rPr>
                <w:rFonts w:hint="eastAsia" w:ascii="宋体" w:hAnsi="宋体" w:cs="Times New Roman"/>
                <w:color w:val="auto"/>
                <w:kern w:val="0"/>
                <w:sz w:val="21"/>
                <w:szCs w:val="21"/>
                <w:highlight w:val="none"/>
                <w:lang w:val="en-US" w:eastAsia="zh-CN"/>
              </w:rPr>
              <w:t>JL/G1A-240/40型钢芯铝绞线</w:t>
            </w:r>
          </w:p>
        </w:tc>
        <w:tc>
          <w:tcPr>
            <w:tcW w:w="250" w:type="pct"/>
            <w:vMerge w:val="continue"/>
            <w:tcBorders>
              <w:tl2br w:val="nil"/>
              <w:tr2bl w:val="nil"/>
            </w:tcBorders>
            <w:noWrap w:val="0"/>
            <w:vAlign w:val="center"/>
          </w:tcPr>
          <w:p w14:paraId="1D25123A">
            <w:pPr>
              <w:spacing w:line="276" w:lineRule="auto"/>
              <w:jc w:val="center"/>
              <w:rPr>
                <w:rFonts w:ascii="宋体" w:hAnsi="宋体"/>
                <w:color w:val="auto"/>
                <w:kern w:val="0"/>
                <w:sz w:val="21"/>
                <w:szCs w:val="21"/>
              </w:rPr>
            </w:pPr>
          </w:p>
        </w:tc>
        <w:tc>
          <w:tcPr>
            <w:tcW w:w="2309" w:type="pct"/>
            <w:gridSpan w:val="3"/>
            <w:vMerge w:val="continue"/>
            <w:tcBorders>
              <w:tl2br w:val="nil"/>
              <w:tr2bl w:val="nil"/>
            </w:tcBorders>
            <w:noWrap w:val="0"/>
            <w:vAlign w:val="center"/>
          </w:tcPr>
          <w:p w14:paraId="61A65520">
            <w:pPr>
              <w:spacing w:line="276" w:lineRule="auto"/>
              <w:jc w:val="center"/>
              <w:rPr>
                <w:rFonts w:ascii="宋体" w:hAnsi="宋体"/>
                <w:color w:val="auto"/>
                <w:kern w:val="0"/>
                <w:sz w:val="21"/>
                <w:szCs w:val="21"/>
              </w:rPr>
            </w:pPr>
          </w:p>
        </w:tc>
      </w:tr>
      <w:tr w14:paraId="7BB37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28" w:hRule="atLeast"/>
          <w:jc w:val="center"/>
        </w:trPr>
        <w:tc>
          <w:tcPr>
            <w:tcW w:w="862" w:type="pct"/>
            <w:tcBorders>
              <w:tl2br w:val="nil"/>
              <w:tr2bl w:val="nil"/>
            </w:tcBorders>
            <w:noWrap w:val="0"/>
            <w:vAlign w:val="center"/>
          </w:tcPr>
          <w:p w14:paraId="3ECAEFB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color w:val="auto"/>
                <w:kern w:val="0"/>
                <w:sz w:val="21"/>
                <w:szCs w:val="21"/>
                <w:highlight w:val="none"/>
              </w:rPr>
            </w:pPr>
            <w:r>
              <w:rPr>
                <w:rFonts w:ascii="宋体" w:hAnsi="宋体"/>
                <w:color w:val="auto"/>
                <w:kern w:val="0"/>
                <w:sz w:val="21"/>
                <w:szCs w:val="21"/>
                <w:highlight w:val="none"/>
              </w:rPr>
              <w:t>导线外径</w:t>
            </w:r>
          </w:p>
        </w:tc>
        <w:tc>
          <w:tcPr>
            <w:tcW w:w="1576" w:type="pct"/>
            <w:tcBorders>
              <w:tl2br w:val="nil"/>
              <w:tr2bl w:val="nil"/>
            </w:tcBorders>
            <w:noWrap w:val="0"/>
            <w:vAlign w:val="center"/>
          </w:tcPr>
          <w:p w14:paraId="651FE173">
            <w:pPr>
              <w:keepNext w:val="0"/>
              <w:keepLines w:val="0"/>
              <w:pageBreakBefore w:val="0"/>
              <w:kinsoku/>
              <w:wordWrap/>
              <w:overflowPunct/>
              <w:topLinePunct w:val="0"/>
              <w:autoSpaceDE/>
              <w:autoSpaceDN/>
              <w:bidi w:val="0"/>
              <w:adjustRightInd/>
              <w:snapToGrid/>
              <w:spacing w:line="300" w:lineRule="exact"/>
              <w:jc w:val="center"/>
              <w:textAlignment w:val="auto"/>
              <w:rPr>
                <w:rFonts w:ascii="宋体" w:hAnsi="宋体"/>
                <w:color w:val="auto"/>
                <w:kern w:val="0"/>
                <w:sz w:val="21"/>
                <w:szCs w:val="21"/>
                <w:highlight w:val="none"/>
              </w:rPr>
            </w:pPr>
            <w:r>
              <w:rPr>
                <w:rFonts w:hint="eastAsia" w:ascii="宋体" w:hAnsi="宋体"/>
                <w:color w:val="auto"/>
                <w:sz w:val="21"/>
                <w:szCs w:val="21"/>
                <w:highlight w:val="none"/>
                <w:lang w:val="en-US" w:eastAsia="zh-CN"/>
              </w:rPr>
              <w:t>21.7</w:t>
            </w:r>
            <w:r>
              <w:rPr>
                <w:rFonts w:ascii="宋体" w:hAnsi="宋体"/>
                <w:color w:val="auto"/>
                <w:sz w:val="21"/>
                <w:szCs w:val="21"/>
                <w:highlight w:val="none"/>
              </w:rPr>
              <w:t>mm</w:t>
            </w:r>
          </w:p>
        </w:tc>
        <w:tc>
          <w:tcPr>
            <w:tcW w:w="250" w:type="pct"/>
            <w:vMerge w:val="continue"/>
            <w:tcBorders>
              <w:tl2br w:val="nil"/>
              <w:tr2bl w:val="nil"/>
            </w:tcBorders>
            <w:noWrap w:val="0"/>
            <w:vAlign w:val="center"/>
          </w:tcPr>
          <w:p w14:paraId="40356DE0">
            <w:pPr>
              <w:spacing w:line="276" w:lineRule="auto"/>
              <w:ind w:firstLine="200"/>
              <w:jc w:val="center"/>
              <w:rPr>
                <w:rFonts w:ascii="宋体" w:hAnsi="宋体"/>
                <w:color w:val="auto"/>
                <w:kern w:val="0"/>
                <w:sz w:val="21"/>
                <w:szCs w:val="21"/>
              </w:rPr>
            </w:pPr>
          </w:p>
        </w:tc>
        <w:tc>
          <w:tcPr>
            <w:tcW w:w="2309" w:type="pct"/>
            <w:gridSpan w:val="3"/>
            <w:vMerge w:val="continue"/>
            <w:tcBorders>
              <w:tl2br w:val="nil"/>
              <w:tr2bl w:val="nil"/>
            </w:tcBorders>
            <w:noWrap w:val="0"/>
            <w:vAlign w:val="center"/>
          </w:tcPr>
          <w:p w14:paraId="1DFF804B">
            <w:pPr>
              <w:spacing w:line="276" w:lineRule="auto"/>
              <w:ind w:firstLine="200"/>
              <w:jc w:val="center"/>
              <w:rPr>
                <w:rFonts w:ascii="宋体" w:hAnsi="宋体"/>
                <w:color w:val="auto"/>
                <w:kern w:val="0"/>
                <w:sz w:val="21"/>
                <w:szCs w:val="21"/>
              </w:rPr>
            </w:pPr>
          </w:p>
        </w:tc>
      </w:tr>
      <w:tr w14:paraId="779D1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7" w:hRule="atLeast"/>
          <w:jc w:val="center"/>
        </w:trPr>
        <w:tc>
          <w:tcPr>
            <w:tcW w:w="862" w:type="pct"/>
            <w:tcBorders>
              <w:tl2br w:val="nil"/>
              <w:tr2bl w:val="nil"/>
            </w:tcBorders>
            <w:noWrap w:val="0"/>
            <w:vAlign w:val="center"/>
          </w:tcPr>
          <w:p w14:paraId="2CD5C1A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olor w:val="auto"/>
                <w:kern w:val="0"/>
                <w:sz w:val="21"/>
                <w:szCs w:val="21"/>
                <w:highlight w:val="none"/>
                <w:lang w:val="en-US" w:eastAsia="zh-CN"/>
              </w:rPr>
            </w:pPr>
            <w:r>
              <w:rPr>
                <w:rFonts w:hint="eastAsia" w:ascii="宋体" w:hAnsi="宋体"/>
                <w:color w:val="auto"/>
                <w:kern w:val="0"/>
                <w:sz w:val="21"/>
                <w:szCs w:val="21"/>
                <w:highlight w:val="none"/>
                <w:lang w:val="en-US" w:eastAsia="zh-CN"/>
              </w:rPr>
              <w:t>预测电压</w:t>
            </w:r>
          </w:p>
        </w:tc>
        <w:tc>
          <w:tcPr>
            <w:tcW w:w="1576" w:type="pct"/>
            <w:tcBorders>
              <w:tl2br w:val="nil"/>
              <w:tr2bl w:val="nil"/>
            </w:tcBorders>
            <w:noWrap w:val="0"/>
            <w:vAlign w:val="center"/>
          </w:tcPr>
          <w:p w14:paraId="650C55A5">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shd w:val="clear" w:color="auto" w:fill="auto"/>
                <w:lang w:val="en-US" w:eastAsia="zh-CN"/>
              </w:rPr>
              <w:t>115.5kV</w:t>
            </w:r>
          </w:p>
        </w:tc>
        <w:tc>
          <w:tcPr>
            <w:tcW w:w="250" w:type="pct"/>
            <w:vMerge w:val="continue"/>
            <w:tcBorders>
              <w:tl2br w:val="nil"/>
              <w:tr2bl w:val="nil"/>
            </w:tcBorders>
            <w:noWrap w:val="0"/>
            <w:vAlign w:val="center"/>
          </w:tcPr>
          <w:p w14:paraId="27B65E43">
            <w:pPr>
              <w:spacing w:line="276" w:lineRule="auto"/>
              <w:ind w:firstLine="200"/>
              <w:jc w:val="center"/>
              <w:rPr>
                <w:rFonts w:ascii="宋体" w:hAnsi="宋体"/>
                <w:color w:val="auto"/>
                <w:kern w:val="0"/>
                <w:sz w:val="21"/>
                <w:szCs w:val="21"/>
              </w:rPr>
            </w:pPr>
          </w:p>
        </w:tc>
        <w:tc>
          <w:tcPr>
            <w:tcW w:w="2309" w:type="pct"/>
            <w:gridSpan w:val="3"/>
            <w:vMerge w:val="continue"/>
            <w:tcBorders>
              <w:tl2br w:val="nil"/>
              <w:tr2bl w:val="nil"/>
            </w:tcBorders>
            <w:noWrap w:val="0"/>
            <w:vAlign w:val="center"/>
          </w:tcPr>
          <w:p w14:paraId="7092694C">
            <w:pPr>
              <w:spacing w:line="276" w:lineRule="auto"/>
              <w:ind w:firstLine="200"/>
              <w:jc w:val="center"/>
              <w:rPr>
                <w:rFonts w:ascii="宋体" w:hAnsi="宋体"/>
                <w:color w:val="auto"/>
                <w:kern w:val="0"/>
                <w:sz w:val="21"/>
                <w:szCs w:val="21"/>
              </w:rPr>
            </w:pPr>
          </w:p>
        </w:tc>
      </w:tr>
      <w:tr w14:paraId="6A637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65" w:hRule="atLeast"/>
          <w:jc w:val="center"/>
        </w:trPr>
        <w:tc>
          <w:tcPr>
            <w:tcW w:w="862" w:type="pct"/>
            <w:tcBorders>
              <w:tl2br w:val="nil"/>
              <w:tr2bl w:val="nil"/>
            </w:tcBorders>
            <w:noWrap w:val="0"/>
            <w:vAlign w:val="center"/>
          </w:tcPr>
          <w:p w14:paraId="2CCBEA8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olor w:val="auto"/>
                <w:kern w:val="0"/>
                <w:sz w:val="21"/>
                <w:szCs w:val="21"/>
                <w:highlight w:val="none"/>
                <w:lang w:val="en-US" w:eastAsia="zh-CN"/>
              </w:rPr>
            </w:pPr>
            <w:r>
              <w:rPr>
                <w:rFonts w:hint="eastAsia" w:ascii="宋体" w:hAnsi="宋体"/>
                <w:bCs/>
                <w:color w:val="auto"/>
                <w:sz w:val="21"/>
                <w:szCs w:val="21"/>
                <w:highlight w:val="none"/>
              </w:rPr>
              <w:t>地线型</w:t>
            </w:r>
            <w:r>
              <w:rPr>
                <w:rFonts w:hint="eastAsia" w:ascii="宋体" w:hAnsi="宋体"/>
                <w:bCs/>
                <w:color w:val="auto"/>
                <w:sz w:val="21"/>
                <w:szCs w:val="21"/>
                <w:highlight w:val="none"/>
                <w:lang w:val="en-US" w:eastAsia="zh-CN"/>
              </w:rPr>
              <w:t>号</w:t>
            </w:r>
          </w:p>
        </w:tc>
        <w:tc>
          <w:tcPr>
            <w:tcW w:w="1576" w:type="pct"/>
            <w:tcBorders>
              <w:tl2br w:val="nil"/>
              <w:tr2bl w:val="nil"/>
            </w:tcBorders>
            <w:noWrap w:val="0"/>
            <w:vAlign w:val="center"/>
          </w:tcPr>
          <w:p w14:paraId="1DE35BB6">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采用2</w:t>
            </w:r>
            <w:r>
              <w:rPr>
                <w:rFonts w:hint="default" w:ascii="宋体" w:hAnsi="宋体"/>
                <w:color w:val="auto"/>
                <w:sz w:val="21"/>
                <w:szCs w:val="21"/>
                <w:highlight w:val="none"/>
                <w:lang w:val="en-US" w:eastAsia="zh-CN"/>
              </w:rPr>
              <w:t>根24芯OPGW</w:t>
            </w:r>
            <w:r>
              <w:rPr>
                <w:rFonts w:hint="eastAsia" w:ascii="宋体" w:hAnsi="宋体"/>
                <w:color w:val="auto"/>
                <w:sz w:val="21"/>
                <w:szCs w:val="21"/>
                <w:highlight w:val="none"/>
                <w:lang w:val="en-US" w:eastAsia="zh-CN"/>
              </w:rPr>
              <w:t>光缆，外径按12.5mm考虑</w:t>
            </w:r>
          </w:p>
        </w:tc>
        <w:tc>
          <w:tcPr>
            <w:tcW w:w="250" w:type="pct"/>
            <w:vMerge w:val="continue"/>
            <w:tcBorders>
              <w:tl2br w:val="nil"/>
              <w:tr2bl w:val="nil"/>
            </w:tcBorders>
            <w:noWrap w:val="0"/>
            <w:vAlign w:val="center"/>
          </w:tcPr>
          <w:p w14:paraId="656E676A">
            <w:pPr>
              <w:spacing w:line="276" w:lineRule="auto"/>
              <w:ind w:firstLine="200"/>
              <w:jc w:val="center"/>
              <w:rPr>
                <w:rFonts w:ascii="宋体" w:hAnsi="宋体"/>
                <w:color w:val="auto"/>
                <w:kern w:val="0"/>
                <w:sz w:val="21"/>
                <w:szCs w:val="21"/>
              </w:rPr>
            </w:pPr>
          </w:p>
        </w:tc>
        <w:tc>
          <w:tcPr>
            <w:tcW w:w="2309" w:type="pct"/>
            <w:gridSpan w:val="3"/>
            <w:vMerge w:val="continue"/>
            <w:tcBorders>
              <w:tl2br w:val="nil"/>
              <w:tr2bl w:val="nil"/>
            </w:tcBorders>
            <w:noWrap w:val="0"/>
            <w:vAlign w:val="center"/>
          </w:tcPr>
          <w:p w14:paraId="22053468">
            <w:pPr>
              <w:spacing w:line="276" w:lineRule="auto"/>
              <w:ind w:firstLine="200"/>
              <w:jc w:val="center"/>
              <w:rPr>
                <w:rFonts w:ascii="宋体" w:hAnsi="宋体"/>
                <w:color w:val="auto"/>
                <w:kern w:val="0"/>
                <w:sz w:val="21"/>
                <w:szCs w:val="21"/>
              </w:rPr>
            </w:pPr>
          </w:p>
        </w:tc>
      </w:tr>
      <w:tr w14:paraId="508C7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5" w:hRule="atLeast"/>
          <w:jc w:val="center"/>
        </w:trPr>
        <w:tc>
          <w:tcPr>
            <w:tcW w:w="862" w:type="pct"/>
            <w:tcBorders>
              <w:tl2br w:val="nil"/>
              <w:tr2bl w:val="nil"/>
            </w:tcBorders>
            <w:noWrap w:val="0"/>
            <w:vAlign w:val="center"/>
          </w:tcPr>
          <w:p w14:paraId="6F30E68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default" w:ascii="宋体" w:hAnsi="宋体" w:eastAsia="宋体" w:cs="Calibri"/>
                <w:color w:val="auto"/>
                <w:kern w:val="0"/>
                <w:sz w:val="21"/>
                <w:szCs w:val="21"/>
                <w:highlight w:val="none"/>
                <w:lang w:val="en-US" w:eastAsia="zh-CN" w:bidi="ar-SA"/>
              </w:rPr>
            </w:pPr>
            <w:r>
              <w:rPr>
                <w:rFonts w:hint="eastAsia" w:ascii="宋体" w:hAnsi="宋体" w:cs="Calibri"/>
                <w:color w:val="auto"/>
                <w:kern w:val="0"/>
                <w:sz w:val="21"/>
                <w:szCs w:val="21"/>
                <w:highlight w:val="none"/>
                <w:lang w:val="en-US" w:eastAsia="zh-CN" w:bidi="ar-SA"/>
              </w:rPr>
              <w:t>极限输送容量</w:t>
            </w:r>
          </w:p>
        </w:tc>
        <w:tc>
          <w:tcPr>
            <w:tcW w:w="1576" w:type="pct"/>
            <w:tcBorders>
              <w:tl2br w:val="nil"/>
              <w:tr2bl w:val="nil"/>
            </w:tcBorders>
            <w:noWrap w:val="0"/>
            <w:vAlign w:val="center"/>
          </w:tcPr>
          <w:p w14:paraId="5DAC72D7">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宋体" w:hAnsi="宋体" w:cs="Calibri"/>
                <w:color w:val="auto"/>
                <w:kern w:val="2"/>
                <w:sz w:val="21"/>
                <w:szCs w:val="21"/>
                <w:highlight w:val="none"/>
                <w:lang w:val="en-US" w:eastAsia="zh-CN" w:bidi="ar-SA"/>
              </w:rPr>
            </w:pPr>
            <w:r>
              <w:rPr>
                <w:rFonts w:hint="eastAsia" w:ascii="宋体" w:hAnsi="宋体"/>
                <w:bCs/>
                <w:color w:val="auto"/>
                <w:sz w:val="21"/>
                <w:szCs w:val="21"/>
                <w:highlight w:val="none"/>
                <w:lang w:val="en-US" w:eastAsia="zh-CN"/>
              </w:rPr>
              <w:t>116MVA</w:t>
            </w:r>
          </w:p>
        </w:tc>
        <w:tc>
          <w:tcPr>
            <w:tcW w:w="250" w:type="pct"/>
            <w:vMerge w:val="continue"/>
            <w:tcBorders>
              <w:tl2br w:val="nil"/>
              <w:tr2bl w:val="nil"/>
            </w:tcBorders>
            <w:noWrap w:val="0"/>
            <w:vAlign w:val="center"/>
          </w:tcPr>
          <w:p w14:paraId="00220139">
            <w:pPr>
              <w:spacing w:line="276" w:lineRule="auto"/>
              <w:ind w:firstLine="200"/>
              <w:jc w:val="center"/>
              <w:rPr>
                <w:rFonts w:ascii="宋体" w:hAnsi="宋体"/>
                <w:color w:val="auto"/>
                <w:kern w:val="0"/>
                <w:sz w:val="21"/>
                <w:szCs w:val="21"/>
              </w:rPr>
            </w:pPr>
          </w:p>
        </w:tc>
        <w:tc>
          <w:tcPr>
            <w:tcW w:w="2309" w:type="pct"/>
            <w:gridSpan w:val="3"/>
            <w:vMerge w:val="continue"/>
            <w:tcBorders>
              <w:tl2br w:val="nil"/>
              <w:tr2bl w:val="nil"/>
            </w:tcBorders>
            <w:noWrap w:val="0"/>
            <w:vAlign w:val="center"/>
          </w:tcPr>
          <w:p w14:paraId="54E695B2">
            <w:pPr>
              <w:spacing w:line="276" w:lineRule="auto"/>
              <w:ind w:firstLine="200"/>
              <w:jc w:val="center"/>
              <w:rPr>
                <w:rFonts w:ascii="宋体" w:hAnsi="宋体"/>
                <w:color w:val="auto"/>
                <w:kern w:val="0"/>
                <w:sz w:val="21"/>
                <w:szCs w:val="21"/>
              </w:rPr>
            </w:pPr>
          </w:p>
        </w:tc>
      </w:tr>
      <w:tr w14:paraId="7C6E1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65" w:hRule="atLeast"/>
          <w:jc w:val="center"/>
        </w:trPr>
        <w:tc>
          <w:tcPr>
            <w:tcW w:w="862" w:type="pct"/>
            <w:tcBorders>
              <w:tl2br w:val="nil"/>
              <w:tr2bl w:val="nil"/>
            </w:tcBorders>
            <w:noWrap w:val="0"/>
            <w:vAlign w:val="center"/>
          </w:tcPr>
          <w:p w14:paraId="5C3642D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color w:val="auto"/>
                <w:kern w:val="0"/>
                <w:sz w:val="21"/>
                <w:szCs w:val="21"/>
                <w:highlight w:val="none"/>
              </w:rPr>
            </w:pPr>
            <w:r>
              <w:rPr>
                <w:rFonts w:hint="eastAsia" w:ascii="宋体" w:hAnsi="宋体"/>
                <w:color w:val="auto"/>
                <w:kern w:val="0"/>
                <w:sz w:val="21"/>
                <w:szCs w:val="21"/>
                <w:highlight w:val="none"/>
              </w:rPr>
              <w:t>导线垂直间距</w:t>
            </w:r>
          </w:p>
        </w:tc>
        <w:tc>
          <w:tcPr>
            <w:tcW w:w="1576" w:type="pct"/>
            <w:tcBorders>
              <w:tl2br w:val="nil"/>
              <w:tr2bl w:val="nil"/>
            </w:tcBorders>
            <w:noWrap w:val="0"/>
            <w:vAlign w:val="center"/>
          </w:tcPr>
          <w:p w14:paraId="2F750BF3">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宋体" w:hAnsi="宋体" w:eastAsia="宋体"/>
                <w:color w:val="auto"/>
                <w:kern w:val="0"/>
                <w:sz w:val="21"/>
                <w:szCs w:val="21"/>
                <w:highlight w:val="none"/>
                <w:lang w:val="en-US" w:eastAsia="zh-CN"/>
              </w:rPr>
            </w:pPr>
            <w:r>
              <w:rPr>
                <w:rFonts w:hint="eastAsia" w:ascii="宋体" w:hAnsi="宋体"/>
                <w:color w:val="auto"/>
                <w:kern w:val="0"/>
                <w:sz w:val="21"/>
                <w:szCs w:val="21"/>
                <w:highlight w:val="none"/>
              </w:rPr>
              <w:t>A相-B相</w:t>
            </w:r>
            <w:r>
              <w:rPr>
                <w:rFonts w:hint="eastAsia" w:ascii="宋体" w:hAnsi="宋体"/>
                <w:color w:val="auto"/>
                <w:kern w:val="0"/>
                <w:sz w:val="21"/>
                <w:szCs w:val="21"/>
                <w:highlight w:val="none"/>
                <w:lang w:eastAsia="zh-CN"/>
              </w:rPr>
              <w:t>（</w:t>
            </w:r>
            <w:r>
              <w:rPr>
                <w:rFonts w:hint="eastAsia" w:ascii="宋体" w:hAnsi="宋体"/>
                <w:color w:val="auto"/>
                <w:kern w:val="0"/>
                <w:sz w:val="21"/>
                <w:szCs w:val="21"/>
                <w:highlight w:val="none"/>
                <w:lang w:val="en-US" w:eastAsia="zh-CN"/>
              </w:rPr>
              <w:t>a-b）</w:t>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5.8</w:t>
            </w:r>
            <w:r>
              <w:rPr>
                <w:rFonts w:hint="eastAsia" w:ascii="宋体" w:hAnsi="宋体"/>
                <w:color w:val="auto"/>
                <w:kern w:val="0"/>
                <w:sz w:val="21"/>
                <w:szCs w:val="21"/>
                <w:highlight w:val="none"/>
              </w:rPr>
              <w:t>m</w:t>
            </w:r>
          </w:p>
          <w:p w14:paraId="342C6C0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color w:val="auto"/>
                <w:kern w:val="0"/>
                <w:sz w:val="21"/>
                <w:szCs w:val="21"/>
                <w:highlight w:val="none"/>
              </w:rPr>
            </w:pPr>
            <w:r>
              <w:rPr>
                <w:rFonts w:hint="eastAsia" w:ascii="宋体" w:hAnsi="宋体"/>
                <w:color w:val="auto"/>
                <w:kern w:val="0"/>
                <w:sz w:val="21"/>
                <w:szCs w:val="21"/>
                <w:highlight w:val="none"/>
              </w:rPr>
              <w:t>C相-B相</w:t>
            </w:r>
            <w:r>
              <w:rPr>
                <w:rFonts w:hint="eastAsia" w:ascii="宋体" w:hAnsi="宋体"/>
                <w:color w:val="auto"/>
                <w:kern w:val="0"/>
                <w:sz w:val="21"/>
                <w:szCs w:val="21"/>
                <w:highlight w:val="none"/>
                <w:lang w:eastAsia="zh-CN"/>
              </w:rPr>
              <w:t>（</w:t>
            </w:r>
            <w:r>
              <w:rPr>
                <w:rFonts w:hint="eastAsia" w:ascii="宋体" w:hAnsi="宋体"/>
                <w:color w:val="auto"/>
                <w:kern w:val="0"/>
                <w:sz w:val="21"/>
                <w:szCs w:val="21"/>
                <w:highlight w:val="none"/>
                <w:lang w:val="en-US" w:eastAsia="zh-CN"/>
              </w:rPr>
              <w:t>c-b）</w:t>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5.1</w:t>
            </w:r>
            <w:r>
              <w:rPr>
                <w:rFonts w:hint="eastAsia" w:ascii="宋体" w:hAnsi="宋体"/>
                <w:color w:val="auto"/>
                <w:kern w:val="0"/>
                <w:sz w:val="21"/>
                <w:szCs w:val="21"/>
                <w:highlight w:val="none"/>
              </w:rPr>
              <w:t>m</w:t>
            </w:r>
          </w:p>
          <w:p w14:paraId="1B6467FF">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color w:val="auto"/>
                <w:kern w:val="0"/>
                <w:sz w:val="21"/>
                <w:szCs w:val="21"/>
                <w:highlight w:val="none"/>
              </w:rPr>
            </w:pPr>
            <w:r>
              <w:rPr>
                <w:rFonts w:hint="eastAsia" w:ascii="宋体" w:hAnsi="宋体"/>
                <w:color w:val="auto"/>
                <w:kern w:val="0"/>
                <w:sz w:val="21"/>
                <w:szCs w:val="21"/>
                <w:highlight w:val="none"/>
              </w:rPr>
              <w:t>A相-C相</w:t>
            </w:r>
            <w:r>
              <w:rPr>
                <w:rFonts w:hint="eastAsia" w:ascii="宋体" w:hAnsi="宋体"/>
                <w:color w:val="auto"/>
                <w:kern w:val="0"/>
                <w:sz w:val="21"/>
                <w:szCs w:val="21"/>
                <w:highlight w:val="none"/>
                <w:lang w:eastAsia="zh-CN"/>
              </w:rPr>
              <w:t>（</w:t>
            </w:r>
            <w:r>
              <w:rPr>
                <w:rFonts w:hint="eastAsia" w:ascii="宋体" w:hAnsi="宋体"/>
                <w:color w:val="auto"/>
                <w:kern w:val="0"/>
                <w:sz w:val="21"/>
                <w:szCs w:val="21"/>
                <w:highlight w:val="none"/>
                <w:lang w:val="en-US" w:eastAsia="zh-CN"/>
              </w:rPr>
              <w:t>a-c）</w:t>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10.9</w:t>
            </w:r>
            <w:r>
              <w:rPr>
                <w:rFonts w:hint="eastAsia" w:ascii="宋体" w:hAnsi="宋体"/>
                <w:color w:val="auto"/>
                <w:kern w:val="0"/>
                <w:sz w:val="21"/>
                <w:szCs w:val="21"/>
                <w:highlight w:val="none"/>
              </w:rPr>
              <w:t>m</w:t>
            </w:r>
          </w:p>
        </w:tc>
        <w:tc>
          <w:tcPr>
            <w:tcW w:w="250" w:type="pct"/>
            <w:vMerge w:val="continue"/>
            <w:tcBorders>
              <w:tl2br w:val="nil"/>
              <w:tr2bl w:val="nil"/>
            </w:tcBorders>
            <w:noWrap w:val="0"/>
            <w:vAlign w:val="center"/>
          </w:tcPr>
          <w:p w14:paraId="34E3A1E6">
            <w:pPr>
              <w:spacing w:line="276" w:lineRule="auto"/>
              <w:ind w:firstLine="200"/>
              <w:jc w:val="center"/>
              <w:rPr>
                <w:rFonts w:ascii="宋体" w:hAnsi="宋体"/>
                <w:color w:val="auto"/>
                <w:kern w:val="0"/>
                <w:sz w:val="21"/>
                <w:szCs w:val="21"/>
              </w:rPr>
            </w:pPr>
          </w:p>
        </w:tc>
        <w:tc>
          <w:tcPr>
            <w:tcW w:w="2309" w:type="pct"/>
            <w:gridSpan w:val="3"/>
            <w:vMerge w:val="continue"/>
            <w:tcBorders>
              <w:tl2br w:val="nil"/>
              <w:tr2bl w:val="nil"/>
            </w:tcBorders>
            <w:noWrap w:val="0"/>
            <w:vAlign w:val="center"/>
          </w:tcPr>
          <w:p w14:paraId="357DCC1A">
            <w:pPr>
              <w:spacing w:line="276" w:lineRule="auto"/>
              <w:ind w:firstLine="200"/>
              <w:jc w:val="center"/>
              <w:rPr>
                <w:rFonts w:ascii="宋体" w:hAnsi="宋体"/>
                <w:color w:val="auto"/>
                <w:kern w:val="0"/>
                <w:sz w:val="21"/>
                <w:szCs w:val="21"/>
              </w:rPr>
            </w:pPr>
          </w:p>
        </w:tc>
      </w:tr>
      <w:tr w14:paraId="0C110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9" w:hRule="atLeast"/>
          <w:jc w:val="center"/>
        </w:trPr>
        <w:tc>
          <w:tcPr>
            <w:tcW w:w="862" w:type="pct"/>
            <w:tcBorders>
              <w:tl2br w:val="nil"/>
              <w:tr2bl w:val="nil"/>
            </w:tcBorders>
            <w:noWrap w:val="0"/>
            <w:vAlign w:val="center"/>
          </w:tcPr>
          <w:p w14:paraId="19D544D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color w:val="auto"/>
                <w:kern w:val="0"/>
                <w:sz w:val="21"/>
                <w:szCs w:val="21"/>
              </w:rPr>
            </w:pPr>
            <w:r>
              <w:rPr>
                <w:rFonts w:ascii="宋体" w:hAnsi="宋体"/>
                <w:color w:val="auto"/>
                <w:kern w:val="0"/>
                <w:sz w:val="21"/>
                <w:szCs w:val="21"/>
              </w:rPr>
              <w:t>相序</w:t>
            </w:r>
          </w:p>
        </w:tc>
        <w:tc>
          <w:tcPr>
            <w:tcW w:w="1576" w:type="pct"/>
            <w:tcBorders>
              <w:tl2br w:val="nil"/>
              <w:tr2bl w:val="nil"/>
            </w:tcBorders>
            <w:noWrap w:val="0"/>
            <w:vAlign w:val="center"/>
          </w:tcPr>
          <w:p w14:paraId="45E4611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olor w:val="auto"/>
                <w:kern w:val="0"/>
                <w:sz w:val="21"/>
                <w:szCs w:val="21"/>
                <w:highlight w:val="none"/>
                <w:lang w:eastAsia="zh-CN"/>
              </w:rPr>
            </w:pPr>
            <w:r>
              <w:rPr>
                <w:rFonts w:ascii="宋体" w:hAnsi="宋体"/>
                <w:color w:val="auto"/>
                <w:kern w:val="0"/>
                <w:sz w:val="21"/>
                <w:szCs w:val="21"/>
                <w:highlight w:val="none"/>
              </w:rPr>
              <w:t>A-B-C</w:t>
            </w:r>
            <w:r>
              <w:rPr>
                <w:rFonts w:hint="eastAsia" w:ascii="宋体" w:hAnsi="宋体"/>
                <w:color w:val="auto"/>
                <w:kern w:val="0"/>
                <w:sz w:val="21"/>
                <w:szCs w:val="21"/>
                <w:highlight w:val="none"/>
                <w:lang w:val="en-US" w:eastAsia="zh-CN"/>
              </w:rPr>
              <w:t>(a-b-c)</w:t>
            </w:r>
            <w:r>
              <w:rPr>
                <w:rFonts w:hint="eastAsia" w:ascii="宋体" w:hAnsi="宋体"/>
                <w:color w:val="auto"/>
                <w:kern w:val="0"/>
                <w:sz w:val="21"/>
                <w:szCs w:val="21"/>
                <w:highlight w:val="none"/>
                <w:lang w:eastAsia="zh-CN"/>
              </w:rPr>
              <w:t>(</w:t>
            </w:r>
            <w:r>
              <w:rPr>
                <w:rFonts w:hint="eastAsia" w:ascii="宋体" w:hAnsi="宋体"/>
                <w:color w:val="auto"/>
                <w:kern w:val="0"/>
                <w:sz w:val="21"/>
                <w:szCs w:val="21"/>
                <w:highlight w:val="none"/>
                <w:lang w:val="en-US" w:eastAsia="zh-CN"/>
              </w:rPr>
              <w:t>正相序</w:t>
            </w:r>
            <w:r>
              <w:rPr>
                <w:rFonts w:hint="eastAsia" w:ascii="宋体" w:hAnsi="宋体"/>
                <w:color w:val="auto"/>
                <w:kern w:val="0"/>
                <w:sz w:val="21"/>
                <w:szCs w:val="21"/>
                <w:highlight w:val="none"/>
                <w:lang w:eastAsia="zh-CN"/>
              </w:rPr>
              <w:t>)</w:t>
            </w:r>
          </w:p>
        </w:tc>
        <w:tc>
          <w:tcPr>
            <w:tcW w:w="250" w:type="pct"/>
            <w:vMerge w:val="continue"/>
            <w:tcBorders>
              <w:tl2br w:val="nil"/>
              <w:tr2bl w:val="nil"/>
            </w:tcBorders>
            <w:noWrap w:val="0"/>
            <w:vAlign w:val="center"/>
          </w:tcPr>
          <w:p w14:paraId="3D2CA00D">
            <w:pPr>
              <w:spacing w:line="276" w:lineRule="auto"/>
              <w:ind w:firstLine="200"/>
              <w:jc w:val="center"/>
              <w:rPr>
                <w:rFonts w:ascii="宋体" w:hAnsi="宋体"/>
                <w:color w:val="auto"/>
                <w:kern w:val="0"/>
                <w:sz w:val="21"/>
                <w:szCs w:val="21"/>
              </w:rPr>
            </w:pPr>
          </w:p>
        </w:tc>
        <w:tc>
          <w:tcPr>
            <w:tcW w:w="2309" w:type="pct"/>
            <w:gridSpan w:val="3"/>
            <w:vMerge w:val="continue"/>
            <w:tcBorders>
              <w:tl2br w:val="nil"/>
              <w:tr2bl w:val="nil"/>
            </w:tcBorders>
            <w:noWrap w:val="0"/>
            <w:vAlign w:val="center"/>
          </w:tcPr>
          <w:p w14:paraId="3DE033B2">
            <w:pPr>
              <w:spacing w:line="276" w:lineRule="auto"/>
              <w:ind w:firstLine="200"/>
              <w:jc w:val="center"/>
              <w:rPr>
                <w:rFonts w:ascii="宋体" w:hAnsi="宋体"/>
                <w:color w:val="auto"/>
                <w:kern w:val="0"/>
                <w:sz w:val="21"/>
                <w:szCs w:val="21"/>
              </w:rPr>
            </w:pPr>
          </w:p>
        </w:tc>
      </w:tr>
      <w:tr w14:paraId="67793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65" w:hRule="atLeast"/>
          <w:jc w:val="center"/>
        </w:trPr>
        <w:tc>
          <w:tcPr>
            <w:tcW w:w="862" w:type="pct"/>
            <w:tcBorders>
              <w:tl2br w:val="nil"/>
              <w:tr2bl w:val="nil"/>
            </w:tcBorders>
            <w:noWrap w:val="0"/>
            <w:vAlign w:val="center"/>
          </w:tcPr>
          <w:p w14:paraId="5584B18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color w:val="auto"/>
                <w:kern w:val="0"/>
                <w:sz w:val="21"/>
                <w:szCs w:val="21"/>
                <w:highlight w:val="none"/>
              </w:rPr>
            </w:pPr>
            <w:r>
              <w:rPr>
                <w:rFonts w:hint="eastAsia" w:ascii="宋体" w:hAnsi="宋体"/>
                <w:color w:val="auto"/>
                <w:kern w:val="0"/>
                <w:sz w:val="21"/>
                <w:szCs w:val="21"/>
                <w:highlight w:val="none"/>
              </w:rPr>
              <w:t>导线水平间距</w:t>
            </w:r>
          </w:p>
        </w:tc>
        <w:tc>
          <w:tcPr>
            <w:tcW w:w="1576" w:type="pct"/>
            <w:tcBorders>
              <w:tl2br w:val="nil"/>
              <w:tr2bl w:val="nil"/>
            </w:tcBorders>
            <w:noWrap w:val="0"/>
            <w:vAlign w:val="center"/>
          </w:tcPr>
          <w:p w14:paraId="6BF4FBFD">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宋体" w:hAnsi="宋体" w:eastAsia="宋体"/>
                <w:color w:val="auto"/>
                <w:kern w:val="0"/>
                <w:sz w:val="21"/>
                <w:szCs w:val="21"/>
                <w:highlight w:val="none"/>
                <w:lang w:val="en-US" w:eastAsia="zh-CN"/>
              </w:rPr>
            </w:pPr>
            <w:r>
              <w:rPr>
                <w:rFonts w:hint="eastAsia" w:ascii="宋体" w:hAnsi="宋体"/>
                <w:color w:val="auto"/>
                <w:kern w:val="0"/>
                <w:sz w:val="21"/>
                <w:szCs w:val="21"/>
                <w:highlight w:val="none"/>
              </w:rPr>
              <w:t>A相-B相</w:t>
            </w:r>
            <w:r>
              <w:rPr>
                <w:rFonts w:hint="eastAsia" w:ascii="宋体" w:hAnsi="宋体"/>
                <w:color w:val="auto"/>
                <w:kern w:val="0"/>
                <w:sz w:val="21"/>
                <w:szCs w:val="21"/>
                <w:highlight w:val="none"/>
                <w:lang w:val="en-US" w:eastAsia="zh-CN"/>
              </w:rPr>
              <w:t>(a-b)</w:t>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1.05m</w:t>
            </w:r>
          </w:p>
          <w:p w14:paraId="560D8069">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color w:val="auto"/>
                <w:kern w:val="0"/>
                <w:sz w:val="21"/>
                <w:szCs w:val="21"/>
                <w:highlight w:val="none"/>
              </w:rPr>
            </w:pPr>
            <w:r>
              <w:rPr>
                <w:rFonts w:hint="eastAsia" w:ascii="宋体" w:hAnsi="宋体"/>
                <w:color w:val="auto"/>
                <w:kern w:val="0"/>
                <w:sz w:val="21"/>
                <w:szCs w:val="21"/>
                <w:highlight w:val="none"/>
              </w:rPr>
              <w:t>C相-B相</w:t>
            </w:r>
            <w:r>
              <w:rPr>
                <w:rFonts w:hint="eastAsia" w:ascii="宋体" w:hAnsi="宋体"/>
                <w:color w:val="auto"/>
                <w:kern w:val="0"/>
                <w:sz w:val="21"/>
                <w:szCs w:val="21"/>
                <w:highlight w:val="none"/>
                <w:lang w:val="en-US" w:eastAsia="zh-CN"/>
              </w:rPr>
              <w:t>c-b）</w:t>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0.75</w:t>
            </w:r>
            <w:r>
              <w:rPr>
                <w:rFonts w:hint="eastAsia" w:ascii="宋体" w:hAnsi="宋体"/>
                <w:color w:val="auto"/>
                <w:kern w:val="0"/>
                <w:sz w:val="21"/>
                <w:szCs w:val="21"/>
                <w:highlight w:val="none"/>
              </w:rPr>
              <w:t>m</w:t>
            </w:r>
          </w:p>
          <w:p w14:paraId="0DC2192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宋体" w:hAnsi="宋体"/>
                <w:color w:val="auto"/>
                <w:kern w:val="0"/>
                <w:sz w:val="21"/>
                <w:szCs w:val="21"/>
                <w:highlight w:val="none"/>
              </w:rPr>
            </w:pPr>
            <w:r>
              <w:rPr>
                <w:rFonts w:hint="eastAsia" w:ascii="宋体" w:hAnsi="宋体"/>
                <w:color w:val="auto"/>
                <w:kern w:val="0"/>
                <w:sz w:val="21"/>
                <w:szCs w:val="21"/>
                <w:highlight w:val="none"/>
              </w:rPr>
              <w:t>A相-C相</w:t>
            </w:r>
            <w:r>
              <w:rPr>
                <w:rFonts w:hint="eastAsia" w:ascii="宋体" w:hAnsi="宋体"/>
                <w:color w:val="auto"/>
                <w:kern w:val="0"/>
                <w:sz w:val="21"/>
                <w:szCs w:val="21"/>
                <w:highlight w:val="none"/>
                <w:lang w:eastAsia="zh-CN"/>
              </w:rPr>
              <w:t>（</w:t>
            </w:r>
            <w:r>
              <w:rPr>
                <w:rFonts w:hint="eastAsia" w:ascii="宋体" w:hAnsi="宋体"/>
                <w:color w:val="auto"/>
                <w:kern w:val="0"/>
                <w:sz w:val="21"/>
                <w:szCs w:val="21"/>
                <w:highlight w:val="none"/>
                <w:lang w:val="en-US" w:eastAsia="zh-CN"/>
              </w:rPr>
              <w:t>a-c）</w:t>
            </w:r>
            <w:r>
              <w:rPr>
                <w:rFonts w:hint="eastAsia" w:ascii="宋体" w:hAnsi="宋体"/>
                <w:color w:val="auto"/>
                <w:kern w:val="0"/>
                <w:sz w:val="21"/>
                <w:szCs w:val="21"/>
                <w:highlight w:val="none"/>
              </w:rPr>
              <w:t>：</w:t>
            </w:r>
            <w:r>
              <w:rPr>
                <w:rFonts w:hint="eastAsia" w:ascii="宋体" w:hAnsi="宋体"/>
                <w:color w:val="auto"/>
                <w:kern w:val="0"/>
                <w:sz w:val="21"/>
                <w:szCs w:val="21"/>
                <w:highlight w:val="none"/>
                <w:lang w:val="en-US" w:eastAsia="zh-CN"/>
              </w:rPr>
              <w:t>0.3</w:t>
            </w:r>
            <w:r>
              <w:rPr>
                <w:rFonts w:hint="eastAsia" w:ascii="宋体" w:hAnsi="宋体"/>
                <w:color w:val="auto"/>
                <w:kern w:val="0"/>
                <w:sz w:val="21"/>
                <w:szCs w:val="21"/>
                <w:highlight w:val="none"/>
              </w:rPr>
              <w:t>m</w:t>
            </w:r>
          </w:p>
        </w:tc>
        <w:tc>
          <w:tcPr>
            <w:tcW w:w="250" w:type="pct"/>
            <w:vMerge w:val="continue"/>
            <w:tcBorders>
              <w:tl2br w:val="nil"/>
              <w:tr2bl w:val="nil"/>
            </w:tcBorders>
            <w:noWrap w:val="0"/>
            <w:vAlign w:val="center"/>
          </w:tcPr>
          <w:p w14:paraId="6B5C40F8">
            <w:pPr>
              <w:spacing w:line="276" w:lineRule="auto"/>
              <w:ind w:firstLine="200"/>
              <w:jc w:val="center"/>
              <w:rPr>
                <w:rFonts w:ascii="宋体" w:hAnsi="宋体"/>
                <w:color w:val="auto"/>
                <w:kern w:val="0"/>
                <w:sz w:val="21"/>
                <w:szCs w:val="21"/>
              </w:rPr>
            </w:pPr>
          </w:p>
        </w:tc>
        <w:tc>
          <w:tcPr>
            <w:tcW w:w="2309" w:type="pct"/>
            <w:gridSpan w:val="3"/>
            <w:vMerge w:val="continue"/>
            <w:tcBorders>
              <w:tl2br w:val="nil"/>
              <w:tr2bl w:val="nil"/>
            </w:tcBorders>
            <w:noWrap w:val="0"/>
            <w:vAlign w:val="center"/>
          </w:tcPr>
          <w:p w14:paraId="30691B3B">
            <w:pPr>
              <w:spacing w:line="276" w:lineRule="auto"/>
              <w:ind w:firstLine="200"/>
              <w:jc w:val="center"/>
              <w:rPr>
                <w:rFonts w:ascii="宋体" w:hAnsi="宋体"/>
                <w:color w:val="auto"/>
                <w:kern w:val="0"/>
                <w:sz w:val="21"/>
                <w:szCs w:val="21"/>
              </w:rPr>
            </w:pPr>
          </w:p>
        </w:tc>
      </w:tr>
      <w:tr w14:paraId="6DAAD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65" w:hRule="atLeast"/>
          <w:jc w:val="center"/>
        </w:trPr>
        <w:tc>
          <w:tcPr>
            <w:tcW w:w="862" w:type="pct"/>
            <w:tcBorders>
              <w:tl2br w:val="nil"/>
              <w:tr2bl w:val="nil"/>
            </w:tcBorders>
            <w:noWrap w:val="0"/>
            <w:vAlign w:val="center"/>
          </w:tcPr>
          <w:p w14:paraId="2CA3AB7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olor w:val="auto"/>
                <w:kern w:val="0"/>
                <w:sz w:val="21"/>
                <w:szCs w:val="21"/>
                <w:highlight w:val="none"/>
                <w:lang w:val="en-US" w:eastAsia="zh-CN" w:bidi="ar-SA"/>
              </w:rPr>
            </w:pPr>
            <w:r>
              <w:rPr>
                <w:rFonts w:hint="eastAsia" w:ascii="宋体" w:hAnsi="宋体"/>
                <w:color w:val="auto"/>
                <w:kern w:val="0"/>
                <w:sz w:val="21"/>
                <w:szCs w:val="21"/>
                <w:highlight w:val="none"/>
                <w:lang w:val="en-US" w:eastAsia="zh-CN"/>
              </w:rPr>
              <w:t>地线水平间距</w:t>
            </w:r>
          </w:p>
        </w:tc>
        <w:tc>
          <w:tcPr>
            <w:tcW w:w="1576" w:type="pct"/>
            <w:tcBorders>
              <w:tl2br w:val="nil"/>
              <w:tr2bl w:val="nil"/>
            </w:tcBorders>
            <w:noWrap w:val="0"/>
            <w:vAlign w:val="center"/>
          </w:tcPr>
          <w:p w14:paraId="16F6248D">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color w:val="auto"/>
                <w:kern w:val="0"/>
                <w:sz w:val="21"/>
                <w:szCs w:val="21"/>
                <w:highlight w:val="none"/>
                <w:lang w:val="en-US" w:eastAsia="zh-CN"/>
              </w:rPr>
            </w:pPr>
            <w:r>
              <w:rPr>
                <w:rFonts w:hint="eastAsia" w:ascii="宋体" w:hAnsi="宋体"/>
                <w:color w:val="auto"/>
                <w:kern w:val="0"/>
                <w:sz w:val="21"/>
                <w:szCs w:val="21"/>
                <w:highlight w:val="none"/>
                <w:lang w:val="en-US" w:eastAsia="zh-CN"/>
              </w:rPr>
              <w:t>D1-(0,0):4.45</w:t>
            </w:r>
          </w:p>
          <w:p w14:paraId="55B92910">
            <w:pPr>
              <w:pStyle w:val="13"/>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Courier New" w:eastAsia="仿宋_GB2312"/>
                <w:color w:val="auto"/>
                <w:kern w:val="2"/>
                <w:sz w:val="21"/>
                <w:szCs w:val="21"/>
                <w:highlight w:val="none"/>
                <w:lang w:val="en-US" w:eastAsia="zh-CN" w:bidi="ar-SA"/>
              </w:rPr>
            </w:pPr>
            <w:r>
              <w:rPr>
                <w:rFonts w:hint="eastAsia" w:ascii="宋体" w:hAnsi="宋体"/>
                <w:color w:val="auto"/>
                <w:kern w:val="0"/>
                <w:sz w:val="21"/>
                <w:szCs w:val="21"/>
                <w:highlight w:val="none"/>
                <w:lang w:val="en-US" w:eastAsia="zh-CN"/>
              </w:rPr>
              <w:t>D2-(0,0)</w:t>
            </w:r>
            <w:r>
              <w:rPr>
                <w:rFonts w:hint="eastAsia" w:hAnsi="宋体"/>
                <w:color w:val="auto"/>
                <w:kern w:val="0"/>
                <w:sz w:val="21"/>
                <w:szCs w:val="21"/>
                <w:highlight w:val="none"/>
                <w:lang w:val="en-US" w:eastAsia="zh-CN"/>
              </w:rPr>
              <w:t>:3.45</w:t>
            </w:r>
          </w:p>
        </w:tc>
        <w:tc>
          <w:tcPr>
            <w:tcW w:w="250" w:type="pct"/>
            <w:vMerge w:val="continue"/>
            <w:tcBorders>
              <w:tl2br w:val="nil"/>
              <w:tr2bl w:val="nil"/>
            </w:tcBorders>
            <w:noWrap w:val="0"/>
            <w:vAlign w:val="center"/>
          </w:tcPr>
          <w:p w14:paraId="0B3B7B08">
            <w:pPr>
              <w:spacing w:line="276" w:lineRule="auto"/>
              <w:ind w:firstLine="200"/>
              <w:jc w:val="center"/>
              <w:rPr>
                <w:rFonts w:ascii="宋体" w:hAnsi="宋体"/>
                <w:color w:val="auto"/>
                <w:kern w:val="0"/>
                <w:sz w:val="21"/>
                <w:szCs w:val="21"/>
              </w:rPr>
            </w:pPr>
          </w:p>
        </w:tc>
        <w:tc>
          <w:tcPr>
            <w:tcW w:w="2309" w:type="pct"/>
            <w:gridSpan w:val="3"/>
            <w:vMerge w:val="continue"/>
            <w:tcBorders>
              <w:tl2br w:val="nil"/>
              <w:tr2bl w:val="nil"/>
            </w:tcBorders>
            <w:noWrap w:val="0"/>
            <w:vAlign w:val="center"/>
          </w:tcPr>
          <w:p w14:paraId="44143556">
            <w:pPr>
              <w:spacing w:line="276" w:lineRule="auto"/>
              <w:ind w:firstLine="200"/>
              <w:jc w:val="center"/>
              <w:rPr>
                <w:rFonts w:ascii="宋体" w:hAnsi="宋体"/>
                <w:color w:val="auto"/>
                <w:kern w:val="0"/>
                <w:sz w:val="21"/>
                <w:szCs w:val="21"/>
              </w:rPr>
            </w:pPr>
          </w:p>
        </w:tc>
      </w:tr>
      <w:tr w14:paraId="58CDB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6" w:hRule="atLeast"/>
          <w:jc w:val="center"/>
        </w:trPr>
        <w:tc>
          <w:tcPr>
            <w:tcW w:w="862" w:type="pct"/>
            <w:tcBorders>
              <w:tl2br w:val="nil"/>
              <w:tr2bl w:val="nil"/>
            </w:tcBorders>
            <w:noWrap w:val="0"/>
            <w:vAlign w:val="center"/>
          </w:tcPr>
          <w:p w14:paraId="20ECD0F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宋体" w:hAnsi="宋体" w:eastAsia="宋体"/>
                <w:color w:val="auto"/>
                <w:kern w:val="0"/>
                <w:sz w:val="21"/>
                <w:szCs w:val="21"/>
                <w:lang w:val="en-US" w:eastAsia="zh-CN" w:bidi="ar-SA"/>
              </w:rPr>
            </w:pPr>
            <w:r>
              <w:rPr>
                <w:rFonts w:hint="eastAsia" w:ascii="宋体" w:hAnsi="宋体"/>
                <w:color w:val="auto"/>
                <w:kern w:val="0"/>
                <w:sz w:val="21"/>
                <w:szCs w:val="21"/>
              </w:rPr>
              <w:t>导线</w:t>
            </w:r>
            <w:r>
              <w:rPr>
                <w:rFonts w:hint="eastAsia" w:ascii="宋体" w:hAnsi="宋体"/>
                <w:color w:val="auto"/>
                <w:kern w:val="0"/>
                <w:sz w:val="21"/>
                <w:szCs w:val="21"/>
                <w:lang w:eastAsia="zh-CN"/>
              </w:rPr>
              <w:t>－</w:t>
            </w:r>
            <w:r>
              <w:rPr>
                <w:rFonts w:hint="eastAsia" w:ascii="宋体" w:hAnsi="宋体"/>
                <w:color w:val="auto"/>
                <w:kern w:val="0"/>
                <w:sz w:val="21"/>
                <w:szCs w:val="21"/>
              </w:rPr>
              <w:t>地线垂直间距</w:t>
            </w:r>
          </w:p>
        </w:tc>
        <w:tc>
          <w:tcPr>
            <w:tcW w:w="1576" w:type="pct"/>
            <w:tcBorders>
              <w:tl2br w:val="nil"/>
              <w:tr2bl w:val="nil"/>
            </w:tcBorders>
            <w:noWrap w:val="0"/>
            <w:vAlign w:val="center"/>
          </w:tcPr>
          <w:p w14:paraId="0A3C661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olor w:val="auto"/>
                <w:kern w:val="0"/>
                <w:sz w:val="21"/>
                <w:szCs w:val="21"/>
                <w:highlight w:val="none"/>
                <w:lang w:val="en-US" w:eastAsia="zh-CN" w:bidi="ar-SA"/>
              </w:rPr>
            </w:pPr>
            <w:r>
              <w:rPr>
                <w:rFonts w:hint="eastAsia" w:ascii="宋体" w:hAnsi="宋体"/>
                <w:color w:val="auto"/>
                <w:kern w:val="0"/>
                <w:sz w:val="21"/>
                <w:szCs w:val="21"/>
                <w:highlight w:val="none"/>
                <w:lang w:val="en-US" w:eastAsia="zh-CN"/>
              </w:rPr>
              <w:t>6.1</w:t>
            </w:r>
            <w:r>
              <w:rPr>
                <w:rFonts w:hint="eastAsia" w:ascii="宋体" w:hAnsi="宋体"/>
                <w:color w:val="auto"/>
                <w:kern w:val="0"/>
                <w:sz w:val="21"/>
                <w:szCs w:val="21"/>
                <w:highlight w:val="none"/>
              </w:rPr>
              <w:t>m</w:t>
            </w:r>
            <w:r>
              <w:rPr>
                <w:rFonts w:hint="eastAsia" w:ascii="宋体" w:hAnsi="宋体"/>
                <w:color w:val="auto"/>
                <w:kern w:val="0"/>
                <w:sz w:val="21"/>
                <w:szCs w:val="21"/>
                <w:highlight w:val="none"/>
                <w:lang w:eastAsia="zh-CN"/>
              </w:rPr>
              <w:t>(</w:t>
            </w:r>
            <w:r>
              <w:rPr>
                <w:rFonts w:hint="eastAsia" w:ascii="宋体" w:hAnsi="宋体"/>
                <w:color w:val="auto"/>
                <w:kern w:val="0"/>
                <w:sz w:val="21"/>
                <w:szCs w:val="21"/>
                <w:highlight w:val="none"/>
                <w:lang w:val="en-US" w:eastAsia="zh-CN"/>
              </w:rPr>
              <w:t>A相距离地线距离，耐张塔不考虑绝缘子串高度）</w:t>
            </w:r>
          </w:p>
        </w:tc>
        <w:tc>
          <w:tcPr>
            <w:tcW w:w="250" w:type="pct"/>
            <w:vMerge w:val="continue"/>
            <w:tcBorders>
              <w:tl2br w:val="nil"/>
              <w:tr2bl w:val="nil"/>
            </w:tcBorders>
            <w:noWrap w:val="0"/>
            <w:vAlign w:val="center"/>
          </w:tcPr>
          <w:p w14:paraId="46D4457B">
            <w:pPr>
              <w:spacing w:line="276" w:lineRule="auto"/>
              <w:ind w:firstLine="200"/>
              <w:jc w:val="center"/>
              <w:rPr>
                <w:rFonts w:ascii="宋体" w:hAnsi="宋体"/>
                <w:color w:val="auto"/>
                <w:kern w:val="0"/>
                <w:sz w:val="21"/>
                <w:szCs w:val="21"/>
              </w:rPr>
            </w:pPr>
          </w:p>
        </w:tc>
        <w:tc>
          <w:tcPr>
            <w:tcW w:w="2309" w:type="pct"/>
            <w:gridSpan w:val="3"/>
            <w:vMerge w:val="continue"/>
            <w:tcBorders>
              <w:tl2br w:val="nil"/>
              <w:tr2bl w:val="nil"/>
            </w:tcBorders>
            <w:noWrap w:val="0"/>
            <w:vAlign w:val="center"/>
          </w:tcPr>
          <w:p w14:paraId="1DD04295">
            <w:pPr>
              <w:spacing w:line="276" w:lineRule="auto"/>
              <w:ind w:firstLine="200"/>
              <w:jc w:val="center"/>
              <w:rPr>
                <w:rFonts w:ascii="宋体" w:hAnsi="宋体"/>
                <w:color w:val="auto"/>
                <w:kern w:val="0"/>
                <w:sz w:val="21"/>
                <w:szCs w:val="21"/>
              </w:rPr>
            </w:pPr>
          </w:p>
        </w:tc>
      </w:tr>
    </w:tbl>
    <w:p w14:paraId="12A14C45">
      <w:pPr>
        <w:keepNext w:val="0"/>
        <w:keepLines w:val="0"/>
        <w:pageBreakBefore w:val="0"/>
        <w:widowControl w:val="0"/>
        <w:kinsoku/>
        <w:wordWrap/>
        <w:overflowPunct/>
        <w:topLinePunct w:val="0"/>
        <w:autoSpaceDE/>
        <w:autoSpaceDN/>
        <w:bidi w:val="0"/>
        <w:adjustRightInd/>
        <w:snapToGrid w:val="0"/>
        <w:spacing w:line="480" w:lineRule="exact"/>
        <w:textAlignment w:val="baseline"/>
        <w:outlineLvl w:val="2"/>
        <w:rPr>
          <w:rFonts w:hint="default" w:ascii="Calibri" w:hAnsi="Calibri" w:eastAsia="宋体" w:cs="Calibri"/>
          <w:b/>
          <w:color w:val="auto"/>
          <w:kern w:val="15"/>
          <w:sz w:val="24"/>
        </w:rPr>
      </w:pPr>
      <w:bookmarkStart w:id="124" w:name="_Toc29909"/>
      <w:r>
        <w:rPr>
          <w:rFonts w:hint="default" w:ascii="Calibri" w:hAnsi="Calibri" w:eastAsia="宋体" w:cs="Calibri"/>
          <w:b/>
          <w:color w:val="auto"/>
          <w:kern w:val="15"/>
          <w:sz w:val="24"/>
        </w:rPr>
        <w:t>3.</w:t>
      </w:r>
      <w:r>
        <w:rPr>
          <w:rFonts w:hint="default" w:ascii="Calibri" w:hAnsi="Calibri" w:eastAsia="宋体" w:cs="Calibri"/>
          <w:b/>
          <w:color w:val="auto"/>
          <w:kern w:val="15"/>
          <w:sz w:val="24"/>
          <w:lang w:val="en-US" w:eastAsia="zh-CN"/>
        </w:rPr>
        <w:t>2</w:t>
      </w:r>
      <w:r>
        <w:rPr>
          <w:rFonts w:hint="default" w:ascii="Calibri" w:hAnsi="Calibri" w:eastAsia="宋体" w:cs="Calibri"/>
          <w:b/>
          <w:color w:val="auto"/>
          <w:kern w:val="15"/>
          <w:sz w:val="24"/>
        </w:rPr>
        <w:t>.3</w:t>
      </w:r>
      <w:r>
        <w:rPr>
          <w:rFonts w:hint="default" w:ascii="Calibri" w:hAnsi="Calibri" w:eastAsia="宋体" w:cs="Calibri"/>
          <w:b/>
          <w:color w:val="auto"/>
          <w:kern w:val="15"/>
          <w:sz w:val="24"/>
          <w:lang w:val="en-US" w:eastAsia="zh-CN"/>
        </w:rPr>
        <w:t>输电</w:t>
      </w:r>
      <w:r>
        <w:rPr>
          <w:rFonts w:hint="default" w:ascii="Calibri" w:hAnsi="Calibri" w:eastAsia="宋体" w:cs="Calibri"/>
          <w:b/>
          <w:color w:val="auto"/>
          <w:kern w:val="15"/>
          <w:sz w:val="24"/>
        </w:rPr>
        <w:t>线路工频电场、</w:t>
      </w:r>
      <w:r>
        <w:rPr>
          <w:rFonts w:hint="default" w:ascii="Calibri" w:hAnsi="Calibri" w:eastAsia="宋体" w:cs="Calibri"/>
          <w:b/>
          <w:color w:val="auto"/>
          <w:kern w:val="15"/>
          <w:sz w:val="24"/>
          <w:lang w:val="en-US" w:eastAsia="zh-CN"/>
        </w:rPr>
        <w:t>工频磁场</w:t>
      </w:r>
      <w:r>
        <w:rPr>
          <w:rFonts w:hint="default" w:ascii="Calibri" w:hAnsi="Calibri" w:eastAsia="宋体" w:cs="Calibri"/>
          <w:b/>
          <w:color w:val="auto"/>
          <w:kern w:val="15"/>
          <w:sz w:val="24"/>
        </w:rPr>
        <w:t>预测</w:t>
      </w:r>
      <w:bookmarkEnd w:id="124"/>
    </w:p>
    <w:p w14:paraId="59488312">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jc w:val="both"/>
        <w:textAlignment w:val="baseline"/>
        <w:outlineLvl w:val="9"/>
        <w:rPr>
          <w:rFonts w:hint="default" w:ascii="Calibri" w:hAnsi="Calibri" w:eastAsia="宋体" w:cs="Calibri"/>
          <w:color w:val="auto"/>
          <w:sz w:val="24"/>
          <w:highlight w:val="none"/>
        </w:rPr>
      </w:pPr>
      <w:r>
        <w:rPr>
          <w:rFonts w:hint="default" w:ascii="Calibri" w:hAnsi="Calibri" w:eastAsia="宋体" w:cs="Calibri"/>
          <w:color w:val="auto"/>
          <w:sz w:val="24"/>
          <w:highlight w:val="none"/>
        </w:rPr>
        <w:t>根据《110kV～750kV架空输电线路设计规范》</w:t>
      </w:r>
      <w:r>
        <w:rPr>
          <w:rFonts w:hint="eastAsia" w:ascii="Calibri" w:hAnsi="Calibri" w:cs="Calibri"/>
          <w:color w:val="auto"/>
          <w:sz w:val="24"/>
          <w:highlight w:val="none"/>
          <w:lang w:eastAsia="zh-CN"/>
        </w:rPr>
        <w:t>（</w:t>
      </w:r>
      <w:r>
        <w:rPr>
          <w:rFonts w:hint="default" w:ascii="Calibri" w:hAnsi="Calibri" w:eastAsia="宋体" w:cs="Calibri"/>
          <w:color w:val="auto"/>
          <w:sz w:val="24"/>
          <w:highlight w:val="none"/>
        </w:rPr>
        <w:t>GB50545-2010</w:t>
      </w:r>
      <w:r>
        <w:rPr>
          <w:rFonts w:hint="eastAsia" w:ascii="Calibri" w:hAnsi="Calibri" w:cs="Calibri"/>
          <w:color w:val="auto"/>
          <w:sz w:val="24"/>
          <w:highlight w:val="none"/>
          <w:lang w:eastAsia="zh-CN"/>
        </w:rPr>
        <w:t>）</w:t>
      </w:r>
      <w:r>
        <w:rPr>
          <w:rFonts w:hint="default" w:ascii="Calibri" w:hAnsi="Calibri" w:eastAsia="宋体" w:cs="Calibri"/>
          <w:color w:val="auto"/>
          <w:sz w:val="24"/>
          <w:highlight w:val="none"/>
        </w:rPr>
        <w:t>中，110kV架空线路要求导线对地面最小距离居民区</w:t>
      </w:r>
      <w:r>
        <w:rPr>
          <w:rFonts w:hint="eastAsia" w:ascii="Calibri" w:hAnsi="Calibri" w:cs="Calibri"/>
          <w:color w:val="auto"/>
          <w:sz w:val="24"/>
          <w:highlight w:val="none"/>
          <w:lang w:eastAsia="zh-CN"/>
        </w:rPr>
        <w:t>（</w:t>
      </w:r>
      <w:r>
        <w:rPr>
          <w:rFonts w:hint="default" w:ascii="Calibri" w:hAnsi="Calibri" w:eastAsia="宋体" w:cs="Calibri"/>
          <w:color w:val="auto"/>
          <w:sz w:val="24"/>
          <w:highlight w:val="none"/>
        </w:rPr>
        <w:t>7.0m</w:t>
      </w:r>
      <w:r>
        <w:rPr>
          <w:rFonts w:hint="eastAsia" w:ascii="Calibri" w:hAnsi="Calibri" w:cs="Calibri"/>
          <w:color w:val="auto"/>
          <w:sz w:val="24"/>
          <w:highlight w:val="none"/>
          <w:lang w:eastAsia="zh-CN"/>
        </w:rPr>
        <w:t>）</w:t>
      </w:r>
      <w:r>
        <w:rPr>
          <w:rFonts w:hint="default" w:ascii="Calibri" w:hAnsi="Calibri" w:eastAsia="宋体" w:cs="Calibri"/>
          <w:color w:val="auto"/>
          <w:sz w:val="24"/>
          <w:highlight w:val="none"/>
        </w:rPr>
        <w:t>和非居民区</w:t>
      </w:r>
      <w:r>
        <w:rPr>
          <w:rFonts w:hint="eastAsia" w:ascii="Calibri" w:hAnsi="Calibri" w:cs="Calibri"/>
          <w:color w:val="auto"/>
          <w:sz w:val="24"/>
          <w:highlight w:val="none"/>
          <w:lang w:eastAsia="zh-CN"/>
        </w:rPr>
        <w:t>（</w:t>
      </w:r>
      <w:r>
        <w:rPr>
          <w:rFonts w:hint="default" w:ascii="Calibri" w:hAnsi="Calibri" w:eastAsia="宋体" w:cs="Calibri"/>
          <w:color w:val="auto"/>
          <w:sz w:val="24"/>
          <w:highlight w:val="none"/>
        </w:rPr>
        <w:t>6.0m</w:t>
      </w:r>
      <w:r>
        <w:rPr>
          <w:rFonts w:hint="eastAsia" w:ascii="Calibri" w:hAnsi="Calibri" w:cs="Calibri"/>
          <w:color w:val="auto"/>
          <w:sz w:val="24"/>
          <w:highlight w:val="none"/>
          <w:lang w:eastAsia="zh-CN"/>
        </w:rPr>
        <w:t>）</w:t>
      </w:r>
      <w:r>
        <w:rPr>
          <w:rFonts w:hint="default" w:ascii="Calibri" w:hAnsi="Calibri" w:eastAsia="宋体" w:cs="Calibri"/>
          <w:color w:val="auto"/>
          <w:sz w:val="24"/>
          <w:highlight w:val="none"/>
        </w:rPr>
        <w:t>，故本次预测导线对地高度为6.0m、7.0m时，地面上1.5m高度处的工频电场强度和工频磁感应强度。</w:t>
      </w:r>
    </w:p>
    <w:p w14:paraId="70BDD909">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jc w:val="both"/>
        <w:textAlignment w:val="baseline"/>
        <w:outlineLvl w:val="9"/>
        <w:rPr>
          <w:rFonts w:hint="default" w:ascii="Calibri" w:hAnsi="Calibri" w:eastAsia="宋体" w:cs="Calibri"/>
          <w:color w:val="auto"/>
          <w:sz w:val="24"/>
          <w:highlight w:val="none"/>
        </w:rPr>
      </w:pPr>
      <w:r>
        <w:rPr>
          <w:rFonts w:hint="default" w:ascii="Calibri" w:hAnsi="Calibri" w:eastAsia="宋体" w:cs="Calibri"/>
          <w:color w:val="auto"/>
          <w:sz w:val="24"/>
          <w:highlight w:val="none"/>
        </w:rPr>
        <w:t>在输电线路的截面上建立平面坐标系，单回线路以线路走廊截面与中相导线地面投影的交点为坐标系的原点O(0,0</w:t>
      </w:r>
      <w:r>
        <w:rPr>
          <w:rFonts w:hint="eastAsia" w:ascii="Calibri" w:hAnsi="Calibri" w:cs="Calibri"/>
          <w:color w:val="auto"/>
          <w:sz w:val="24"/>
          <w:highlight w:val="none"/>
          <w:lang w:eastAsia="zh-CN"/>
        </w:rPr>
        <w:t>）</w:t>
      </w:r>
      <w:r>
        <w:rPr>
          <w:rFonts w:hint="default" w:ascii="Calibri" w:hAnsi="Calibri" w:eastAsia="宋体" w:cs="Calibri"/>
          <w:color w:val="auto"/>
          <w:sz w:val="24"/>
          <w:highlight w:val="none"/>
        </w:rPr>
        <w:t>，双回</w:t>
      </w:r>
      <w:bookmarkStart w:id="134" w:name="_GoBack"/>
      <w:bookmarkEnd w:id="134"/>
      <w:r>
        <w:rPr>
          <w:rFonts w:hint="default" w:ascii="Calibri" w:hAnsi="Calibri" w:eastAsia="宋体" w:cs="Calibri"/>
          <w:color w:val="auto"/>
          <w:sz w:val="24"/>
          <w:highlight w:val="none"/>
        </w:rPr>
        <w:t>路输电线路以线路走廊截面与杆塔中心线在地面投影的交点为坐标系的原点O(0,0</w:t>
      </w:r>
      <w:r>
        <w:rPr>
          <w:rFonts w:hint="eastAsia" w:ascii="Calibri" w:hAnsi="Calibri" w:cs="Calibri"/>
          <w:color w:val="auto"/>
          <w:sz w:val="24"/>
          <w:highlight w:val="none"/>
          <w:lang w:eastAsia="zh-CN"/>
        </w:rPr>
        <w:t>）</w:t>
      </w:r>
      <w:r>
        <w:rPr>
          <w:rFonts w:hint="default" w:ascii="Calibri" w:hAnsi="Calibri" w:eastAsia="宋体" w:cs="Calibri"/>
          <w:color w:val="auto"/>
          <w:sz w:val="24"/>
          <w:highlight w:val="none"/>
        </w:rPr>
        <w:t>。X为水平方向、Y为垂直方向，单位为m。</w:t>
      </w:r>
    </w:p>
    <w:p w14:paraId="4E1B6849">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jc w:val="both"/>
        <w:textAlignment w:val="baseline"/>
        <w:outlineLvl w:val="9"/>
        <w:rPr>
          <w:rFonts w:hint="default" w:ascii="Calibri" w:hAnsi="Calibri" w:eastAsia="宋体" w:cs="Calibri"/>
          <w:color w:val="auto"/>
          <w:sz w:val="24"/>
          <w:highlight w:val="none"/>
        </w:rPr>
      </w:pPr>
      <w:r>
        <w:rPr>
          <w:rFonts w:hint="default" w:ascii="Calibri" w:hAnsi="Calibri" w:eastAsia="宋体" w:cs="Calibri"/>
          <w:color w:val="auto"/>
          <w:sz w:val="24"/>
          <w:highlight w:val="none"/>
        </w:rPr>
        <w:t>计算结果详见表3-</w:t>
      </w:r>
      <w:r>
        <w:rPr>
          <w:rFonts w:hint="default" w:ascii="Calibri" w:hAnsi="Calibri" w:eastAsia="宋体" w:cs="Calibri"/>
          <w:color w:val="auto"/>
          <w:sz w:val="24"/>
          <w:highlight w:val="none"/>
          <w:lang w:val="en-US" w:eastAsia="zh-CN"/>
        </w:rPr>
        <w:t>6、表3-7</w:t>
      </w:r>
      <w:r>
        <w:rPr>
          <w:rFonts w:hint="eastAsia" w:ascii="Calibri" w:hAnsi="Calibri" w:cs="Calibri"/>
          <w:color w:val="auto"/>
          <w:sz w:val="24"/>
          <w:highlight w:val="none"/>
          <w:lang w:val="en-US" w:eastAsia="zh-CN"/>
        </w:rPr>
        <w:t>、表3-8</w:t>
      </w:r>
      <w:r>
        <w:rPr>
          <w:rFonts w:hint="default" w:ascii="Calibri" w:hAnsi="Calibri" w:eastAsia="宋体" w:cs="Calibri"/>
          <w:color w:val="auto"/>
          <w:sz w:val="24"/>
          <w:highlight w:val="none"/>
          <w:lang w:val="en-US" w:eastAsia="zh-CN"/>
        </w:rPr>
        <w:t>和图3-5～图3-</w:t>
      </w:r>
      <w:r>
        <w:rPr>
          <w:rFonts w:hint="eastAsia" w:ascii="Calibri" w:hAnsi="Calibri" w:cs="Calibri"/>
          <w:color w:val="auto"/>
          <w:sz w:val="24"/>
          <w:highlight w:val="none"/>
          <w:lang w:val="en-US" w:eastAsia="zh-CN"/>
        </w:rPr>
        <w:t>10</w:t>
      </w:r>
      <w:r>
        <w:rPr>
          <w:rFonts w:hint="default" w:ascii="Calibri" w:hAnsi="Calibri" w:eastAsia="宋体" w:cs="Calibri"/>
          <w:color w:val="auto"/>
          <w:sz w:val="24"/>
          <w:highlight w:val="none"/>
        </w:rPr>
        <w:t>。</w:t>
      </w:r>
    </w:p>
    <w:p w14:paraId="3EC89368">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eastAsia" w:ascii="Calibri" w:hAnsi="Calibri" w:eastAsia="宋体" w:cs="Calibri"/>
          <w:b/>
          <w:color w:val="auto"/>
          <w:sz w:val="24"/>
          <w:lang w:eastAsia="zh-CN"/>
        </w:rPr>
      </w:pPr>
      <w:r>
        <w:rPr>
          <w:rFonts w:hint="default" w:ascii="Calibri" w:hAnsi="Calibri" w:eastAsia="宋体" w:cs="Calibri"/>
          <w:b/>
          <w:color w:val="auto"/>
          <w:sz w:val="24"/>
        </w:rPr>
        <w:t>表3-</w:t>
      </w:r>
      <w:r>
        <w:rPr>
          <w:rFonts w:hint="default" w:ascii="Calibri" w:hAnsi="Calibri" w:eastAsia="宋体" w:cs="Calibri"/>
          <w:b/>
          <w:color w:val="auto"/>
          <w:sz w:val="24"/>
          <w:lang w:val="en-US" w:eastAsia="zh-CN"/>
        </w:rPr>
        <w:t>6</w:t>
      </w:r>
      <w:r>
        <w:rPr>
          <w:rFonts w:hint="default" w:ascii="Calibri" w:hAnsi="Calibri" w:eastAsia="宋体" w:cs="Calibri"/>
          <w:b/>
          <w:color w:val="auto"/>
          <w:sz w:val="24"/>
        </w:rPr>
        <w:t xml:space="preserve">       单回路线路电磁环境预测值</w:t>
      </w:r>
      <w:r>
        <w:rPr>
          <w:rFonts w:hint="eastAsia" w:ascii="Calibri" w:hAnsi="Calibri" w:cs="Calibri"/>
          <w:b/>
          <w:color w:val="auto"/>
          <w:sz w:val="24"/>
          <w:lang w:eastAsia="zh-CN"/>
        </w:rPr>
        <w:t>（</w:t>
      </w:r>
      <w:r>
        <w:rPr>
          <w:rFonts w:hint="default" w:ascii="Calibri" w:hAnsi="Calibri" w:eastAsia="宋体" w:cs="Calibri"/>
          <w:b/>
          <w:color w:val="auto"/>
          <w:sz w:val="24"/>
        </w:rPr>
        <w:t>BZC3直线塔</w:t>
      </w:r>
      <w:r>
        <w:rPr>
          <w:rFonts w:hint="eastAsia" w:ascii="Calibri" w:hAnsi="Calibri" w:cs="Calibri"/>
          <w:b/>
          <w:color w:val="auto"/>
          <w:sz w:val="24"/>
          <w:lang w:eastAsia="zh-CN"/>
        </w:rPr>
        <w:t>）</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809"/>
        <w:gridCol w:w="1811"/>
        <w:gridCol w:w="1811"/>
        <w:gridCol w:w="1812"/>
      </w:tblGrid>
      <w:tr w14:paraId="777CB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 w:type="pct"/>
            <w:vMerge w:val="restart"/>
            <w:noWrap w:val="0"/>
            <w:vAlign w:val="center"/>
          </w:tcPr>
          <w:p w14:paraId="0C1101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sz w:val="21"/>
                <w:szCs w:val="21"/>
                <w:highlight w:val="none"/>
                <w:vertAlign w:val="baseline"/>
                <w:lang w:eastAsia="zh-CN"/>
              </w:rPr>
            </w:pPr>
            <w:r>
              <w:rPr>
                <w:rFonts w:hint="eastAsia" w:asciiTheme="minorEastAsia" w:hAnsiTheme="minorEastAsia" w:eastAsiaTheme="minorEastAsia" w:cstheme="minorEastAsia"/>
                <w:b/>
                <w:color w:val="auto"/>
                <w:sz w:val="21"/>
                <w:szCs w:val="21"/>
                <w:highlight w:val="none"/>
                <w:vertAlign w:val="baseline"/>
                <w:lang w:eastAsia="zh-CN"/>
              </w:rPr>
              <w:t>距线路走廊中心距离（m）</w:t>
            </w:r>
          </w:p>
        </w:tc>
        <w:tc>
          <w:tcPr>
            <w:tcW w:w="1999" w:type="pct"/>
            <w:gridSpan w:val="2"/>
            <w:noWrap w:val="0"/>
            <w:vAlign w:val="center"/>
          </w:tcPr>
          <w:p w14:paraId="0C3E46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sz w:val="21"/>
                <w:szCs w:val="21"/>
                <w:highlight w:val="none"/>
                <w:vertAlign w:val="baseline"/>
                <w:lang w:val="en-US" w:eastAsia="zh-CN"/>
              </w:rPr>
            </w:pPr>
            <w:r>
              <w:rPr>
                <w:rFonts w:hint="eastAsia" w:asciiTheme="minorEastAsia" w:hAnsiTheme="minorEastAsia" w:eastAsiaTheme="minorEastAsia" w:cstheme="minorEastAsia"/>
                <w:b/>
                <w:color w:val="auto"/>
                <w:sz w:val="21"/>
                <w:szCs w:val="21"/>
                <w:highlight w:val="none"/>
                <w:vertAlign w:val="baseline"/>
                <w:lang w:val="en-US" w:eastAsia="zh-CN"/>
              </w:rPr>
              <w:t>工频电场强度</w:t>
            </w:r>
          </w:p>
        </w:tc>
        <w:tc>
          <w:tcPr>
            <w:tcW w:w="2001" w:type="pct"/>
            <w:gridSpan w:val="2"/>
            <w:noWrap w:val="0"/>
            <w:vAlign w:val="center"/>
          </w:tcPr>
          <w:p w14:paraId="493CE8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sz w:val="21"/>
                <w:szCs w:val="21"/>
                <w:highlight w:val="none"/>
                <w:vertAlign w:val="baseline"/>
                <w:lang w:val="en-US" w:eastAsia="zh-CN"/>
              </w:rPr>
            </w:pPr>
            <w:r>
              <w:rPr>
                <w:rFonts w:hint="eastAsia" w:asciiTheme="minorEastAsia" w:hAnsiTheme="minorEastAsia" w:eastAsiaTheme="minorEastAsia" w:cstheme="minorEastAsia"/>
                <w:b/>
                <w:color w:val="auto"/>
                <w:sz w:val="21"/>
                <w:szCs w:val="21"/>
                <w:highlight w:val="none"/>
                <w:vertAlign w:val="baseline"/>
                <w:lang w:val="en-US" w:eastAsia="zh-CN"/>
              </w:rPr>
              <w:t>工频磁感应强度</w:t>
            </w:r>
          </w:p>
        </w:tc>
      </w:tr>
      <w:tr w14:paraId="5741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vMerge w:val="continue"/>
            <w:noWrap w:val="0"/>
            <w:vAlign w:val="center"/>
          </w:tcPr>
          <w:p w14:paraId="76B703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sz w:val="21"/>
                <w:szCs w:val="21"/>
                <w:highlight w:val="none"/>
                <w:vertAlign w:val="baseline"/>
                <w:lang w:eastAsia="zh-CN"/>
              </w:rPr>
            </w:pPr>
          </w:p>
        </w:tc>
        <w:tc>
          <w:tcPr>
            <w:tcW w:w="999" w:type="pct"/>
            <w:noWrap w:val="0"/>
            <w:vAlign w:val="center"/>
          </w:tcPr>
          <w:p w14:paraId="5EDF93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color w:val="auto"/>
                <w:sz w:val="21"/>
                <w:szCs w:val="21"/>
                <w:highlight w:val="none"/>
                <w:vertAlign w:val="baseline"/>
                <w:lang w:eastAsia="zh-CN"/>
              </w:rPr>
              <w:t>导线对地最小线高7m</w:t>
            </w:r>
          </w:p>
        </w:tc>
        <w:tc>
          <w:tcPr>
            <w:tcW w:w="1000" w:type="pct"/>
            <w:noWrap w:val="0"/>
            <w:vAlign w:val="center"/>
          </w:tcPr>
          <w:p w14:paraId="75882D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color w:val="auto"/>
                <w:sz w:val="21"/>
                <w:szCs w:val="21"/>
                <w:highlight w:val="none"/>
                <w:vertAlign w:val="baseline"/>
                <w:lang w:eastAsia="zh-CN"/>
              </w:rPr>
              <w:t>导线对地最小线高6m</w:t>
            </w:r>
          </w:p>
        </w:tc>
        <w:tc>
          <w:tcPr>
            <w:tcW w:w="1000" w:type="pct"/>
            <w:noWrap w:val="0"/>
            <w:vAlign w:val="center"/>
          </w:tcPr>
          <w:p w14:paraId="2A46C4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color w:val="auto"/>
                <w:sz w:val="21"/>
                <w:szCs w:val="21"/>
                <w:highlight w:val="none"/>
                <w:vertAlign w:val="baseline"/>
                <w:lang w:eastAsia="zh-CN"/>
              </w:rPr>
              <w:t>导线对地最小线高7m</w:t>
            </w:r>
          </w:p>
        </w:tc>
        <w:tc>
          <w:tcPr>
            <w:tcW w:w="1000" w:type="pct"/>
            <w:noWrap w:val="0"/>
            <w:vAlign w:val="center"/>
          </w:tcPr>
          <w:p w14:paraId="71CAF5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color w:val="auto"/>
                <w:sz w:val="21"/>
                <w:szCs w:val="21"/>
                <w:highlight w:val="none"/>
                <w:vertAlign w:val="baseline"/>
                <w:lang w:eastAsia="zh-CN"/>
              </w:rPr>
              <w:t>导线对地最小线高6m</w:t>
            </w:r>
          </w:p>
        </w:tc>
      </w:tr>
      <w:tr w14:paraId="2D5D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5F66C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-40</w:t>
            </w:r>
          </w:p>
        </w:tc>
        <w:tc>
          <w:tcPr>
            <w:tcW w:w="1832" w:type="dxa"/>
            <w:noWrap w:val="0"/>
            <w:vAlign w:val="center"/>
          </w:tcPr>
          <w:p w14:paraId="384981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0.048</w:t>
            </w:r>
          </w:p>
        </w:tc>
        <w:tc>
          <w:tcPr>
            <w:tcW w:w="1834" w:type="dxa"/>
            <w:noWrap w:val="0"/>
            <w:vAlign w:val="center"/>
          </w:tcPr>
          <w:p w14:paraId="0F8348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0.042</w:t>
            </w:r>
          </w:p>
        </w:tc>
        <w:tc>
          <w:tcPr>
            <w:tcW w:w="1834" w:type="dxa"/>
            <w:noWrap w:val="0"/>
            <w:vAlign w:val="center"/>
          </w:tcPr>
          <w:p w14:paraId="536DE9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0.92</w:t>
            </w:r>
          </w:p>
        </w:tc>
        <w:tc>
          <w:tcPr>
            <w:tcW w:w="1836" w:type="dxa"/>
            <w:noWrap w:val="0"/>
            <w:vAlign w:val="center"/>
          </w:tcPr>
          <w:p w14:paraId="1C3271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0.92</w:t>
            </w:r>
          </w:p>
        </w:tc>
      </w:tr>
      <w:tr w14:paraId="0EBB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 w:type="pct"/>
            <w:noWrap w:val="0"/>
            <w:vAlign w:val="center"/>
          </w:tcPr>
          <w:p w14:paraId="118A1F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-39</w:t>
            </w:r>
          </w:p>
        </w:tc>
        <w:tc>
          <w:tcPr>
            <w:tcW w:w="1832" w:type="dxa"/>
            <w:noWrap w:val="0"/>
            <w:vAlign w:val="center"/>
          </w:tcPr>
          <w:p w14:paraId="5DD127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0.052</w:t>
            </w:r>
          </w:p>
        </w:tc>
        <w:tc>
          <w:tcPr>
            <w:tcW w:w="1834" w:type="dxa"/>
            <w:noWrap w:val="0"/>
            <w:vAlign w:val="center"/>
          </w:tcPr>
          <w:p w14:paraId="14A8F7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0.045</w:t>
            </w:r>
          </w:p>
        </w:tc>
        <w:tc>
          <w:tcPr>
            <w:tcW w:w="1834" w:type="dxa"/>
            <w:noWrap w:val="0"/>
            <w:vAlign w:val="center"/>
          </w:tcPr>
          <w:p w14:paraId="0A3009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0.96</w:t>
            </w:r>
          </w:p>
        </w:tc>
        <w:tc>
          <w:tcPr>
            <w:tcW w:w="1836" w:type="dxa"/>
            <w:noWrap w:val="0"/>
            <w:vAlign w:val="center"/>
          </w:tcPr>
          <w:p w14:paraId="371F19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0.97</w:t>
            </w:r>
          </w:p>
        </w:tc>
      </w:tr>
      <w:tr w14:paraId="4C15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 w:type="pct"/>
            <w:noWrap w:val="0"/>
            <w:vAlign w:val="center"/>
          </w:tcPr>
          <w:p w14:paraId="655CD9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-38</w:t>
            </w:r>
          </w:p>
        </w:tc>
        <w:tc>
          <w:tcPr>
            <w:tcW w:w="1832" w:type="dxa"/>
            <w:noWrap w:val="0"/>
            <w:vAlign w:val="center"/>
          </w:tcPr>
          <w:p w14:paraId="181B20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0.056</w:t>
            </w:r>
          </w:p>
        </w:tc>
        <w:tc>
          <w:tcPr>
            <w:tcW w:w="1834" w:type="dxa"/>
            <w:noWrap w:val="0"/>
            <w:vAlign w:val="center"/>
          </w:tcPr>
          <w:p w14:paraId="5959B4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0.049</w:t>
            </w:r>
          </w:p>
        </w:tc>
        <w:tc>
          <w:tcPr>
            <w:tcW w:w="1834" w:type="dxa"/>
            <w:noWrap w:val="0"/>
            <w:vAlign w:val="center"/>
          </w:tcPr>
          <w:p w14:paraId="4EF237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1.02</w:t>
            </w:r>
          </w:p>
        </w:tc>
        <w:tc>
          <w:tcPr>
            <w:tcW w:w="1836" w:type="dxa"/>
            <w:noWrap w:val="0"/>
            <w:vAlign w:val="center"/>
          </w:tcPr>
          <w:p w14:paraId="520FB0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1.02</w:t>
            </w:r>
          </w:p>
        </w:tc>
      </w:tr>
      <w:tr w14:paraId="33CF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519F7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-37</w:t>
            </w:r>
          </w:p>
        </w:tc>
        <w:tc>
          <w:tcPr>
            <w:tcW w:w="1832" w:type="dxa"/>
            <w:noWrap w:val="0"/>
            <w:vAlign w:val="center"/>
          </w:tcPr>
          <w:p w14:paraId="24947B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0.060</w:t>
            </w:r>
          </w:p>
        </w:tc>
        <w:tc>
          <w:tcPr>
            <w:tcW w:w="1834" w:type="dxa"/>
            <w:noWrap w:val="0"/>
            <w:vAlign w:val="center"/>
          </w:tcPr>
          <w:p w14:paraId="723F80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0.053</w:t>
            </w:r>
          </w:p>
        </w:tc>
        <w:tc>
          <w:tcPr>
            <w:tcW w:w="1834" w:type="dxa"/>
            <w:noWrap w:val="0"/>
            <w:vAlign w:val="center"/>
          </w:tcPr>
          <w:p w14:paraId="582E18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1.07</w:t>
            </w:r>
          </w:p>
        </w:tc>
        <w:tc>
          <w:tcPr>
            <w:tcW w:w="1836" w:type="dxa"/>
            <w:noWrap w:val="0"/>
            <w:vAlign w:val="center"/>
          </w:tcPr>
          <w:p w14:paraId="234635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1.08</w:t>
            </w:r>
          </w:p>
        </w:tc>
      </w:tr>
      <w:tr w14:paraId="67BAA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A72CA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-36</w:t>
            </w:r>
          </w:p>
        </w:tc>
        <w:tc>
          <w:tcPr>
            <w:tcW w:w="1832" w:type="dxa"/>
            <w:noWrap w:val="0"/>
            <w:vAlign w:val="center"/>
          </w:tcPr>
          <w:p w14:paraId="1B8F4C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0.066</w:t>
            </w:r>
          </w:p>
        </w:tc>
        <w:tc>
          <w:tcPr>
            <w:tcW w:w="1834" w:type="dxa"/>
            <w:noWrap w:val="0"/>
            <w:vAlign w:val="center"/>
          </w:tcPr>
          <w:p w14:paraId="562B95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0.058</w:t>
            </w:r>
          </w:p>
        </w:tc>
        <w:tc>
          <w:tcPr>
            <w:tcW w:w="1834" w:type="dxa"/>
            <w:noWrap w:val="0"/>
            <w:vAlign w:val="center"/>
          </w:tcPr>
          <w:p w14:paraId="787244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1.13</w:t>
            </w:r>
          </w:p>
        </w:tc>
        <w:tc>
          <w:tcPr>
            <w:tcW w:w="1836" w:type="dxa"/>
            <w:noWrap w:val="0"/>
            <w:vAlign w:val="center"/>
          </w:tcPr>
          <w:p w14:paraId="08A5F4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1.14</w:t>
            </w:r>
          </w:p>
        </w:tc>
      </w:tr>
      <w:tr w14:paraId="4EEB3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FF892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-35</w:t>
            </w:r>
          </w:p>
        </w:tc>
        <w:tc>
          <w:tcPr>
            <w:tcW w:w="1832" w:type="dxa"/>
            <w:noWrap w:val="0"/>
            <w:vAlign w:val="center"/>
          </w:tcPr>
          <w:p w14:paraId="1B55BD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0.071</w:t>
            </w:r>
          </w:p>
        </w:tc>
        <w:tc>
          <w:tcPr>
            <w:tcW w:w="1834" w:type="dxa"/>
            <w:noWrap w:val="0"/>
            <w:vAlign w:val="center"/>
          </w:tcPr>
          <w:p w14:paraId="3374A3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0.063</w:t>
            </w:r>
          </w:p>
        </w:tc>
        <w:tc>
          <w:tcPr>
            <w:tcW w:w="1834" w:type="dxa"/>
            <w:noWrap w:val="0"/>
            <w:vAlign w:val="center"/>
          </w:tcPr>
          <w:p w14:paraId="65C217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1.20</w:t>
            </w:r>
          </w:p>
        </w:tc>
        <w:tc>
          <w:tcPr>
            <w:tcW w:w="1836" w:type="dxa"/>
            <w:noWrap w:val="0"/>
            <w:vAlign w:val="center"/>
          </w:tcPr>
          <w:p w14:paraId="0B8CB4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1.21</w:t>
            </w:r>
          </w:p>
        </w:tc>
      </w:tr>
      <w:tr w14:paraId="0766E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 w:type="pct"/>
            <w:noWrap w:val="0"/>
            <w:vAlign w:val="center"/>
          </w:tcPr>
          <w:p w14:paraId="56CE32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-34</w:t>
            </w:r>
          </w:p>
        </w:tc>
        <w:tc>
          <w:tcPr>
            <w:tcW w:w="1832" w:type="dxa"/>
            <w:noWrap w:val="0"/>
            <w:vAlign w:val="center"/>
          </w:tcPr>
          <w:p w14:paraId="040968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0.078</w:t>
            </w:r>
          </w:p>
        </w:tc>
        <w:tc>
          <w:tcPr>
            <w:tcW w:w="1834" w:type="dxa"/>
            <w:noWrap w:val="0"/>
            <w:vAlign w:val="center"/>
          </w:tcPr>
          <w:p w14:paraId="3A1EB6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0.069</w:t>
            </w:r>
          </w:p>
        </w:tc>
        <w:tc>
          <w:tcPr>
            <w:tcW w:w="1834" w:type="dxa"/>
            <w:noWrap w:val="0"/>
            <w:vAlign w:val="center"/>
          </w:tcPr>
          <w:p w14:paraId="4FE4E2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1.27</w:t>
            </w:r>
          </w:p>
        </w:tc>
        <w:tc>
          <w:tcPr>
            <w:tcW w:w="1836" w:type="dxa"/>
            <w:noWrap w:val="0"/>
            <w:vAlign w:val="center"/>
          </w:tcPr>
          <w:p w14:paraId="427820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1.29</w:t>
            </w:r>
          </w:p>
        </w:tc>
      </w:tr>
      <w:tr w14:paraId="02B4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4EE37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-33</w:t>
            </w:r>
          </w:p>
        </w:tc>
        <w:tc>
          <w:tcPr>
            <w:tcW w:w="1832" w:type="dxa"/>
            <w:noWrap w:val="0"/>
            <w:vAlign w:val="center"/>
          </w:tcPr>
          <w:p w14:paraId="726BAF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0.085</w:t>
            </w:r>
          </w:p>
        </w:tc>
        <w:tc>
          <w:tcPr>
            <w:tcW w:w="1834" w:type="dxa"/>
            <w:noWrap w:val="0"/>
            <w:vAlign w:val="center"/>
          </w:tcPr>
          <w:p w14:paraId="1CDB48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0.075</w:t>
            </w:r>
          </w:p>
        </w:tc>
        <w:tc>
          <w:tcPr>
            <w:tcW w:w="1834" w:type="dxa"/>
            <w:noWrap w:val="0"/>
            <w:vAlign w:val="center"/>
          </w:tcPr>
          <w:p w14:paraId="413D24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1.35</w:t>
            </w:r>
          </w:p>
        </w:tc>
        <w:tc>
          <w:tcPr>
            <w:tcW w:w="1836" w:type="dxa"/>
            <w:noWrap w:val="0"/>
            <w:vAlign w:val="center"/>
          </w:tcPr>
          <w:p w14:paraId="0512D7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1.37</w:t>
            </w:r>
          </w:p>
        </w:tc>
      </w:tr>
      <w:tr w14:paraId="20E3C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44AA9A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-32</w:t>
            </w:r>
          </w:p>
        </w:tc>
        <w:tc>
          <w:tcPr>
            <w:tcW w:w="1832" w:type="dxa"/>
            <w:noWrap w:val="0"/>
            <w:vAlign w:val="center"/>
          </w:tcPr>
          <w:p w14:paraId="621DAE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0.094</w:t>
            </w:r>
          </w:p>
        </w:tc>
        <w:tc>
          <w:tcPr>
            <w:tcW w:w="1834" w:type="dxa"/>
            <w:noWrap w:val="0"/>
            <w:vAlign w:val="center"/>
          </w:tcPr>
          <w:p w14:paraId="795384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0.083</w:t>
            </w:r>
          </w:p>
        </w:tc>
        <w:tc>
          <w:tcPr>
            <w:tcW w:w="1834" w:type="dxa"/>
            <w:noWrap w:val="0"/>
            <w:vAlign w:val="center"/>
          </w:tcPr>
          <w:p w14:paraId="4A4FFE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1.44</w:t>
            </w:r>
          </w:p>
        </w:tc>
        <w:tc>
          <w:tcPr>
            <w:tcW w:w="1836" w:type="dxa"/>
            <w:noWrap w:val="0"/>
            <w:vAlign w:val="center"/>
          </w:tcPr>
          <w:p w14:paraId="2A0A9F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1.46</w:t>
            </w:r>
          </w:p>
        </w:tc>
      </w:tr>
      <w:tr w14:paraId="31388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B1714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-31</w:t>
            </w:r>
          </w:p>
        </w:tc>
        <w:tc>
          <w:tcPr>
            <w:tcW w:w="1832" w:type="dxa"/>
            <w:noWrap w:val="0"/>
            <w:vAlign w:val="center"/>
          </w:tcPr>
          <w:p w14:paraId="0308F4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0.103</w:t>
            </w:r>
          </w:p>
        </w:tc>
        <w:tc>
          <w:tcPr>
            <w:tcW w:w="1834" w:type="dxa"/>
            <w:noWrap w:val="0"/>
            <w:vAlign w:val="center"/>
          </w:tcPr>
          <w:p w14:paraId="05F85D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0.092</w:t>
            </w:r>
          </w:p>
        </w:tc>
        <w:tc>
          <w:tcPr>
            <w:tcW w:w="1834" w:type="dxa"/>
            <w:noWrap w:val="0"/>
            <w:vAlign w:val="center"/>
          </w:tcPr>
          <w:p w14:paraId="54A2C3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1.54</w:t>
            </w:r>
          </w:p>
        </w:tc>
        <w:tc>
          <w:tcPr>
            <w:tcW w:w="1836" w:type="dxa"/>
            <w:noWrap w:val="0"/>
            <w:vAlign w:val="center"/>
          </w:tcPr>
          <w:p w14:paraId="09AA17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1.56</w:t>
            </w:r>
          </w:p>
        </w:tc>
      </w:tr>
      <w:tr w14:paraId="41A3E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0DFB9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-30</w:t>
            </w:r>
          </w:p>
        </w:tc>
        <w:tc>
          <w:tcPr>
            <w:tcW w:w="1832" w:type="dxa"/>
            <w:noWrap w:val="0"/>
            <w:vAlign w:val="center"/>
          </w:tcPr>
          <w:p w14:paraId="7604BB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0.114</w:t>
            </w:r>
          </w:p>
        </w:tc>
        <w:tc>
          <w:tcPr>
            <w:tcW w:w="1834" w:type="dxa"/>
            <w:noWrap w:val="0"/>
            <w:vAlign w:val="center"/>
          </w:tcPr>
          <w:p w14:paraId="43388A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0.101</w:t>
            </w:r>
          </w:p>
        </w:tc>
        <w:tc>
          <w:tcPr>
            <w:tcW w:w="1834" w:type="dxa"/>
            <w:noWrap w:val="0"/>
            <w:vAlign w:val="center"/>
          </w:tcPr>
          <w:p w14:paraId="27542D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1.64</w:t>
            </w:r>
          </w:p>
        </w:tc>
        <w:tc>
          <w:tcPr>
            <w:tcW w:w="1836" w:type="dxa"/>
            <w:noWrap w:val="0"/>
            <w:vAlign w:val="center"/>
          </w:tcPr>
          <w:p w14:paraId="26FAA7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1.66</w:t>
            </w:r>
          </w:p>
        </w:tc>
      </w:tr>
      <w:tr w14:paraId="5CB5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E899D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-29</w:t>
            </w:r>
          </w:p>
        </w:tc>
        <w:tc>
          <w:tcPr>
            <w:tcW w:w="1832" w:type="dxa"/>
            <w:noWrap w:val="0"/>
            <w:vAlign w:val="center"/>
          </w:tcPr>
          <w:p w14:paraId="3F0178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0.126</w:t>
            </w:r>
          </w:p>
        </w:tc>
        <w:tc>
          <w:tcPr>
            <w:tcW w:w="1834" w:type="dxa"/>
            <w:noWrap w:val="0"/>
            <w:vAlign w:val="center"/>
          </w:tcPr>
          <w:p w14:paraId="5E4D87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0.112</w:t>
            </w:r>
          </w:p>
        </w:tc>
        <w:tc>
          <w:tcPr>
            <w:tcW w:w="1834" w:type="dxa"/>
            <w:noWrap w:val="0"/>
            <w:vAlign w:val="center"/>
          </w:tcPr>
          <w:p w14:paraId="05D13A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1.76</w:t>
            </w:r>
          </w:p>
        </w:tc>
        <w:tc>
          <w:tcPr>
            <w:tcW w:w="1836" w:type="dxa"/>
            <w:noWrap w:val="0"/>
            <w:vAlign w:val="center"/>
          </w:tcPr>
          <w:p w14:paraId="269A7C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1.79</w:t>
            </w:r>
          </w:p>
        </w:tc>
      </w:tr>
      <w:tr w14:paraId="792B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D27F5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-28</w:t>
            </w:r>
          </w:p>
        </w:tc>
        <w:tc>
          <w:tcPr>
            <w:tcW w:w="1832" w:type="dxa"/>
            <w:noWrap w:val="0"/>
            <w:vAlign w:val="center"/>
          </w:tcPr>
          <w:p w14:paraId="5A354F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0.140</w:t>
            </w:r>
          </w:p>
        </w:tc>
        <w:tc>
          <w:tcPr>
            <w:tcW w:w="1834" w:type="dxa"/>
            <w:noWrap w:val="0"/>
            <w:vAlign w:val="center"/>
          </w:tcPr>
          <w:p w14:paraId="1814B1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0.125</w:t>
            </w:r>
          </w:p>
        </w:tc>
        <w:tc>
          <w:tcPr>
            <w:tcW w:w="1834" w:type="dxa"/>
            <w:noWrap w:val="0"/>
            <w:vAlign w:val="center"/>
          </w:tcPr>
          <w:p w14:paraId="695430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1.89</w:t>
            </w:r>
          </w:p>
        </w:tc>
        <w:tc>
          <w:tcPr>
            <w:tcW w:w="1836" w:type="dxa"/>
            <w:noWrap w:val="0"/>
            <w:vAlign w:val="center"/>
          </w:tcPr>
          <w:p w14:paraId="7A1A37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1.92</w:t>
            </w:r>
          </w:p>
        </w:tc>
      </w:tr>
      <w:tr w14:paraId="6E29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6350D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-27</w:t>
            </w:r>
          </w:p>
        </w:tc>
        <w:tc>
          <w:tcPr>
            <w:tcW w:w="1832" w:type="dxa"/>
            <w:noWrap w:val="0"/>
            <w:vAlign w:val="center"/>
          </w:tcPr>
          <w:p w14:paraId="279CD7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0.156</w:t>
            </w:r>
          </w:p>
        </w:tc>
        <w:tc>
          <w:tcPr>
            <w:tcW w:w="1834" w:type="dxa"/>
            <w:noWrap w:val="0"/>
            <w:vAlign w:val="center"/>
          </w:tcPr>
          <w:p w14:paraId="06E10C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0.140</w:t>
            </w:r>
          </w:p>
        </w:tc>
        <w:tc>
          <w:tcPr>
            <w:tcW w:w="1834" w:type="dxa"/>
            <w:noWrap w:val="0"/>
            <w:vAlign w:val="center"/>
          </w:tcPr>
          <w:p w14:paraId="2F749D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2.04</w:t>
            </w:r>
          </w:p>
        </w:tc>
        <w:tc>
          <w:tcPr>
            <w:tcW w:w="1836" w:type="dxa"/>
            <w:noWrap w:val="0"/>
            <w:vAlign w:val="center"/>
          </w:tcPr>
          <w:p w14:paraId="748A65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2.07</w:t>
            </w:r>
          </w:p>
        </w:tc>
      </w:tr>
      <w:tr w14:paraId="16222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8CD5A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-26</w:t>
            </w:r>
          </w:p>
        </w:tc>
        <w:tc>
          <w:tcPr>
            <w:tcW w:w="1832" w:type="dxa"/>
            <w:noWrap w:val="0"/>
            <w:vAlign w:val="center"/>
          </w:tcPr>
          <w:p w14:paraId="64BE32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0.175</w:t>
            </w:r>
          </w:p>
        </w:tc>
        <w:tc>
          <w:tcPr>
            <w:tcW w:w="1834" w:type="dxa"/>
            <w:noWrap w:val="0"/>
            <w:vAlign w:val="center"/>
          </w:tcPr>
          <w:p w14:paraId="1AA4CC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0.158</w:t>
            </w:r>
          </w:p>
        </w:tc>
        <w:tc>
          <w:tcPr>
            <w:tcW w:w="1834" w:type="dxa"/>
            <w:noWrap w:val="0"/>
            <w:vAlign w:val="center"/>
          </w:tcPr>
          <w:p w14:paraId="270DC2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2.20</w:t>
            </w:r>
          </w:p>
        </w:tc>
        <w:tc>
          <w:tcPr>
            <w:tcW w:w="1836" w:type="dxa"/>
            <w:noWrap w:val="0"/>
            <w:vAlign w:val="center"/>
          </w:tcPr>
          <w:p w14:paraId="56EB31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2.24</w:t>
            </w:r>
          </w:p>
        </w:tc>
      </w:tr>
      <w:tr w14:paraId="76420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 w:type="pct"/>
            <w:noWrap w:val="0"/>
            <w:vAlign w:val="center"/>
          </w:tcPr>
          <w:p w14:paraId="0C3C16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-25</w:t>
            </w:r>
          </w:p>
        </w:tc>
        <w:tc>
          <w:tcPr>
            <w:tcW w:w="1832" w:type="dxa"/>
            <w:noWrap w:val="0"/>
            <w:vAlign w:val="center"/>
          </w:tcPr>
          <w:p w14:paraId="5FF4C3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0.197</w:t>
            </w:r>
          </w:p>
        </w:tc>
        <w:tc>
          <w:tcPr>
            <w:tcW w:w="1834" w:type="dxa"/>
            <w:noWrap w:val="0"/>
            <w:vAlign w:val="center"/>
          </w:tcPr>
          <w:p w14:paraId="7E04FA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0.178</w:t>
            </w:r>
          </w:p>
        </w:tc>
        <w:tc>
          <w:tcPr>
            <w:tcW w:w="1834" w:type="dxa"/>
            <w:noWrap w:val="0"/>
            <w:vAlign w:val="center"/>
          </w:tcPr>
          <w:p w14:paraId="7F506B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2.38</w:t>
            </w:r>
          </w:p>
        </w:tc>
        <w:tc>
          <w:tcPr>
            <w:tcW w:w="1836" w:type="dxa"/>
            <w:noWrap w:val="0"/>
            <w:vAlign w:val="center"/>
          </w:tcPr>
          <w:p w14:paraId="315252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2.43</w:t>
            </w:r>
          </w:p>
        </w:tc>
      </w:tr>
      <w:tr w14:paraId="0462D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81355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-24</w:t>
            </w:r>
          </w:p>
        </w:tc>
        <w:tc>
          <w:tcPr>
            <w:tcW w:w="1832" w:type="dxa"/>
            <w:noWrap w:val="0"/>
            <w:vAlign w:val="center"/>
          </w:tcPr>
          <w:p w14:paraId="2EF068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0.222</w:t>
            </w:r>
          </w:p>
        </w:tc>
        <w:tc>
          <w:tcPr>
            <w:tcW w:w="1834" w:type="dxa"/>
            <w:noWrap w:val="0"/>
            <w:vAlign w:val="center"/>
          </w:tcPr>
          <w:p w14:paraId="2103BA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0.202</w:t>
            </w:r>
          </w:p>
        </w:tc>
        <w:tc>
          <w:tcPr>
            <w:tcW w:w="1834" w:type="dxa"/>
            <w:noWrap w:val="0"/>
            <w:vAlign w:val="center"/>
          </w:tcPr>
          <w:p w14:paraId="282EE8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2.59</w:t>
            </w:r>
          </w:p>
        </w:tc>
        <w:tc>
          <w:tcPr>
            <w:tcW w:w="1836" w:type="dxa"/>
            <w:noWrap w:val="0"/>
            <w:vAlign w:val="center"/>
          </w:tcPr>
          <w:p w14:paraId="238B58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2.65</w:t>
            </w:r>
          </w:p>
        </w:tc>
      </w:tr>
      <w:tr w14:paraId="42E8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11F0A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-23</w:t>
            </w:r>
          </w:p>
        </w:tc>
        <w:tc>
          <w:tcPr>
            <w:tcW w:w="1832" w:type="dxa"/>
            <w:noWrap w:val="0"/>
            <w:vAlign w:val="center"/>
          </w:tcPr>
          <w:p w14:paraId="776A34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0.252</w:t>
            </w:r>
          </w:p>
        </w:tc>
        <w:tc>
          <w:tcPr>
            <w:tcW w:w="1834" w:type="dxa"/>
            <w:noWrap w:val="0"/>
            <w:vAlign w:val="center"/>
          </w:tcPr>
          <w:p w14:paraId="7A99D9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0.230</w:t>
            </w:r>
          </w:p>
        </w:tc>
        <w:tc>
          <w:tcPr>
            <w:tcW w:w="1834" w:type="dxa"/>
            <w:noWrap w:val="0"/>
            <w:vAlign w:val="center"/>
          </w:tcPr>
          <w:p w14:paraId="19867F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2.83</w:t>
            </w:r>
          </w:p>
        </w:tc>
        <w:tc>
          <w:tcPr>
            <w:tcW w:w="1836" w:type="dxa"/>
            <w:noWrap w:val="0"/>
            <w:vAlign w:val="center"/>
          </w:tcPr>
          <w:p w14:paraId="126F8D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2.90</w:t>
            </w:r>
          </w:p>
        </w:tc>
      </w:tr>
      <w:tr w14:paraId="51E1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CE403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-22</w:t>
            </w:r>
          </w:p>
        </w:tc>
        <w:tc>
          <w:tcPr>
            <w:tcW w:w="1832" w:type="dxa"/>
            <w:noWrap w:val="0"/>
            <w:vAlign w:val="center"/>
          </w:tcPr>
          <w:p w14:paraId="736788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0.287</w:t>
            </w:r>
          </w:p>
        </w:tc>
        <w:tc>
          <w:tcPr>
            <w:tcW w:w="1834" w:type="dxa"/>
            <w:noWrap w:val="0"/>
            <w:vAlign w:val="center"/>
          </w:tcPr>
          <w:p w14:paraId="14C303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0.264</w:t>
            </w:r>
          </w:p>
        </w:tc>
        <w:tc>
          <w:tcPr>
            <w:tcW w:w="1834" w:type="dxa"/>
            <w:noWrap w:val="0"/>
            <w:vAlign w:val="center"/>
          </w:tcPr>
          <w:p w14:paraId="2AFB2E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3.10</w:t>
            </w:r>
          </w:p>
        </w:tc>
        <w:tc>
          <w:tcPr>
            <w:tcW w:w="1836" w:type="dxa"/>
            <w:noWrap w:val="0"/>
            <w:vAlign w:val="center"/>
          </w:tcPr>
          <w:p w14:paraId="06641F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3.18</w:t>
            </w:r>
          </w:p>
        </w:tc>
      </w:tr>
      <w:tr w14:paraId="486B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89B88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-21</w:t>
            </w:r>
          </w:p>
        </w:tc>
        <w:tc>
          <w:tcPr>
            <w:tcW w:w="1832" w:type="dxa"/>
            <w:noWrap w:val="0"/>
            <w:vAlign w:val="center"/>
          </w:tcPr>
          <w:p w14:paraId="57F697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0.329</w:t>
            </w:r>
          </w:p>
        </w:tc>
        <w:tc>
          <w:tcPr>
            <w:tcW w:w="1834" w:type="dxa"/>
            <w:noWrap w:val="0"/>
            <w:vAlign w:val="center"/>
          </w:tcPr>
          <w:p w14:paraId="2243A0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0.304</w:t>
            </w:r>
          </w:p>
        </w:tc>
        <w:tc>
          <w:tcPr>
            <w:tcW w:w="1834" w:type="dxa"/>
            <w:noWrap w:val="0"/>
            <w:vAlign w:val="center"/>
          </w:tcPr>
          <w:p w14:paraId="2CCAB4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3.41</w:t>
            </w:r>
          </w:p>
        </w:tc>
        <w:tc>
          <w:tcPr>
            <w:tcW w:w="1836" w:type="dxa"/>
            <w:noWrap w:val="0"/>
            <w:vAlign w:val="center"/>
          </w:tcPr>
          <w:p w14:paraId="4A1AEB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3.51</w:t>
            </w:r>
          </w:p>
        </w:tc>
      </w:tr>
      <w:tr w14:paraId="20359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30BB3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-20</w:t>
            </w:r>
          </w:p>
        </w:tc>
        <w:tc>
          <w:tcPr>
            <w:tcW w:w="1832" w:type="dxa"/>
            <w:noWrap w:val="0"/>
            <w:vAlign w:val="center"/>
          </w:tcPr>
          <w:p w14:paraId="0F8475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0.378</w:t>
            </w:r>
          </w:p>
        </w:tc>
        <w:tc>
          <w:tcPr>
            <w:tcW w:w="1834" w:type="dxa"/>
            <w:noWrap w:val="0"/>
            <w:vAlign w:val="center"/>
          </w:tcPr>
          <w:p w14:paraId="7E7DE5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0.353</w:t>
            </w:r>
          </w:p>
        </w:tc>
        <w:tc>
          <w:tcPr>
            <w:tcW w:w="1834" w:type="dxa"/>
            <w:noWrap w:val="0"/>
            <w:vAlign w:val="center"/>
          </w:tcPr>
          <w:p w14:paraId="78064A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3.76</w:t>
            </w:r>
          </w:p>
        </w:tc>
        <w:tc>
          <w:tcPr>
            <w:tcW w:w="1836" w:type="dxa"/>
            <w:noWrap w:val="0"/>
            <w:vAlign w:val="center"/>
          </w:tcPr>
          <w:p w14:paraId="2292FB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3.89</w:t>
            </w:r>
          </w:p>
        </w:tc>
      </w:tr>
      <w:tr w14:paraId="01566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D31A8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-19</w:t>
            </w:r>
          </w:p>
        </w:tc>
        <w:tc>
          <w:tcPr>
            <w:tcW w:w="1832" w:type="dxa"/>
            <w:noWrap w:val="0"/>
            <w:vAlign w:val="center"/>
          </w:tcPr>
          <w:p w14:paraId="5167C8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0.438</w:t>
            </w:r>
          </w:p>
        </w:tc>
        <w:tc>
          <w:tcPr>
            <w:tcW w:w="1834" w:type="dxa"/>
            <w:noWrap w:val="0"/>
            <w:vAlign w:val="center"/>
          </w:tcPr>
          <w:p w14:paraId="1AA2FE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0.412</w:t>
            </w:r>
          </w:p>
        </w:tc>
        <w:tc>
          <w:tcPr>
            <w:tcW w:w="1834" w:type="dxa"/>
            <w:noWrap w:val="0"/>
            <w:vAlign w:val="center"/>
          </w:tcPr>
          <w:p w14:paraId="56C238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4.18</w:t>
            </w:r>
          </w:p>
        </w:tc>
        <w:tc>
          <w:tcPr>
            <w:tcW w:w="1836" w:type="dxa"/>
            <w:noWrap w:val="0"/>
            <w:vAlign w:val="center"/>
          </w:tcPr>
          <w:p w14:paraId="2F7754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4.34</w:t>
            </w:r>
          </w:p>
        </w:tc>
      </w:tr>
      <w:tr w14:paraId="4331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0D131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-18</w:t>
            </w:r>
          </w:p>
        </w:tc>
        <w:tc>
          <w:tcPr>
            <w:tcW w:w="1832" w:type="dxa"/>
            <w:noWrap w:val="0"/>
            <w:vAlign w:val="center"/>
          </w:tcPr>
          <w:p w14:paraId="5D9E34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0.509</w:t>
            </w:r>
          </w:p>
        </w:tc>
        <w:tc>
          <w:tcPr>
            <w:tcW w:w="1834" w:type="dxa"/>
            <w:noWrap w:val="0"/>
            <w:vAlign w:val="center"/>
          </w:tcPr>
          <w:p w14:paraId="31EDFE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0.485</w:t>
            </w:r>
          </w:p>
        </w:tc>
        <w:tc>
          <w:tcPr>
            <w:tcW w:w="1834" w:type="dxa"/>
            <w:noWrap w:val="0"/>
            <w:vAlign w:val="center"/>
          </w:tcPr>
          <w:p w14:paraId="18EFE0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4.67</w:t>
            </w:r>
          </w:p>
        </w:tc>
        <w:tc>
          <w:tcPr>
            <w:tcW w:w="1836" w:type="dxa"/>
            <w:noWrap w:val="0"/>
            <w:vAlign w:val="center"/>
          </w:tcPr>
          <w:p w14:paraId="65BA10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4.86</w:t>
            </w:r>
          </w:p>
        </w:tc>
      </w:tr>
      <w:tr w14:paraId="03937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4FE498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-17</w:t>
            </w:r>
          </w:p>
        </w:tc>
        <w:tc>
          <w:tcPr>
            <w:tcW w:w="1832" w:type="dxa"/>
            <w:noWrap w:val="0"/>
            <w:vAlign w:val="center"/>
          </w:tcPr>
          <w:p w14:paraId="4AD166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0.595</w:t>
            </w:r>
          </w:p>
        </w:tc>
        <w:tc>
          <w:tcPr>
            <w:tcW w:w="1834" w:type="dxa"/>
            <w:noWrap w:val="0"/>
            <w:vAlign w:val="center"/>
          </w:tcPr>
          <w:p w14:paraId="44913A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0.575</w:t>
            </w:r>
          </w:p>
        </w:tc>
        <w:tc>
          <w:tcPr>
            <w:tcW w:w="1834" w:type="dxa"/>
            <w:noWrap w:val="0"/>
            <w:vAlign w:val="center"/>
          </w:tcPr>
          <w:p w14:paraId="264043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5.24</w:t>
            </w:r>
          </w:p>
        </w:tc>
        <w:tc>
          <w:tcPr>
            <w:tcW w:w="1836" w:type="dxa"/>
            <w:noWrap w:val="0"/>
            <w:vAlign w:val="center"/>
          </w:tcPr>
          <w:p w14:paraId="5999D0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5.50</w:t>
            </w:r>
          </w:p>
        </w:tc>
      </w:tr>
      <w:tr w14:paraId="35C46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4988C1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-16</w:t>
            </w:r>
          </w:p>
        </w:tc>
        <w:tc>
          <w:tcPr>
            <w:tcW w:w="1832" w:type="dxa"/>
            <w:noWrap w:val="0"/>
            <w:vAlign w:val="center"/>
          </w:tcPr>
          <w:p w14:paraId="220CE2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0.698</w:t>
            </w:r>
          </w:p>
        </w:tc>
        <w:tc>
          <w:tcPr>
            <w:tcW w:w="1834" w:type="dxa"/>
            <w:noWrap w:val="0"/>
            <w:vAlign w:val="center"/>
          </w:tcPr>
          <w:p w14:paraId="2DC496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0.686</w:t>
            </w:r>
          </w:p>
        </w:tc>
        <w:tc>
          <w:tcPr>
            <w:tcW w:w="1834" w:type="dxa"/>
            <w:noWrap w:val="0"/>
            <w:vAlign w:val="center"/>
          </w:tcPr>
          <w:p w14:paraId="50CC13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5.91</w:t>
            </w:r>
          </w:p>
        </w:tc>
        <w:tc>
          <w:tcPr>
            <w:tcW w:w="1836" w:type="dxa"/>
            <w:noWrap w:val="0"/>
            <w:vAlign w:val="center"/>
          </w:tcPr>
          <w:p w14:paraId="23C2C0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6.25</w:t>
            </w:r>
          </w:p>
        </w:tc>
      </w:tr>
      <w:tr w14:paraId="7804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47BE02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-15</w:t>
            </w:r>
          </w:p>
        </w:tc>
        <w:tc>
          <w:tcPr>
            <w:tcW w:w="1832" w:type="dxa"/>
            <w:noWrap w:val="0"/>
            <w:vAlign w:val="center"/>
          </w:tcPr>
          <w:p w14:paraId="7157EF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0.823</w:t>
            </w:r>
          </w:p>
        </w:tc>
        <w:tc>
          <w:tcPr>
            <w:tcW w:w="1834" w:type="dxa"/>
            <w:noWrap w:val="0"/>
            <w:vAlign w:val="center"/>
          </w:tcPr>
          <w:p w14:paraId="3FE037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0.824</w:t>
            </w:r>
          </w:p>
        </w:tc>
        <w:tc>
          <w:tcPr>
            <w:tcW w:w="1834" w:type="dxa"/>
            <w:noWrap w:val="0"/>
            <w:vAlign w:val="center"/>
          </w:tcPr>
          <w:p w14:paraId="6E3ED0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6.72</w:t>
            </w:r>
          </w:p>
        </w:tc>
        <w:tc>
          <w:tcPr>
            <w:tcW w:w="1836" w:type="dxa"/>
            <w:noWrap w:val="0"/>
            <w:vAlign w:val="center"/>
          </w:tcPr>
          <w:p w14:paraId="032DF9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7.17</w:t>
            </w:r>
          </w:p>
        </w:tc>
      </w:tr>
      <w:tr w14:paraId="442C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AA37A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-14</w:t>
            </w:r>
          </w:p>
        </w:tc>
        <w:tc>
          <w:tcPr>
            <w:tcW w:w="1832" w:type="dxa"/>
            <w:noWrap w:val="0"/>
            <w:vAlign w:val="center"/>
          </w:tcPr>
          <w:p w14:paraId="690F54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0.971</w:t>
            </w:r>
          </w:p>
        </w:tc>
        <w:tc>
          <w:tcPr>
            <w:tcW w:w="1834" w:type="dxa"/>
            <w:noWrap w:val="0"/>
            <w:vAlign w:val="center"/>
          </w:tcPr>
          <w:p w14:paraId="72A850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0.995</w:t>
            </w:r>
          </w:p>
        </w:tc>
        <w:tc>
          <w:tcPr>
            <w:tcW w:w="1834" w:type="dxa"/>
            <w:noWrap w:val="0"/>
            <w:vAlign w:val="center"/>
          </w:tcPr>
          <w:p w14:paraId="5B8149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7.68</w:t>
            </w:r>
          </w:p>
        </w:tc>
        <w:tc>
          <w:tcPr>
            <w:tcW w:w="1836" w:type="dxa"/>
            <w:noWrap w:val="0"/>
            <w:vAlign w:val="center"/>
          </w:tcPr>
          <w:p w14:paraId="1F3C15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8.30</w:t>
            </w:r>
          </w:p>
        </w:tc>
      </w:tr>
      <w:tr w14:paraId="3B1FE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2F8C2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-13</w:t>
            </w:r>
          </w:p>
        </w:tc>
        <w:tc>
          <w:tcPr>
            <w:tcW w:w="1832" w:type="dxa"/>
            <w:noWrap w:val="0"/>
            <w:vAlign w:val="center"/>
          </w:tcPr>
          <w:p w14:paraId="440C5F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1.146</w:t>
            </w:r>
          </w:p>
        </w:tc>
        <w:tc>
          <w:tcPr>
            <w:tcW w:w="1834" w:type="dxa"/>
            <w:noWrap w:val="0"/>
            <w:vAlign w:val="center"/>
          </w:tcPr>
          <w:p w14:paraId="69CC61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1.207</w:t>
            </w:r>
          </w:p>
        </w:tc>
        <w:tc>
          <w:tcPr>
            <w:tcW w:w="1834" w:type="dxa"/>
            <w:noWrap w:val="0"/>
            <w:vAlign w:val="center"/>
          </w:tcPr>
          <w:p w14:paraId="6E3508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8.83</w:t>
            </w:r>
          </w:p>
        </w:tc>
        <w:tc>
          <w:tcPr>
            <w:tcW w:w="1836" w:type="dxa"/>
            <w:noWrap w:val="0"/>
            <w:vAlign w:val="center"/>
          </w:tcPr>
          <w:p w14:paraId="67BD6B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9.69</w:t>
            </w:r>
          </w:p>
        </w:tc>
      </w:tr>
      <w:tr w14:paraId="4F068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0327B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-12</w:t>
            </w:r>
          </w:p>
        </w:tc>
        <w:tc>
          <w:tcPr>
            <w:tcW w:w="1832" w:type="dxa"/>
            <w:noWrap w:val="0"/>
            <w:vAlign w:val="center"/>
          </w:tcPr>
          <w:p w14:paraId="0B494D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1.345</w:t>
            </w:r>
          </w:p>
        </w:tc>
        <w:tc>
          <w:tcPr>
            <w:tcW w:w="1834" w:type="dxa"/>
            <w:noWrap w:val="0"/>
            <w:vAlign w:val="center"/>
          </w:tcPr>
          <w:p w14:paraId="650567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1.464</w:t>
            </w:r>
          </w:p>
        </w:tc>
        <w:tc>
          <w:tcPr>
            <w:tcW w:w="1834" w:type="dxa"/>
            <w:noWrap w:val="0"/>
            <w:vAlign w:val="center"/>
          </w:tcPr>
          <w:p w14:paraId="0AAB1E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10.19</w:t>
            </w:r>
          </w:p>
        </w:tc>
        <w:tc>
          <w:tcPr>
            <w:tcW w:w="1836" w:type="dxa"/>
            <w:noWrap w:val="0"/>
            <w:vAlign w:val="center"/>
          </w:tcPr>
          <w:p w14:paraId="1246C9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11.41</w:t>
            </w:r>
          </w:p>
        </w:tc>
      </w:tr>
      <w:tr w14:paraId="5792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0358D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-11</w:t>
            </w:r>
          </w:p>
        </w:tc>
        <w:tc>
          <w:tcPr>
            <w:tcW w:w="1832" w:type="dxa"/>
            <w:noWrap w:val="0"/>
            <w:vAlign w:val="center"/>
          </w:tcPr>
          <w:p w14:paraId="72AF54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1.564</w:t>
            </w:r>
          </w:p>
        </w:tc>
        <w:tc>
          <w:tcPr>
            <w:tcW w:w="1834" w:type="dxa"/>
            <w:noWrap w:val="0"/>
            <w:vAlign w:val="center"/>
          </w:tcPr>
          <w:p w14:paraId="22AB95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1.766</w:t>
            </w:r>
          </w:p>
        </w:tc>
        <w:tc>
          <w:tcPr>
            <w:tcW w:w="1834" w:type="dxa"/>
            <w:noWrap w:val="0"/>
            <w:vAlign w:val="center"/>
          </w:tcPr>
          <w:p w14:paraId="7B583E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11.79</w:t>
            </w:r>
          </w:p>
        </w:tc>
        <w:tc>
          <w:tcPr>
            <w:tcW w:w="1836" w:type="dxa"/>
            <w:noWrap w:val="0"/>
            <w:vAlign w:val="center"/>
          </w:tcPr>
          <w:p w14:paraId="5F2081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13.51</w:t>
            </w:r>
          </w:p>
        </w:tc>
      </w:tr>
      <w:tr w14:paraId="0D53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6A270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-10</w:t>
            </w:r>
          </w:p>
        </w:tc>
        <w:tc>
          <w:tcPr>
            <w:tcW w:w="1832" w:type="dxa"/>
            <w:noWrap w:val="0"/>
            <w:vAlign w:val="center"/>
          </w:tcPr>
          <w:p w14:paraId="0DAE3F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1.783</w:t>
            </w:r>
          </w:p>
        </w:tc>
        <w:tc>
          <w:tcPr>
            <w:tcW w:w="1834" w:type="dxa"/>
            <w:noWrap w:val="0"/>
            <w:vAlign w:val="center"/>
          </w:tcPr>
          <w:p w14:paraId="41F0E4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2.097</w:t>
            </w:r>
          </w:p>
        </w:tc>
        <w:tc>
          <w:tcPr>
            <w:tcW w:w="1834" w:type="dxa"/>
            <w:noWrap w:val="0"/>
            <w:vAlign w:val="center"/>
          </w:tcPr>
          <w:p w14:paraId="55E5CB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13.61</w:t>
            </w:r>
          </w:p>
        </w:tc>
        <w:tc>
          <w:tcPr>
            <w:tcW w:w="1836" w:type="dxa"/>
            <w:noWrap w:val="0"/>
            <w:vAlign w:val="center"/>
          </w:tcPr>
          <w:p w14:paraId="686533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16.03</w:t>
            </w:r>
          </w:p>
        </w:tc>
      </w:tr>
      <w:tr w14:paraId="1C56F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F4514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-9</w:t>
            </w:r>
          </w:p>
        </w:tc>
        <w:tc>
          <w:tcPr>
            <w:tcW w:w="1832" w:type="dxa"/>
            <w:noWrap w:val="0"/>
            <w:vAlign w:val="center"/>
          </w:tcPr>
          <w:p w14:paraId="77180A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1.973</w:t>
            </w:r>
          </w:p>
        </w:tc>
        <w:tc>
          <w:tcPr>
            <w:tcW w:w="1834" w:type="dxa"/>
            <w:noWrap w:val="0"/>
            <w:vAlign w:val="center"/>
          </w:tcPr>
          <w:p w14:paraId="594212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2.418</w:t>
            </w:r>
          </w:p>
        </w:tc>
        <w:tc>
          <w:tcPr>
            <w:tcW w:w="1834" w:type="dxa"/>
            <w:noWrap w:val="0"/>
            <w:vAlign w:val="center"/>
          </w:tcPr>
          <w:p w14:paraId="66A587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15.57</w:t>
            </w:r>
          </w:p>
        </w:tc>
        <w:tc>
          <w:tcPr>
            <w:tcW w:w="1836" w:type="dxa"/>
            <w:noWrap w:val="0"/>
            <w:vAlign w:val="center"/>
          </w:tcPr>
          <w:p w14:paraId="4C727A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18.89</w:t>
            </w:r>
          </w:p>
        </w:tc>
      </w:tr>
      <w:tr w14:paraId="4318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2AA22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-8</w:t>
            </w:r>
          </w:p>
        </w:tc>
        <w:tc>
          <w:tcPr>
            <w:tcW w:w="1832" w:type="dxa"/>
            <w:noWrap w:val="0"/>
            <w:vAlign w:val="center"/>
          </w:tcPr>
          <w:p w14:paraId="6D6E85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2.092</w:t>
            </w:r>
          </w:p>
        </w:tc>
        <w:tc>
          <w:tcPr>
            <w:tcW w:w="1834" w:type="dxa"/>
            <w:noWrap w:val="0"/>
            <w:vAlign w:val="center"/>
          </w:tcPr>
          <w:p w14:paraId="6B3511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2.654</w:t>
            </w:r>
          </w:p>
        </w:tc>
        <w:tc>
          <w:tcPr>
            <w:tcW w:w="1834" w:type="dxa"/>
            <w:noWrap w:val="0"/>
            <w:vAlign w:val="center"/>
          </w:tcPr>
          <w:p w14:paraId="5A1557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17.53</w:t>
            </w:r>
          </w:p>
        </w:tc>
        <w:tc>
          <w:tcPr>
            <w:tcW w:w="1836" w:type="dxa"/>
            <w:noWrap w:val="0"/>
            <w:vAlign w:val="center"/>
          </w:tcPr>
          <w:p w14:paraId="3272F3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21.83</w:t>
            </w:r>
          </w:p>
        </w:tc>
      </w:tr>
      <w:tr w14:paraId="3984F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 w:type="pct"/>
            <w:noWrap w:val="0"/>
            <w:vAlign w:val="center"/>
          </w:tcPr>
          <w:p w14:paraId="4D51DE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-7</w:t>
            </w:r>
          </w:p>
        </w:tc>
        <w:tc>
          <w:tcPr>
            <w:tcW w:w="1832" w:type="dxa"/>
            <w:noWrap w:val="0"/>
            <w:vAlign w:val="center"/>
          </w:tcPr>
          <w:p w14:paraId="3864F4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2.103</w:t>
            </w:r>
          </w:p>
        </w:tc>
        <w:tc>
          <w:tcPr>
            <w:tcW w:w="1834" w:type="dxa"/>
            <w:noWrap w:val="0"/>
            <w:vAlign w:val="center"/>
          </w:tcPr>
          <w:p w14:paraId="1C94B3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2.717</w:t>
            </w:r>
          </w:p>
        </w:tc>
        <w:tc>
          <w:tcPr>
            <w:tcW w:w="1834" w:type="dxa"/>
            <w:noWrap w:val="0"/>
            <w:vAlign w:val="center"/>
          </w:tcPr>
          <w:p w14:paraId="04825E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19.28</w:t>
            </w:r>
          </w:p>
        </w:tc>
        <w:tc>
          <w:tcPr>
            <w:tcW w:w="1836" w:type="dxa"/>
            <w:noWrap w:val="0"/>
            <w:vAlign w:val="center"/>
          </w:tcPr>
          <w:p w14:paraId="4283F7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24.40</w:t>
            </w:r>
          </w:p>
        </w:tc>
      </w:tr>
      <w:tr w14:paraId="727D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 w:type="pct"/>
            <w:noWrap w:val="0"/>
            <w:vAlign w:val="center"/>
          </w:tcPr>
          <w:p w14:paraId="140558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-6</w:t>
            </w:r>
          </w:p>
        </w:tc>
        <w:tc>
          <w:tcPr>
            <w:tcW w:w="1832" w:type="dxa"/>
            <w:noWrap w:val="0"/>
            <w:vAlign w:val="center"/>
          </w:tcPr>
          <w:p w14:paraId="345C17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1.995</w:t>
            </w:r>
          </w:p>
        </w:tc>
        <w:tc>
          <w:tcPr>
            <w:tcW w:w="1834" w:type="dxa"/>
            <w:noWrap w:val="0"/>
            <w:vAlign w:val="center"/>
          </w:tcPr>
          <w:p w14:paraId="296036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2.571</w:t>
            </w:r>
          </w:p>
        </w:tc>
        <w:tc>
          <w:tcPr>
            <w:tcW w:w="1834" w:type="dxa"/>
            <w:noWrap w:val="0"/>
            <w:vAlign w:val="center"/>
          </w:tcPr>
          <w:p w14:paraId="6A003B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20.65</w:t>
            </w:r>
          </w:p>
        </w:tc>
        <w:tc>
          <w:tcPr>
            <w:tcW w:w="1836" w:type="dxa"/>
            <w:noWrap w:val="0"/>
            <w:vAlign w:val="center"/>
          </w:tcPr>
          <w:p w14:paraId="78430B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26.19</w:t>
            </w:r>
          </w:p>
        </w:tc>
      </w:tr>
      <w:tr w14:paraId="0A0EF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53E2A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-5</w:t>
            </w:r>
          </w:p>
        </w:tc>
        <w:tc>
          <w:tcPr>
            <w:tcW w:w="1832" w:type="dxa"/>
            <w:noWrap w:val="0"/>
            <w:vAlign w:val="center"/>
          </w:tcPr>
          <w:p w14:paraId="09A70E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1.809</w:t>
            </w:r>
          </w:p>
        </w:tc>
        <w:tc>
          <w:tcPr>
            <w:tcW w:w="1834" w:type="dxa"/>
            <w:noWrap w:val="0"/>
            <w:vAlign w:val="center"/>
          </w:tcPr>
          <w:p w14:paraId="625210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2.286</w:t>
            </w:r>
          </w:p>
        </w:tc>
        <w:tc>
          <w:tcPr>
            <w:tcW w:w="1834" w:type="dxa"/>
            <w:noWrap w:val="0"/>
            <w:vAlign w:val="center"/>
          </w:tcPr>
          <w:p w14:paraId="01D242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21.59</w:t>
            </w:r>
          </w:p>
        </w:tc>
        <w:tc>
          <w:tcPr>
            <w:tcW w:w="1836" w:type="dxa"/>
            <w:noWrap w:val="0"/>
            <w:vAlign w:val="center"/>
          </w:tcPr>
          <w:p w14:paraId="2E5616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27.17</w:t>
            </w:r>
          </w:p>
        </w:tc>
      </w:tr>
      <w:tr w14:paraId="53CD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AC3B2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-4</w:t>
            </w:r>
          </w:p>
        </w:tc>
        <w:tc>
          <w:tcPr>
            <w:tcW w:w="1832" w:type="dxa"/>
            <w:noWrap w:val="0"/>
            <w:vAlign w:val="center"/>
          </w:tcPr>
          <w:p w14:paraId="684932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1.626</w:t>
            </w:r>
          </w:p>
        </w:tc>
        <w:tc>
          <w:tcPr>
            <w:tcW w:w="1834" w:type="dxa"/>
            <w:noWrap w:val="0"/>
            <w:vAlign w:val="center"/>
          </w:tcPr>
          <w:p w14:paraId="2A8E27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2.016</w:t>
            </w:r>
          </w:p>
        </w:tc>
        <w:tc>
          <w:tcPr>
            <w:tcW w:w="1834" w:type="dxa"/>
            <w:noWrap w:val="0"/>
            <w:vAlign w:val="center"/>
          </w:tcPr>
          <w:p w14:paraId="11CF68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22.18</w:t>
            </w:r>
          </w:p>
        </w:tc>
        <w:tc>
          <w:tcPr>
            <w:tcW w:w="1836" w:type="dxa"/>
            <w:noWrap w:val="0"/>
            <w:vAlign w:val="center"/>
          </w:tcPr>
          <w:p w14:paraId="4F7159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27.63</w:t>
            </w:r>
          </w:p>
        </w:tc>
      </w:tr>
      <w:tr w14:paraId="7979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0304F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w:t>
            </w:r>
          </w:p>
        </w:tc>
        <w:tc>
          <w:tcPr>
            <w:tcW w:w="1832" w:type="dxa"/>
            <w:noWrap w:val="0"/>
            <w:vAlign w:val="center"/>
          </w:tcPr>
          <w:p w14:paraId="5824CA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1.532</w:t>
            </w:r>
          </w:p>
        </w:tc>
        <w:tc>
          <w:tcPr>
            <w:tcW w:w="1834" w:type="dxa"/>
            <w:noWrap w:val="0"/>
            <w:vAlign w:val="center"/>
          </w:tcPr>
          <w:p w14:paraId="5AAD5D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1.919</w:t>
            </w:r>
          </w:p>
        </w:tc>
        <w:tc>
          <w:tcPr>
            <w:tcW w:w="1834" w:type="dxa"/>
            <w:noWrap w:val="0"/>
            <w:vAlign w:val="center"/>
          </w:tcPr>
          <w:p w14:paraId="10E337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22.56</w:t>
            </w:r>
          </w:p>
        </w:tc>
        <w:tc>
          <w:tcPr>
            <w:tcW w:w="1836" w:type="dxa"/>
            <w:noWrap w:val="0"/>
            <w:vAlign w:val="center"/>
          </w:tcPr>
          <w:p w14:paraId="3EFF35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27.91</w:t>
            </w:r>
          </w:p>
        </w:tc>
      </w:tr>
      <w:tr w14:paraId="0008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817EF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w:t>
            </w:r>
          </w:p>
        </w:tc>
        <w:tc>
          <w:tcPr>
            <w:tcW w:w="1832" w:type="dxa"/>
            <w:noWrap w:val="0"/>
            <w:vAlign w:val="center"/>
          </w:tcPr>
          <w:p w14:paraId="663786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1.551</w:t>
            </w:r>
          </w:p>
        </w:tc>
        <w:tc>
          <w:tcPr>
            <w:tcW w:w="1834" w:type="dxa"/>
            <w:noWrap w:val="0"/>
            <w:vAlign w:val="center"/>
          </w:tcPr>
          <w:p w14:paraId="648721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2.027</w:t>
            </w:r>
          </w:p>
        </w:tc>
        <w:tc>
          <w:tcPr>
            <w:tcW w:w="1834" w:type="dxa"/>
            <w:noWrap w:val="0"/>
            <w:vAlign w:val="center"/>
          </w:tcPr>
          <w:p w14:paraId="4FED57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22.82</w:t>
            </w:r>
          </w:p>
        </w:tc>
        <w:tc>
          <w:tcPr>
            <w:tcW w:w="1836" w:type="dxa"/>
            <w:noWrap w:val="0"/>
            <w:vAlign w:val="center"/>
          </w:tcPr>
          <w:p w14:paraId="096A1A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28.21</w:t>
            </w:r>
          </w:p>
        </w:tc>
      </w:tr>
      <w:tr w14:paraId="17C65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468944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w:t>
            </w:r>
          </w:p>
        </w:tc>
        <w:tc>
          <w:tcPr>
            <w:tcW w:w="1832" w:type="dxa"/>
            <w:noWrap w:val="0"/>
            <w:vAlign w:val="center"/>
          </w:tcPr>
          <w:p w14:paraId="1AB54E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1.620</w:t>
            </w:r>
          </w:p>
        </w:tc>
        <w:tc>
          <w:tcPr>
            <w:tcW w:w="1834" w:type="dxa"/>
            <w:noWrap w:val="0"/>
            <w:vAlign w:val="center"/>
          </w:tcPr>
          <w:p w14:paraId="2695EA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2.207</w:t>
            </w:r>
          </w:p>
        </w:tc>
        <w:tc>
          <w:tcPr>
            <w:tcW w:w="1834" w:type="dxa"/>
            <w:noWrap w:val="0"/>
            <w:vAlign w:val="center"/>
          </w:tcPr>
          <w:p w14:paraId="67CDF6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22.99</w:t>
            </w:r>
          </w:p>
        </w:tc>
        <w:tc>
          <w:tcPr>
            <w:tcW w:w="1836" w:type="dxa"/>
            <w:noWrap w:val="0"/>
            <w:vAlign w:val="center"/>
          </w:tcPr>
          <w:p w14:paraId="1E577C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28.50</w:t>
            </w:r>
          </w:p>
        </w:tc>
      </w:tr>
      <w:tr w14:paraId="3DDF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71C56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0</w:t>
            </w:r>
          </w:p>
        </w:tc>
        <w:tc>
          <w:tcPr>
            <w:tcW w:w="1832" w:type="dxa"/>
            <w:noWrap w:val="0"/>
            <w:vAlign w:val="center"/>
          </w:tcPr>
          <w:p w14:paraId="39C567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1.655</w:t>
            </w:r>
          </w:p>
        </w:tc>
        <w:tc>
          <w:tcPr>
            <w:tcW w:w="1834" w:type="dxa"/>
            <w:noWrap w:val="0"/>
            <w:vAlign w:val="center"/>
          </w:tcPr>
          <w:p w14:paraId="45FB3C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2.290</w:t>
            </w:r>
          </w:p>
        </w:tc>
        <w:tc>
          <w:tcPr>
            <w:tcW w:w="1834" w:type="dxa"/>
            <w:noWrap w:val="0"/>
            <w:vAlign w:val="center"/>
          </w:tcPr>
          <w:p w14:paraId="7FC7F6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23.06</w:t>
            </w:r>
          </w:p>
        </w:tc>
        <w:tc>
          <w:tcPr>
            <w:tcW w:w="1836" w:type="dxa"/>
            <w:noWrap w:val="0"/>
            <w:vAlign w:val="center"/>
          </w:tcPr>
          <w:p w14:paraId="788E68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28.63</w:t>
            </w:r>
          </w:p>
        </w:tc>
      </w:tr>
      <w:tr w14:paraId="74832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EA472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w:t>
            </w:r>
          </w:p>
        </w:tc>
        <w:tc>
          <w:tcPr>
            <w:tcW w:w="1832" w:type="dxa"/>
            <w:noWrap w:val="0"/>
            <w:vAlign w:val="center"/>
          </w:tcPr>
          <w:p w14:paraId="2F4467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1.620</w:t>
            </w:r>
          </w:p>
        </w:tc>
        <w:tc>
          <w:tcPr>
            <w:tcW w:w="1834" w:type="dxa"/>
            <w:noWrap w:val="0"/>
            <w:vAlign w:val="center"/>
          </w:tcPr>
          <w:p w14:paraId="4D0616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2.207</w:t>
            </w:r>
          </w:p>
        </w:tc>
        <w:tc>
          <w:tcPr>
            <w:tcW w:w="1834" w:type="dxa"/>
            <w:noWrap w:val="0"/>
            <w:vAlign w:val="center"/>
          </w:tcPr>
          <w:p w14:paraId="609F6A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22.99</w:t>
            </w:r>
          </w:p>
        </w:tc>
        <w:tc>
          <w:tcPr>
            <w:tcW w:w="1836" w:type="dxa"/>
            <w:noWrap w:val="0"/>
            <w:vAlign w:val="center"/>
          </w:tcPr>
          <w:p w14:paraId="4D6487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28.50</w:t>
            </w:r>
          </w:p>
        </w:tc>
      </w:tr>
      <w:tr w14:paraId="588B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9F5FD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w:t>
            </w:r>
          </w:p>
        </w:tc>
        <w:tc>
          <w:tcPr>
            <w:tcW w:w="1832" w:type="dxa"/>
            <w:noWrap w:val="0"/>
            <w:vAlign w:val="center"/>
          </w:tcPr>
          <w:p w14:paraId="6EB19F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1.551</w:t>
            </w:r>
          </w:p>
        </w:tc>
        <w:tc>
          <w:tcPr>
            <w:tcW w:w="1834" w:type="dxa"/>
            <w:noWrap w:val="0"/>
            <w:vAlign w:val="center"/>
          </w:tcPr>
          <w:p w14:paraId="34E858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2.027</w:t>
            </w:r>
          </w:p>
        </w:tc>
        <w:tc>
          <w:tcPr>
            <w:tcW w:w="1834" w:type="dxa"/>
            <w:noWrap w:val="0"/>
            <w:vAlign w:val="center"/>
          </w:tcPr>
          <w:p w14:paraId="310E8F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22.82</w:t>
            </w:r>
          </w:p>
        </w:tc>
        <w:tc>
          <w:tcPr>
            <w:tcW w:w="1836" w:type="dxa"/>
            <w:noWrap w:val="0"/>
            <w:vAlign w:val="center"/>
          </w:tcPr>
          <w:p w14:paraId="447850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28.21</w:t>
            </w:r>
          </w:p>
        </w:tc>
      </w:tr>
      <w:tr w14:paraId="762CA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086F5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w:t>
            </w:r>
          </w:p>
        </w:tc>
        <w:tc>
          <w:tcPr>
            <w:tcW w:w="1832" w:type="dxa"/>
            <w:noWrap w:val="0"/>
            <w:vAlign w:val="center"/>
          </w:tcPr>
          <w:p w14:paraId="1D6356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1.532</w:t>
            </w:r>
          </w:p>
        </w:tc>
        <w:tc>
          <w:tcPr>
            <w:tcW w:w="1834" w:type="dxa"/>
            <w:noWrap w:val="0"/>
            <w:vAlign w:val="center"/>
          </w:tcPr>
          <w:p w14:paraId="6FF7DC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1.919</w:t>
            </w:r>
          </w:p>
        </w:tc>
        <w:tc>
          <w:tcPr>
            <w:tcW w:w="1834" w:type="dxa"/>
            <w:noWrap w:val="0"/>
            <w:vAlign w:val="center"/>
          </w:tcPr>
          <w:p w14:paraId="3DB726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22.56</w:t>
            </w:r>
          </w:p>
        </w:tc>
        <w:tc>
          <w:tcPr>
            <w:tcW w:w="1836" w:type="dxa"/>
            <w:noWrap w:val="0"/>
            <w:vAlign w:val="center"/>
          </w:tcPr>
          <w:p w14:paraId="789B6B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27.91</w:t>
            </w:r>
          </w:p>
        </w:tc>
      </w:tr>
      <w:tr w14:paraId="7DD71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46B932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4</w:t>
            </w:r>
          </w:p>
        </w:tc>
        <w:tc>
          <w:tcPr>
            <w:tcW w:w="1832" w:type="dxa"/>
            <w:noWrap w:val="0"/>
            <w:vAlign w:val="center"/>
          </w:tcPr>
          <w:p w14:paraId="4F89CF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1.626</w:t>
            </w:r>
          </w:p>
        </w:tc>
        <w:tc>
          <w:tcPr>
            <w:tcW w:w="1834" w:type="dxa"/>
            <w:noWrap w:val="0"/>
            <w:vAlign w:val="center"/>
          </w:tcPr>
          <w:p w14:paraId="5F2BF4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2.016</w:t>
            </w:r>
          </w:p>
        </w:tc>
        <w:tc>
          <w:tcPr>
            <w:tcW w:w="1834" w:type="dxa"/>
            <w:noWrap w:val="0"/>
            <w:vAlign w:val="center"/>
          </w:tcPr>
          <w:p w14:paraId="50D824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22.18</w:t>
            </w:r>
          </w:p>
        </w:tc>
        <w:tc>
          <w:tcPr>
            <w:tcW w:w="1836" w:type="dxa"/>
            <w:noWrap w:val="0"/>
            <w:vAlign w:val="center"/>
          </w:tcPr>
          <w:p w14:paraId="47BEB9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27.63</w:t>
            </w:r>
          </w:p>
        </w:tc>
      </w:tr>
      <w:tr w14:paraId="63A5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FB051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5</w:t>
            </w:r>
          </w:p>
        </w:tc>
        <w:tc>
          <w:tcPr>
            <w:tcW w:w="1832" w:type="dxa"/>
            <w:noWrap w:val="0"/>
            <w:vAlign w:val="center"/>
          </w:tcPr>
          <w:p w14:paraId="53A40A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1.809</w:t>
            </w:r>
          </w:p>
        </w:tc>
        <w:tc>
          <w:tcPr>
            <w:tcW w:w="1834" w:type="dxa"/>
            <w:noWrap w:val="0"/>
            <w:vAlign w:val="center"/>
          </w:tcPr>
          <w:p w14:paraId="13445D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2.286</w:t>
            </w:r>
          </w:p>
        </w:tc>
        <w:tc>
          <w:tcPr>
            <w:tcW w:w="1834" w:type="dxa"/>
            <w:noWrap w:val="0"/>
            <w:vAlign w:val="center"/>
          </w:tcPr>
          <w:p w14:paraId="00C16A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21.59</w:t>
            </w:r>
          </w:p>
        </w:tc>
        <w:tc>
          <w:tcPr>
            <w:tcW w:w="1836" w:type="dxa"/>
            <w:noWrap w:val="0"/>
            <w:vAlign w:val="center"/>
          </w:tcPr>
          <w:p w14:paraId="628ABD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27.17</w:t>
            </w:r>
          </w:p>
        </w:tc>
      </w:tr>
      <w:tr w14:paraId="2D70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30118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6</w:t>
            </w:r>
          </w:p>
        </w:tc>
        <w:tc>
          <w:tcPr>
            <w:tcW w:w="1832" w:type="dxa"/>
            <w:noWrap w:val="0"/>
            <w:vAlign w:val="center"/>
          </w:tcPr>
          <w:p w14:paraId="50F753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1.995</w:t>
            </w:r>
          </w:p>
        </w:tc>
        <w:tc>
          <w:tcPr>
            <w:tcW w:w="1834" w:type="dxa"/>
            <w:noWrap w:val="0"/>
            <w:vAlign w:val="center"/>
          </w:tcPr>
          <w:p w14:paraId="7487D3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2.571</w:t>
            </w:r>
          </w:p>
        </w:tc>
        <w:tc>
          <w:tcPr>
            <w:tcW w:w="1834" w:type="dxa"/>
            <w:noWrap w:val="0"/>
            <w:vAlign w:val="center"/>
          </w:tcPr>
          <w:p w14:paraId="67904C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20.65</w:t>
            </w:r>
          </w:p>
        </w:tc>
        <w:tc>
          <w:tcPr>
            <w:tcW w:w="1836" w:type="dxa"/>
            <w:noWrap w:val="0"/>
            <w:vAlign w:val="center"/>
          </w:tcPr>
          <w:p w14:paraId="37BDC8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26.19</w:t>
            </w:r>
          </w:p>
        </w:tc>
      </w:tr>
      <w:tr w14:paraId="1F46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65EEA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7</w:t>
            </w:r>
          </w:p>
        </w:tc>
        <w:tc>
          <w:tcPr>
            <w:tcW w:w="1832" w:type="dxa"/>
            <w:noWrap w:val="0"/>
            <w:vAlign w:val="center"/>
          </w:tcPr>
          <w:p w14:paraId="43D4EE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2.103</w:t>
            </w:r>
          </w:p>
        </w:tc>
        <w:tc>
          <w:tcPr>
            <w:tcW w:w="1834" w:type="dxa"/>
            <w:noWrap w:val="0"/>
            <w:vAlign w:val="center"/>
          </w:tcPr>
          <w:p w14:paraId="2D4A31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2.717</w:t>
            </w:r>
          </w:p>
        </w:tc>
        <w:tc>
          <w:tcPr>
            <w:tcW w:w="1834" w:type="dxa"/>
            <w:noWrap w:val="0"/>
            <w:vAlign w:val="center"/>
          </w:tcPr>
          <w:p w14:paraId="464943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19.28</w:t>
            </w:r>
          </w:p>
        </w:tc>
        <w:tc>
          <w:tcPr>
            <w:tcW w:w="1836" w:type="dxa"/>
            <w:noWrap w:val="0"/>
            <w:vAlign w:val="center"/>
          </w:tcPr>
          <w:p w14:paraId="1C7DFF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24.40</w:t>
            </w:r>
          </w:p>
        </w:tc>
      </w:tr>
      <w:tr w14:paraId="237C9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6BC3A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8</w:t>
            </w:r>
          </w:p>
        </w:tc>
        <w:tc>
          <w:tcPr>
            <w:tcW w:w="1832" w:type="dxa"/>
            <w:noWrap w:val="0"/>
            <w:vAlign w:val="center"/>
          </w:tcPr>
          <w:p w14:paraId="0860A4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2.092</w:t>
            </w:r>
          </w:p>
        </w:tc>
        <w:tc>
          <w:tcPr>
            <w:tcW w:w="1834" w:type="dxa"/>
            <w:noWrap w:val="0"/>
            <w:vAlign w:val="center"/>
          </w:tcPr>
          <w:p w14:paraId="28EB08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2.654</w:t>
            </w:r>
          </w:p>
        </w:tc>
        <w:tc>
          <w:tcPr>
            <w:tcW w:w="1834" w:type="dxa"/>
            <w:noWrap w:val="0"/>
            <w:vAlign w:val="center"/>
          </w:tcPr>
          <w:p w14:paraId="2FC3F3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17.53</w:t>
            </w:r>
          </w:p>
        </w:tc>
        <w:tc>
          <w:tcPr>
            <w:tcW w:w="1836" w:type="dxa"/>
            <w:noWrap w:val="0"/>
            <w:vAlign w:val="center"/>
          </w:tcPr>
          <w:p w14:paraId="256FCA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21.83</w:t>
            </w:r>
          </w:p>
        </w:tc>
      </w:tr>
      <w:tr w14:paraId="485E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CA304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9</w:t>
            </w:r>
          </w:p>
        </w:tc>
        <w:tc>
          <w:tcPr>
            <w:tcW w:w="1832" w:type="dxa"/>
            <w:noWrap w:val="0"/>
            <w:vAlign w:val="center"/>
          </w:tcPr>
          <w:p w14:paraId="155AFA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1.973</w:t>
            </w:r>
          </w:p>
        </w:tc>
        <w:tc>
          <w:tcPr>
            <w:tcW w:w="1834" w:type="dxa"/>
            <w:noWrap w:val="0"/>
            <w:vAlign w:val="center"/>
          </w:tcPr>
          <w:p w14:paraId="70B234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2.418</w:t>
            </w:r>
          </w:p>
        </w:tc>
        <w:tc>
          <w:tcPr>
            <w:tcW w:w="1834" w:type="dxa"/>
            <w:noWrap w:val="0"/>
            <w:vAlign w:val="center"/>
          </w:tcPr>
          <w:p w14:paraId="23830A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15.57</w:t>
            </w:r>
          </w:p>
        </w:tc>
        <w:tc>
          <w:tcPr>
            <w:tcW w:w="1836" w:type="dxa"/>
            <w:noWrap w:val="0"/>
            <w:vAlign w:val="center"/>
          </w:tcPr>
          <w:p w14:paraId="426C82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18.89</w:t>
            </w:r>
          </w:p>
        </w:tc>
      </w:tr>
      <w:tr w14:paraId="75EFA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4F6D5A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10</w:t>
            </w:r>
          </w:p>
        </w:tc>
        <w:tc>
          <w:tcPr>
            <w:tcW w:w="1832" w:type="dxa"/>
            <w:noWrap w:val="0"/>
            <w:vAlign w:val="center"/>
          </w:tcPr>
          <w:p w14:paraId="131E9A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1.783</w:t>
            </w:r>
          </w:p>
        </w:tc>
        <w:tc>
          <w:tcPr>
            <w:tcW w:w="1834" w:type="dxa"/>
            <w:noWrap w:val="0"/>
            <w:vAlign w:val="center"/>
          </w:tcPr>
          <w:p w14:paraId="3C03E6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2.097</w:t>
            </w:r>
          </w:p>
        </w:tc>
        <w:tc>
          <w:tcPr>
            <w:tcW w:w="1834" w:type="dxa"/>
            <w:noWrap w:val="0"/>
            <w:vAlign w:val="center"/>
          </w:tcPr>
          <w:p w14:paraId="04E498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13.61</w:t>
            </w:r>
          </w:p>
        </w:tc>
        <w:tc>
          <w:tcPr>
            <w:tcW w:w="1836" w:type="dxa"/>
            <w:noWrap w:val="0"/>
            <w:vAlign w:val="center"/>
          </w:tcPr>
          <w:p w14:paraId="6E335D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16.03</w:t>
            </w:r>
          </w:p>
        </w:tc>
      </w:tr>
      <w:tr w14:paraId="3C414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5B418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11</w:t>
            </w:r>
          </w:p>
        </w:tc>
        <w:tc>
          <w:tcPr>
            <w:tcW w:w="1832" w:type="dxa"/>
            <w:noWrap w:val="0"/>
            <w:vAlign w:val="center"/>
          </w:tcPr>
          <w:p w14:paraId="1F1854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1.564</w:t>
            </w:r>
          </w:p>
        </w:tc>
        <w:tc>
          <w:tcPr>
            <w:tcW w:w="1834" w:type="dxa"/>
            <w:noWrap w:val="0"/>
            <w:vAlign w:val="center"/>
          </w:tcPr>
          <w:p w14:paraId="09B4F0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1.766</w:t>
            </w:r>
          </w:p>
        </w:tc>
        <w:tc>
          <w:tcPr>
            <w:tcW w:w="1834" w:type="dxa"/>
            <w:noWrap w:val="0"/>
            <w:vAlign w:val="center"/>
          </w:tcPr>
          <w:p w14:paraId="428C07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11.79</w:t>
            </w:r>
          </w:p>
        </w:tc>
        <w:tc>
          <w:tcPr>
            <w:tcW w:w="1836" w:type="dxa"/>
            <w:noWrap w:val="0"/>
            <w:vAlign w:val="center"/>
          </w:tcPr>
          <w:p w14:paraId="5499DD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13.51</w:t>
            </w:r>
          </w:p>
        </w:tc>
      </w:tr>
      <w:tr w14:paraId="5F664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D3DC5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12</w:t>
            </w:r>
          </w:p>
        </w:tc>
        <w:tc>
          <w:tcPr>
            <w:tcW w:w="1832" w:type="dxa"/>
            <w:noWrap w:val="0"/>
            <w:vAlign w:val="center"/>
          </w:tcPr>
          <w:p w14:paraId="75DF88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1.345</w:t>
            </w:r>
          </w:p>
        </w:tc>
        <w:tc>
          <w:tcPr>
            <w:tcW w:w="1834" w:type="dxa"/>
            <w:noWrap w:val="0"/>
            <w:vAlign w:val="center"/>
          </w:tcPr>
          <w:p w14:paraId="477CAA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1.464</w:t>
            </w:r>
          </w:p>
        </w:tc>
        <w:tc>
          <w:tcPr>
            <w:tcW w:w="1834" w:type="dxa"/>
            <w:noWrap w:val="0"/>
            <w:vAlign w:val="center"/>
          </w:tcPr>
          <w:p w14:paraId="091B2B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10.19</w:t>
            </w:r>
          </w:p>
        </w:tc>
        <w:tc>
          <w:tcPr>
            <w:tcW w:w="1836" w:type="dxa"/>
            <w:noWrap w:val="0"/>
            <w:vAlign w:val="center"/>
          </w:tcPr>
          <w:p w14:paraId="372B03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11.41</w:t>
            </w:r>
          </w:p>
        </w:tc>
      </w:tr>
      <w:tr w14:paraId="48CD7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D57E1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13</w:t>
            </w:r>
          </w:p>
        </w:tc>
        <w:tc>
          <w:tcPr>
            <w:tcW w:w="1832" w:type="dxa"/>
            <w:noWrap w:val="0"/>
            <w:vAlign w:val="center"/>
          </w:tcPr>
          <w:p w14:paraId="1139D6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1.146</w:t>
            </w:r>
          </w:p>
        </w:tc>
        <w:tc>
          <w:tcPr>
            <w:tcW w:w="1834" w:type="dxa"/>
            <w:noWrap w:val="0"/>
            <w:vAlign w:val="center"/>
          </w:tcPr>
          <w:p w14:paraId="284949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1.207</w:t>
            </w:r>
          </w:p>
        </w:tc>
        <w:tc>
          <w:tcPr>
            <w:tcW w:w="1834" w:type="dxa"/>
            <w:noWrap w:val="0"/>
            <w:vAlign w:val="center"/>
          </w:tcPr>
          <w:p w14:paraId="4BEBFD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8.83</w:t>
            </w:r>
          </w:p>
        </w:tc>
        <w:tc>
          <w:tcPr>
            <w:tcW w:w="1836" w:type="dxa"/>
            <w:noWrap w:val="0"/>
            <w:vAlign w:val="center"/>
          </w:tcPr>
          <w:p w14:paraId="52C94F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9.69</w:t>
            </w:r>
          </w:p>
        </w:tc>
      </w:tr>
      <w:tr w14:paraId="7F33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5CFAA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14</w:t>
            </w:r>
          </w:p>
        </w:tc>
        <w:tc>
          <w:tcPr>
            <w:tcW w:w="1832" w:type="dxa"/>
            <w:noWrap w:val="0"/>
            <w:vAlign w:val="center"/>
          </w:tcPr>
          <w:p w14:paraId="3E0941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0.971</w:t>
            </w:r>
          </w:p>
        </w:tc>
        <w:tc>
          <w:tcPr>
            <w:tcW w:w="1834" w:type="dxa"/>
            <w:noWrap w:val="0"/>
            <w:vAlign w:val="center"/>
          </w:tcPr>
          <w:p w14:paraId="44612E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0.995</w:t>
            </w:r>
          </w:p>
        </w:tc>
        <w:tc>
          <w:tcPr>
            <w:tcW w:w="1834" w:type="dxa"/>
            <w:noWrap w:val="0"/>
            <w:vAlign w:val="center"/>
          </w:tcPr>
          <w:p w14:paraId="4A5AC0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7.68</w:t>
            </w:r>
          </w:p>
        </w:tc>
        <w:tc>
          <w:tcPr>
            <w:tcW w:w="1836" w:type="dxa"/>
            <w:noWrap w:val="0"/>
            <w:vAlign w:val="center"/>
          </w:tcPr>
          <w:p w14:paraId="29B4A1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8.30</w:t>
            </w:r>
          </w:p>
        </w:tc>
      </w:tr>
      <w:tr w14:paraId="7D01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876FE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15</w:t>
            </w:r>
          </w:p>
        </w:tc>
        <w:tc>
          <w:tcPr>
            <w:tcW w:w="1832" w:type="dxa"/>
            <w:noWrap w:val="0"/>
            <w:vAlign w:val="center"/>
          </w:tcPr>
          <w:p w14:paraId="35891C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0.823</w:t>
            </w:r>
          </w:p>
        </w:tc>
        <w:tc>
          <w:tcPr>
            <w:tcW w:w="1834" w:type="dxa"/>
            <w:noWrap w:val="0"/>
            <w:vAlign w:val="center"/>
          </w:tcPr>
          <w:p w14:paraId="0B7023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0.824</w:t>
            </w:r>
          </w:p>
        </w:tc>
        <w:tc>
          <w:tcPr>
            <w:tcW w:w="1834" w:type="dxa"/>
            <w:noWrap w:val="0"/>
            <w:vAlign w:val="center"/>
          </w:tcPr>
          <w:p w14:paraId="1E267C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6.72</w:t>
            </w:r>
          </w:p>
        </w:tc>
        <w:tc>
          <w:tcPr>
            <w:tcW w:w="1836" w:type="dxa"/>
            <w:noWrap w:val="0"/>
            <w:vAlign w:val="center"/>
          </w:tcPr>
          <w:p w14:paraId="71D5A5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7.17</w:t>
            </w:r>
          </w:p>
        </w:tc>
      </w:tr>
      <w:tr w14:paraId="3F156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D0461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16</w:t>
            </w:r>
          </w:p>
        </w:tc>
        <w:tc>
          <w:tcPr>
            <w:tcW w:w="1832" w:type="dxa"/>
            <w:noWrap w:val="0"/>
            <w:vAlign w:val="center"/>
          </w:tcPr>
          <w:p w14:paraId="6E5534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0.698</w:t>
            </w:r>
          </w:p>
        </w:tc>
        <w:tc>
          <w:tcPr>
            <w:tcW w:w="1834" w:type="dxa"/>
            <w:noWrap w:val="0"/>
            <w:vAlign w:val="center"/>
          </w:tcPr>
          <w:p w14:paraId="7857C6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0.686</w:t>
            </w:r>
          </w:p>
        </w:tc>
        <w:tc>
          <w:tcPr>
            <w:tcW w:w="1834" w:type="dxa"/>
            <w:noWrap w:val="0"/>
            <w:vAlign w:val="center"/>
          </w:tcPr>
          <w:p w14:paraId="0D332D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5.91</w:t>
            </w:r>
          </w:p>
        </w:tc>
        <w:tc>
          <w:tcPr>
            <w:tcW w:w="1836" w:type="dxa"/>
            <w:noWrap w:val="0"/>
            <w:vAlign w:val="center"/>
          </w:tcPr>
          <w:p w14:paraId="16398E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6.25</w:t>
            </w:r>
          </w:p>
        </w:tc>
      </w:tr>
      <w:tr w14:paraId="7010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DA7B9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17</w:t>
            </w:r>
          </w:p>
        </w:tc>
        <w:tc>
          <w:tcPr>
            <w:tcW w:w="1832" w:type="dxa"/>
            <w:noWrap w:val="0"/>
            <w:vAlign w:val="center"/>
          </w:tcPr>
          <w:p w14:paraId="0417C7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0.595</w:t>
            </w:r>
          </w:p>
        </w:tc>
        <w:tc>
          <w:tcPr>
            <w:tcW w:w="1834" w:type="dxa"/>
            <w:noWrap w:val="0"/>
            <w:vAlign w:val="center"/>
          </w:tcPr>
          <w:p w14:paraId="2BDCC9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0.575</w:t>
            </w:r>
          </w:p>
        </w:tc>
        <w:tc>
          <w:tcPr>
            <w:tcW w:w="1834" w:type="dxa"/>
            <w:noWrap w:val="0"/>
            <w:vAlign w:val="center"/>
          </w:tcPr>
          <w:p w14:paraId="133330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5.24</w:t>
            </w:r>
          </w:p>
        </w:tc>
        <w:tc>
          <w:tcPr>
            <w:tcW w:w="1836" w:type="dxa"/>
            <w:noWrap w:val="0"/>
            <w:vAlign w:val="center"/>
          </w:tcPr>
          <w:p w14:paraId="493573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5.50</w:t>
            </w:r>
          </w:p>
        </w:tc>
      </w:tr>
      <w:tr w14:paraId="10E41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0C829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18</w:t>
            </w:r>
          </w:p>
        </w:tc>
        <w:tc>
          <w:tcPr>
            <w:tcW w:w="1832" w:type="dxa"/>
            <w:noWrap w:val="0"/>
            <w:vAlign w:val="center"/>
          </w:tcPr>
          <w:p w14:paraId="3972A7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0.509</w:t>
            </w:r>
          </w:p>
        </w:tc>
        <w:tc>
          <w:tcPr>
            <w:tcW w:w="1834" w:type="dxa"/>
            <w:noWrap w:val="0"/>
            <w:vAlign w:val="center"/>
          </w:tcPr>
          <w:p w14:paraId="713614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0.485</w:t>
            </w:r>
          </w:p>
        </w:tc>
        <w:tc>
          <w:tcPr>
            <w:tcW w:w="1834" w:type="dxa"/>
            <w:noWrap w:val="0"/>
            <w:vAlign w:val="center"/>
          </w:tcPr>
          <w:p w14:paraId="3D3E0D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4.67</w:t>
            </w:r>
          </w:p>
        </w:tc>
        <w:tc>
          <w:tcPr>
            <w:tcW w:w="1836" w:type="dxa"/>
            <w:noWrap w:val="0"/>
            <w:vAlign w:val="center"/>
          </w:tcPr>
          <w:p w14:paraId="223A20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4.86</w:t>
            </w:r>
          </w:p>
        </w:tc>
      </w:tr>
      <w:tr w14:paraId="48C6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A89DB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19</w:t>
            </w:r>
          </w:p>
        </w:tc>
        <w:tc>
          <w:tcPr>
            <w:tcW w:w="1832" w:type="dxa"/>
            <w:noWrap w:val="0"/>
            <w:vAlign w:val="center"/>
          </w:tcPr>
          <w:p w14:paraId="63F098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0.438</w:t>
            </w:r>
          </w:p>
        </w:tc>
        <w:tc>
          <w:tcPr>
            <w:tcW w:w="1834" w:type="dxa"/>
            <w:noWrap w:val="0"/>
            <w:vAlign w:val="center"/>
          </w:tcPr>
          <w:p w14:paraId="7675F8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0.412</w:t>
            </w:r>
          </w:p>
        </w:tc>
        <w:tc>
          <w:tcPr>
            <w:tcW w:w="1834" w:type="dxa"/>
            <w:noWrap w:val="0"/>
            <w:vAlign w:val="center"/>
          </w:tcPr>
          <w:p w14:paraId="6BC9A7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4.18</w:t>
            </w:r>
          </w:p>
        </w:tc>
        <w:tc>
          <w:tcPr>
            <w:tcW w:w="1836" w:type="dxa"/>
            <w:noWrap w:val="0"/>
            <w:vAlign w:val="center"/>
          </w:tcPr>
          <w:p w14:paraId="1661B7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4.34</w:t>
            </w:r>
          </w:p>
        </w:tc>
      </w:tr>
      <w:tr w14:paraId="7A7A7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70664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20</w:t>
            </w:r>
          </w:p>
        </w:tc>
        <w:tc>
          <w:tcPr>
            <w:tcW w:w="1832" w:type="dxa"/>
            <w:noWrap w:val="0"/>
            <w:vAlign w:val="center"/>
          </w:tcPr>
          <w:p w14:paraId="51FC5F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0.378</w:t>
            </w:r>
          </w:p>
        </w:tc>
        <w:tc>
          <w:tcPr>
            <w:tcW w:w="1834" w:type="dxa"/>
            <w:noWrap w:val="0"/>
            <w:vAlign w:val="center"/>
          </w:tcPr>
          <w:p w14:paraId="6B912C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0.353</w:t>
            </w:r>
          </w:p>
        </w:tc>
        <w:tc>
          <w:tcPr>
            <w:tcW w:w="1834" w:type="dxa"/>
            <w:noWrap w:val="0"/>
            <w:vAlign w:val="center"/>
          </w:tcPr>
          <w:p w14:paraId="4FFED2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3.76</w:t>
            </w:r>
          </w:p>
        </w:tc>
        <w:tc>
          <w:tcPr>
            <w:tcW w:w="1836" w:type="dxa"/>
            <w:noWrap w:val="0"/>
            <w:vAlign w:val="center"/>
          </w:tcPr>
          <w:p w14:paraId="572208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3.89</w:t>
            </w:r>
          </w:p>
        </w:tc>
      </w:tr>
      <w:tr w14:paraId="6334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430F9D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21</w:t>
            </w:r>
          </w:p>
        </w:tc>
        <w:tc>
          <w:tcPr>
            <w:tcW w:w="1832" w:type="dxa"/>
            <w:noWrap w:val="0"/>
            <w:vAlign w:val="center"/>
          </w:tcPr>
          <w:p w14:paraId="1E3A28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0.329</w:t>
            </w:r>
          </w:p>
        </w:tc>
        <w:tc>
          <w:tcPr>
            <w:tcW w:w="1834" w:type="dxa"/>
            <w:noWrap w:val="0"/>
            <w:vAlign w:val="center"/>
          </w:tcPr>
          <w:p w14:paraId="7DB4BB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0.304</w:t>
            </w:r>
          </w:p>
        </w:tc>
        <w:tc>
          <w:tcPr>
            <w:tcW w:w="1834" w:type="dxa"/>
            <w:noWrap w:val="0"/>
            <w:vAlign w:val="center"/>
          </w:tcPr>
          <w:p w14:paraId="5BBD86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3.41</w:t>
            </w:r>
          </w:p>
        </w:tc>
        <w:tc>
          <w:tcPr>
            <w:tcW w:w="1836" w:type="dxa"/>
            <w:noWrap w:val="0"/>
            <w:vAlign w:val="center"/>
          </w:tcPr>
          <w:p w14:paraId="37D24B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3.51</w:t>
            </w:r>
          </w:p>
        </w:tc>
      </w:tr>
      <w:tr w14:paraId="25DA7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4D566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22</w:t>
            </w:r>
          </w:p>
        </w:tc>
        <w:tc>
          <w:tcPr>
            <w:tcW w:w="1832" w:type="dxa"/>
            <w:noWrap w:val="0"/>
            <w:vAlign w:val="center"/>
          </w:tcPr>
          <w:p w14:paraId="09FEA9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0.287</w:t>
            </w:r>
          </w:p>
        </w:tc>
        <w:tc>
          <w:tcPr>
            <w:tcW w:w="1834" w:type="dxa"/>
            <w:noWrap w:val="0"/>
            <w:vAlign w:val="center"/>
          </w:tcPr>
          <w:p w14:paraId="5ECC41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0.264</w:t>
            </w:r>
          </w:p>
        </w:tc>
        <w:tc>
          <w:tcPr>
            <w:tcW w:w="1834" w:type="dxa"/>
            <w:noWrap w:val="0"/>
            <w:vAlign w:val="center"/>
          </w:tcPr>
          <w:p w14:paraId="6BA970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3.10</w:t>
            </w:r>
          </w:p>
        </w:tc>
        <w:tc>
          <w:tcPr>
            <w:tcW w:w="1836" w:type="dxa"/>
            <w:noWrap w:val="0"/>
            <w:vAlign w:val="center"/>
          </w:tcPr>
          <w:p w14:paraId="549CAA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3.18</w:t>
            </w:r>
          </w:p>
        </w:tc>
      </w:tr>
      <w:tr w14:paraId="35B2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4B73E8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23</w:t>
            </w:r>
          </w:p>
        </w:tc>
        <w:tc>
          <w:tcPr>
            <w:tcW w:w="1832" w:type="dxa"/>
            <w:noWrap w:val="0"/>
            <w:vAlign w:val="center"/>
          </w:tcPr>
          <w:p w14:paraId="7528A1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0.252</w:t>
            </w:r>
          </w:p>
        </w:tc>
        <w:tc>
          <w:tcPr>
            <w:tcW w:w="1834" w:type="dxa"/>
            <w:noWrap w:val="0"/>
            <w:vAlign w:val="center"/>
          </w:tcPr>
          <w:p w14:paraId="4980A8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0.230</w:t>
            </w:r>
          </w:p>
        </w:tc>
        <w:tc>
          <w:tcPr>
            <w:tcW w:w="1834" w:type="dxa"/>
            <w:noWrap w:val="0"/>
            <w:vAlign w:val="center"/>
          </w:tcPr>
          <w:p w14:paraId="526FB2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2.83</w:t>
            </w:r>
          </w:p>
        </w:tc>
        <w:tc>
          <w:tcPr>
            <w:tcW w:w="1836" w:type="dxa"/>
            <w:noWrap w:val="0"/>
            <w:vAlign w:val="center"/>
          </w:tcPr>
          <w:p w14:paraId="769D48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2.90</w:t>
            </w:r>
          </w:p>
        </w:tc>
      </w:tr>
      <w:tr w14:paraId="1CFA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153D1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24</w:t>
            </w:r>
          </w:p>
        </w:tc>
        <w:tc>
          <w:tcPr>
            <w:tcW w:w="1832" w:type="dxa"/>
            <w:noWrap w:val="0"/>
            <w:vAlign w:val="center"/>
          </w:tcPr>
          <w:p w14:paraId="628C33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0.222</w:t>
            </w:r>
          </w:p>
        </w:tc>
        <w:tc>
          <w:tcPr>
            <w:tcW w:w="1834" w:type="dxa"/>
            <w:noWrap w:val="0"/>
            <w:vAlign w:val="center"/>
          </w:tcPr>
          <w:p w14:paraId="7038A7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0.202</w:t>
            </w:r>
          </w:p>
        </w:tc>
        <w:tc>
          <w:tcPr>
            <w:tcW w:w="1834" w:type="dxa"/>
            <w:noWrap w:val="0"/>
            <w:vAlign w:val="center"/>
          </w:tcPr>
          <w:p w14:paraId="3C4153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2.59</w:t>
            </w:r>
          </w:p>
        </w:tc>
        <w:tc>
          <w:tcPr>
            <w:tcW w:w="1836" w:type="dxa"/>
            <w:noWrap w:val="0"/>
            <w:vAlign w:val="center"/>
          </w:tcPr>
          <w:p w14:paraId="32AB57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2.65</w:t>
            </w:r>
          </w:p>
        </w:tc>
      </w:tr>
      <w:tr w14:paraId="55A0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5DF36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25</w:t>
            </w:r>
          </w:p>
        </w:tc>
        <w:tc>
          <w:tcPr>
            <w:tcW w:w="1832" w:type="dxa"/>
            <w:noWrap w:val="0"/>
            <w:vAlign w:val="center"/>
          </w:tcPr>
          <w:p w14:paraId="0F5D44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0.197</w:t>
            </w:r>
          </w:p>
        </w:tc>
        <w:tc>
          <w:tcPr>
            <w:tcW w:w="1834" w:type="dxa"/>
            <w:noWrap w:val="0"/>
            <w:vAlign w:val="center"/>
          </w:tcPr>
          <w:p w14:paraId="2F9084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0.178</w:t>
            </w:r>
          </w:p>
        </w:tc>
        <w:tc>
          <w:tcPr>
            <w:tcW w:w="1834" w:type="dxa"/>
            <w:noWrap w:val="0"/>
            <w:vAlign w:val="center"/>
          </w:tcPr>
          <w:p w14:paraId="1E2BB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2.38</w:t>
            </w:r>
          </w:p>
        </w:tc>
        <w:tc>
          <w:tcPr>
            <w:tcW w:w="1836" w:type="dxa"/>
            <w:noWrap w:val="0"/>
            <w:vAlign w:val="center"/>
          </w:tcPr>
          <w:p w14:paraId="5B3305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2.43</w:t>
            </w:r>
          </w:p>
        </w:tc>
      </w:tr>
      <w:tr w14:paraId="02126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479A8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26</w:t>
            </w:r>
          </w:p>
        </w:tc>
        <w:tc>
          <w:tcPr>
            <w:tcW w:w="1832" w:type="dxa"/>
            <w:noWrap w:val="0"/>
            <w:vAlign w:val="center"/>
          </w:tcPr>
          <w:p w14:paraId="64A854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0.175</w:t>
            </w:r>
          </w:p>
        </w:tc>
        <w:tc>
          <w:tcPr>
            <w:tcW w:w="1834" w:type="dxa"/>
            <w:noWrap w:val="0"/>
            <w:vAlign w:val="center"/>
          </w:tcPr>
          <w:p w14:paraId="0A9EEE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0.158</w:t>
            </w:r>
          </w:p>
        </w:tc>
        <w:tc>
          <w:tcPr>
            <w:tcW w:w="1834" w:type="dxa"/>
            <w:noWrap w:val="0"/>
            <w:vAlign w:val="center"/>
          </w:tcPr>
          <w:p w14:paraId="3BC37E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2.20</w:t>
            </w:r>
          </w:p>
        </w:tc>
        <w:tc>
          <w:tcPr>
            <w:tcW w:w="1836" w:type="dxa"/>
            <w:noWrap w:val="0"/>
            <w:vAlign w:val="center"/>
          </w:tcPr>
          <w:p w14:paraId="2D71DD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2.24</w:t>
            </w:r>
          </w:p>
        </w:tc>
      </w:tr>
      <w:tr w14:paraId="4827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6149E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27</w:t>
            </w:r>
          </w:p>
        </w:tc>
        <w:tc>
          <w:tcPr>
            <w:tcW w:w="1832" w:type="dxa"/>
            <w:noWrap w:val="0"/>
            <w:vAlign w:val="center"/>
          </w:tcPr>
          <w:p w14:paraId="0AFB15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0.156</w:t>
            </w:r>
          </w:p>
        </w:tc>
        <w:tc>
          <w:tcPr>
            <w:tcW w:w="1834" w:type="dxa"/>
            <w:noWrap w:val="0"/>
            <w:vAlign w:val="center"/>
          </w:tcPr>
          <w:p w14:paraId="76AA75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0.140</w:t>
            </w:r>
          </w:p>
        </w:tc>
        <w:tc>
          <w:tcPr>
            <w:tcW w:w="1834" w:type="dxa"/>
            <w:noWrap w:val="0"/>
            <w:vAlign w:val="center"/>
          </w:tcPr>
          <w:p w14:paraId="2EA3EE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2.04</w:t>
            </w:r>
          </w:p>
        </w:tc>
        <w:tc>
          <w:tcPr>
            <w:tcW w:w="1836" w:type="dxa"/>
            <w:noWrap w:val="0"/>
            <w:vAlign w:val="center"/>
          </w:tcPr>
          <w:p w14:paraId="2127CD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2.07</w:t>
            </w:r>
          </w:p>
        </w:tc>
      </w:tr>
      <w:tr w14:paraId="367BF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3CE2E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28</w:t>
            </w:r>
          </w:p>
        </w:tc>
        <w:tc>
          <w:tcPr>
            <w:tcW w:w="1832" w:type="dxa"/>
            <w:noWrap w:val="0"/>
            <w:vAlign w:val="center"/>
          </w:tcPr>
          <w:p w14:paraId="09725D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0.140</w:t>
            </w:r>
          </w:p>
        </w:tc>
        <w:tc>
          <w:tcPr>
            <w:tcW w:w="1834" w:type="dxa"/>
            <w:noWrap w:val="0"/>
            <w:vAlign w:val="center"/>
          </w:tcPr>
          <w:p w14:paraId="1ED5D7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0.125</w:t>
            </w:r>
          </w:p>
        </w:tc>
        <w:tc>
          <w:tcPr>
            <w:tcW w:w="1834" w:type="dxa"/>
            <w:noWrap w:val="0"/>
            <w:vAlign w:val="center"/>
          </w:tcPr>
          <w:p w14:paraId="551F93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1.89</w:t>
            </w:r>
          </w:p>
        </w:tc>
        <w:tc>
          <w:tcPr>
            <w:tcW w:w="1836" w:type="dxa"/>
            <w:noWrap w:val="0"/>
            <w:vAlign w:val="center"/>
          </w:tcPr>
          <w:p w14:paraId="69307E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1.92</w:t>
            </w:r>
          </w:p>
        </w:tc>
      </w:tr>
      <w:tr w14:paraId="13E4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4908F9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29</w:t>
            </w:r>
          </w:p>
        </w:tc>
        <w:tc>
          <w:tcPr>
            <w:tcW w:w="1832" w:type="dxa"/>
            <w:noWrap w:val="0"/>
            <w:vAlign w:val="center"/>
          </w:tcPr>
          <w:p w14:paraId="69750F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0.126</w:t>
            </w:r>
          </w:p>
        </w:tc>
        <w:tc>
          <w:tcPr>
            <w:tcW w:w="1834" w:type="dxa"/>
            <w:noWrap w:val="0"/>
            <w:vAlign w:val="center"/>
          </w:tcPr>
          <w:p w14:paraId="6EE6DC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0.112</w:t>
            </w:r>
          </w:p>
        </w:tc>
        <w:tc>
          <w:tcPr>
            <w:tcW w:w="1834" w:type="dxa"/>
            <w:noWrap w:val="0"/>
            <w:vAlign w:val="center"/>
          </w:tcPr>
          <w:p w14:paraId="3DF676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1.76</w:t>
            </w:r>
          </w:p>
        </w:tc>
        <w:tc>
          <w:tcPr>
            <w:tcW w:w="1836" w:type="dxa"/>
            <w:noWrap w:val="0"/>
            <w:vAlign w:val="center"/>
          </w:tcPr>
          <w:p w14:paraId="0D6640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1.79</w:t>
            </w:r>
          </w:p>
        </w:tc>
      </w:tr>
      <w:tr w14:paraId="407B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DC9F5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30</w:t>
            </w:r>
          </w:p>
        </w:tc>
        <w:tc>
          <w:tcPr>
            <w:tcW w:w="1832" w:type="dxa"/>
            <w:noWrap w:val="0"/>
            <w:vAlign w:val="center"/>
          </w:tcPr>
          <w:p w14:paraId="256511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0.114</w:t>
            </w:r>
          </w:p>
        </w:tc>
        <w:tc>
          <w:tcPr>
            <w:tcW w:w="1834" w:type="dxa"/>
            <w:noWrap w:val="0"/>
            <w:vAlign w:val="center"/>
          </w:tcPr>
          <w:p w14:paraId="798E92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0.101</w:t>
            </w:r>
          </w:p>
        </w:tc>
        <w:tc>
          <w:tcPr>
            <w:tcW w:w="1834" w:type="dxa"/>
            <w:noWrap w:val="0"/>
            <w:vAlign w:val="center"/>
          </w:tcPr>
          <w:p w14:paraId="307842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1.64</w:t>
            </w:r>
          </w:p>
        </w:tc>
        <w:tc>
          <w:tcPr>
            <w:tcW w:w="1836" w:type="dxa"/>
            <w:noWrap w:val="0"/>
            <w:vAlign w:val="center"/>
          </w:tcPr>
          <w:p w14:paraId="6B6BCC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1.66</w:t>
            </w:r>
          </w:p>
        </w:tc>
      </w:tr>
      <w:tr w14:paraId="71CA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95E01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31</w:t>
            </w:r>
          </w:p>
        </w:tc>
        <w:tc>
          <w:tcPr>
            <w:tcW w:w="1832" w:type="dxa"/>
            <w:noWrap w:val="0"/>
            <w:vAlign w:val="center"/>
          </w:tcPr>
          <w:p w14:paraId="50492F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0.103</w:t>
            </w:r>
          </w:p>
        </w:tc>
        <w:tc>
          <w:tcPr>
            <w:tcW w:w="1834" w:type="dxa"/>
            <w:noWrap w:val="0"/>
            <w:vAlign w:val="center"/>
          </w:tcPr>
          <w:p w14:paraId="302D18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0.092</w:t>
            </w:r>
          </w:p>
        </w:tc>
        <w:tc>
          <w:tcPr>
            <w:tcW w:w="1834" w:type="dxa"/>
            <w:noWrap w:val="0"/>
            <w:vAlign w:val="center"/>
          </w:tcPr>
          <w:p w14:paraId="536AFA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1.54</w:t>
            </w:r>
          </w:p>
        </w:tc>
        <w:tc>
          <w:tcPr>
            <w:tcW w:w="1836" w:type="dxa"/>
            <w:noWrap w:val="0"/>
            <w:vAlign w:val="center"/>
          </w:tcPr>
          <w:p w14:paraId="57685F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1.56</w:t>
            </w:r>
          </w:p>
        </w:tc>
      </w:tr>
      <w:tr w14:paraId="41F3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23DDA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32</w:t>
            </w:r>
          </w:p>
        </w:tc>
        <w:tc>
          <w:tcPr>
            <w:tcW w:w="1832" w:type="dxa"/>
            <w:noWrap w:val="0"/>
            <w:vAlign w:val="center"/>
          </w:tcPr>
          <w:p w14:paraId="4E1BF1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0.094</w:t>
            </w:r>
          </w:p>
        </w:tc>
        <w:tc>
          <w:tcPr>
            <w:tcW w:w="1834" w:type="dxa"/>
            <w:noWrap w:val="0"/>
            <w:vAlign w:val="center"/>
          </w:tcPr>
          <w:p w14:paraId="5C41C9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0.083</w:t>
            </w:r>
          </w:p>
        </w:tc>
        <w:tc>
          <w:tcPr>
            <w:tcW w:w="1834" w:type="dxa"/>
            <w:noWrap w:val="0"/>
            <w:vAlign w:val="center"/>
          </w:tcPr>
          <w:p w14:paraId="1B0C22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1.44</w:t>
            </w:r>
          </w:p>
        </w:tc>
        <w:tc>
          <w:tcPr>
            <w:tcW w:w="1836" w:type="dxa"/>
            <w:noWrap w:val="0"/>
            <w:vAlign w:val="center"/>
          </w:tcPr>
          <w:p w14:paraId="1B2839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1.46</w:t>
            </w:r>
          </w:p>
        </w:tc>
      </w:tr>
      <w:tr w14:paraId="7C14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38835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33</w:t>
            </w:r>
          </w:p>
        </w:tc>
        <w:tc>
          <w:tcPr>
            <w:tcW w:w="1832" w:type="dxa"/>
            <w:noWrap w:val="0"/>
            <w:vAlign w:val="center"/>
          </w:tcPr>
          <w:p w14:paraId="78D09F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0.085</w:t>
            </w:r>
          </w:p>
        </w:tc>
        <w:tc>
          <w:tcPr>
            <w:tcW w:w="1834" w:type="dxa"/>
            <w:noWrap w:val="0"/>
            <w:vAlign w:val="center"/>
          </w:tcPr>
          <w:p w14:paraId="48D5B0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0.075</w:t>
            </w:r>
          </w:p>
        </w:tc>
        <w:tc>
          <w:tcPr>
            <w:tcW w:w="1834" w:type="dxa"/>
            <w:noWrap w:val="0"/>
            <w:vAlign w:val="center"/>
          </w:tcPr>
          <w:p w14:paraId="07AFC5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1.35</w:t>
            </w:r>
          </w:p>
        </w:tc>
        <w:tc>
          <w:tcPr>
            <w:tcW w:w="1836" w:type="dxa"/>
            <w:noWrap w:val="0"/>
            <w:vAlign w:val="center"/>
          </w:tcPr>
          <w:p w14:paraId="215787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1.37</w:t>
            </w:r>
          </w:p>
        </w:tc>
      </w:tr>
      <w:tr w14:paraId="01D50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BDF86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34</w:t>
            </w:r>
          </w:p>
        </w:tc>
        <w:tc>
          <w:tcPr>
            <w:tcW w:w="1832" w:type="dxa"/>
            <w:noWrap w:val="0"/>
            <w:vAlign w:val="center"/>
          </w:tcPr>
          <w:p w14:paraId="6874FF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0.078</w:t>
            </w:r>
          </w:p>
        </w:tc>
        <w:tc>
          <w:tcPr>
            <w:tcW w:w="1834" w:type="dxa"/>
            <w:noWrap w:val="0"/>
            <w:vAlign w:val="center"/>
          </w:tcPr>
          <w:p w14:paraId="572D7E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0.069</w:t>
            </w:r>
          </w:p>
        </w:tc>
        <w:tc>
          <w:tcPr>
            <w:tcW w:w="1834" w:type="dxa"/>
            <w:noWrap w:val="0"/>
            <w:vAlign w:val="center"/>
          </w:tcPr>
          <w:p w14:paraId="4E1AEE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1.27</w:t>
            </w:r>
          </w:p>
        </w:tc>
        <w:tc>
          <w:tcPr>
            <w:tcW w:w="1836" w:type="dxa"/>
            <w:noWrap w:val="0"/>
            <w:vAlign w:val="center"/>
          </w:tcPr>
          <w:p w14:paraId="793044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1.29</w:t>
            </w:r>
          </w:p>
        </w:tc>
      </w:tr>
      <w:tr w14:paraId="496F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6846A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35</w:t>
            </w:r>
          </w:p>
        </w:tc>
        <w:tc>
          <w:tcPr>
            <w:tcW w:w="1832" w:type="dxa"/>
            <w:noWrap w:val="0"/>
            <w:vAlign w:val="center"/>
          </w:tcPr>
          <w:p w14:paraId="0E3741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0.071</w:t>
            </w:r>
          </w:p>
        </w:tc>
        <w:tc>
          <w:tcPr>
            <w:tcW w:w="1834" w:type="dxa"/>
            <w:noWrap w:val="0"/>
            <w:vAlign w:val="center"/>
          </w:tcPr>
          <w:p w14:paraId="1698D2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0.063</w:t>
            </w:r>
          </w:p>
        </w:tc>
        <w:tc>
          <w:tcPr>
            <w:tcW w:w="1834" w:type="dxa"/>
            <w:noWrap w:val="0"/>
            <w:vAlign w:val="center"/>
          </w:tcPr>
          <w:p w14:paraId="2099AB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1.20</w:t>
            </w:r>
          </w:p>
        </w:tc>
        <w:tc>
          <w:tcPr>
            <w:tcW w:w="1836" w:type="dxa"/>
            <w:noWrap w:val="0"/>
            <w:vAlign w:val="center"/>
          </w:tcPr>
          <w:p w14:paraId="56F336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1.21</w:t>
            </w:r>
          </w:p>
        </w:tc>
      </w:tr>
      <w:tr w14:paraId="1C2D5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4A7F7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36</w:t>
            </w:r>
          </w:p>
        </w:tc>
        <w:tc>
          <w:tcPr>
            <w:tcW w:w="1832" w:type="dxa"/>
            <w:noWrap w:val="0"/>
            <w:vAlign w:val="center"/>
          </w:tcPr>
          <w:p w14:paraId="77C5E1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0.066</w:t>
            </w:r>
          </w:p>
        </w:tc>
        <w:tc>
          <w:tcPr>
            <w:tcW w:w="1834" w:type="dxa"/>
            <w:noWrap w:val="0"/>
            <w:vAlign w:val="center"/>
          </w:tcPr>
          <w:p w14:paraId="0DD1E3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0.058</w:t>
            </w:r>
          </w:p>
        </w:tc>
        <w:tc>
          <w:tcPr>
            <w:tcW w:w="1834" w:type="dxa"/>
            <w:noWrap w:val="0"/>
            <w:vAlign w:val="center"/>
          </w:tcPr>
          <w:p w14:paraId="115E6C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1.13</w:t>
            </w:r>
          </w:p>
        </w:tc>
        <w:tc>
          <w:tcPr>
            <w:tcW w:w="1836" w:type="dxa"/>
            <w:noWrap w:val="0"/>
            <w:vAlign w:val="center"/>
          </w:tcPr>
          <w:p w14:paraId="5F9A5D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1.14</w:t>
            </w:r>
          </w:p>
        </w:tc>
      </w:tr>
      <w:tr w14:paraId="227C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1FE75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37</w:t>
            </w:r>
          </w:p>
        </w:tc>
        <w:tc>
          <w:tcPr>
            <w:tcW w:w="1832" w:type="dxa"/>
            <w:noWrap w:val="0"/>
            <w:vAlign w:val="center"/>
          </w:tcPr>
          <w:p w14:paraId="297420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0.060</w:t>
            </w:r>
          </w:p>
        </w:tc>
        <w:tc>
          <w:tcPr>
            <w:tcW w:w="1834" w:type="dxa"/>
            <w:noWrap w:val="0"/>
            <w:vAlign w:val="center"/>
          </w:tcPr>
          <w:p w14:paraId="764B7C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0.053</w:t>
            </w:r>
          </w:p>
        </w:tc>
        <w:tc>
          <w:tcPr>
            <w:tcW w:w="1834" w:type="dxa"/>
            <w:noWrap w:val="0"/>
            <w:vAlign w:val="center"/>
          </w:tcPr>
          <w:p w14:paraId="75E816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1.07</w:t>
            </w:r>
          </w:p>
        </w:tc>
        <w:tc>
          <w:tcPr>
            <w:tcW w:w="1836" w:type="dxa"/>
            <w:noWrap w:val="0"/>
            <w:vAlign w:val="center"/>
          </w:tcPr>
          <w:p w14:paraId="609F04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1.08</w:t>
            </w:r>
          </w:p>
        </w:tc>
      </w:tr>
      <w:tr w14:paraId="34F6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7BCE3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38</w:t>
            </w:r>
          </w:p>
        </w:tc>
        <w:tc>
          <w:tcPr>
            <w:tcW w:w="1832" w:type="dxa"/>
            <w:noWrap w:val="0"/>
            <w:vAlign w:val="center"/>
          </w:tcPr>
          <w:p w14:paraId="31A67C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0.056</w:t>
            </w:r>
          </w:p>
        </w:tc>
        <w:tc>
          <w:tcPr>
            <w:tcW w:w="1834" w:type="dxa"/>
            <w:noWrap w:val="0"/>
            <w:vAlign w:val="center"/>
          </w:tcPr>
          <w:p w14:paraId="505B95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0.049</w:t>
            </w:r>
          </w:p>
        </w:tc>
        <w:tc>
          <w:tcPr>
            <w:tcW w:w="1834" w:type="dxa"/>
            <w:noWrap w:val="0"/>
            <w:vAlign w:val="center"/>
          </w:tcPr>
          <w:p w14:paraId="199AB6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1.02</w:t>
            </w:r>
          </w:p>
        </w:tc>
        <w:tc>
          <w:tcPr>
            <w:tcW w:w="1836" w:type="dxa"/>
            <w:noWrap w:val="0"/>
            <w:vAlign w:val="center"/>
          </w:tcPr>
          <w:p w14:paraId="149503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1.02</w:t>
            </w:r>
          </w:p>
        </w:tc>
      </w:tr>
      <w:tr w14:paraId="29BD0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 w:type="pct"/>
            <w:noWrap w:val="0"/>
            <w:vAlign w:val="center"/>
          </w:tcPr>
          <w:p w14:paraId="52380A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39</w:t>
            </w:r>
          </w:p>
        </w:tc>
        <w:tc>
          <w:tcPr>
            <w:tcW w:w="1832" w:type="dxa"/>
            <w:noWrap w:val="0"/>
            <w:vAlign w:val="center"/>
          </w:tcPr>
          <w:p w14:paraId="7AA79C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0.052</w:t>
            </w:r>
          </w:p>
        </w:tc>
        <w:tc>
          <w:tcPr>
            <w:tcW w:w="1834" w:type="dxa"/>
            <w:noWrap w:val="0"/>
            <w:vAlign w:val="center"/>
          </w:tcPr>
          <w:p w14:paraId="56C53D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0.045</w:t>
            </w:r>
          </w:p>
        </w:tc>
        <w:tc>
          <w:tcPr>
            <w:tcW w:w="1834" w:type="dxa"/>
            <w:noWrap w:val="0"/>
            <w:vAlign w:val="center"/>
          </w:tcPr>
          <w:p w14:paraId="14F1C0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0.96</w:t>
            </w:r>
          </w:p>
        </w:tc>
        <w:tc>
          <w:tcPr>
            <w:tcW w:w="1836" w:type="dxa"/>
            <w:noWrap w:val="0"/>
            <w:vAlign w:val="center"/>
          </w:tcPr>
          <w:p w14:paraId="13CFA0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0.97</w:t>
            </w:r>
          </w:p>
        </w:tc>
      </w:tr>
      <w:tr w14:paraId="7A91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06880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40</w:t>
            </w:r>
          </w:p>
        </w:tc>
        <w:tc>
          <w:tcPr>
            <w:tcW w:w="1832" w:type="dxa"/>
            <w:noWrap w:val="0"/>
            <w:vAlign w:val="center"/>
          </w:tcPr>
          <w:p w14:paraId="76581A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0.048</w:t>
            </w:r>
          </w:p>
        </w:tc>
        <w:tc>
          <w:tcPr>
            <w:tcW w:w="1834" w:type="dxa"/>
            <w:noWrap w:val="0"/>
            <w:vAlign w:val="center"/>
          </w:tcPr>
          <w:p w14:paraId="42C4D2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0.042</w:t>
            </w:r>
          </w:p>
        </w:tc>
        <w:tc>
          <w:tcPr>
            <w:tcW w:w="1834" w:type="dxa"/>
            <w:noWrap w:val="0"/>
            <w:vAlign w:val="center"/>
          </w:tcPr>
          <w:p w14:paraId="4BC9C6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0.92</w:t>
            </w:r>
          </w:p>
        </w:tc>
        <w:tc>
          <w:tcPr>
            <w:tcW w:w="1836" w:type="dxa"/>
            <w:noWrap w:val="0"/>
            <w:vAlign w:val="center"/>
          </w:tcPr>
          <w:p w14:paraId="5D6370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0.92</w:t>
            </w:r>
          </w:p>
        </w:tc>
      </w:tr>
      <w:tr w14:paraId="44D42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D71F0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最大值（kV/m）</w:t>
            </w:r>
          </w:p>
        </w:tc>
        <w:tc>
          <w:tcPr>
            <w:tcW w:w="1832" w:type="dxa"/>
            <w:noWrap w:val="0"/>
            <w:vAlign w:val="center"/>
          </w:tcPr>
          <w:p w14:paraId="482E14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2.113</w:t>
            </w:r>
          </w:p>
        </w:tc>
        <w:tc>
          <w:tcPr>
            <w:tcW w:w="1834" w:type="dxa"/>
            <w:noWrap w:val="0"/>
            <w:vAlign w:val="center"/>
          </w:tcPr>
          <w:p w14:paraId="7D5E09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2.721</w:t>
            </w:r>
          </w:p>
        </w:tc>
        <w:tc>
          <w:tcPr>
            <w:tcW w:w="1834" w:type="dxa"/>
            <w:noWrap w:val="0"/>
            <w:vAlign w:val="center"/>
          </w:tcPr>
          <w:p w14:paraId="438F66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23.06</w:t>
            </w:r>
          </w:p>
        </w:tc>
        <w:tc>
          <w:tcPr>
            <w:tcW w:w="1836" w:type="dxa"/>
            <w:noWrap w:val="0"/>
            <w:vAlign w:val="center"/>
          </w:tcPr>
          <w:p w14:paraId="201E52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28.63</w:t>
            </w:r>
          </w:p>
        </w:tc>
      </w:tr>
      <w:tr w14:paraId="7CE31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C17EE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最大值处距线路走廊中心距离（m）</w:t>
            </w:r>
          </w:p>
        </w:tc>
        <w:tc>
          <w:tcPr>
            <w:tcW w:w="1832" w:type="dxa"/>
            <w:noWrap w:val="0"/>
            <w:vAlign w:val="center"/>
          </w:tcPr>
          <w:p w14:paraId="74AD0D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-7.4</w:t>
            </w:r>
          </w:p>
        </w:tc>
        <w:tc>
          <w:tcPr>
            <w:tcW w:w="1834" w:type="dxa"/>
            <w:noWrap w:val="0"/>
            <w:vAlign w:val="center"/>
          </w:tcPr>
          <w:p w14:paraId="1B2D72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-7.2</w:t>
            </w:r>
          </w:p>
        </w:tc>
        <w:tc>
          <w:tcPr>
            <w:tcW w:w="1834" w:type="dxa"/>
            <w:noWrap w:val="0"/>
            <w:vAlign w:val="center"/>
          </w:tcPr>
          <w:p w14:paraId="668A3D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w:t>
            </w:r>
          </w:p>
        </w:tc>
        <w:tc>
          <w:tcPr>
            <w:tcW w:w="1836" w:type="dxa"/>
            <w:noWrap w:val="0"/>
            <w:vAlign w:val="center"/>
          </w:tcPr>
          <w:p w14:paraId="2B3645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0"/>
                <w:vertAlign w:val="baseline"/>
                <w:lang w:eastAsia="zh-CN"/>
              </w:rPr>
              <w:t>0.0</w:t>
            </w:r>
          </w:p>
        </w:tc>
      </w:tr>
    </w:tbl>
    <w:p w14:paraId="0FA5DB54">
      <w:pPr>
        <w:snapToGrid w:val="0"/>
        <w:spacing w:line="240" w:lineRule="auto"/>
        <w:ind w:firstLine="472" w:firstLineChars="196"/>
        <w:rPr>
          <w:rFonts w:hint="default" w:ascii="Calibri" w:hAnsi="Calibri" w:eastAsia="宋体" w:cs="Calibri"/>
          <w:b/>
          <w:color w:val="FF0000"/>
          <w:sz w:val="24"/>
        </w:rPr>
      </w:pPr>
    </w:p>
    <w:p w14:paraId="3852B5D8">
      <w:pPr>
        <w:spacing w:line="360" w:lineRule="auto"/>
        <w:jc w:val="center"/>
        <w:rPr>
          <w:rFonts w:hint="default" w:ascii="Calibri" w:hAnsi="Calibri" w:eastAsia="宋体" w:cs="Calibri"/>
          <w:color w:val="FF0000"/>
        </w:rPr>
      </w:pPr>
      <w:r>
        <w:rPr>
          <w:rFonts w:hint="default" w:ascii="Times New Roman" w:hAnsi="Times New Roman" w:eastAsia="宋体" w:cs="Times New Roman"/>
          <w:b w:val="0"/>
          <w:color w:val="auto"/>
          <w:sz w:val="24"/>
          <w:lang w:eastAsia="zh-CN"/>
        </w:rPr>
        <w:drawing>
          <wp:inline distT="0" distB="0" distL="114300" distR="114300">
            <wp:extent cx="5270500" cy="3503295"/>
            <wp:effectExtent l="0" t="0" r="6350" b="1905"/>
            <wp:docPr id="39" name="图片 39" descr="Graph_DifLowH_elecIntensity"/>
            <wp:cNvGraphicFramePr/>
            <a:graphic xmlns:a="http://schemas.openxmlformats.org/drawingml/2006/main">
              <a:graphicData uri="http://schemas.openxmlformats.org/drawingml/2006/picture">
                <pic:pic xmlns:pic="http://schemas.openxmlformats.org/drawingml/2006/picture">
                  <pic:nvPicPr>
                    <pic:cNvPr id="39" name="图片 39" descr="Graph_DifLowH_elecIntensity"/>
                    <pic:cNvPicPr/>
                  </pic:nvPicPr>
                  <pic:blipFill>
                    <a:blip r:embed="rId67"/>
                    <a:stretch>
                      <a:fillRect/>
                    </a:stretch>
                  </pic:blipFill>
                  <pic:spPr>
                    <a:xfrm>
                      <a:off x="0" y="0"/>
                      <a:ext cx="5270500" cy="3503295"/>
                    </a:xfrm>
                    <a:prstGeom prst="rect">
                      <a:avLst/>
                    </a:prstGeom>
                  </pic:spPr>
                </pic:pic>
              </a:graphicData>
            </a:graphic>
          </wp:inline>
        </w:drawing>
      </w:r>
    </w:p>
    <w:p w14:paraId="55FE7C9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Calibri" w:hAnsi="Calibri" w:eastAsia="宋体" w:cs="Calibri"/>
          <w:b/>
          <w:bCs/>
          <w:color w:val="auto"/>
          <w:sz w:val="24"/>
        </w:rPr>
      </w:pPr>
      <w:r>
        <w:rPr>
          <w:rFonts w:hint="default" w:ascii="Calibri" w:hAnsi="Calibri" w:eastAsia="宋体" w:cs="Calibri"/>
          <w:b/>
          <w:bCs/>
          <w:color w:val="auto"/>
          <w:sz w:val="24"/>
        </w:rPr>
        <w:t>图</w:t>
      </w:r>
      <w:r>
        <w:rPr>
          <w:rFonts w:hint="default" w:ascii="Calibri" w:hAnsi="Calibri" w:eastAsia="宋体" w:cs="Calibri"/>
          <w:b/>
          <w:bCs/>
          <w:color w:val="auto"/>
          <w:sz w:val="24"/>
          <w:lang w:val="en-US" w:eastAsia="zh-CN"/>
        </w:rPr>
        <w:t>3-5</w:t>
      </w:r>
      <w:r>
        <w:rPr>
          <w:rFonts w:hint="default" w:ascii="Calibri" w:hAnsi="Calibri" w:eastAsia="宋体" w:cs="Calibri"/>
          <w:b/>
          <w:bCs/>
          <w:color w:val="auto"/>
          <w:sz w:val="24"/>
        </w:rPr>
        <w:t xml:space="preserve"> </w:t>
      </w:r>
      <w:r>
        <w:rPr>
          <w:rFonts w:hint="eastAsia" w:ascii="Calibri" w:hAnsi="Calibri" w:cs="Calibri"/>
          <w:b/>
          <w:bCs/>
          <w:color w:val="auto"/>
          <w:sz w:val="24"/>
          <w:lang w:val="en-US" w:eastAsia="zh-CN"/>
        </w:rPr>
        <w:t xml:space="preserve">  </w:t>
      </w:r>
      <w:r>
        <w:rPr>
          <w:rFonts w:hint="default" w:ascii="Calibri" w:hAnsi="Calibri" w:eastAsia="宋体" w:cs="Calibri"/>
          <w:b/>
          <w:bCs/>
          <w:color w:val="auto"/>
          <w:sz w:val="24"/>
          <w:lang w:val="en-US" w:eastAsia="zh-CN"/>
        </w:rPr>
        <w:t>110kV</w:t>
      </w:r>
      <w:r>
        <w:rPr>
          <w:rFonts w:hint="default" w:ascii="Calibri" w:hAnsi="Calibri" w:eastAsia="宋体" w:cs="Calibri"/>
          <w:b/>
          <w:bCs/>
          <w:color w:val="auto"/>
          <w:sz w:val="24"/>
        </w:rPr>
        <w:t>单回路线路工频电场强度预测分布曲线（BZC3直线塔）</w:t>
      </w:r>
    </w:p>
    <w:p w14:paraId="3A06779D">
      <w:pPr>
        <w:spacing w:line="360" w:lineRule="auto"/>
        <w:jc w:val="center"/>
        <w:rPr>
          <w:rFonts w:hint="default" w:ascii="Calibri" w:hAnsi="Calibri" w:eastAsia="宋体" w:cs="Calibri"/>
          <w:color w:val="FF0000"/>
        </w:rPr>
      </w:pPr>
    </w:p>
    <w:p w14:paraId="0A922A2A">
      <w:pPr>
        <w:spacing w:line="360" w:lineRule="auto"/>
        <w:jc w:val="center"/>
        <w:rPr>
          <w:rFonts w:hint="default" w:ascii="Calibri" w:hAnsi="Calibri" w:eastAsia="宋体" w:cs="Calibri"/>
          <w:color w:val="FF0000"/>
        </w:rPr>
      </w:pPr>
      <w:r>
        <w:rPr>
          <w:rFonts w:hint="default" w:ascii="Times New Roman" w:hAnsi="Times New Roman" w:eastAsia="宋体" w:cs="Times New Roman"/>
          <w:b w:val="0"/>
          <w:color w:val="auto"/>
          <w:sz w:val="24"/>
          <w:lang w:eastAsia="zh-CN"/>
        </w:rPr>
        <w:drawing>
          <wp:inline distT="0" distB="0" distL="114300" distR="114300">
            <wp:extent cx="5270500" cy="3503295"/>
            <wp:effectExtent l="0" t="0" r="6350" b="1905"/>
            <wp:docPr id="43" name="图片 43" descr="Graph_DifLowH_magIntensity"/>
            <wp:cNvGraphicFramePr/>
            <a:graphic xmlns:a="http://schemas.openxmlformats.org/drawingml/2006/main">
              <a:graphicData uri="http://schemas.openxmlformats.org/drawingml/2006/picture">
                <pic:pic xmlns:pic="http://schemas.openxmlformats.org/drawingml/2006/picture">
                  <pic:nvPicPr>
                    <pic:cNvPr id="43" name="图片 43" descr="Graph_DifLowH_magIntensity"/>
                    <pic:cNvPicPr/>
                  </pic:nvPicPr>
                  <pic:blipFill>
                    <a:blip r:embed="rId68"/>
                    <a:stretch>
                      <a:fillRect/>
                    </a:stretch>
                  </pic:blipFill>
                  <pic:spPr>
                    <a:xfrm>
                      <a:off x="0" y="0"/>
                      <a:ext cx="5270500" cy="3503295"/>
                    </a:xfrm>
                    <a:prstGeom prst="rect">
                      <a:avLst/>
                    </a:prstGeom>
                  </pic:spPr>
                </pic:pic>
              </a:graphicData>
            </a:graphic>
          </wp:inline>
        </w:drawing>
      </w:r>
    </w:p>
    <w:p w14:paraId="6EFB8EED">
      <w:pPr>
        <w:keepNext w:val="0"/>
        <w:keepLines w:val="0"/>
        <w:pageBreakBefore w:val="0"/>
        <w:widowControl w:val="0"/>
        <w:kinsoku/>
        <w:wordWrap/>
        <w:overflowPunct/>
        <w:topLinePunct w:val="0"/>
        <w:autoSpaceDE/>
        <w:autoSpaceDN/>
        <w:bidi w:val="0"/>
        <w:adjustRightInd/>
        <w:spacing w:line="480" w:lineRule="exact"/>
        <w:jc w:val="center"/>
        <w:textAlignment w:val="auto"/>
        <w:rPr>
          <w:rFonts w:hint="default" w:ascii="Calibri" w:hAnsi="Calibri" w:eastAsia="宋体" w:cs="Calibri"/>
          <w:b/>
          <w:color w:val="FF0000"/>
          <w:sz w:val="24"/>
        </w:rPr>
      </w:pPr>
      <w:r>
        <w:rPr>
          <w:rFonts w:hint="default" w:ascii="Calibri" w:hAnsi="Calibri" w:eastAsia="宋体" w:cs="Calibri"/>
          <w:b/>
          <w:bCs/>
          <w:color w:val="auto"/>
          <w:sz w:val="24"/>
        </w:rPr>
        <w:t>图</w:t>
      </w:r>
      <w:r>
        <w:rPr>
          <w:rFonts w:hint="default" w:ascii="Calibri" w:hAnsi="Calibri" w:eastAsia="宋体" w:cs="Calibri"/>
          <w:b/>
          <w:bCs/>
          <w:color w:val="auto"/>
          <w:sz w:val="24"/>
          <w:lang w:val="en-US" w:eastAsia="zh-CN"/>
        </w:rPr>
        <w:t>3-6</w:t>
      </w:r>
      <w:r>
        <w:rPr>
          <w:rFonts w:hint="default" w:ascii="Calibri" w:hAnsi="Calibri" w:eastAsia="宋体" w:cs="Calibri"/>
          <w:b/>
          <w:bCs/>
          <w:color w:val="auto"/>
          <w:sz w:val="24"/>
        </w:rPr>
        <w:t xml:space="preserve"> </w:t>
      </w:r>
      <w:r>
        <w:rPr>
          <w:rFonts w:hint="eastAsia" w:ascii="Calibri" w:hAnsi="Calibri" w:cs="Calibri"/>
          <w:b/>
          <w:bCs/>
          <w:color w:val="auto"/>
          <w:sz w:val="24"/>
          <w:lang w:val="en-US" w:eastAsia="zh-CN"/>
        </w:rPr>
        <w:t xml:space="preserve">  </w:t>
      </w:r>
      <w:r>
        <w:rPr>
          <w:rFonts w:hint="default" w:ascii="Calibri" w:hAnsi="Calibri" w:eastAsia="宋体" w:cs="Calibri"/>
          <w:b/>
          <w:bCs/>
          <w:color w:val="auto"/>
          <w:sz w:val="24"/>
          <w:lang w:val="en-US" w:eastAsia="zh-CN"/>
        </w:rPr>
        <w:t>110kV单回路线路工频磁感应强度预测分布曲线（BZC3直线塔）</w:t>
      </w:r>
    </w:p>
    <w:p w14:paraId="58E4852D">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eastAsia" w:ascii="Calibri" w:hAnsi="Calibri" w:eastAsia="宋体" w:cs="Calibri"/>
          <w:b/>
          <w:color w:val="auto"/>
          <w:sz w:val="24"/>
          <w:lang w:eastAsia="zh-CN"/>
        </w:rPr>
      </w:pPr>
      <w:r>
        <w:rPr>
          <w:rFonts w:hint="default" w:ascii="Calibri" w:hAnsi="Calibri" w:eastAsia="宋体" w:cs="Calibri"/>
          <w:b/>
          <w:color w:val="auto"/>
          <w:sz w:val="24"/>
        </w:rPr>
        <w:t>表3-</w:t>
      </w:r>
      <w:r>
        <w:rPr>
          <w:rFonts w:hint="default" w:ascii="Calibri" w:hAnsi="Calibri" w:eastAsia="宋体" w:cs="Calibri"/>
          <w:b/>
          <w:color w:val="auto"/>
          <w:sz w:val="24"/>
          <w:lang w:val="en-US" w:eastAsia="zh-CN"/>
        </w:rPr>
        <w:t>6</w:t>
      </w:r>
      <w:r>
        <w:rPr>
          <w:rFonts w:hint="default" w:ascii="Calibri" w:hAnsi="Calibri" w:eastAsia="宋体" w:cs="Calibri"/>
          <w:b/>
          <w:color w:val="auto"/>
          <w:sz w:val="24"/>
        </w:rPr>
        <w:t xml:space="preserve">      双回路线路电磁环境预测值</w:t>
      </w:r>
      <w:r>
        <w:rPr>
          <w:rFonts w:hint="eastAsia" w:ascii="Calibri" w:hAnsi="Calibri" w:cs="Calibri"/>
          <w:b/>
          <w:color w:val="auto"/>
          <w:sz w:val="24"/>
          <w:lang w:eastAsia="zh-CN"/>
        </w:rPr>
        <w:t>（</w:t>
      </w:r>
      <w:r>
        <w:rPr>
          <w:rFonts w:hint="default" w:ascii="Calibri" w:hAnsi="Calibri" w:eastAsia="宋体" w:cs="Calibri"/>
          <w:b/>
          <w:color w:val="auto"/>
          <w:sz w:val="24"/>
        </w:rPr>
        <w:t>SZC4直线塔</w:t>
      </w:r>
      <w:r>
        <w:rPr>
          <w:rFonts w:hint="eastAsia" w:ascii="Calibri" w:hAnsi="Calibri" w:cs="Calibri"/>
          <w:b/>
          <w:color w:val="auto"/>
          <w:sz w:val="24"/>
          <w:lang w:eastAsia="zh-CN"/>
        </w:rPr>
        <w:t>）</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809"/>
        <w:gridCol w:w="1811"/>
        <w:gridCol w:w="1811"/>
        <w:gridCol w:w="1812"/>
      </w:tblGrid>
      <w:tr w14:paraId="6803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 w:type="pct"/>
            <w:vMerge w:val="restart"/>
            <w:noWrap w:val="0"/>
            <w:vAlign w:val="center"/>
          </w:tcPr>
          <w:p w14:paraId="3CBF73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sz w:val="21"/>
                <w:szCs w:val="21"/>
                <w:highlight w:val="none"/>
                <w:vertAlign w:val="baseline"/>
                <w:lang w:eastAsia="zh-CN"/>
              </w:rPr>
            </w:pPr>
            <w:r>
              <w:rPr>
                <w:rFonts w:hint="eastAsia" w:asciiTheme="minorEastAsia" w:hAnsiTheme="minorEastAsia" w:eastAsiaTheme="minorEastAsia" w:cstheme="minorEastAsia"/>
                <w:b/>
                <w:color w:val="auto"/>
                <w:sz w:val="21"/>
                <w:szCs w:val="21"/>
                <w:highlight w:val="none"/>
                <w:vertAlign w:val="baseline"/>
                <w:lang w:eastAsia="zh-CN"/>
              </w:rPr>
              <w:t>距线路走廊中心距离（m）</w:t>
            </w:r>
          </w:p>
        </w:tc>
        <w:tc>
          <w:tcPr>
            <w:tcW w:w="1999" w:type="pct"/>
            <w:gridSpan w:val="2"/>
            <w:noWrap w:val="0"/>
            <w:vAlign w:val="center"/>
          </w:tcPr>
          <w:p w14:paraId="714CAB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sz w:val="21"/>
                <w:szCs w:val="21"/>
                <w:highlight w:val="none"/>
                <w:vertAlign w:val="baseline"/>
                <w:lang w:val="en-US" w:eastAsia="zh-CN"/>
              </w:rPr>
            </w:pPr>
            <w:r>
              <w:rPr>
                <w:rFonts w:hint="eastAsia" w:asciiTheme="minorEastAsia" w:hAnsiTheme="minorEastAsia" w:eastAsiaTheme="minorEastAsia" w:cstheme="minorEastAsia"/>
                <w:b/>
                <w:color w:val="auto"/>
                <w:sz w:val="21"/>
                <w:szCs w:val="21"/>
                <w:highlight w:val="none"/>
                <w:vertAlign w:val="baseline"/>
                <w:lang w:val="en-US" w:eastAsia="zh-CN"/>
              </w:rPr>
              <w:t>工频电场强度</w:t>
            </w:r>
          </w:p>
        </w:tc>
        <w:tc>
          <w:tcPr>
            <w:tcW w:w="2001" w:type="pct"/>
            <w:gridSpan w:val="2"/>
            <w:noWrap w:val="0"/>
            <w:vAlign w:val="center"/>
          </w:tcPr>
          <w:p w14:paraId="78CBF3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sz w:val="21"/>
                <w:szCs w:val="21"/>
                <w:highlight w:val="none"/>
                <w:vertAlign w:val="baseline"/>
                <w:lang w:val="en-US" w:eastAsia="zh-CN"/>
              </w:rPr>
            </w:pPr>
            <w:r>
              <w:rPr>
                <w:rFonts w:hint="eastAsia" w:asciiTheme="minorEastAsia" w:hAnsiTheme="minorEastAsia" w:eastAsiaTheme="minorEastAsia" w:cstheme="minorEastAsia"/>
                <w:b/>
                <w:color w:val="auto"/>
                <w:sz w:val="21"/>
                <w:szCs w:val="21"/>
                <w:highlight w:val="none"/>
                <w:vertAlign w:val="baseline"/>
                <w:lang w:val="en-US" w:eastAsia="zh-CN"/>
              </w:rPr>
              <w:t>工频磁感应强度</w:t>
            </w:r>
          </w:p>
        </w:tc>
      </w:tr>
      <w:tr w14:paraId="1CFD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vMerge w:val="continue"/>
            <w:noWrap w:val="0"/>
            <w:vAlign w:val="center"/>
          </w:tcPr>
          <w:p w14:paraId="4BCB67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sz w:val="21"/>
                <w:szCs w:val="21"/>
                <w:highlight w:val="none"/>
                <w:vertAlign w:val="baseline"/>
                <w:lang w:eastAsia="zh-CN"/>
              </w:rPr>
            </w:pPr>
          </w:p>
        </w:tc>
        <w:tc>
          <w:tcPr>
            <w:tcW w:w="999" w:type="pct"/>
            <w:noWrap w:val="0"/>
            <w:vAlign w:val="center"/>
          </w:tcPr>
          <w:p w14:paraId="44BC13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color w:val="auto"/>
                <w:sz w:val="21"/>
                <w:szCs w:val="21"/>
                <w:highlight w:val="none"/>
                <w:vertAlign w:val="baseline"/>
                <w:lang w:eastAsia="zh-CN"/>
              </w:rPr>
              <w:t>导线对地最小线高7m</w:t>
            </w:r>
          </w:p>
        </w:tc>
        <w:tc>
          <w:tcPr>
            <w:tcW w:w="1000" w:type="pct"/>
            <w:noWrap w:val="0"/>
            <w:vAlign w:val="center"/>
          </w:tcPr>
          <w:p w14:paraId="47FF22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color w:val="auto"/>
                <w:sz w:val="21"/>
                <w:szCs w:val="21"/>
                <w:highlight w:val="none"/>
                <w:vertAlign w:val="baseline"/>
                <w:lang w:eastAsia="zh-CN"/>
              </w:rPr>
              <w:t>导线对地最小线高6m</w:t>
            </w:r>
          </w:p>
        </w:tc>
        <w:tc>
          <w:tcPr>
            <w:tcW w:w="1000" w:type="pct"/>
            <w:noWrap w:val="0"/>
            <w:vAlign w:val="center"/>
          </w:tcPr>
          <w:p w14:paraId="681FED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color w:val="auto"/>
                <w:sz w:val="21"/>
                <w:szCs w:val="21"/>
                <w:highlight w:val="none"/>
                <w:vertAlign w:val="baseline"/>
                <w:lang w:eastAsia="zh-CN"/>
              </w:rPr>
              <w:t>导线对地最小线高7m</w:t>
            </w:r>
          </w:p>
        </w:tc>
        <w:tc>
          <w:tcPr>
            <w:tcW w:w="1000" w:type="pct"/>
            <w:noWrap w:val="0"/>
            <w:vAlign w:val="center"/>
          </w:tcPr>
          <w:p w14:paraId="501550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color w:val="auto"/>
                <w:sz w:val="21"/>
                <w:szCs w:val="21"/>
                <w:highlight w:val="none"/>
                <w:vertAlign w:val="baseline"/>
                <w:lang w:eastAsia="zh-CN"/>
              </w:rPr>
              <w:t>导线对地最小线高6m</w:t>
            </w:r>
          </w:p>
        </w:tc>
      </w:tr>
      <w:tr w14:paraId="455C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4CC6AE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-40</w:t>
            </w:r>
          </w:p>
        </w:tc>
        <w:tc>
          <w:tcPr>
            <w:tcW w:w="1832" w:type="dxa"/>
            <w:noWrap w:val="0"/>
            <w:vAlign w:val="center"/>
          </w:tcPr>
          <w:p w14:paraId="6749FE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0.079</w:t>
            </w:r>
          </w:p>
        </w:tc>
        <w:tc>
          <w:tcPr>
            <w:tcW w:w="1834" w:type="dxa"/>
            <w:noWrap w:val="0"/>
            <w:vAlign w:val="center"/>
          </w:tcPr>
          <w:p w14:paraId="77A717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0.085</w:t>
            </w:r>
          </w:p>
        </w:tc>
        <w:tc>
          <w:tcPr>
            <w:tcW w:w="1834" w:type="dxa"/>
            <w:noWrap w:val="0"/>
            <w:vAlign w:val="center"/>
          </w:tcPr>
          <w:p w14:paraId="064EE8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1.44</w:t>
            </w:r>
          </w:p>
        </w:tc>
        <w:tc>
          <w:tcPr>
            <w:tcW w:w="1836" w:type="dxa"/>
            <w:noWrap w:val="0"/>
            <w:vAlign w:val="center"/>
          </w:tcPr>
          <w:p w14:paraId="6041DB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1.46</w:t>
            </w:r>
          </w:p>
        </w:tc>
      </w:tr>
      <w:tr w14:paraId="510C5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89E48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-39</w:t>
            </w:r>
          </w:p>
        </w:tc>
        <w:tc>
          <w:tcPr>
            <w:tcW w:w="1832" w:type="dxa"/>
            <w:noWrap w:val="0"/>
            <w:vAlign w:val="center"/>
          </w:tcPr>
          <w:p w14:paraId="6D76ED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0.081</w:t>
            </w:r>
          </w:p>
        </w:tc>
        <w:tc>
          <w:tcPr>
            <w:tcW w:w="1834" w:type="dxa"/>
            <w:noWrap w:val="0"/>
            <w:vAlign w:val="center"/>
          </w:tcPr>
          <w:p w14:paraId="5B7423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0.088</w:t>
            </w:r>
          </w:p>
        </w:tc>
        <w:tc>
          <w:tcPr>
            <w:tcW w:w="1834" w:type="dxa"/>
            <w:noWrap w:val="0"/>
            <w:vAlign w:val="center"/>
          </w:tcPr>
          <w:p w14:paraId="5D5709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1.51</w:t>
            </w:r>
          </w:p>
        </w:tc>
        <w:tc>
          <w:tcPr>
            <w:tcW w:w="1836" w:type="dxa"/>
            <w:noWrap w:val="0"/>
            <w:vAlign w:val="center"/>
          </w:tcPr>
          <w:p w14:paraId="63B7E1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1.53</w:t>
            </w:r>
          </w:p>
        </w:tc>
      </w:tr>
      <w:tr w14:paraId="48293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4375BD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-38</w:t>
            </w:r>
          </w:p>
        </w:tc>
        <w:tc>
          <w:tcPr>
            <w:tcW w:w="1832" w:type="dxa"/>
            <w:noWrap w:val="0"/>
            <w:vAlign w:val="center"/>
          </w:tcPr>
          <w:p w14:paraId="050CB7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0.084</w:t>
            </w:r>
          </w:p>
        </w:tc>
        <w:tc>
          <w:tcPr>
            <w:tcW w:w="1834" w:type="dxa"/>
            <w:noWrap w:val="0"/>
            <w:vAlign w:val="center"/>
          </w:tcPr>
          <w:p w14:paraId="253951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0.091</w:t>
            </w:r>
          </w:p>
        </w:tc>
        <w:tc>
          <w:tcPr>
            <w:tcW w:w="1834" w:type="dxa"/>
            <w:noWrap w:val="0"/>
            <w:vAlign w:val="center"/>
          </w:tcPr>
          <w:p w14:paraId="035F80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1.58</w:t>
            </w:r>
          </w:p>
        </w:tc>
        <w:tc>
          <w:tcPr>
            <w:tcW w:w="1836" w:type="dxa"/>
            <w:noWrap w:val="0"/>
            <w:vAlign w:val="center"/>
          </w:tcPr>
          <w:p w14:paraId="230A9A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1.61</w:t>
            </w:r>
          </w:p>
        </w:tc>
      </w:tr>
      <w:tr w14:paraId="2E37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040CA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-37</w:t>
            </w:r>
          </w:p>
        </w:tc>
        <w:tc>
          <w:tcPr>
            <w:tcW w:w="1832" w:type="dxa"/>
            <w:noWrap w:val="0"/>
            <w:vAlign w:val="center"/>
          </w:tcPr>
          <w:p w14:paraId="5DF069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0.086</w:t>
            </w:r>
          </w:p>
        </w:tc>
        <w:tc>
          <w:tcPr>
            <w:tcW w:w="1834" w:type="dxa"/>
            <w:noWrap w:val="0"/>
            <w:vAlign w:val="center"/>
          </w:tcPr>
          <w:p w14:paraId="27A9EB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0.094</w:t>
            </w:r>
          </w:p>
        </w:tc>
        <w:tc>
          <w:tcPr>
            <w:tcW w:w="1834" w:type="dxa"/>
            <w:noWrap w:val="0"/>
            <w:vAlign w:val="center"/>
          </w:tcPr>
          <w:p w14:paraId="6A02B7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1.66</w:t>
            </w:r>
          </w:p>
        </w:tc>
        <w:tc>
          <w:tcPr>
            <w:tcW w:w="1836" w:type="dxa"/>
            <w:noWrap w:val="0"/>
            <w:vAlign w:val="center"/>
          </w:tcPr>
          <w:p w14:paraId="5A0C2D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1.69</w:t>
            </w:r>
          </w:p>
        </w:tc>
      </w:tr>
      <w:tr w14:paraId="546E5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19543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-36</w:t>
            </w:r>
          </w:p>
        </w:tc>
        <w:tc>
          <w:tcPr>
            <w:tcW w:w="1832" w:type="dxa"/>
            <w:noWrap w:val="0"/>
            <w:vAlign w:val="center"/>
          </w:tcPr>
          <w:p w14:paraId="7BDDB6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0.089</w:t>
            </w:r>
          </w:p>
        </w:tc>
        <w:tc>
          <w:tcPr>
            <w:tcW w:w="1834" w:type="dxa"/>
            <w:noWrap w:val="0"/>
            <w:vAlign w:val="center"/>
          </w:tcPr>
          <w:p w14:paraId="6AD505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0.097</w:t>
            </w:r>
          </w:p>
        </w:tc>
        <w:tc>
          <w:tcPr>
            <w:tcW w:w="1834" w:type="dxa"/>
            <w:noWrap w:val="0"/>
            <w:vAlign w:val="center"/>
          </w:tcPr>
          <w:p w14:paraId="42A821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1.75</w:t>
            </w:r>
          </w:p>
        </w:tc>
        <w:tc>
          <w:tcPr>
            <w:tcW w:w="1836" w:type="dxa"/>
            <w:noWrap w:val="0"/>
            <w:vAlign w:val="center"/>
          </w:tcPr>
          <w:p w14:paraId="79E083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1.78</w:t>
            </w:r>
          </w:p>
        </w:tc>
      </w:tr>
      <w:tr w14:paraId="0160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9C109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-35</w:t>
            </w:r>
          </w:p>
        </w:tc>
        <w:tc>
          <w:tcPr>
            <w:tcW w:w="1832" w:type="dxa"/>
            <w:noWrap w:val="0"/>
            <w:vAlign w:val="center"/>
          </w:tcPr>
          <w:p w14:paraId="543BDA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0.091</w:t>
            </w:r>
          </w:p>
        </w:tc>
        <w:tc>
          <w:tcPr>
            <w:tcW w:w="1834" w:type="dxa"/>
            <w:noWrap w:val="0"/>
            <w:vAlign w:val="center"/>
          </w:tcPr>
          <w:p w14:paraId="3A4412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0.101</w:t>
            </w:r>
          </w:p>
        </w:tc>
        <w:tc>
          <w:tcPr>
            <w:tcW w:w="1834" w:type="dxa"/>
            <w:noWrap w:val="0"/>
            <w:vAlign w:val="center"/>
          </w:tcPr>
          <w:p w14:paraId="58CD91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1.84</w:t>
            </w:r>
          </w:p>
        </w:tc>
        <w:tc>
          <w:tcPr>
            <w:tcW w:w="1836" w:type="dxa"/>
            <w:noWrap w:val="0"/>
            <w:vAlign w:val="center"/>
          </w:tcPr>
          <w:p w14:paraId="5C44D2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1.88</w:t>
            </w:r>
          </w:p>
        </w:tc>
      </w:tr>
      <w:tr w14:paraId="387D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DABC6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-34</w:t>
            </w:r>
          </w:p>
        </w:tc>
        <w:tc>
          <w:tcPr>
            <w:tcW w:w="1832" w:type="dxa"/>
            <w:noWrap w:val="0"/>
            <w:vAlign w:val="center"/>
          </w:tcPr>
          <w:p w14:paraId="7BBF4E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0.094</w:t>
            </w:r>
          </w:p>
        </w:tc>
        <w:tc>
          <w:tcPr>
            <w:tcW w:w="1834" w:type="dxa"/>
            <w:noWrap w:val="0"/>
            <w:vAlign w:val="center"/>
          </w:tcPr>
          <w:p w14:paraId="7A63D0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0.104</w:t>
            </w:r>
          </w:p>
        </w:tc>
        <w:tc>
          <w:tcPr>
            <w:tcW w:w="1834" w:type="dxa"/>
            <w:noWrap w:val="0"/>
            <w:vAlign w:val="center"/>
          </w:tcPr>
          <w:p w14:paraId="7CAEC1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1.94</w:t>
            </w:r>
          </w:p>
        </w:tc>
        <w:tc>
          <w:tcPr>
            <w:tcW w:w="1836" w:type="dxa"/>
            <w:noWrap w:val="0"/>
            <w:vAlign w:val="center"/>
          </w:tcPr>
          <w:p w14:paraId="26FC10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1.98</w:t>
            </w:r>
          </w:p>
        </w:tc>
      </w:tr>
      <w:tr w14:paraId="6EC85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F9AED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-33</w:t>
            </w:r>
          </w:p>
        </w:tc>
        <w:tc>
          <w:tcPr>
            <w:tcW w:w="1832" w:type="dxa"/>
            <w:noWrap w:val="0"/>
            <w:vAlign w:val="center"/>
          </w:tcPr>
          <w:p w14:paraId="4C8B04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0.096</w:t>
            </w:r>
          </w:p>
        </w:tc>
        <w:tc>
          <w:tcPr>
            <w:tcW w:w="1834" w:type="dxa"/>
            <w:noWrap w:val="0"/>
            <w:vAlign w:val="center"/>
          </w:tcPr>
          <w:p w14:paraId="068473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0.108</w:t>
            </w:r>
          </w:p>
        </w:tc>
        <w:tc>
          <w:tcPr>
            <w:tcW w:w="1834" w:type="dxa"/>
            <w:noWrap w:val="0"/>
            <w:vAlign w:val="center"/>
          </w:tcPr>
          <w:p w14:paraId="66086D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2.05</w:t>
            </w:r>
          </w:p>
        </w:tc>
        <w:tc>
          <w:tcPr>
            <w:tcW w:w="1836" w:type="dxa"/>
            <w:noWrap w:val="0"/>
            <w:vAlign w:val="center"/>
          </w:tcPr>
          <w:p w14:paraId="55C38D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2.09</w:t>
            </w:r>
          </w:p>
        </w:tc>
      </w:tr>
      <w:tr w14:paraId="73B30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A5DEF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-32</w:t>
            </w:r>
          </w:p>
        </w:tc>
        <w:tc>
          <w:tcPr>
            <w:tcW w:w="1832" w:type="dxa"/>
            <w:noWrap w:val="0"/>
            <w:vAlign w:val="center"/>
          </w:tcPr>
          <w:p w14:paraId="421638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0.099</w:t>
            </w:r>
          </w:p>
        </w:tc>
        <w:tc>
          <w:tcPr>
            <w:tcW w:w="1834" w:type="dxa"/>
            <w:noWrap w:val="0"/>
            <w:vAlign w:val="center"/>
          </w:tcPr>
          <w:p w14:paraId="27ECFD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0.111</w:t>
            </w:r>
          </w:p>
        </w:tc>
        <w:tc>
          <w:tcPr>
            <w:tcW w:w="1834" w:type="dxa"/>
            <w:noWrap w:val="0"/>
            <w:vAlign w:val="center"/>
          </w:tcPr>
          <w:p w14:paraId="6C74C0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2.17</w:t>
            </w:r>
          </w:p>
        </w:tc>
        <w:tc>
          <w:tcPr>
            <w:tcW w:w="1836" w:type="dxa"/>
            <w:noWrap w:val="0"/>
            <w:vAlign w:val="center"/>
          </w:tcPr>
          <w:p w14:paraId="0C32D0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2.22</w:t>
            </w:r>
          </w:p>
        </w:tc>
      </w:tr>
      <w:tr w14:paraId="66E9A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DEE93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-31</w:t>
            </w:r>
          </w:p>
        </w:tc>
        <w:tc>
          <w:tcPr>
            <w:tcW w:w="1832" w:type="dxa"/>
            <w:noWrap w:val="0"/>
            <w:vAlign w:val="center"/>
          </w:tcPr>
          <w:p w14:paraId="3F0B6A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0.101</w:t>
            </w:r>
          </w:p>
        </w:tc>
        <w:tc>
          <w:tcPr>
            <w:tcW w:w="1834" w:type="dxa"/>
            <w:noWrap w:val="0"/>
            <w:vAlign w:val="center"/>
          </w:tcPr>
          <w:p w14:paraId="0F5BBF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0.114</w:t>
            </w:r>
          </w:p>
        </w:tc>
        <w:tc>
          <w:tcPr>
            <w:tcW w:w="1834" w:type="dxa"/>
            <w:noWrap w:val="0"/>
            <w:vAlign w:val="center"/>
          </w:tcPr>
          <w:p w14:paraId="56DA76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2.30</w:t>
            </w:r>
          </w:p>
        </w:tc>
        <w:tc>
          <w:tcPr>
            <w:tcW w:w="1836" w:type="dxa"/>
            <w:noWrap w:val="0"/>
            <w:vAlign w:val="center"/>
          </w:tcPr>
          <w:p w14:paraId="66FC90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2.35</w:t>
            </w:r>
          </w:p>
        </w:tc>
      </w:tr>
      <w:tr w14:paraId="7D5E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29734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-30</w:t>
            </w:r>
          </w:p>
        </w:tc>
        <w:tc>
          <w:tcPr>
            <w:tcW w:w="1832" w:type="dxa"/>
            <w:noWrap w:val="0"/>
            <w:vAlign w:val="center"/>
          </w:tcPr>
          <w:p w14:paraId="381B63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0.103</w:t>
            </w:r>
          </w:p>
        </w:tc>
        <w:tc>
          <w:tcPr>
            <w:tcW w:w="1834" w:type="dxa"/>
            <w:noWrap w:val="0"/>
            <w:vAlign w:val="center"/>
          </w:tcPr>
          <w:p w14:paraId="7188DC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0.118</w:t>
            </w:r>
          </w:p>
        </w:tc>
        <w:tc>
          <w:tcPr>
            <w:tcW w:w="1834" w:type="dxa"/>
            <w:noWrap w:val="0"/>
            <w:vAlign w:val="center"/>
          </w:tcPr>
          <w:p w14:paraId="5B2699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2.44</w:t>
            </w:r>
          </w:p>
        </w:tc>
        <w:tc>
          <w:tcPr>
            <w:tcW w:w="1836" w:type="dxa"/>
            <w:noWrap w:val="0"/>
            <w:vAlign w:val="center"/>
          </w:tcPr>
          <w:p w14:paraId="046AC5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2.50</w:t>
            </w:r>
          </w:p>
        </w:tc>
      </w:tr>
      <w:tr w14:paraId="5D78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235CE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-29</w:t>
            </w:r>
          </w:p>
        </w:tc>
        <w:tc>
          <w:tcPr>
            <w:tcW w:w="1832" w:type="dxa"/>
            <w:noWrap w:val="0"/>
            <w:vAlign w:val="center"/>
          </w:tcPr>
          <w:p w14:paraId="6F29B7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0.105</w:t>
            </w:r>
          </w:p>
        </w:tc>
        <w:tc>
          <w:tcPr>
            <w:tcW w:w="1834" w:type="dxa"/>
            <w:noWrap w:val="0"/>
            <w:vAlign w:val="center"/>
          </w:tcPr>
          <w:p w14:paraId="04E412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0.121</w:t>
            </w:r>
          </w:p>
        </w:tc>
        <w:tc>
          <w:tcPr>
            <w:tcW w:w="1834" w:type="dxa"/>
            <w:noWrap w:val="0"/>
            <w:vAlign w:val="center"/>
          </w:tcPr>
          <w:p w14:paraId="1858DA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2.59</w:t>
            </w:r>
          </w:p>
        </w:tc>
        <w:tc>
          <w:tcPr>
            <w:tcW w:w="1836" w:type="dxa"/>
            <w:noWrap w:val="0"/>
            <w:vAlign w:val="center"/>
          </w:tcPr>
          <w:p w14:paraId="570175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2.65</w:t>
            </w:r>
          </w:p>
        </w:tc>
      </w:tr>
      <w:tr w14:paraId="7BAB4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C5639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-28</w:t>
            </w:r>
          </w:p>
        </w:tc>
        <w:tc>
          <w:tcPr>
            <w:tcW w:w="1832" w:type="dxa"/>
            <w:noWrap w:val="0"/>
            <w:vAlign w:val="center"/>
          </w:tcPr>
          <w:p w14:paraId="0C3D0F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0.106</w:t>
            </w:r>
          </w:p>
        </w:tc>
        <w:tc>
          <w:tcPr>
            <w:tcW w:w="1834" w:type="dxa"/>
            <w:noWrap w:val="0"/>
            <w:vAlign w:val="center"/>
          </w:tcPr>
          <w:p w14:paraId="61B087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0.124</w:t>
            </w:r>
          </w:p>
        </w:tc>
        <w:tc>
          <w:tcPr>
            <w:tcW w:w="1834" w:type="dxa"/>
            <w:noWrap w:val="0"/>
            <w:vAlign w:val="center"/>
          </w:tcPr>
          <w:p w14:paraId="714595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2.76</w:t>
            </w:r>
          </w:p>
        </w:tc>
        <w:tc>
          <w:tcPr>
            <w:tcW w:w="1836" w:type="dxa"/>
            <w:noWrap w:val="0"/>
            <w:vAlign w:val="center"/>
          </w:tcPr>
          <w:p w14:paraId="3101E5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2.83</w:t>
            </w:r>
          </w:p>
        </w:tc>
      </w:tr>
      <w:tr w14:paraId="39E9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7652F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-27</w:t>
            </w:r>
          </w:p>
        </w:tc>
        <w:tc>
          <w:tcPr>
            <w:tcW w:w="1832" w:type="dxa"/>
            <w:noWrap w:val="0"/>
            <w:vAlign w:val="center"/>
          </w:tcPr>
          <w:p w14:paraId="486B3F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0.107</w:t>
            </w:r>
          </w:p>
        </w:tc>
        <w:tc>
          <w:tcPr>
            <w:tcW w:w="1834" w:type="dxa"/>
            <w:noWrap w:val="0"/>
            <w:vAlign w:val="center"/>
          </w:tcPr>
          <w:p w14:paraId="5F1E7E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0.127</w:t>
            </w:r>
          </w:p>
        </w:tc>
        <w:tc>
          <w:tcPr>
            <w:tcW w:w="1834" w:type="dxa"/>
            <w:noWrap w:val="0"/>
            <w:vAlign w:val="center"/>
          </w:tcPr>
          <w:p w14:paraId="0CDF61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2.94</w:t>
            </w:r>
          </w:p>
        </w:tc>
        <w:tc>
          <w:tcPr>
            <w:tcW w:w="1836" w:type="dxa"/>
            <w:noWrap w:val="0"/>
            <w:vAlign w:val="center"/>
          </w:tcPr>
          <w:p w14:paraId="5D6747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3.02</w:t>
            </w:r>
          </w:p>
        </w:tc>
      </w:tr>
      <w:tr w14:paraId="2C47F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05011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-26</w:t>
            </w:r>
          </w:p>
        </w:tc>
        <w:tc>
          <w:tcPr>
            <w:tcW w:w="1832" w:type="dxa"/>
            <w:noWrap w:val="0"/>
            <w:vAlign w:val="center"/>
          </w:tcPr>
          <w:p w14:paraId="53FD32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0.108</w:t>
            </w:r>
          </w:p>
        </w:tc>
        <w:tc>
          <w:tcPr>
            <w:tcW w:w="1834" w:type="dxa"/>
            <w:noWrap w:val="0"/>
            <w:vAlign w:val="center"/>
          </w:tcPr>
          <w:p w14:paraId="55F5E2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0.130</w:t>
            </w:r>
          </w:p>
        </w:tc>
        <w:tc>
          <w:tcPr>
            <w:tcW w:w="1834" w:type="dxa"/>
            <w:noWrap w:val="0"/>
            <w:vAlign w:val="center"/>
          </w:tcPr>
          <w:p w14:paraId="3A036F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3.14</w:t>
            </w:r>
          </w:p>
        </w:tc>
        <w:tc>
          <w:tcPr>
            <w:tcW w:w="1836" w:type="dxa"/>
            <w:noWrap w:val="0"/>
            <w:vAlign w:val="center"/>
          </w:tcPr>
          <w:p w14:paraId="4530C0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3.23</w:t>
            </w:r>
          </w:p>
        </w:tc>
      </w:tr>
      <w:tr w14:paraId="752A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6EC3A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-25</w:t>
            </w:r>
          </w:p>
        </w:tc>
        <w:tc>
          <w:tcPr>
            <w:tcW w:w="1832" w:type="dxa"/>
            <w:noWrap w:val="0"/>
            <w:vAlign w:val="center"/>
          </w:tcPr>
          <w:p w14:paraId="7A7DAD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0.107</w:t>
            </w:r>
          </w:p>
        </w:tc>
        <w:tc>
          <w:tcPr>
            <w:tcW w:w="1834" w:type="dxa"/>
            <w:noWrap w:val="0"/>
            <w:vAlign w:val="center"/>
          </w:tcPr>
          <w:p w14:paraId="04A465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0.132</w:t>
            </w:r>
          </w:p>
        </w:tc>
        <w:tc>
          <w:tcPr>
            <w:tcW w:w="1834" w:type="dxa"/>
            <w:noWrap w:val="0"/>
            <w:vAlign w:val="center"/>
          </w:tcPr>
          <w:p w14:paraId="254D40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3.36</w:t>
            </w:r>
          </w:p>
        </w:tc>
        <w:tc>
          <w:tcPr>
            <w:tcW w:w="1836" w:type="dxa"/>
            <w:noWrap w:val="0"/>
            <w:vAlign w:val="center"/>
          </w:tcPr>
          <w:p w14:paraId="6BB30B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3.46</w:t>
            </w:r>
          </w:p>
        </w:tc>
      </w:tr>
      <w:tr w14:paraId="5B87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74F45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-24</w:t>
            </w:r>
          </w:p>
        </w:tc>
        <w:tc>
          <w:tcPr>
            <w:tcW w:w="1832" w:type="dxa"/>
            <w:noWrap w:val="0"/>
            <w:vAlign w:val="center"/>
          </w:tcPr>
          <w:p w14:paraId="6D69F3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0.107</w:t>
            </w:r>
          </w:p>
        </w:tc>
        <w:tc>
          <w:tcPr>
            <w:tcW w:w="1834" w:type="dxa"/>
            <w:noWrap w:val="0"/>
            <w:vAlign w:val="center"/>
          </w:tcPr>
          <w:p w14:paraId="76ABA0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0.133</w:t>
            </w:r>
          </w:p>
        </w:tc>
        <w:tc>
          <w:tcPr>
            <w:tcW w:w="1834" w:type="dxa"/>
            <w:noWrap w:val="0"/>
            <w:vAlign w:val="center"/>
          </w:tcPr>
          <w:p w14:paraId="1986DD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3.60</w:t>
            </w:r>
          </w:p>
        </w:tc>
        <w:tc>
          <w:tcPr>
            <w:tcW w:w="1836" w:type="dxa"/>
            <w:noWrap w:val="0"/>
            <w:vAlign w:val="center"/>
          </w:tcPr>
          <w:p w14:paraId="2EE9B9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3.72</w:t>
            </w:r>
          </w:p>
        </w:tc>
      </w:tr>
      <w:tr w14:paraId="7EE62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5F98C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-23</w:t>
            </w:r>
          </w:p>
        </w:tc>
        <w:tc>
          <w:tcPr>
            <w:tcW w:w="1832" w:type="dxa"/>
            <w:noWrap w:val="0"/>
            <w:vAlign w:val="center"/>
          </w:tcPr>
          <w:p w14:paraId="28A38B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0.106</w:t>
            </w:r>
          </w:p>
        </w:tc>
        <w:tc>
          <w:tcPr>
            <w:tcW w:w="1834" w:type="dxa"/>
            <w:noWrap w:val="0"/>
            <w:vAlign w:val="center"/>
          </w:tcPr>
          <w:p w14:paraId="72639E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0.134</w:t>
            </w:r>
          </w:p>
        </w:tc>
        <w:tc>
          <w:tcPr>
            <w:tcW w:w="1834" w:type="dxa"/>
            <w:noWrap w:val="0"/>
            <w:vAlign w:val="center"/>
          </w:tcPr>
          <w:p w14:paraId="113989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3.86</w:t>
            </w:r>
          </w:p>
        </w:tc>
        <w:tc>
          <w:tcPr>
            <w:tcW w:w="1836" w:type="dxa"/>
            <w:noWrap w:val="0"/>
            <w:vAlign w:val="center"/>
          </w:tcPr>
          <w:p w14:paraId="386B1E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4.01</w:t>
            </w:r>
          </w:p>
        </w:tc>
      </w:tr>
      <w:tr w14:paraId="767E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88B3C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-22</w:t>
            </w:r>
          </w:p>
        </w:tc>
        <w:tc>
          <w:tcPr>
            <w:tcW w:w="1832" w:type="dxa"/>
            <w:noWrap w:val="0"/>
            <w:vAlign w:val="center"/>
          </w:tcPr>
          <w:p w14:paraId="0051C8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0.104</w:t>
            </w:r>
          </w:p>
        </w:tc>
        <w:tc>
          <w:tcPr>
            <w:tcW w:w="1834" w:type="dxa"/>
            <w:noWrap w:val="0"/>
            <w:vAlign w:val="center"/>
          </w:tcPr>
          <w:p w14:paraId="7064B6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0.135</w:t>
            </w:r>
          </w:p>
        </w:tc>
        <w:tc>
          <w:tcPr>
            <w:tcW w:w="1834" w:type="dxa"/>
            <w:noWrap w:val="0"/>
            <w:vAlign w:val="center"/>
          </w:tcPr>
          <w:p w14:paraId="137C5D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4.16</w:t>
            </w:r>
          </w:p>
        </w:tc>
        <w:tc>
          <w:tcPr>
            <w:tcW w:w="1836" w:type="dxa"/>
            <w:noWrap w:val="0"/>
            <w:vAlign w:val="center"/>
          </w:tcPr>
          <w:p w14:paraId="5D74AD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4.32</w:t>
            </w:r>
          </w:p>
        </w:tc>
      </w:tr>
      <w:tr w14:paraId="02EE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C6319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-21</w:t>
            </w:r>
          </w:p>
        </w:tc>
        <w:tc>
          <w:tcPr>
            <w:tcW w:w="1832" w:type="dxa"/>
            <w:noWrap w:val="0"/>
            <w:vAlign w:val="center"/>
          </w:tcPr>
          <w:p w14:paraId="530289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0.104</w:t>
            </w:r>
          </w:p>
        </w:tc>
        <w:tc>
          <w:tcPr>
            <w:tcW w:w="1834" w:type="dxa"/>
            <w:noWrap w:val="0"/>
            <w:vAlign w:val="center"/>
          </w:tcPr>
          <w:p w14:paraId="0F0DDA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0.135</w:t>
            </w:r>
          </w:p>
        </w:tc>
        <w:tc>
          <w:tcPr>
            <w:tcW w:w="1834" w:type="dxa"/>
            <w:noWrap w:val="0"/>
            <w:vAlign w:val="center"/>
          </w:tcPr>
          <w:p w14:paraId="3CAF60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4.48</w:t>
            </w:r>
          </w:p>
        </w:tc>
        <w:tc>
          <w:tcPr>
            <w:tcW w:w="1836" w:type="dxa"/>
            <w:noWrap w:val="0"/>
            <w:vAlign w:val="center"/>
          </w:tcPr>
          <w:p w14:paraId="6D4CFD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4.68</w:t>
            </w:r>
          </w:p>
        </w:tc>
      </w:tr>
      <w:tr w14:paraId="4C93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 w:type="pct"/>
            <w:noWrap w:val="0"/>
            <w:vAlign w:val="center"/>
          </w:tcPr>
          <w:p w14:paraId="5E6616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-20</w:t>
            </w:r>
          </w:p>
        </w:tc>
        <w:tc>
          <w:tcPr>
            <w:tcW w:w="1832" w:type="dxa"/>
            <w:noWrap w:val="0"/>
            <w:vAlign w:val="center"/>
          </w:tcPr>
          <w:p w14:paraId="2B8C72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0.105</w:t>
            </w:r>
          </w:p>
        </w:tc>
        <w:tc>
          <w:tcPr>
            <w:tcW w:w="1834" w:type="dxa"/>
            <w:noWrap w:val="0"/>
            <w:vAlign w:val="center"/>
          </w:tcPr>
          <w:p w14:paraId="113B0B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0.135</w:t>
            </w:r>
          </w:p>
        </w:tc>
        <w:tc>
          <w:tcPr>
            <w:tcW w:w="1834" w:type="dxa"/>
            <w:noWrap w:val="0"/>
            <w:vAlign w:val="center"/>
          </w:tcPr>
          <w:p w14:paraId="5237D2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4.85</w:t>
            </w:r>
          </w:p>
        </w:tc>
        <w:tc>
          <w:tcPr>
            <w:tcW w:w="1836" w:type="dxa"/>
            <w:noWrap w:val="0"/>
            <w:vAlign w:val="center"/>
          </w:tcPr>
          <w:p w14:paraId="379BDF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5.08</w:t>
            </w:r>
          </w:p>
        </w:tc>
      </w:tr>
      <w:tr w14:paraId="2AFA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E4323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-19</w:t>
            </w:r>
          </w:p>
        </w:tc>
        <w:tc>
          <w:tcPr>
            <w:tcW w:w="1832" w:type="dxa"/>
            <w:noWrap w:val="0"/>
            <w:vAlign w:val="center"/>
          </w:tcPr>
          <w:p w14:paraId="0A4A87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0.112</w:t>
            </w:r>
          </w:p>
        </w:tc>
        <w:tc>
          <w:tcPr>
            <w:tcW w:w="1834" w:type="dxa"/>
            <w:noWrap w:val="0"/>
            <w:vAlign w:val="center"/>
          </w:tcPr>
          <w:p w14:paraId="3D9D0B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0.138</w:t>
            </w:r>
          </w:p>
        </w:tc>
        <w:tc>
          <w:tcPr>
            <w:tcW w:w="1834" w:type="dxa"/>
            <w:noWrap w:val="0"/>
            <w:vAlign w:val="center"/>
          </w:tcPr>
          <w:p w14:paraId="271497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5.25</w:t>
            </w:r>
          </w:p>
        </w:tc>
        <w:tc>
          <w:tcPr>
            <w:tcW w:w="1836" w:type="dxa"/>
            <w:noWrap w:val="0"/>
            <w:vAlign w:val="center"/>
          </w:tcPr>
          <w:p w14:paraId="167212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5.52</w:t>
            </w:r>
          </w:p>
        </w:tc>
      </w:tr>
      <w:tr w14:paraId="47E58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22C9D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-18</w:t>
            </w:r>
          </w:p>
        </w:tc>
        <w:tc>
          <w:tcPr>
            <w:tcW w:w="1832" w:type="dxa"/>
            <w:noWrap w:val="0"/>
            <w:vAlign w:val="center"/>
          </w:tcPr>
          <w:p w14:paraId="4E338B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0.128</w:t>
            </w:r>
          </w:p>
        </w:tc>
        <w:tc>
          <w:tcPr>
            <w:tcW w:w="1834" w:type="dxa"/>
            <w:noWrap w:val="0"/>
            <w:vAlign w:val="center"/>
          </w:tcPr>
          <w:p w14:paraId="50A199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0.144</w:t>
            </w:r>
          </w:p>
        </w:tc>
        <w:tc>
          <w:tcPr>
            <w:tcW w:w="1834" w:type="dxa"/>
            <w:noWrap w:val="0"/>
            <w:vAlign w:val="center"/>
          </w:tcPr>
          <w:p w14:paraId="0206C1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5.70</w:t>
            </w:r>
          </w:p>
        </w:tc>
        <w:tc>
          <w:tcPr>
            <w:tcW w:w="1836" w:type="dxa"/>
            <w:noWrap w:val="0"/>
            <w:vAlign w:val="center"/>
          </w:tcPr>
          <w:p w14:paraId="1C1FD0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6.02</w:t>
            </w:r>
          </w:p>
        </w:tc>
      </w:tr>
      <w:tr w14:paraId="11A01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39ABD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-17</w:t>
            </w:r>
          </w:p>
        </w:tc>
        <w:tc>
          <w:tcPr>
            <w:tcW w:w="1832" w:type="dxa"/>
            <w:noWrap w:val="0"/>
            <w:vAlign w:val="center"/>
          </w:tcPr>
          <w:p w14:paraId="1357CD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0.155</w:t>
            </w:r>
          </w:p>
        </w:tc>
        <w:tc>
          <w:tcPr>
            <w:tcW w:w="1834" w:type="dxa"/>
            <w:noWrap w:val="0"/>
            <w:vAlign w:val="center"/>
          </w:tcPr>
          <w:p w14:paraId="02E616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0.160</w:t>
            </w:r>
          </w:p>
        </w:tc>
        <w:tc>
          <w:tcPr>
            <w:tcW w:w="1834" w:type="dxa"/>
            <w:noWrap w:val="0"/>
            <w:vAlign w:val="center"/>
          </w:tcPr>
          <w:p w14:paraId="799070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6.21</w:t>
            </w:r>
          </w:p>
        </w:tc>
        <w:tc>
          <w:tcPr>
            <w:tcW w:w="1836" w:type="dxa"/>
            <w:noWrap w:val="0"/>
            <w:vAlign w:val="center"/>
          </w:tcPr>
          <w:p w14:paraId="5E2CFA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6.59</w:t>
            </w:r>
          </w:p>
        </w:tc>
      </w:tr>
      <w:tr w14:paraId="7439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EF2AC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-16</w:t>
            </w:r>
          </w:p>
        </w:tc>
        <w:tc>
          <w:tcPr>
            <w:tcW w:w="1832" w:type="dxa"/>
            <w:noWrap w:val="0"/>
            <w:vAlign w:val="center"/>
          </w:tcPr>
          <w:p w14:paraId="78B986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0.198</w:t>
            </w:r>
          </w:p>
        </w:tc>
        <w:tc>
          <w:tcPr>
            <w:tcW w:w="1834" w:type="dxa"/>
            <w:noWrap w:val="0"/>
            <w:vAlign w:val="center"/>
          </w:tcPr>
          <w:p w14:paraId="0C10C6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0.189</w:t>
            </w:r>
          </w:p>
        </w:tc>
        <w:tc>
          <w:tcPr>
            <w:tcW w:w="1834" w:type="dxa"/>
            <w:noWrap w:val="0"/>
            <w:vAlign w:val="center"/>
          </w:tcPr>
          <w:p w14:paraId="685F30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6.77</w:t>
            </w:r>
          </w:p>
        </w:tc>
        <w:tc>
          <w:tcPr>
            <w:tcW w:w="1836" w:type="dxa"/>
            <w:noWrap w:val="0"/>
            <w:vAlign w:val="center"/>
          </w:tcPr>
          <w:p w14:paraId="3F408A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7.24</w:t>
            </w:r>
          </w:p>
        </w:tc>
      </w:tr>
      <w:tr w14:paraId="65CF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40FD2B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-15</w:t>
            </w:r>
          </w:p>
        </w:tc>
        <w:tc>
          <w:tcPr>
            <w:tcW w:w="1832" w:type="dxa"/>
            <w:noWrap w:val="0"/>
            <w:vAlign w:val="center"/>
          </w:tcPr>
          <w:p w14:paraId="418719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0.260</w:t>
            </w:r>
          </w:p>
        </w:tc>
        <w:tc>
          <w:tcPr>
            <w:tcW w:w="1834" w:type="dxa"/>
            <w:noWrap w:val="0"/>
            <w:vAlign w:val="center"/>
          </w:tcPr>
          <w:p w14:paraId="4CD517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0.237</w:t>
            </w:r>
          </w:p>
        </w:tc>
        <w:tc>
          <w:tcPr>
            <w:tcW w:w="1834" w:type="dxa"/>
            <w:noWrap w:val="0"/>
            <w:vAlign w:val="center"/>
          </w:tcPr>
          <w:p w14:paraId="0EE1AA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7.41</w:t>
            </w:r>
          </w:p>
        </w:tc>
        <w:tc>
          <w:tcPr>
            <w:tcW w:w="1836" w:type="dxa"/>
            <w:noWrap w:val="0"/>
            <w:vAlign w:val="center"/>
          </w:tcPr>
          <w:p w14:paraId="4F4D24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7.97</w:t>
            </w:r>
          </w:p>
        </w:tc>
      </w:tr>
      <w:tr w14:paraId="3C9DB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7F378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-14</w:t>
            </w:r>
          </w:p>
        </w:tc>
        <w:tc>
          <w:tcPr>
            <w:tcW w:w="1832" w:type="dxa"/>
            <w:noWrap w:val="0"/>
            <w:vAlign w:val="center"/>
          </w:tcPr>
          <w:p w14:paraId="5E52F8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0.343</w:t>
            </w:r>
          </w:p>
        </w:tc>
        <w:tc>
          <w:tcPr>
            <w:tcW w:w="1834" w:type="dxa"/>
            <w:noWrap w:val="0"/>
            <w:vAlign w:val="center"/>
          </w:tcPr>
          <w:p w14:paraId="781150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0.311</w:t>
            </w:r>
          </w:p>
        </w:tc>
        <w:tc>
          <w:tcPr>
            <w:tcW w:w="1834" w:type="dxa"/>
            <w:noWrap w:val="0"/>
            <w:vAlign w:val="center"/>
          </w:tcPr>
          <w:p w14:paraId="2F7F0E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8.12</w:t>
            </w:r>
          </w:p>
        </w:tc>
        <w:tc>
          <w:tcPr>
            <w:tcW w:w="1836" w:type="dxa"/>
            <w:noWrap w:val="0"/>
            <w:vAlign w:val="center"/>
          </w:tcPr>
          <w:p w14:paraId="7E93A6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8.81</w:t>
            </w:r>
          </w:p>
        </w:tc>
      </w:tr>
      <w:tr w14:paraId="17E6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9EE60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-13</w:t>
            </w:r>
          </w:p>
        </w:tc>
        <w:tc>
          <w:tcPr>
            <w:tcW w:w="1832" w:type="dxa"/>
            <w:noWrap w:val="0"/>
            <w:vAlign w:val="center"/>
          </w:tcPr>
          <w:p w14:paraId="7BAEBC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0.453</w:t>
            </w:r>
          </w:p>
        </w:tc>
        <w:tc>
          <w:tcPr>
            <w:tcW w:w="1834" w:type="dxa"/>
            <w:noWrap w:val="0"/>
            <w:vAlign w:val="center"/>
          </w:tcPr>
          <w:p w14:paraId="31BCC7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0.417</w:t>
            </w:r>
          </w:p>
        </w:tc>
        <w:tc>
          <w:tcPr>
            <w:tcW w:w="1834" w:type="dxa"/>
            <w:noWrap w:val="0"/>
            <w:vAlign w:val="center"/>
          </w:tcPr>
          <w:p w14:paraId="48B3F5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8.91</w:t>
            </w:r>
          </w:p>
        </w:tc>
        <w:tc>
          <w:tcPr>
            <w:tcW w:w="1836" w:type="dxa"/>
            <w:noWrap w:val="0"/>
            <w:vAlign w:val="center"/>
          </w:tcPr>
          <w:p w14:paraId="2A5188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9.77</w:t>
            </w:r>
          </w:p>
        </w:tc>
      </w:tr>
      <w:tr w14:paraId="775B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24606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-12</w:t>
            </w:r>
          </w:p>
        </w:tc>
        <w:tc>
          <w:tcPr>
            <w:tcW w:w="1832" w:type="dxa"/>
            <w:noWrap w:val="0"/>
            <w:vAlign w:val="center"/>
          </w:tcPr>
          <w:p w14:paraId="2852EB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0.593</w:t>
            </w:r>
          </w:p>
        </w:tc>
        <w:tc>
          <w:tcPr>
            <w:tcW w:w="1834" w:type="dxa"/>
            <w:noWrap w:val="0"/>
            <w:vAlign w:val="center"/>
          </w:tcPr>
          <w:p w14:paraId="18069B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0.562</w:t>
            </w:r>
          </w:p>
        </w:tc>
        <w:tc>
          <w:tcPr>
            <w:tcW w:w="1834" w:type="dxa"/>
            <w:noWrap w:val="0"/>
            <w:vAlign w:val="center"/>
          </w:tcPr>
          <w:p w14:paraId="67CFBF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9.79</w:t>
            </w:r>
          </w:p>
        </w:tc>
        <w:tc>
          <w:tcPr>
            <w:tcW w:w="1836" w:type="dxa"/>
            <w:noWrap w:val="0"/>
            <w:vAlign w:val="center"/>
          </w:tcPr>
          <w:p w14:paraId="48AE50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10.86</w:t>
            </w:r>
          </w:p>
        </w:tc>
      </w:tr>
      <w:tr w14:paraId="22A4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E020E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-11</w:t>
            </w:r>
          </w:p>
        </w:tc>
        <w:tc>
          <w:tcPr>
            <w:tcW w:w="1832" w:type="dxa"/>
            <w:noWrap w:val="0"/>
            <w:vAlign w:val="center"/>
          </w:tcPr>
          <w:p w14:paraId="661651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0.771</w:t>
            </w:r>
          </w:p>
        </w:tc>
        <w:tc>
          <w:tcPr>
            <w:tcW w:w="1834" w:type="dxa"/>
            <w:noWrap w:val="0"/>
            <w:vAlign w:val="center"/>
          </w:tcPr>
          <w:p w14:paraId="4EDDC4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0.756</w:t>
            </w:r>
          </w:p>
        </w:tc>
        <w:tc>
          <w:tcPr>
            <w:tcW w:w="1834" w:type="dxa"/>
            <w:noWrap w:val="0"/>
            <w:vAlign w:val="center"/>
          </w:tcPr>
          <w:p w14:paraId="557387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10.75</w:t>
            </w:r>
          </w:p>
        </w:tc>
        <w:tc>
          <w:tcPr>
            <w:tcW w:w="1836" w:type="dxa"/>
            <w:noWrap w:val="0"/>
            <w:vAlign w:val="center"/>
          </w:tcPr>
          <w:p w14:paraId="1A027A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12.09</w:t>
            </w:r>
          </w:p>
        </w:tc>
      </w:tr>
      <w:tr w14:paraId="102F5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279F9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-10</w:t>
            </w:r>
          </w:p>
        </w:tc>
        <w:tc>
          <w:tcPr>
            <w:tcW w:w="1832" w:type="dxa"/>
            <w:noWrap w:val="0"/>
            <w:vAlign w:val="center"/>
          </w:tcPr>
          <w:p w14:paraId="0E2652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0.988</w:t>
            </w:r>
          </w:p>
        </w:tc>
        <w:tc>
          <w:tcPr>
            <w:tcW w:w="1834" w:type="dxa"/>
            <w:noWrap w:val="0"/>
            <w:vAlign w:val="center"/>
          </w:tcPr>
          <w:p w14:paraId="7D0917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1.009</w:t>
            </w:r>
          </w:p>
        </w:tc>
        <w:tc>
          <w:tcPr>
            <w:tcW w:w="1834" w:type="dxa"/>
            <w:noWrap w:val="0"/>
            <w:vAlign w:val="center"/>
          </w:tcPr>
          <w:p w14:paraId="08E18E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11.78</w:t>
            </w:r>
          </w:p>
        </w:tc>
        <w:tc>
          <w:tcPr>
            <w:tcW w:w="1836" w:type="dxa"/>
            <w:noWrap w:val="0"/>
            <w:vAlign w:val="center"/>
          </w:tcPr>
          <w:p w14:paraId="79608A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13.47</w:t>
            </w:r>
          </w:p>
        </w:tc>
      </w:tr>
      <w:tr w14:paraId="617B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692EC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-9</w:t>
            </w:r>
          </w:p>
        </w:tc>
        <w:tc>
          <w:tcPr>
            <w:tcW w:w="1832" w:type="dxa"/>
            <w:noWrap w:val="0"/>
            <w:vAlign w:val="center"/>
          </w:tcPr>
          <w:p w14:paraId="5329D8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1.244</w:t>
            </w:r>
          </w:p>
        </w:tc>
        <w:tc>
          <w:tcPr>
            <w:tcW w:w="1834" w:type="dxa"/>
            <w:noWrap w:val="0"/>
            <w:vAlign w:val="center"/>
          </w:tcPr>
          <w:p w14:paraId="30EE0E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1.328</w:t>
            </w:r>
          </w:p>
        </w:tc>
        <w:tc>
          <w:tcPr>
            <w:tcW w:w="1834" w:type="dxa"/>
            <w:noWrap w:val="0"/>
            <w:vAlign w:val="center"/>
          </w:tcPr>
          <w:p w14:paraId="40BAE2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12.83</w:t>
            </w:r>
          </w:p>
        </w:tc>
        <w:tc>
          <w:tcPr>
            <w:tcW w:w="1836" w:type="dxa"/>
            <w:noWrap w:val="0"/>
            <w:vAlign w:val="center"/>
          </w:tcPr>
          <w:p w14:paraId="0D12DD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14.97</w:t>
            </w:r>
          </w:p>
        </w:tc>
      </w:tr>
      <w:tr w14:paraId="2F02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42224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-8</w:t>
            </w:r>
          </w:p>
        </w:tc>
        <w:tc>
          <w:tcPr>
            <w:tcW w:w="1832" w:type="dxa"/>
            <w:noWrap w:val="0"/>
            <w:vAlign w:val="center"/>
          </w:tcPr>
          <w:p w14:paraId="7A3FC8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1.529</w:t>
            </w:r>
          </w:p>
        </w:tc>
        <w:tc>
          <w:tcPr>
            <w:tcW w:w="1834" w:type="dxa"/>
            <w:noWrap w:val="0"/>
            <w:vAlign w:val="center"/>
          </w:tcPr>
          <w:p w14:paraId="579107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1.707</w:t>
            </w:r>
          </w:p>
        </w:tc>
        <w:tc>
          <w:tcPr>
            <w:tcW w:w="1834" w:type="dxa"/>
            <w:noWrap w:val="0"/>
            <w:vAlign w:val="center"/>
          </w:tcPr>
          <w:p w14:paraId="175CA0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13.82</w:t>
            </w:r>
          </w:p>
        </w:tc>
        <w:tc>
          <w:tcPr>
            <w:tcW w:w="1836" w:type="dxa"/>
            <w:noWrap w:val="0"/>
            <w:vAlign w:val="center"/>
          </w:tcPr>
          <w:p w14:paraId="5E792A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16.48</w:t>
            </w:r>
          </w:p>
        </w:tc>
      </w:tr>
      <w:tr w14:paraId="09F6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8D69B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-7</w:t>
            </w:r>
          </w:p>
        </w:tc>
        <w:tc>
          <w:tcPr>
            <w:tcW w:w="1832" w:type="dxa"/>
            <w:noWrap w:val="0"/>
            <w:vAlign w:val="center"/>
          </w:tcPr>
          <w:p w14:paraId="7216C0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1.821</w:t>
            </w:r>
          </w:p>
        </w:tc>
        <w:tc>
          <w:tcPr>
            <w:tcW w:w="1834" w:type="dxa"/>
            <w:noWrap w:val="0"/>
            <w:vAlign w:val="center"/>
          </w:tcPr>
          <w:p w14:paraId="59F5FC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2.118</w:t>
            </w:r>
          </w:p>
        </w:tc>
        <w:tc>
          <w:tcPr>
            <w:tcW w:w="1834" w:type="dxa"/>
            <w:noWrap w:val="0"/>
            <w:vAlign w:val="center"/>
          </w:tcPr>
          <w:p w14:paraId="6633DC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14.64</w:t>
            </w:r>
          </w:p>
        </w:tc>
        <w:tc>
          <w:tcPr>
            <w:tcW w:w="1836" w:type="dxa"/>
            <w:noWrap w:val="0"/>
            <w:vAlign w:val="center"/>
          </w:tcPr>
          <w:p w14:paraId="46E0E2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17.83</w:t>
            </w:r>
          </w:p>
        </w:tc>
      </w:tr>
      <w:tr w14:paraId="1E7A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AA12A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-6</w:t>
            </w:r>
          </w:p>
        </w:tc>
        <w:tc>
          <w:tcPr>
            <w:tcW w:w="1832" w:type="dxa"/>
            <w:noWrap w:val="0"/>
            <w:vAlign w:val="center"/>
          </w:tcPr>
          <w:p w14:paraId="340318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2.081</w:t>
            </w:r>
          </w:p>
        </w:tc>
        <w:tc>
          <w:tcPr>
            <w:tcW w:w="1834" w:type="dxa"/>
            <w:noWrap w:val="0"/>
            <w:vAlign w:val="center"/>
          </w:tcPr>
          <w:p w14:paraId="3BA9C5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2.499</w:t>
            </w:r>
          </w:p>
        </w:tc>
        <w:tc>
          <w:tcPr>
            <w:tcW w:w="1834" w:type="dxa"/>
            <w:noWrap w:val="0"/>
            <w:vAlign w:val="center"/>
          </w:tcPr>
          <w:p w14:paraId="6AC2EB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15.10</w:t>
            </w:r>
          </w:p>
        </w:tc>
        <w:tc>
          <w:tcPr>
            <w:tcW w:w="1836" w:type="dxa"/>
            <w:noWrap w:val="0"/>
            <w:vAlign w:val="center"/>
          </w:tcPr>
          <w:p w14:paraId="4C0B43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18.66</w:t>
            </w:r>
          </w:p>
        </w:tc>
      </w:tr>
      <w:tr w14:paraId="1D47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90CFE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-5</w:t>
            </w:r>
          </w:p>
        </w:tc>
        <w:tc>
          <w:tcPr>
            <w:tcW w:w="1832" w:type="dxa"/>
            <w:noWrap w:val="0"/>
            <w:vAlign w:val="center"/>
          </w:tcPr>
          <w:p w14:paraId="51321E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2.265</w:t>
            </w:r>
          </w:p>
        </w:tc>
        <w:tc>
          <w:tcPr>
            <w:tcW w:w="1834" w:type="dxa"/>
            <w:noWrap w:val="0"/>
            <w:vAlign w:val="center"/>
          </w:tcPr>
          <w:p w14:paraId="25B950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2.758</w:t>
            </w:r>
          </w:p>
        </w:tc>
        <w:tc>
          <w:tcPr>
            <w:tcW w:w="1834" w:type="dxa"/>
            <w:noWrap w:val="0"/>
            <w:vAlign w:val="center"/>
          </w:tcPr>
          <w:p w14:paraId="201B0E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15.04</w:t>
            </w:r>
          </w:p>
        </w:tc>
        <w:tc>
          <w:tcPr>
            <w:tcW w:w="1836" w:type="dxa"/>
            <w:noWrap w:val="0"/>
            <w:vAlign w:val="center"/>
          </w:tcPr>
          <w:p w14:paraId="73B710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18.59</w:t>
            </w:r>
          </w:p>
        </w:tc>
      </w:tr>
      <w:tr w14:paraId="1630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8C0F3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-4</w:t>
            </w:r>
          </w:p>
        </w:tc>
        <w:tc>
          <w:tcPr>
            <w:tcW w:w="1832" w:type="dxa"/>
            <w:noWrap w:val="0"/>
            <w:vAlign w:val="center"/>
          </w:tcPr>
          <w:p w14:paraId="7D36C7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2.346</w:t>
            </w:r>
          </w:p>
        </w:tc>
        <w:tc>
          <w:tcPr>
            <w:tcW w:w="1834" w:type="dxa"/>
            <w:noWrap w:val="0"/>
            <w:vAlign w:val="center"/>
          </w:tcPr>
          <w:p w14:paraId="0F20D3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2.828</w:t>
            </w:r>
          </w:p>
        </w:tc>
        <w:tc>
          <w:tcPr>
            <w:tcW w:w="1834" w:type="dxa"/>
            <w:noWrap w:val="0"/>
            <w:vAlign w:val="center"/>
          </w:tcPr>
          <w:p w14:paraId="7CD9D2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14.44</w:t>
            </w:r>
          </w:p>
        </w:tc>
        <w:tc>
          <w:tcPr>
            <w:tcW w:w="1836" w:type="dxa"/>
            <w:noWrap w:val="0"/>
            <w:vAlign w:val="center"/>
          </w:tcPr>
          <w:p w14:paraId="0199DC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17.42</w:t>
            </w:r>
          </w:p>
        </w:tc>
      </w:tr>
      <w:tr w14:paraId="30A56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15D9D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w:t>
            </w:r>
          </w:p>
        </w:tc>
        <w:tc>
          <w:tcPr>
            <w:tcW w:w="1832" w:type="dxa"/>
            <w:noWrap w:val="0"/>
            <w:vAlign w:val="center"/>
          </w:tcPr>
          <w:p w14:paraId="4ECCB1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2.331</w:t>
            </w:r>
          </w:p>
        </w:tc>
        <w:tc>
          <w:tcPr>
            <w:tcW w:w="1834" w:type="dxa"/>
            <w:noWrap w:val="0"/>
            <w:vAlign w:val="center"/>
          </w:tcPr>
          <w:p w14:paraId="7171B8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2.722</w:t>
            </w:r>
          </w:p>
        </w:tc>
        <w:tc>
          <w:tcPr>
            <w:tcW w:w="1834" w:type="dxa"/>
            <w:noWrap w:val="0"/>
            <w:vAlign w:val="center"/>
          </w:tcPr>
          <w:p w14:paraId="5EA6DA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13.42</w:t>
            </w:r>
          </w:p>
        </w:tc>
        <w:tc>
          <w:tcPr>
            <w:tcW w:w="1836" w:type="dxa"/>
            <w:noWrap w:val="0"/>
            <w:vAlign w:val="center"/>
          </w:tcPr>
          <w:p w14:paraId="1B05F9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15.42</w:t>
            </w:r>
          </w:p>
        </w:tc>
      </w:tr>
      <w:tr w14:paraId="388B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A92A1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w:t>
            </w:r>
          </w:p>
        </w:tc>
        <w:tc>
          <w:tcPr>
            <w:tcW w:w="1832" w:type="dxa"/>
            <w:noWrap w:val="0"/>
            <w:vAlign w:val="center"/>
          </w:tcPr>
          <w:p w14:paraId="711CA0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2.263</w:t>
            </w:r>
          </w:p>
        </w:tc>
        <w:tc>
          <w:tcPr>
            <w:tcW w:w="1834" w:type="dxa"/>
            <w:noWrap w:val="0"/>
            <w:vAlign w:val="center"/>
          </w:tcPr>
          <w:p w14:paraId="3A5B9B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2.534</w:t>
            </w:r>
          </w:p>
        </w:tc>
        <w:tc>
          <w:tcPr>
            <w:tcW w:w="1834" w:type="dxa"/>
            <w:noWrap w:val="0"/>
            <w:vAlign w:val="center"/>
          </w:tcPr>
          <w:p w14:paraId="2F0B43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12.30</w:t>
            </w:r>
          </w:p>
        </w:tc>
        <w:tc>
          <w:tcPr>
            <w:tcW w:w="1836" w:type="dxa"/>
            <w:noWrap w:val="0"/>
            <w:vAlign w:val="center"/>
          </w:tcPr>
          <w:p w14:paraId="76785B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13.19</w:t>
            </w:r>
          </w:p>
        </w:tc>
      </w:tr>
      <w:tr w14:paraId="4BE81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9A0AA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w:t>
            </w:r>
          </w:p>
        </w:tc>
        <w:tc>
          <w:tcPr>
            <w:tcW w:w="1832" w:type="dxa"/>
            <w:noWrap w:val="0"/>
            <w:vAlign w:val="center"/>
          </w:tcPr>
          <w:p w14:paraId="034405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2.194</w:t>
            </w:r>
          </w:p>
        </w:tc>
        <w:tc>
          <w:tcPr>
            <w:tcW w:w="1834" w:type="dxa"/>
            <w:noWrap w:val="0"/>
            <w:vAlign w:val="center"/>
          </w:tcPr>
          <w:p w14:paraId="4855D0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2.371</w:t>
            </w:r>
          </w:p>
        </w:tc>
        <w:tc>
          <w:tcPr>
            <w:tcW w:w="1834" w:type="dxa"/>
            <w:noWrap w:val="0"/>
            <w:vAlign w:val="center"/>
          </w:tcPr>
          <w:p w14:paraId="3005BA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11.43</w:t>
            </w:r>
          </w:p>
        </w:tc>
        <w:tc>
          <w:tcPr>
            <w:tcW w:w="1836" w:type="dxa"/>
            <w:noWrap w:val="0"/>
            <w:vAlign w:val="center"/>
          </w:tcPr>
          <w:p w14:paraId="1F48F6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11.43</w:t>
            </w:r>
          </w:p>
        </w:tc>
      </w:tr>
      <w:tr w14:paraId="309F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48DA8E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0</w:t>
            </w:r>
          </w:p>
        </w:tc>
        <w:tc>
          <w:tcPr>
            <w:tcW w:w="1832" w:type="dxa"/>
            <w:noWrap w:val="0"/>
            <w:vAlign w:val="center"/>
          </w:tcPr>
          <w:p w14:paraId="1EAE12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2.166</w:t>
            </w:r>
          </w:p>
        </w:tc>
        <w:tc>
          <w:tcPr>
            <w:tcW w:w="1834" w:type="dxa"/>
            <w:noWrap w:val="0"/>
            <w:vAlign w:val="center"/>
          </w:tcPr>
          <w:p w14:paraId="56B456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2.308</w:t>
            </w:r>
          </w:p>
        </w:tc>
        <w:tc>
          <w:tcPr>
            <w:tcW w:w="1834" w:type="dxa"/>
            <w:noWrap w:val="0"/>
            <w:vAlign w:val="center"/>
          </w:tcPr>
          <w:p w14:paraId="6E4052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11.10</w:t>
            </w:r>
          </w:p>
        </w:tc>
        <w:tc>
          <w:tcPr>
            <w:tcW w:w="1836" w:type="dxa"/>
            <w:noWrap w:val="0"/>
            <w:vAlign w:val="center"/>
          </w:tcPr>
          <w:p w14:paraId="165B75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10.76</w:t>
            </w:r>
          </w:p>
        </w:tc>
      </w:tr>
      <w:tr w14:paraId="1445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F9A83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w:t>
            </w:r>
          </w:p>
        </w:tc>
        <w:tc>
          <w:tcPr>
            <w:tcW w:w="1832" w:type="dxa"/>
            <w:noWrap w:val="0"/>
            <w:vAlign w:val="center"/>
          </w:tcPr>
          <w:p w14:paraId="5E3578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2.194</w:t>
            </w:r>
          </w:p>
        </w:tc>
        <w:tc>
          <w:tcPr>
            <w:tcW w:w="1834" w:type="dxa"/>
            <w:noWrap w:val="0"/>
            <w:vAlign w:val="center"/>
          </w:tcPr>
          <w:p w14:paraId="2F34FC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2.371</w:t>
            </w:r>
          </w:p>
        </w:tc>
        <w:tc>
          <w:tcPr>
            <w:tcW w:w="1834" w:type="dxa"/>
            <w:noWrap w:val="0"/>
            <w:vAlign w:val="center"/>
          </w:tcPr>
          <w:p w14:paraId="105FA5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11.43</w:t>
            </w:r>
          </w:p>
        </w:tc>
        <w:tc>
          <w:tcPr>
            <w:tcW w:w="1836" w:type="dxa"/>
            <w:noWrap w:val="0"/>
            <w:vAlign w:val="center"/>
          </w:tcPr>
          <w:p w14:paraId="7B124F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11.43</w:t>
            </w:r>
          </w:p>
        </w:tc>
      </w:tr>
      <w:tr w14:paraId="47CF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182E3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w:t>
            </w:r>
          </w:p>
        </w:tc>
        <w:tc>
          <w:tcPr>
            <w:tcW w:w="1832" w:type="dxa"/>
            <w:noWrap w:val="0"/>
            <w:vAlign w:val="center"/>
          </w:tcPr>
          <w:p w14:paraId="5E8261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2.263</w:t>
            </w:r>
          </w:p>
        </w:tc>
        <w:tc>
          <w:tcPr>
            <w:tcW w:w="1834" w:type="dxa"/>
            <w:noWrap w:val="0"/>
            <w:vAlign w:val="center"/>
          </w:tcPr>
          <w:p w14:paraId="736EC6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2.534</w:t>
            </w:r>
          </w:p>
        </w:tc>
        <w:tc>
          <w:tcPr>
            <w:tcW w:w="1834" w:type="dxa"/>
            <w:noWrap w:val="0"/>
            <w:vAlign w:val="center"/>
          </w:tcPr>
          <w:p w14:paraId="4FAD1B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12.30</w:t>
            </w:r>
          </w:p>
        </w:tc>
        <w:tc>
          <w:tcPr>
            <w:tcW w:w="1836" w:type="dxa"/>
            <w:noWrap w:val="0"/>
            <w:vAlign w:val="center"/>
          </w:tcPr>
          <w:p w14:paraId="2F8B77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13.19</w:t>
            </w:r>
          </w:p>
        </w:tc>
      </w:tr>
      <w:tr w14:paraId="014E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327F5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w:t>
            </w:r>
          </w:p>
        </w:tc>
        <w:tc>
          <w:tcPr>
            <w:tcW w:w="1832" w:type="dxa"/>
            <w:noWrap w:val="0"/>
            <w:vAlign w:val="center"/>
          </w:tcPr>
          <w:p w14:paraId="7BDFB4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2.331</w:t>
            </w:r>
          </w:p>
        </w:tc>
        <w:tc>
          <w:tcPr>
            <w:tcW w:w="1834" w:type="dxa"/>
            <w:noWrap w:val="0"/>
            <w:vAlign w:val="center"/>
          </w:tcPr>
          <w:p w14:paraId="3709A9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2.722</w:t>
            </w:r>
          </w:p>
        </w:tc>
        <w:tc>
          <w:tcPr>
            <w:tcW w:w="1834" w:type="dxa"/>
            <w:noWrap w:val="0"/>
            <w:vAlign w:val="center"/>
          </w:tcPr>
          <w:p w14:paraId="0995D6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13.42</w:t>
            </w:r>
          </w:p>
        </w:tc>
        <w:tc>
          <w:tcPr>
            <w:tcW w:w="1836" w:type="dxa"/>
            <w:noWrap w:val="0"/>
            <w:vAlign w:val="center"/>
          </w:tcPr>
          <w:p w14:paraId="45E178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15.42</w:t>
            </w:r>
          </w:p>
        </w:tc>
      </w:tr>
      <w:tr w14:paraId="1E29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9226A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4</w:t>
            </w:r>
          </w:p>
        </w:tc>
        <w:tc>
          <w:tcPr>
            <w:tcW w:w="1832" w:type="dxa"/>
            <w:noWrap w:val="0"/>
            <w:vAlign w:val="center"/>
          </w:tcPr>
          <w:p w14:paraId="53DA92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2.346</w:t>
            </w:r>
          </w:p>
        </w:tc>
        <w:tc>
          <w:tcPr>
            <w:tcW w:w="1834" w:type="dxa"/>
            <w:noWrap w:val="0"/>
            <w:vAlign w:val="center"/>
          </w:tcPr>
          <w:p w14:paraId="3AEDE9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2.828</w:t>
            </w:r>
          </w:p>
        </w:tc>
        <w:tc>
          <w:tcPr>
            <w:tcW w:w="1834" w:type="dxa"/>
            <w:noWrap w:val="0"/>
            <w:vAlign w:val="center"/>
          </w:tcPr>
          <w:p w14:paraId="20B48E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14.44</w:t>
            </w:r>
          </w:p>
        </w:tc>
        <w:tc>
          <w:tcPr>
            <w:tcW w:w="1836" w:type="dxa"/>
            <w:noWrap w:val="0"/>
            <w:vAlign w:val="center"/>
          </w:tcPr>
          <w:p w14:paraId="5FC58E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17.42</w:t>
            </w:r>
          </w:p>
        </w:tc>
      </w:tr>
      <w:tr w14:paraId="33F91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7FA9B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5</w:t>
            </w:r>
          </w:p>
        </w:tc>
        <w:tc>
          <w:tcPr>
            <w:tcW w:w="1832" w:type="dxa"/>
            <w:noWrap w:val="0"/>
            <w:vAlign w:val="center"/>
          </w:tcPr>
          <w:p w14:paraId="22454C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2.265</w:t>
            </w:r>
          </w:p>
        </w:tc>
        <w:tc>
          <w:tcPr>
            <w:tcW w:w="1834" w:type="dxa"/>
            <w:noWrap w:val="0"/>
            <w:vAlign w:val="center"/>
          </w:tcPr>
          <w:p w14:paraId="3A802B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2.758</w:t>
            </w:r>
          </w:p>
        </w:tc>
        <w:tc>
          <w:tcPr>
            <w:tcW w:w="1834" w:type="dxa"/>
            <w:noWrap w:val="0"/>
            <w:vAlign w:val="center"/>
          </w:tcPr>
          <w:p w14:paraId="083B73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15.04</w:t>
            </w:r>
          </w:p>
        </w:tc>
        <w:tc>
          <w:tcPr>
            <w:tcW w:w="1836" w:type="dxa"/>
            <w:noWrap w:val="0"/>
            <w:vAlign w:val="center"/>
          </w:tcPr>
          <w:p w14:paraId="033384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18.59</w:t>
            </w:r>
          </w:p>
        </w:tc>
      </w:tr>
      <w:tr w14:paraId="16779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3D6A1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6</w:t>
            </w:r>
          </w:p>
        </w:tc>
        <w:tc>
          <w:tcPr>
            <w:tcW w:w="1832" w:type="dxa"/>
            <w:noWrap w:val="0"/>
            <w:vAlign w:val="center"/>
          </w:tcPr>
          <w:p w14:paraId="444D69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2.081</w:t>
            </w:r>
          </w:p>
        </w:tc>
        <w:tc>
          <w:tcPr>
            <w:tcW w:w="1834" w:type="dxa"/>
            <w:noWrap w:val="0"/>
            <w:vAlign w:val="center"/>
          </w:tcPr>
          <w:p w14:paraId="2C44D9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2.499</w:t>
            </w:r>
          </w:p>
        </w:tc>
        <w:tc>
          <w:tcPr>
            <w:tcW w:w="1834" w:type="dxa"/>
            <w:noWrap w:val="0"/>
            <w:vAlign w:val="center"/>
          </w:tcPr>
          <w:p w14:paraId="3F30E3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15.10</w:t>
            </w:r>
          </w:p>
        </w:tc>
        <w:tc>
          <w:tcPr>
            <w:tcW w:w="1836" w:type="dxa"/>
            <w:noWrap w:val="0"/>
            <w:vAlign w:val="center"/>
          </w:tcPr>
          <w:p w14:paraId="4C34A0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18.66</w:t>
            </w:r>
          </w:p>
        </w:tc>
      </w:tr>
      <w:tr w14:paraId="455C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BB0F5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7</w:t>
            </w:r>
          </w:p>
        </w:tc>
        <w:tc>
          <w:tcPr>
            <w:tcW w:w="1832" w:type="dxa"/>
            <w:noWrap w:val="0"/>
            <w:vAlign w:val="center"/>
          </w:tcPr>
          <w:p w14:paraId="71E980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1.821</w:t>
            </w:r>
          </w:p>
        </w:tc>
        <w:tc>
          <w:tcPr>
            <w:tcW w:w="1834" w:type="dxa"/>
            <w:noWrap w:val="0"/>
            <w:vAlign w:val="center"/>
          </w:tcPr>
          <w:p w14:paraId="73FAB2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2.118</w:t>
            </w:r>
          </w:p>
        </w:tc>
        <w:tc>
          <w:tcPr>
            <w:tcW w:w="1834" w:type="dxa"/>
            <w:noWrap w:val="0"/>
            <w:vAlign w:val="center"/>
          </w:tcPr>
          <w:p w14:paraId="0C4C9F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14.64</w:t>
            </w:r>
          </w:p>
        </w:tc>
        <w:tc>
          <w:tcPr>
            <w:tcW w:w="1836" w:type="dxa"/>
            <w:noWrap w:val="0"/>
            <w:vAlign w:val="center"/>
          </w:tcPr>
          <w:p w14:paraId="024190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17.83</w:t>
            </w:r>
          </w:p>
        </w:tc>
      </w:tr>
      <w:tr w14:paraId="036A6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9C6D0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8</w:t>
            </w:r>
          </w:p>
        </w:tc>
        <w:tc>
          <w:tcPr>
            <w:tcW w:w="1832" w:type="dxa"/>
            <w:noWrap w:val="0"/>
            <w:vAlign w:val="center"/>
          </w:tcPr>
          <w:p w14:paraId="542B59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1.529</w:t>
            </w:r>
          </w:p>
        </w:tc>
        <w:tc>
          <w:tcPr>
            <w:tcW w:w="1834" w:type="dxa"/>
            <w:noWrap w:val="0"/>
            <w:vAlign w:val="center"/>
          </w:tcPr>
          <w:p w14:paraId="2A381A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1.707</w:t>
            </w:r>
          </w:p>
        </w:tc>
        <w:tc>
          <w:tcPr>
            <w:tcW w:w="1834" w:type="dxa"/>
            <w:noWrap w:val="0"/>
            <w:vAlign w:val="center"/>
          </w:tcPr>
          <w:p w14:paraId="361DDF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13.82</w:t>
            </w:r>
          </w:p>
        </w:tc>
        <w:tc>
          <w:tcPr>
            <w:tcW w:w="1836" w:type="dxa"/>
            <w:noWrap w:val="0"/>
            <w:vAlign w:val="center"/>
          </w:tcPr>
          <w:p w14:paraId="06666F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16.48</w:t>
            </w:r>
          </w:p>
        </w:tc>
      </w:tr>
      <w:tr w14:paraId="3810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BEC1A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9</w:t>
            </w:r>
          </w:p>
        </w:tc>
        <w:tc>
          <w:tcPr>
            <w:tcW w:w="1832" w:type="dxa"/>
            <w:noWrap w:val="0"/>
            <w:vAlign w:val="center"/>
          </w:tcPr>
          <w:p w14:paraId="3462E7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1.244</w:t>
            </w:r>
          </w:p>
        </w:tc>
        <w:tc>
          <w:tcPr>
            <w:tcW w:w="1834" w:type="dxa"/>
            <w:noWrap w:val="0"/>
            <w:vAlign w:val="center"/>
          </w:tcPr>
          <w:p w14:paraId="5FC099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1.328</w:t>
            </w:r>
          </w:p>
        </w:tc>
        <w:tc>
          <w:tcPr>
            <w:tcW w:w="1834" w:type="dxa"/>
            <w:noWrap w:val="0"/>
            <w:vAlign w:val="center"/>
          </w:tcPr>
          <w:p w14:paraId="2B6C82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12.83</w:t>
            </w:r>
          </w:p>
        </w:tc>
        <w:tc>
          <w:tcPr>
            <w:tcW w:w="1836" w:type="dxa"/>
            <w:noWrap w:val="0"/>
            <w:vAlign w:val="center"/>
          </w:tcPr>
          <w:p w14:paraId="0C07F2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14.97</w:t>
            </w:r>
          </w:p>
        </w:tc>
      </w:tr>
      <w:tr w14:paraId="5F46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08030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10</w:t>
            </w:r>
          </w:p>
        </w:tc>
        <w:tc>
          <w:tcPr>
            <w:tcW w:w="1832" w:type="dxa"/>
            <w:noWrap w:val="0"/>
            <w:vAlign w:val="center"/>
          </w:tcPr>
          <w:p w14:paraId="11471C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0.988</w:t>
            </w:r>
          </w:p>
        </w:tc>
        <w:tc>
          <w:tcPr>
            <w:tcW w:w="1834" w:type="dxa"/>
            <w:noWrap w:val="0"/>
            <w:vAlign w:val="center"/>
          </w:tcPr>
          <w:p w14:paraId="79829E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1.009</w:t>
            </w:r>
          </w:p>
        </w:tc>
        <w:tc>
          <w:tcPr>
            <w:tcW w:w="1834" w:type="dxa"/>
            <w:noWrap w:val="0"/>
            <w:vAlign w:val="center"/>
          </w:tcPr>
          <w:p w14:paraId="5B1E17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11.78</w:t>
            </w:r>
          </w:p>
        </w:tc>
        <w:tc>
          <w:tcPr>
            <w:tcW w:w="1836" w:type="dxa"/>
            <w:noWrap w:val="0"/>
            <w:vAlign w:val="center"/>
          </w:tcPr>
          <w:p w14:paraId="25ACA1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13.47</w:t>
            </w:r>
          </w:p>
        </w:tc>
      </w:tr>
      <w:tr w14:paraId="62B7E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B0D82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11</w:t>
            </w:r>
          </w:p>
        </w:tc>
        <w:tc>
          <w:tcPr>
            <w:tcW w:w="1832" w:type="dxa"/>
            <w:noWrap w:val="0"/>
            <w:vAlign w:val="center"/>
          </w:tcPr>
          <w:p w14:paraId="3E217A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0.771</w:t>
            </w:r>
          </w:p>
        </w:tc>
        <w:tc>
          <w:tcPr>
            <w:tcW w:w="1834" w:type="dxa"/>
            <w:noWrap w:val="0"/>
            <w:vAlign w:val="center"/>
          </w:tcPr>
          <w:p w14:paraId="7ADF90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0.756</w:t>
            </w:r>
          </w:p>
        </w:tc>
        <w:tc>
          <w:tcPr>
            <w:tcW w:w="1834" w:type="dxa"/>
            <w:noWrap w:val="0"/>
            <w:vAlign w:val="center"/>
          </w:tcPr>
          <w:p w14:paraId="6EDA43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10.75</w:t>
            </w:r>
          </w:p>
        </w:tc>
        <w:tc>
          <w:tcPr>
            <w:tcW w:w="1836" w:type="dxa"/>
            <w:noWrap w:val="0"/>
            <w:vAlign w:val="center"/>
          </w:tcPr>
          <w:p w14:paraId="2F9646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12.09</w:t>
            </w:r>
          </w:p>
        </w:tc>
      </w:tr>
      <w:tr w14:paraId="1B5A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3E43C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12</w:t>
            </w:r>
          </w:p>
        </w:tc>
        <w:tc>
          <w:tcPr>
            <w:tcW w:w="1832" w:type="dxa"/>
            <w:noWrap w:val="0"/>
            <w:vAlign w:val="center"/>
          </w:tcPr>
          <w:p w14:paraId="1A6046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0.593</w:t>
            </w:r>
          </w:p>
        </w:tc>
        <w:tc>
          <w:tcPr>
            <w:tcW w:w="1834" w:type="dxa"/>
            <w:noWrap w:val="0"/>
            <w:vAlign w:val="center"/>
          </w:tcPr>
          <w:p w14:paraId="693F6D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0.562</w:t>
            </w:r>
          </w:p>
        </w:tc>
        <w:tc>
          <w:tcPr>
            <w:tcW w:w="1834" w:type="dxa"/>
            <w:noWrap w:val="0"/>
            <w:vAlign w:val="center"/>
          </w:tcPr>
          <w:p w14:paraId="4A85F9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9.79</w:t>
            </w:r>
          </w:p>
        </w:tc>
        <w:tc>
          <w:tcPr>
            <w:tcW w:w="1836" w:type="dxa"/>
            <w:noWrap w:val="0"/>
            <w:vAlign w:val="center"/>
          </w:tcPr>
          <w:p w14:paraId="337A02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10.86</w:t>
            </w:r>
          </w:p>
        </w:tc>
      </w:tr>
      <w:tr w14:paraId="06E8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5751F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13</w:t>
            </w:r>
          </w:p>
        </w:tc>
        <w:tc>
          <w:tcPr>
            <w:tcW w:w="1832" w:type="dxa"/>
            <w:noWrap w:val="0"/>
            <w:vAlign w:val="center"/>
          </w:tcPr>
          <w:p w14:paraId="54B718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0.453</w:t>
            </w:r>
          </w:p>
        </w:tc>
        <w:tc>
          <w:tcPr>
            <w:tcW w:w="1834" w:type="dxa"/>
            <w:noWrap w:val="0"/>
            <w:vAlign w:val="center"/>
          </w:tcPr>
          <w:p w14:paraId="17D403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0.417</w:t>
            </w:r>
          </w:p>
        </w:tc>
        <w:tc>
          <w:tcPr>
            <w:tcW w:w="1834" w:type="dxa"/>
            <w:noWrap w:val="0"/>
            <w:vAlign w:val="center"/>
          </w:tcPr>
          <w:p w14:paraId="022F01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8.91</w:t>
            </w:r>
          </w:p>
        </w:tc>
        <w:tc>
          <w:tcPr>
            <w:tcW w:w="1836" w:type="dxa"/>
            <w:noWrap w:val="0"/>
            <w:vAlign w:val="center"/>
          </w:tcPr>
          <w:p w14:paraId="621D92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9.77</w:t>
            </w:r>
          </w:p>
        </w:tc>
      </w:tr>
      <w:tr w14:paraId="3B6F6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95799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14</w:t>
            </w:r>
          </w:p>
        </w:tc>
        <w:tc>
          <w:tcPr>
            <w:tcW w:w="1832" w:type="dxa"/>
            <w:noWrap w:val="0"/>
            <w:vAlign w:val="center"/>
          </w:tcPr>
          <w:p w14:paraId="47CE78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0.343</w:t>
            </w:r>
          </w:p>
        </w:tc>
        <w:tc>
          <w:tcPr>
            <w:tcW w:w="1834" w:type="dxa"/>
            <w:noWrap w:val="0"/>
            <w:vAlign w:val="center"/>
          </w:tcPr>
          <w:p w14:paraId="06E276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0.311</w:t>
            </w:r>
          </w:p>
        </w:tc>
        <w:tc>
          <w:tcPr>
            <w:tcW w:w="1834" w:type="dxa"/>
            <w:noWrap w:val="0"/>
            <w:vAlign w:val="center"/>
          </w:tcPr>
          <w:p w14:paraId="35D556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8.12</w:t>
            </w:r>
          </w:p>
        </w:tc>
        <w:tc>
          <w:tcPr>
            <w:tcW w:w="1836" w:type="dxa"/>
            <w:noWrap w:val="0"/>
            <w:vAlign w:val="center"/>
          </w:tcPr>
          <w:p w14:paraId="1D11EB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8.81</w:t>
            </w:r>
          </w:p>
        </w:tc>
      </w:tr>
      <w:tr w14:paraId="54D4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51BDC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15</w:t>
            </w:r>
          </w:p>
        </w:tc>
        <w:tc>
          <w:tcPr>
            <w:tcW w:w="1832" w:type="dxa"/>
            <w:noWrap w:val="0"/>
            <w:vAlign w:val="center"/>
          </w:tcPr>
          <w:p w14:paraId="04AC7F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0.260</w:t>
            </w:r>
          </w:p>
        </w:tc>
        <w:tc>
          <w:tcPr>
            <w:tcW w:w="1834" w:type="dxa"/>
            <w:noWrap w:val="0"/>
            <w:vAlign w:val="center"/>
          </w:tcPr>
          <w:p w14:paraId="490577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0.237</w:t>
            </w:r>
          </w:p>
        </w:tc>
        <w:tc>
          <w:tcPr>
            <w:tcW w:w="1834" w:type="dxa"/>
            <w:noWrap w:val="0"/>
            <w:vAlign w:val="center"/>
          </w:tcPr>
          <w:p w14:paraId="343D19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7.41</w:t>
            </w:r>
          </w:p>
        </w:tc>
        <w:tc>
          <w:tcPr>
            <w:tcW w:w="1836" w:type="dxa"/>
            <w:noWrap w:val="0"/>
            <w:vAlign w:val="center"/>
          </w:tcPr>
          <w:p w14:paraId="5C74A9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7.97</w:t>
            </w:r>
          </w:p>
        </w:tc>
      </w:tr>
      <w:tr w14:paraId="1845B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8161C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16</w:t>
            </w:r>
          </w:p>
        </w:tc>
        <w:tc>
          <w:tcPr>
            <w:tcW w:w="1832" w:type="dxa"/>
            <w:noWrap w:val="0"/>
            <w:vAlign w:val="center"/>
          </w:tcPr>
          <w:p w14:paraId="4CA4DF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0.198</w:t>
            </w:r>
          </w:p>
        </w:tc>
        <w:tc>
          <w:tcPr>
            <w:tcW w:w="1834" w:type="dxa"/>
            <w:noWrap w:val="0"/>
            <w:vAlign w:val="center"/>
          </w:tcPr>
          <w:p w14:paraId="201336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0.189</w:t>
            </w:r>
          </w:p>
        </w:tc>
        <w:tc>
          <w:tcPr>
            <w:tcW w:w="1834" w:type="dxa"/>
            <w:noWrap w:val="0"/>
            <w:vAlign w:val="center"/>
          </w:tcPr>
          <w:p w14:paraId="15D675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6.77</w:t>
            </w:r>
          </w:p>
        </w:tc>
        <w:tc>
          <w:tcPr>
            <w:tcW w:w="1836" w:type="dxa"/>
            <w:noWrap w:val="0"/>
            <w:vAlign w:val="center"/>
          </w:tcPr>
          <w:p w14:paraId="4EA509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7.24</w:t>
            </w:r>
          </w:p>
        </w:tc>
      </w:tr>
      <w:tr w14:paraId="7690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9EEAF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17</w:t>
            </w:r>
          </w:p>
        </w:tc>
        <w:tc>
          <w:tcPr>
            <w:tcW w:w="1832" w:type="dxa"/>
            <w:noWrap w:val="0"/>
            <w:vAlign w:val="center"/>
          </w:tcPr>
          <w:p w14:paraId="647B8F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0.155</w:t>
            </w:r>
          </w:p>
        </w:tc>
        <w:tc>
          <w:tcPr>
            <w:tcW w:w="1834" w:type="dxa"/>
            <w:noWrap w:val="0"/>
            <w:vAlign w:val="center"/>
          </w:tcPr>
          <w:p w14:paraId="10F5D8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0.160</w:t>
            </w:r>
          </w:p>
        </w:tc>
        <w:tc>
          <w:tcPr>
            <w:tcW w:w="1834" w:type="dxa"/>
            <w:noWrap w:val="0"/>
            <w:vAlign w:val="center"/>
          </w:tcPr>
          <w:p w14:paraId="20F8D9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6.21</w:t>
            </w:r>
          </w:p>
        </w:tc>
        <w:tc>
          <w:tcPr>
            <w:tcW w:w="1836" w:type="dxa"/>
            <w:noWrap w:val="0"/>
            <w:vAlign w:val="center"/>
          </w:tcPr>
          <w:p w14:paraId="0E465A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6.59</w:t>
            </w:r>
          </w:p>
        </w:tc>
      </w:tr>
      <w:tr w14:paraId="313F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1024A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18</w:t>
            </w:r>
          </w:p>
        </w:tc>
        <w:tc>
          <w:tcPr>
            <w:tcW w:w="1832" w:type="dxa"/>
            <w:noWrap w:val="0"/>
            <w:vAlign w:val="center"/>
          </w:tcPr>
          <w:p w14:paraId="60771E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0.128</w:t>
            </w:r>
          </w:p>
        </w:tc>
        <w:tc>
          <w:tcPr>
            <w:tcW w:w="1834" w:type="dxa"/>
            <w:noWrap w:val="0"/>
            <w:vAlign w:val="center"/>
          </w:tcPr>
          <w:p w14:paraId="2C642D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0.144</w:t>
            </w:r>
          </w:p>
        </w:tc>
        <w:tc>
          <w:tcPr>
            <w:tcW w:w="1834" w:type="dxa"/>
            <w:noWrap w:val="0"/>
            <w:vAlign w:val="center"/>
          </w:tcPr>
          <w:p w14:paraId="12B17A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5.70</w:t>
            </w:r>
          </w:p>
        </w:tc>
        <w:tc>
          <w:tcPr>
            <w:tcW w:w="1836" w:type="dxa"/>
            <w:noWrap w:val="0"/>
            <w:vAlign w:val="center"/>
          </w:tcPr>
          <w:p w14:paraId="0FE9D6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6.02</w:t>
            </w:r>
          </w:p>
        </w:tc>
      </w:tr>
      <w:tr w14:paraId="477EC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E9C0A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19</w:t>
            </w:r>
          </w:p>
        </w:tc>
        <w:tc>
          <w:tcPr>
            <w:tcW w:w="1832" w:type="dxa"/>
            <w:noWrap w:val="0"/>
            <w:vAlign w:val="center"/>
          </w:tcPr>
          <w:p w14:paraId="1233EF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0.112</w:t>
            </w:r>
          </w:p>
        </w:tc>
        <w:tc>
          <w:tcPr>
            <w:tcW w:w="1834" w:type="dxa"/>
            <w:noWrap w:val="0"/>
            <w:vAlign w:val="center"/>
          </w:tcPr>
          <w:p w14:paraId="57DFDE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0.138</w:t>
            </w:r>
          </w:p>
        </w:tc>
        <w:tc>
          <w:tcPr>
            <w:tcW w:w="1834" w:type="dxa"/>
            <w:noWrap w:val="0"/>
            <w:vAlign w:val="center"/>
          </w:tcPr>
          <w:p w14:paraId="31C68E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5.25</w:t>
            </w:r>
          </w:p>
        </w:tc>
        <w:tc>
          <w:tcPr>
            <w:tcW w:w="1836" w:type="dxa"/>
            <w:noWrap w:val="0"/>
            <w:vAlign w:val="center"/>
          </w:tcPr>
          <w:p w14:paraId="26D5DA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5.52</w:t>
            </w:r>
          </w:p>
        </w:tc>
      </w:tr>
      <w:tr w14:paraId="7102D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EE2CA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20</w:t>
            </w:r>
          </w:p>
        </w:tc>
        <w:tc>
          <w:tcPr>
            <w:tcW w:w="1832" w:type="dxa"/>
            <w:noWrap w:val="0"/>
            <w:vAlign w:val="center"/>
          </w:tcPr>
          <w:p w14:paraId="448C38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0.105</w:t>
            </w:r>
          </w:p>
        </w:tc>
        <w:tc>
          <w:tcPr>
            <w:tcW w:w="1834" w:type="dxa"/>
            <w:noWrap w:val="0"/>
            <w:vAlign w:val="center"/>
          </w:tcPr>
          <w:p w14:paraId="02B58B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0.135</w:t>
            </w:r>
          </w:p>
        </w:tc>
        <w:tc>
          <w:tcPr>
            <w:tcW w:w="1834" w:type="dxa"/>
            <w:noWrap w:val="0"/>
            <w:vAlign w:val="center"/>
          </w:tcPr>
          <w:p w14:paraId="0C6B98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4.85</w:t>
            </w:r>
          </w:p>
        </w:tc>
        <w:tc>
          <w:tcPr>
            <w:tcW w:w="1836" w:type="dxa"/>
            <w:noWrap w:val="0"/>
            <w:vAlign w:val="center"/>
          </w:tcPr>
          <w:p w14:paraId="302653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5.08</w:t>
            </w:r>
          </w:p>
        </w:tc>
      </w:tr>
      <w:tr w14:paraId="5949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4DED77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21</w:t>
            </w:r>
          </w:p>
        </w:tc>
        <w:tc>
          <w:tcPr>
            <w:tcW w:w="1832" w:type="dxa"/>
            <w:noWrap w:val="0"/>
            <w:vAlign w:val="center"/>
          </w:tcPr>
          <w:p w14:paraId="34C205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0.104</w:t>
            </w:r>
          </w:p>
        </w:tc>
        <w:tc>
          <w:tcPr>
            <w:tcW w:w="1834" w:type="dxa"/>
            <w:noWrap w:val="0"/>
            <w:vAlign w:val="center"/>
          </w:tcPr>
          <w:p w14:paraId="0935A6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0.135</w:t>
            </w:r>
          </w:p>
        </w:tc>
        <w:tc>
          <w:tcPr>
            <w:tcW w:w="1834" w:type="dxa"/>
            <w:noWrap w:val="0"/>
            <w:vAlign w:val="center"/>
          </w:tcPr>
          <w:p w14:paraId="2612F5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4.48</w:t>
            </w:r>
          </w:p>
        </w:tc>
        <w:tc>
          <w:tcPr>
            <w:tcW w:w="1836" w:type="dxa"/>
            <w:noWrap w:val="0"/>
            <w:vAlign w:val="center"/>
          </w:tcPr>
          <w:p w14:paraId="0959FB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4.68</w:t>
            </w:r>
          </w:p>
        </w:tc>
      </w:tr>
      <w:tr w14:paraId="62B30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ABBB4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22</w:t>
            </w:r>
          </w:p>
        </w:tc>
        <w:tc>
          <w:tcPr>
            <w:tcW w:w="1832" w:type="dxa"/>
            <w:noWrap w:val="0"/>
            <w:vAlign w:val="center"/>
          </w:tcPr>
          <w:p w14:paraId="01672E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0.104</w:t>
            </w:r>
          </w:p>
        </w:tc>
        <w:tc>
          <w:tcPr>
            <w:tcW w:w="1834" w:type="dxa"/>
            <w:noWrap w:val="0"/>
            <w:vAlign w:val="center"/>
          </w:tcPr>
          <w:p w14:paraId="47A6FC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0.135</w:t>
            </w:r>
          </w:p>
        </w:tc>
        <w:tc>
          <w:tcPr>
            <w:tcW w:w="1834" w:type="dxa"/>
            <w:noWrap w:val="0"/>
            <w:vAlign w:val="center"/>
          </w:tcPr>
          <w:p w14:paraId="08B5FD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4.16</w:t>
            </w:r>
          </w:p>
        </w:tc>
        <w:tc>
          <w:tcPr>
            <w:tcW w:w="1836" w:type="dxa"/>
            <w:noWrap w:val="0"/>
            <w:vAlign w:val="center"/>
          </w:tcPr>
          <w:p w14:paraId="53771B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4.32</w:t>
            </w:r>
          </w:p>
        </w:tc>
      </w:tr>
      <w:tr w14:paraId="3FBDE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F5268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23</w:t>
            </w:r>
          </w:p>
        </w:tc>
        <w:tc>
          <w:tcPr>
            <w:tcW w:w="1832" w:type="dxa"/>
            <w:noWrap w:val="0"/>
            <w:vAlign w:val="center"/>
          </w:tcPr>
          <w:p w14:paraId="1DC886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0.106</w:t>
            </w:r>
          </w:p>
        </w:tc>
        <w:tc>
          <w:tcPr>
            <w:tcW w:w="1834" w:type="dxa"/>
            <w:noWrap w:val="0"/>
            <w:vAlign w:val="center"/>
          </w:tcPr>
          <w:p w14:paraId="015252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0.134</w:t>
            </w:r>
          </w:p>
        </w:tc>
        <w:tc>
          <w:tcPr>
            <w:tcW w:w="1834" w:type="dxa"/>
            <w:noWrap w:val="0"/>
            <w:vAlign w:val="center"/>
          </w:tcPr>
          <w:p w14:paraId="701926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3.86</w:t>
            </w:r>
          </w:p>
        </w:tc>
        <w:tc>
          <w:tcPr>
            <w:tcW w:w="1836" w:type="dxa"/>
            <w:noWrap w:val="0"/>
            <w:vAlign w:val="center"/>
          </w:tcPr>
          <w:p w14:paraId="760AA2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4.01</w:t>
            </w:r>
          </w:p>
        </w:tc>
      </w:tr>
      <w:tr w14:paraId="796F3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AD15D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24</w:t>
            </w:r>
          </w:p>
        </w:tc>
        <w:tc>
          <w:tcPr>
            <w:tcW w:w="1832" w:type="dxa"/>
            <w:noWrap w:val="0"/>
            <w:vAlign w:val="center"/>
          </w:tcPr>
          <w:p w14:paraId="6A9D58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0.107</w:t>
            </w:r>
          </w:p>
        </w:tc>
        <w:tc>
          <w:tcPr>
            <w:tcW w:w="1834" w:type="dxa"/>
            <w:noWrap w:val="0"/>
            <w:vAlign w:val="center"/>
          </w:tcPr>
          <w:p w14:paraId="055F78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0.133</w:t>
            </w:r>
          </w:p>
        </w:tc>
        <w:tc>
          <w:tcPr>
            <w:tcW w:w="1834" w:type="dxa"/>
            <w:noWrap w:val="0"/>
            <w:vAlign w:val="center"/>
          </w:tcPr>
          <w:p w14:paraId="5DD952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3.60</w:t>
            </w:r>
          </w:p>
        </w:tc>
        <w:tc>
          <w:tcPr>
            <w:tcW w:w="1836" w:type="dxa"/>
            <w:noWrap w:val="0"/>
            <w:vAlign w:val="center"/>
          </w:tcPr>
          <w:p w14:paraId="25236C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3.72</w:t>
            </w:r>
          </w:p>
        </w:tc>
      </w:tr>
      <w:tr w14:paraId="02A3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6BBF6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25</w:t>
            </w:r>
          </w:p>
        </w:tc>
        <w:tc>
          <w:tcPr>
            <w:tcW w:w="1832" w:type="dxa"/>
            <w:noWrap w:val="0"/>
            <w:vAlign w:val="center"/>
          </w:tcPr>
          <w:p w14:paraId="5AAF7E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0.107</w:t>
            </w:r>
          </w:p>
        </w:tc>
        <w:tc>
          <w:tcPr>
            <w:tcW w:w="1834" w:type="dxa"/>
            <w:noWrap w:val="0"/>
            <w:vAlign w:val="center"/>
          </w:tcPr>
          <w:p w14:paraId="4BE493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0.132</w:t>
            </w:r>
          </w:p>
        </w:tc>
        <w:tc>
          <w:tcPr>
            <w:tcW w:w="1834" w:type="dxa"/>
            <w:noWrap w:val="0"/>
            <w:vAlign w:val="center"/>
          </w:tcPr>
          <w:p w14:paraId="1B50B2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3.36</w:t>
            </w:r>
          </w:p>
        </w:tc>
        <w:tc>
          <w:tcPr>
            <w:tcW w:w="1836" w:type="dxa"/>
            <w:noWrap w:val="0"/>
            <w:vAlign w:val="center"/>
          </w:tcPr>
          <w:p w14:paraId="0ED3E9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3.46</w:t>
            </w:r>
          </w:p>
        </w:tc>
      </w:tr>
      <w:tr w14:paraId="7D93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AC24E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26</w:t>
            </w:r>
          </w:p>
        </w:tc>
        <w:tc>
          <w:tcPr>
            <w:tcW w:w="1832" w:type="dxa"/>
            <w:noWrap w:val="0"/>
            <w:vAlign w:val="center"/>
          </w:tcPr>
          <w:p w14:paraId="3AA906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0.108</w:t>
            </w:r>
          </w:p>
        </w:tc>
        <w:tc>
          <w:tcPr>
            <w:tcW w:w="1834" w:type="dxa"/>
            <w:noWrap w:val="0"/>
            <w:vAlign w:val="center"/>
          </w:tcPr>
          <w:p w14:paraId="1F69A0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0.130</w:t>
            </w:r>
          </w:p>
        </w:tc>
        <w:tc>
          <w:tcPr>
            <w:tcW w:w="1834" w:type="dxa"/>
            <w:noWrap w:val="0"/>
            <w:vAlign w:val="center"/>
          </w:tcPr>
          <w:p w14:paraId="3CEE23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3.14</w:t>
            </w:r>
          </w:p>
        </w:tc>
        <w:tc>
          <w:tcPr>
            <w:tcW w:w="1836" w:type="dxa"/>
            <w:noWrap w:val="0"/>
            <w:vAlign w:val="center"/>
          </w:tcPr>
          <w:p w14:paraId="75446A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3.23</w:t>
            </w:r>
          </w:p>
        </w:tc>
      </w:tr>
      <w:tr w14:paraId="625E3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8DF3B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27</w:t>
            </w:r>
          </w:p>
        </w:tc>
        <w:tc>
          <w:tcPr>
            <w:tcW w:w="1832" w:type="dxa"/>
            <w:noWrap w:val="0"/>
            <w:vAlign w:val="center"/>
          </w:tcPr>
          <w:p w14:paraId="3B0206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0.107</w:t>
            </w:r>
          </w:p>
        </w:tc>
        <w:tc>
          <w:tcPr>
            <w:tcW w:w="1834" w:type="dxa"/>
            <w:noWrap w:val="0"/>
            <w:vAlign w:val="center"/>
          </w:tcPr>
          <w:p w14:paraId="45677E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0.127</w:t>
            </w:r>
          </w:p>
        </w:tc>
        <w:tc>
          <w:tcPr>
            <w:tcW w:w="1834" w:type="dxa"/>
            <w:noWrap w:val="0"/>
            <w:vAlign w:val="center"/>
          </w:tcPr>
          <w:p w14:paraId="0BBC8F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2.94</w:t>
            </w:r>
          </w:p>
        </w:tc>
        <w:tc>
          <w:tcPr>
            <w:tcW w:w="1836" w:type="dxa"/>
            <w:noWrap w:val="0"/>
            <w:vAlign w:val="center"/>
          </w:tcPr>
          <w:p w14:paraId="1F5D5E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3.02</w:t>
            </w:r>
          </w:p>
        </w:tc>
      </w:tr>
      <w:tr w14:paraId="3A233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96FBE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28</w:t>
            </w:r>
          </w:p>
        </w:tc>
        <w:tc>
          <w:tcPr>
            <w:tcW w:w="1832" w:type="dxa"/>
            <w:noWrap w:val="0"/>
            <w:vAlign w:val="center"/>
          </w:tcPr>
          <w:p w14:paraId="1E93AA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0.106</w:t>
            </w:r>
          </w:p>
        </w:tc>
        <w:tc>
          <w:tcPr>
            <w:tcW w:w="1834" w:type="dxa"/>
            <w:noWrap w:val="0"/>
            <w:vAlign w:val="center"/>
          </w:tcPr>
          <w:p w14:paraId="005E24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0.124</w:t>
            </w:r>
          </w:p>
        </w:tc>
        <w:tc>
          <w:tcPr>
            <w:tcW w:w="1834" w:type="dxa"/>
            <w:noWrap w:val="0"/>
            <w:vAlign w:val="center"/>
          </w:tcPr>
          <w:p w14:paraId="408F75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2.76</w:t>
            </w:r>
          </w:p>
        </w:tc>
        <w:tc>
          <w:tcPr>
            <w:tcW w:w="1836" w:type="dxa"/>
            <w:noWrap w:val="0"/>
            <w:vAlign w:val="center"/>
          </w:tcPr>
          <w:p w14:paraId="33FA0D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2.83</w:t>
            </w:r>
          </w:p>
        </w:tc>
      </w:tr>
      <w:tr w14:paraId="4267E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B51C3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29</w:t>
            </w:r>
          </w:p>
        </w:tc>
        <w:tc>
          <w:tcPr>
            <w:tcW w:w="1832" w:type="dxa"/>
            <w:noWrap w:val="0"/>
            <w:vAlign w:val="center"/>
          </w:tcPr>
          <w:p w14:paraId="0BD164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0.105</w:t>
            </w:r>
          </w:p>
        </w:tc>
        <w:tc>
          <w:tcPr>
            <w:tcW w:w="1834" w:type="dxa"/>
            <w:noWrap w:val="0"/>
            <w:vAlign w:val="center"/>
          </w:tcPr>
          <w:p w14:paraId="2D6F04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0.121</w:t>
            </w:r>
          </w:p>
        </w:tc>
        <w:tc>
          <w:tcPr>
            <w:tcW w:w="1834" w:type="dxa"/>
            <w:noWrap w:val="0"/>
            <w:vAlign w:val="center"/>
          </w:tcPr>
          <w:p w14:paraId="67A6C2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2.59</w:t>
            </w:r>
          </w:p>
        </w:tc>
        <w:tc>
          <w:tcPr>
            <w:tcW w:w="1836" w:type="dxa"/>
            <w:noWrap w:val="0"/>
            <w:vAlign w:val="center"/>
          </w:tcPr>
          <w:p w14:paraId="64CDB0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2.65</w:t>
            </w:r>
          </w:p>
        </w:tc>
      </w:tr>
      <w:tr w14:paraId="53D8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1D5BB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30</w:t>
            </w:r>
          </w:p>
        </w:tc>
        <w:tc>
          <w:tcPr>
            <w:tcW w:w="1832" w:type="dxa"/>
            <w:noWrap w:val="0"/>
            <w:vAlign w:val="center"/>
          </w:tcPr>
          <w:p w14:paraId="295235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0.103</w:t>
            </w:r>
          </w:p>
        </w:tc>
        <w:tc>
          <w:tcPr>
            <w:tcW w:w="1834" w:type="dxa"/>
            <w:noWrap w:val="0"/>
            <w:vAlign w:val="center"/>
          </w:tcPr>
          <w:p w14:paraId="275294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0.118</w:t>
            </w:r>
          </w:p>
        </w:tc>
        <w:tc>
          <w:tcPr>
            <w:tcW w:w="1834" w:type="dxa"/>
            <w:noWrap w:val="0"/>
            <w:vAlign w:val="center"/>
          </w:tcPr>
          <w:p w14:paraId="47A6AE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2.44</w:t>
            </w:r>
          </w:p>
        </w:tc>
        <w:tc>
          <w:tcPr>
            <w:tcW w:w="1836" w:type="dxa"/>
            <w:noWrap w:val="0"/>
            <w:vAlign w:val="center"/>
          </w:tcPr>
          <w:p w14:paraId="751B2C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2.50</w:t>
            </w:r>
          </w:p>
        </w:tc>
      </w:tr>
      <w:tr w14:paraId="4A19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5BAF7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31</w:t>
            </w:r>
          </w:p>
        </w:tc>
        <w:tc>
          <w:tcPr>
            <w:tcW w:w="1832" w:type="dxa"/>
            <w:noWrap w:val="0"/>
            <w:vAlign w:val="center"/>
          </w:tcPr>
          <w:p w14:paraId="3022C0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0.101</w:t>
            </w:r>
          </w:p>
        </w:tc>
        <w:tc>
          <w:tcPr>
            <w:tcW w:w="1834" w:type="dxa"/>
            <w:noWrap w:val="0"/>
            <w:vAlign w:val="center"/>
          </w:tcPr>
          <w:p w14:paraId="698B6B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0.114</w:t>
            </w:r>
          </w:p>
        </w:tc>
        <w:tc>
          <w:tcPr>
            <w:tcW w:w="1834" w:type="dxa"/>
            <w:noWrap w:val="0"/>
            <w:vAlign w:val="center"/>
          </w:tcPr>
          <w:p w14:paraId="7CE189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2.30</w:t>
            </w:r>
          </w:p>
        </w:tc>
        <w:tc>
          <w:tcPr>
            <w:tcW w:w="1836" w:type="dxa"/>
            <w:noWrap w:val="0"/>
            <w:vAlign w:val="center"/>
          </w:tcPr>
          <w:p w14:paraId="008F02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2.35</w:t>
            </w:r>
          </w:p>
        </w:tc>
      </w:tr>
      <w:tr w14:paraId="1D83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B4078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32</w:t>
            </w:r>
          </w:p>
        </w:tc>
        <w:tc>
          <w:tcPr>
            <w:tcW w:w="1832" w:type="dxa"/>
            <w:noWrap w:val="0"/>
            <w:vAlign w:val="center"/>
          </w:tcPr>
          <w:p w14:paraId="2D4E57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0.099</w:t>
            </w:r>
          </w:p>
        </w:tc>
        <w:tc>
          <w:tcPr>
            <w:tcW w:w="1834" w:type="dxa"/>
            <w:noWrap w:val="0"/>
            <w:vAlign w:val="center"/>
          </w:tcPr>
          <w:p w14:paraId="4CEA26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0.111</w:t>
            </w:r>
          </w:p>
        </w:tc>
        <w:tc>
          <w:tcPr>
            <w:tcW w:w="1834" w:type="dxa"/>
            <w:noWrap w:val="0"/>
            <w:vAlign w:val="center"/>
          </w:tcPr>
          <w:p w14:paraId="6497DF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2.17</w:t>
            </w:r>
          </w:p>
        </w:tc>
        <w:tc>
          <w:tcPr>
            <w:tcW w:w="1836" w:type="dxa"/>
            <w:noWrap w:val="0"/>
            <w:vAlign w:val="center"/>
          </w:tcPr>
          <w:p w14:paraId="4277C8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2.22</w:t>
            </w:r>
          </w:p>
        </w:tc>
      </w:tr>
      <w:tr w14:paraId="6FE9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CC41C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33</w:t>
            </w:r>
          </w:p>
        </w:tc>
        <w:tc>
          <w:tcPr>
            <w:tcW w:w="1832" w:type="dxa"/>
            <w:noWrap w:val="0"/>
            <w:vAlign w:val="center"/>
          </w:tcPr>
          <w:p w14:paraId="2C287D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0.096</w:t>
            </w:r>
          </w:p>
        </w:tc>
        <w:tc>
          <w:tcPr>
            <w:tcW w:w="1834" w:type="dxa"/>
            <w:noWrap w:val="0"/>
            <w:vAlign w:val="center"/>
          </w:tcPr>
          <w:p w14:paraId="6B8687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0.108</w:t>
            </w:r>
          </w:p>
        </w:tc>
        <w:tc>
          <w:tcPr>
            <w:tcW w:w="1834" w:type="dxa"/>
            <w:noWrap w:val="0"/>
            <w:vAlign w:val="center"/>
          </w:tcPr>
          <w:p w14:paraId="222641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2.05</w:t>
            </w:r>
          </w:p>
        </w:tc>
        <w:tc>
          <w:tcPr>
            <w:tcW w:w="1836" w:type="dxa"/>
            <w:noWrap w:val="0"/>
            <w:vAlign w:val="center"/>
          </w:tcPr>
          <w:p w14:paraId="06E08F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2.09</w:t>
            </w:r>
          </w:p>
        </w:tc>
      </w:tr>
      <w:tr w14:paraId="7FE7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713E4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34</w:t>
            </w:r>
          </w:p>
        </w:tc>
        <w:tc>
          <w:tcPr>
            <w:tcW w:w="1832" w:type="dxa"/>
            <w:noWrap w:val="0"/>
            <w:vAlign w:val="center"/>
          </w:tcPr>
          <w:p w14:paraId="5A7ECD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0.094</w:t>
            </w:r>
          </w:p>
        </w:tc>
        <w:tc>
          <w:tcPr>
            <w:tcW w:w="1834" w:type="dxa"/>
            <w:noWrap w:val="0"/>
            <w:vAlign w:val="center"/>
          </w:tcPr>
          <w:p w14:paraId="483A9C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0.104</w:t>
            </w:r>
          </w:p>
        </w:tc>
        <w:tc>
          <w:tcPr>
            <w:tcW w:w="1834" w:type="dxa"/>
            <w:noWrap w:val="0"/>
            <w:vAlign w:val="center"/>
          </w:tcPr>
          <w:p w14:paraId="5981CA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1.94</w:t>
            </w:r>
          </w:p>
        </w:tc>
        <w:tc>
          <w:tcPr>
            <w:tcW w:w="1836" w:type="dxa"/>
            <w:noWrap w:val="0"/>
            <w:vAlign w:val="center"/>
          </w:tcPr>
          <w:p w14:paraId="6D258F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1.98</w:t>
            </w:r>
          </w:p>
        </w:tc>
      </w:tr>
      <w:tr w14:paraId="3D85B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 w:type="pct"/>
            <w:noWrap w:val="0"/>
            <w:vAlign w:val="center"/>
          </w:tcPr>
          <w:p w14:paraId="4BD710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35</w:t>
            </w:r>
          </w:p>
        </w:tc>
        <w:tc>
          <w:tcPr>
            <w:tcW w:w="1832" w:type="dxa"/>
            <w:noWrap w:val="0"/>
            <w:vAlign w:val="center"/>
          </w:tcPr>
          <w:p w14:paraId="47E101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0.091</w:t>
            </w:r>
          </w:p>
        </w:tc>
        <w:tc>
          <w:tcPr>
            <w:tcW w:w="1834" w:type="dxa"/>
            <w:noWrap w:val="0"/>
            <w:vAlign w:val="center"/>
          </w:tcPr>
          <w:p w14:paraId="5E7EB9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0.101</w:t>
            </w:r>
          </w:p>
        </w:tc>
        <w:tc>
          <w:tcPr>
            <w:tcW w:w="1834" w:type="dxa"/>
            <w:noWrap w:val="0"/>
            <w:vAlign w:val="center"/>
          </w:tcPr>
          <w:p w14:paraId="433DAD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1.84</w:t>
            </w:r>
          </w:p>
        </w:tc>
        <w:tc>
          <w:tcPr>
            <w:tcW w:w="1836" w:type="dxa"/>
            <w:noWrap w:val="0"/>
            <w:vAlign w:val="center"/>
          </w:tcPr>
          <w:p w14:paraId="0CBF27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1.88</w:t>
            </w:r>
          </w:p>
        </w:tc>
      </w:tr>
      <w:tr w14:paraId="6A079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7F43B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36</w:t>
            </w:r>
          </w:p>
        </w:tc>
        <w:tc>
          <w:tcPr>
            <w:tcW w:w="1832" w:type="dxa"/>
            <w:noWrap w:val="0"/>
            <w:vAlign w:val="center"/>
          </w:tcPr>
          <w:p w14:paraId="112F57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0.089</w:t>
            </w:r>
          </w:p>
        </w:tc>
        <w:tc>
          <w:tcPr>
            <w:tcW w:w="1834" w:type="dxa"/>
            <w:noWrap w:val="0"/>
            <w:vAlign w:val="center"/>
          </w:tcPr>
          <w:p w14:paraId="0DD7C7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0.097</w:t>
            </w:r>
          </w:p>
        </w:tc>
        <w:tc>
          <w:tcPr>
            <w:tcW w:w="1834" w:type="dxa"/>
            <w:noWrap w:val="0"/>
            <w:vAlign w:val="center"/>
          </w:tcPr>
          <w:p w14:paraId="347FED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1.75</w:t>
            </w:r>
          </w:p>
        </w:tc>
        <w:tc>
          <w:tcPr>
            <w:tcW w:w="1836" w:type="dxa"/>
            <w:noWrap w:val="0"/>
            <w:vAlign w:val="center"/>
          </w:tcPr>
          <w:p w14:paraId="1F6ECF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1.78</w:t>
            </w:r>
          </w:p>
        </w:tc>
      </w:tr>
      <w:tr w14:paraId="7A39E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483D7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37</w:t>
            </w:r>
          </w:p>
        </w:tc>
        <w:tc>
          <w:tcPr>
            <w:tcW w:w="1832" w:type="dxa"/>
            <w:noWrap w:val="0"/>
            <w:vAlign w:val="center"/>
          </w:tcPr>
          <w:p w14:paraId="3B8D01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0.086</w:t>
            </w:r>
          </w:p>
        </w:tc>
        <w:tc>
          <w:tcPr>
            <w:tcW w:w="1834" w:type="dxa"/>
            <w:noWrap w:val="0"/>
            <w:vAlign w:val="center"/>
          </w:tcPr>
          <w:p w14:paraId="11E90C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0.094</w:t>
            </w:r>
          </w:p>
        </w:tc>
        <w:tc>
          <w:tcPr>
            <w:tcW w:w="1834" w:type="dxa"/>
            <w:noWrap w:val="0"/>
            <w:vAlign w:val="center"/>
          </w:tcPr>
          <w:p w14:paraId="1B38E7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1.66</w:t>
            </w:r>
          </w:p>
        </w:tc>
        <w:tc>
          <w:tcPr>
            <w:tcW w:w="1836" w:type="dxa"/>
            <w:noWrap w:val="0"/>
            <w:vAlign w:val="center"/>
          </w:tcPr>
          <w:p w14:paraId="3BF37F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1.69</w:t>
            </w:r>
          </w:p>
        </w:tc>
      </w:tr>
      <w:tr w14:paraId="1C5CD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E95C6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38</w:t>
            </w:r>
          </w:p>
        </w:tc>
        <w:tc>
          <w:tcPr>
            <w:tcW w:w="1832" w:type="dxa"/>
            <w:noWrap w:val="0"/>
            <w:vAlign w:val="center"/>
          </w:tcPr>
          <w:p w14:paraId="30DAD6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0.084</w:t>
            </w:r>
          </w:p>
        </w:tc>
        <w:tc>
          <w:tcPr>
            <w:tcW w:w="1834" w:type="dxa"/>
            <w:noWrap w:val="0"/>
            <w:vAlign w:val="center"/>
          </w:tcPr>
          <w:p w14:paraId="12B981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0.091</w:t>
            </w:r>
          </w:p>
        </w:tc>
        <w:tc>
          <w:tcPr>
            <w:tcW w:w="1834" w:type="dxa"/>
            <w:noWrap w:val="0"/>
            <w:vAlign w:val="center"/>
          </w:tcPr>
          <w:p w14:paraId="7F70B1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1.58</w:t>
            </w:r>
          </w:p>
        </w:tc>
        <w:tc>
          <w:tcPr>
            <w:tcW w:w="1836" w:type="dxa"/>
            <w:noWrap w:val="0"/>
            <w:vAlign w:val="center"/>
          </w:tcPr>
          <w:p w14:paraId="1059D3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1.61</w:t>
            </w:r>
          </w:p>
        </w:tc>
      </w:tr>
      <w:tr w14:paraId="4ABB5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99261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39</w:t>
            </w:r>
          </w:p>
        </w:tc>
        <w:tc>
          <w:tcPr>
            <w:tcW w:w="1832" w:type="dxa"/>
            <w:noWrap w:val="0"/>
            <w:vAlign w:val="center"/>
          </w:tcPr>
          <w:p w14:paraId="772547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0.081</w:t>
            </w:r>
          </w:p>
        </w:tc>
        <w:tc>
          <w:tcPr>
            <w:tcW w:w="1834" w:type="dxa"/>
            <w:noWrap w:val="0"/>
            <w:vAlign w:val="center"/>
          </w:tcPr>
          <w:p w14:paraId="045FE6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0.088</w:t>
            </w:r>
          </w:p>
        </w:tc>
        <w:tc>
          <w:tcPr>
            <w:tcW w:w="1834" w:type="dxa"/>
            <w:noWrap w:val="0"/>
            <w:vAlign w:val="center"/>
          </w:tcPr>
          <w:p w14:paraId="4E0AD9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1.51</w:t>
            </w:r>
          </w:p>
        </w:tc>
        <w:tc>
          <w:tcPr>
            <w:tcW w:w="1836" w:type="dxa"/>
            <w:noWrap w:val="0"/>
            <w:vAlign w:val="center"/>
          </w:tcPr>
          <w:p w14:paraId="123DF4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1.53</w:t>
            </w:r>
          </w:p>
        </w:tc>
      </w:tr>
      <w:tr w14:paraId="0414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341CA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40</w:t>
            </w:r>
          </w:p>
        </w:tc>
        <w:tc>
          <w:tcPr>
            <w:tcW w:w="1832" w:type="dxa"/>
            <w:noWrap w:val="0"/>
            <w:vAlign w:val="center"/>
          </w:tcPr>
          <w:p w14:paraId="708CD7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0.079</w:t>
            </w:r>
          </w:p>
        </w:tc>
        <w:tc>
          <w:tcPr>
            <w:tcW w:w="1834" w:type="dxa"/>
            <w:noWrap w:val="0"/>
            <w:vAlign w:val="center"/>
          </w:tcPr>
          <w:p w14:paraId="754B27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0.085</w:t>
            </w:r>
          </w:p>
        </w:tc>
        <w:tc>
          <w:tcPr>
            <w:tcW w:w="1834" w:type="dxa"/>
            <w:noWrap w:val="0"/>
            <w:vAlign w:val="center"/>
          </w:tcPr>
          <w:p w14:paraId="63E7FD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1.44</w:t>
            </w:r>
          </w:p>
        </w:tc>
        <w:tc>
          <w:tcPr>
            <w:tcW w:w="1836" w:type="dxa"/>
            <w:noWrap w:val="0"/>
            <w:vAlign w:val="center"/>
          </w:tcPr>
          <w:p w14:paraId="64000E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1.46</w:t>
            </w:r>
          </w:p>
        </w:tc>
      </w:tr>
      <w:tr w14:paraId="20DE8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440D65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最大值（kV/m）</w:t>
            </w:r>
          </w:p>
        </w:tc>
        <w:tc>
          <w:tcPr>
            <w:tcW w:w="1832" w:type="dxa"/>
            <w:noWrap w:val="0"/>
            <w:vAlign w:val="center"/>
          </w:tcPr>
          <w:p w14:paraId="78B7CB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2.350</w:t>
            </w:r>
          </w:p>
        </w:tc>
        <w:tc>
          <w:tcPr>
            <w:tcW w:w="1834" w:type="dxa"/>
            <w:noWrap w:val="0"/>
            <w:vAlign w:val="center"/>
          </w:tcPr>
          <w:p w14:paraId="40F96D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2.830</w:t>
            </w:r>
          </w:p>
        </w:tc>
        <w:tc>
          <w:tcPr>
            <w:tcW w:w="1834" w:type="dxa"/>
            <w:noWrap w:val="0"/>
            <w:vAlign w:val="center"/>
          </w:tcPr>
          <w:p w14:paraId="1E8D17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15.14</w:t>
            </w:r>
          </w:p>
        </w:tc>
        <w:tc>
          <w:tcPr>
            <w:tcW w:w="1836" w:type="dxa"/>
            <w:noWrap w:val="0"/>
            <w:vAlign w:val="center"/>
          </w:tcPr>
          <w:p w14:paraId="102005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18.76</w:t>
            </w:r>
          </w:p>
        </w:tc>
      </w:tr>
      <w:tr w14:paraId="5E590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 w:type="pct"/>
            <w:noWrap w:val="0"/>
            <w:vAlign w:val="center"/>
          </w:tcPr>
          <w:p w14:paraId="103DCC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最大值处距线路走廊中心距离（m）</w:t>
            </w:r>
          </w:p>
        </w:tc>
        <w:tc>
          <w:tcPr>
            <w:tcW w:w="1832" w:type="dxa"/>
            <w:noWrap w:val="0"/>
            <w:vAlign w:val="center"/>
          </w:tcPr>
          <w:p w14:paraId="2D03D8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-3.7</w:t>
            </w:r>
          </w:p>
        </w:tc>
        <w:tc>
          <w:tcPr>
            <w:tcW w:w="1834" w:type="dxa"/>
            <w:noWrap w:val="0"/>
            <w:vAlign w:val="center"/>
          </w:tcPr>
          <w:p w14:paraId="18204C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-4.2</w:t>
            </w:r>
          </w:p>
        </w:tc>
        <w:tc>
          <w:tcPr>
            <w:tcW w:w="1834" w:type="dxa"/>
            <w:noWrap w:val="0"/>
            <w:vAlign w:val="center"/>
          </w:tcPr>
          <w:p w14:paraId="5B4713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-5.6</w:t>
            </w:r>
          </w:p>
        </w:tc>
        <w:tc>
          <w:tcPr>
            <w:tcW w:w="1836" w:type="dxa"/>
            <w:noWrap w:val="0"/>
            <w:vAlign w:val="center"/>
          </w:tcPr>
          <w:p w14:paraId="7C1982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val="en-US" w:eastAsia="zh-CN"/>
              </w:rPr>
            </w:pPr>
            <w:r>
              <w:rPr>
                <w:rFonts w:hint="default" w:asciiTheme="minorEastAsia" w:hAnsiTheme="minorEastAsia" w:eastAsiaTheme="minorEastAsia" w:cstheme="minorEastAsia"/>
                <w:b w:val="0"/>
                <w:color w:val="auto"/>
                <w:sz w:val="21"/>
                <w:szCs w:val="21"/>
                <w:highlight w:val="none"/>
                <w:vertAlign w:val="baseline"/>
                <w:lang w:eastAsia="zh-CN"/>
              </w:rPr>
              <w:t>-5.6</w:t>
            </w:r>
          </w:p>
        </w:tc>
      </w:tr>
    </w:tbl>
    <w:p w14:paraId="5341D37A">
      <w:pPr>
        <w:spacing w:line="360" w:lineRule="auto"/>
        <w:jc w:val="both"/>
        <w:rPr>
          <w:rFonts w:hint="default" w:ascii="Calibri" w:hAnsi="Calibri" w:eastAsia="宋体" w:cs="Calibri"/>
          <w:color w:val="FF0000"/>
        </w:rPr>
      </w:pPr>
    </w:p>
    <w:p w14:paraId="32620D79">
      <w:pPr>
        <w:spacing w:line="360" w:lineRule="auto"/>
        <w:jc w:val="center"/>
        <w:rPr>
          <w:rFonts w:hint="default" w:ascii="Calibri" w:hAnsi="Calibri" w:eastAsia="宋体" w:cs="Calibri"/>
          <w:color w:val="FF0000"/>
        </w:rPr>
      </w:pPr>
      <w:r>
        <w:rPr>
          <w:rFonts w:hint="default" w:ascii="Times New Roman" w:hAnsi="Times New Roman" w:eastAsia="宋体" w:cs="Times New Roman"/>
          <w:b w:val="0"/>
          <w:color w:val="auto"/>
          <w:sz w:val="24"/>
          <w:lang w:eastAsia="zh-CN"/>
        </w:rPr>
        <w:drawing>
          <wp:inline distT="0" distB="0" distL="114300" distR="114300">
            <wp:extent cx="5270500" cy="3503295"/>
            <wp:effectExtent l="0" t="0" r="6350" b="1905"/>
            <wp:docPr id="16" name="图片 16" descr="Graph_DifLowH_elecIntensity"/>
            <wp:cNvGraphicFramePr/>
            <a:graphic xmlns:a="http://schemas.openxmlformats.org/drawingml/2006/main">
              <a:graphicData uri="http://schemas.openxmlformats.org/drawingml/2006/picture">
                <pic:pic xmlns:pic="http://schemas.openxmlformats.org/drawingml/2006/picture">
                  <pic:nvPicPr>
                    <pic:cNvPr id="16" name="图片 16" descr="Graph_DifLowH_elecIntensity"/>
                    <pic:cNvPicPr/>
                  </pic:nvPicPr>
                  <pic:blipFill>
                    <a:blip r:embed="rId69"/>
                    <a:stretch>
                      <a:fillRect/>
                    </a:stretch>
                  </pic:blipFill>
                  <pic:spPr>
                    <a:xfrm>
                      <a:off x="0" y="0"/>
                      <a:ext cx="5270500" cy="3503295"/>
                    </a:xfrm>
                    <a:prstGeom prst="rect">
                      <a:avLst/>
                    </a:prstGeom>
                  </pic:spPr>
                </pic:pic>
              </a:graphicData>
            </a:graphic>
          </wp:inline>
        </w:drawing>
      </w:r>
    </w:p>
    <w:p w14:paraId="6BDED89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Calibri" w:hAnsi="Calibri" w:eastAsia="宋体" w:cs="Calibri"/>
          <w:color w:val="auto"/>
        </w:rPr>
      </w:pPr>
      <w:r>
        <w:rPr>
          <w:rFonts w:hint="default" w:ascii="Calibri" w:hAnsi="Calibri" w:eastAsia="宋体" w:cs="Calibri"/>
          <w:b/>
          <w:bCs/>
          <w:color w:val="auto"/>
          <w:sz w:val="24"/>
        </w:rPr>
        <w:t>图</w:t>
      </w:r>
      <w:r>
        <w:rPr>
          <w:rFonts w:hint="default" w:ascii="Calibri" w:hAnsi="Calibri" w:eastAsia="宋体" w:cs="Calibri"/>
          <w:b/>
          <w:bCs/>
          <w:color w:val="auto"/>
          <w:sz w:val="24"/>
          <w:lang w:val="en-US" w:eastAsia="zh-CN"/>
        </w:rPr>
        <w:t>3-7</w:t>
      </w:r>
      <w:r>
        <w:rPr>
          <w:rFonts w:hint="eastAsia" w:ascii="Calibri" w:hAnsi="Calibri" w:cs="Calibri"/>
          <w:b/>
          <w:bCs/>
          <w:color w:val="auto"/>
          <w:sz w:val="24"/>
          <w:lang w:val="en-US" w:eastAsia="zh-CN"/>
        </w:rPr>
        <w:t xml:space="preserve"> </w:t>
      </w:r>
      <w:r>
        <w:rPr>
          <w:rFonts w:hint="default" w:ascii="Calibri" w:hAnsi="Calibri" w:eastAsia="宋体" w:cs="Calibri"/>
          <w:b/>
          <w:bCs/>
          <w:color w:val="auto"/>
          <w:sz w:val="24"/>
        </w:rPr>
        <w:t xml:space="preserve"> </w:t>
      </w:r>
      <w:r>
        <w:rPr>
          <w:rFonts w:hint="default" w:ascii="Calibri" w:hAnsi="Calibri" w:eastAsia="宋体" w:cs="Calibri"/>
          <w:b/>
          <w:bCs/>
          <w:color w:val="auto"/>
          <w:sz w:val="24"/>
          <w:lang w:val="en-US" w:eastAsia="zh-CN"/>
        </w:rPr>
        <w:t>110kV双回路线路工频电场强度预测分布曲线</w:t>
      </w:r>
      <w:r>
        <w:rPr>
          <w:rFonts w:hint="eastAsia" w:ascii="Calibri" w:hAnsi="Calibri" w:cs="Calibri"/>
          <w:b/>
          <w:bCs/>
          <w:color w:val="auto"/>
          <w:sz w:val="24"/>
          <w:lang w:val="en-US" w:eastAsia="zh-CN"/>
        </w:rPr>
        <w:t>（</w:t>
      </w:r>
      <w:r>
        <w:rPr>
          <w:rFonts w:hint="default" w:ascii="Calibri" w:hAnsi="Calibri" w:eastAsia="宋体" w:cs="Calibri"/>
          <w:b/>
          <w:bCs/>
          <w:color w:val="auto"/>
          <w:sz w:val="24"/>
          <w:lang w:val="en-US" w:eastAsia="zh-CN"/>
        </w:rPr>
        <w:t>SZC4</w:t>
      </w:r>
      <w:r>
        <w:rPr>
          <w:rFonts w:hint="eastAsia" w:ascii="Calibri" w:hAnsi="Calibri" w:cs="Calibri"/>
          <w:b/>
          <w:bCs/>
          <w:color w:val="auto"/>
          <w:sz w:val="24"/>
          <w:lang w:val="en-US" w:eastAsia="zh-CN"/>
        </w:rPr>
        <w:t>）</w:t>
      </w:r>
    </w:p>
    <w:p w14:paraId="71464D3C">
      <w:pPr>
        <w:spacing w:line="360" w:lineRule="auto"/>
        <w:jc w:val="center"/>
        <w:rPr>
          <w:rFonts w:hint="default" w:ascii="Calibri" w:hAnsi="Calibri" w:eastAsia="宋体" w:cs="Calibri"/>
          <w:color w:val="FF0000"/>
        </w:rPr>
      </w:pPr>
      <w:r>
        <w:rPr>
          <w:rFonts w:hint="default" w:ascii="Times New Roman" w:hAnsi="Times New Roman" w:eastAsia="宋体" w:cs="Times New Roman"/>
          <w:b w:val="0"/>
          <w:color w:val="auto"/>
          <w:sz w:val="24"/>
          <w:lang w:eastAsia="zh-CN"/>
        </w:rPr>
        <w:drawing>
          <wp:inline distT="0" distB="0" distL="114300" distR="114300">
            <wp:extent cx="5270500" cy="3503295"/>
            <wp:effectExtent l="0" t="0" r="6350" b="1905"/>
            <wp:docPr id="15" name="图片 15" descr="Graph_DifLowH_magIntensity"/>
            <wp:cNvGraphicFramePr/>
            <a:graphic xmlns:a="http://schemas.openxmlformats.org/drawingml/2006/main">
              <a:graphicData uri="http://schemas.openxmlformats.org/drawingml/2006/picture">
                <pic:pic xmlns:pic="http://schemas.openxmlformats.org/drawingml/2006/picture">
                  <pic:nvPicPr>
                    <pic:cNvPr id="15" name="图片 15" descr="Graph_DifLowH_magIntensity"/>
                    <pic:cNvPicPr/>
                  </pic:nvPicPr>
                  <pic:blipFill>
                    <a:blip r:embed="rId70"/>
                    <a:stretch>
                      <a:fillRect/>
                    </a:stretch>
                  </pic:blipFill>
                  <pic:spPr>
                    <a:xfrm>
                      <a:off x="0" y="0"/>
                      <a:ext cx="5270500" cy="3503295"/>
                    </a:xfrm>
                    <a:prstGeom prst="rect">
                      <a:avLst/>
                    </a:prstGeom>
                  </pic:spPr>
                </pic:pic>
              </a:graphicData>
            </a:graphic>
          </wp:inline>
        </w:drawing>
      </w:r>
    </w:p>
    <w:p w14:paraId="19941774">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Calibri" w:hAnsi="Calibri" w:eastAsia="宋体" w:cs="Calibri"/>
          <w:b/>
          <w:bCs/>
          <w:color w:val="auto"/>
          <w:sz w:val="24"/>
        </w:rPr>
      </w:pPr>
      <w:r>
        <w:rPr>
          <w:rFonts w:hint="default" w:ascii="Calibri" w:hAnsi="Calibri" w:eastAsia="宋体" w:cs="Calibri"/>
          <w:b/>
          <w:bCs/>
          <w:color w:val="auto"/>
          <w:sz w:val="24"/>
        </w:rPr>
        <w:t>图</w:t>
      </w:r>
      <w:r>
        <w:rPr>
          <w:rFonts w:hint="default" w:ascii="Calibri" w:hAnsi="Calibri" w:eastAsia="宋体" w:cs="Calibri"/>
          <w:b/>
          <w:bCs/>
          <w:color w:val="auto"/>
          <w:sz w:val="24"/>
          <w:lang w:val="en-US" w:eastAsia="zh-CN"/>
        </w:rPr>
        <w:t>3-8</w:t>
      </w:r>
      <w:r>
        <w:rPr>
          <w:rFonts w:hint="eastAsia" w:ascii="Calibri" w:hAnsi="Calibri" w:cs="Calibri"/>
          <w:b/>
          <w:bCs/>
          <w:color w:val="auto"/>
          <w:sz w:val="24"/>
          <w:lang w:val="en-US" w:eastAsia="zh-CN"/>
        </w:rPr>
        <w:t xml:space="preserve"> </w:t>
      </w:r>
      <w:r>
        <w:rPr>
          <w:rFonts w:hint="default" w:ascii="Calibri" w:hAnsi="Calibri" w:eastAsia="宋体" w:cs="Calibri"/>
          <w:b/>
          <w:bCs/>
          <w:color w:val="auto"/>
          <w:sz w:val="24"/>
        </w:rPr>
        <w:t xml:space="preserve"> </w:t>
      </w:r>
      <w:r>
        <w:rPr>
          <w:rFonts w:hint="default" w:ascii="Calibri" w:hAnsi="Calibri" w:eastAsia="宋体" w:cs="Calibri"/>
          <w:b/>
          <w:bCs/>
          <w:color w:val="auto"/>
          <w:sz w:val="24"/>
          <w:lang w:val="en-US" w:eastAsia="zh-CN"/>
        </w:rPr>
        <w:t>110kV双回路</w:t>
      </w:r>
      <w:r>
        <w:rPr>
          <w:rFonts w:hint="default" w:ascii="Calibri" w:hAnsi="Calibri" w:eastAsia="宋体" w:cs="Calibri"/>
          <w:b/>
          <w:bCs/>
          <w:color w:val="auto"/>
          <w:sz w:val="24"/>
        </w:rPr>
        <w:t>工频磁感应强度预测分布曲线</w:t>
      </w:r>
      <w:r>
        <w:rPr>
          <w:rFonts w:hint="eastAsia" w:ascii="Calibri" w:hAnsi="Calibri" w:cs="Calibri"/>
          <w:b/>
          <w:bCs/>
          <w:color w:val="auto"/>
          <w:sz w:val="24"/>
          <w:lang w:eastAsia="zh-CN"/>
        </w:rPr>
        <w:t>（</w:t>
      </w:r>
      <w:r>
        <w:rPr>
          <w:rFonts w:hint="default" w:ascii="Calibri" w:hAnsi="Calibri" w:eastAsia="宋体" w:cs="Calibri"/>
          <w:b/>
          <w:bCs/>
          <w:color w:val="auto"/>
          <w:sz w:val="24"/>
        </w:rPr>
        <w:t>SZC4</w:t>
      </w:r>
      <w:r>
        <w:rPr>
          <w:rFonts w:hint="eastAsia" w:ascii="Calibri" w:hAnsi="Calibri" w:cs="Calibri"/>
          <w:b/>
          <w:bCs/>
          <w:color w:val="auto"/>
          <w:sz w:val="24"/>
          <w:lang w:eastAsia="zh-CN"/>
        </w:rPr>
        <w:t>）</w:t>
      </w:r>
    </w:p>
    <w:p w14:paraId="3924D5F2">
      <w:pPr>
        <w:keepNext w:val="0"/>
        <w:keepLines w:val="0"/>
        <w:pageBreakBefore w:val="0"/>
        <w:widowControl w:val="0"/>
        <w:kinsoku/>
        <w:wordWrap/>
        <w:overflowPunct/>
        <w:topLinePunct w:val="0"/>
        <w:autoSpaceDE/>
        <w:autoSpaceDN/>
        <w:bidi w:val="0"/>
        <w:adjustRightInd/>
        <w:snapToGrid w:val="0"/>
        <w:spacing w:line="480" w:lineRule="exact"/>
        <w:ind w:right="0" w:rightChars="0"/>
        <w:jc w:val="center"/>
        <w:textAlignment w:val="auto"/>
        <w:outlineLvl w:val="9"/>
        <w:rPr>
          <w:rFonts w:hint="eastAsia" w:ascii="宋体" w:hAnsi="宋体" w:eastAsia="宋体" w:cs="Times New Roman"/>
          <w:b/>
          <w:bCs w:val="0"/>
          <w:color w:val="auto"/>
          <w:sz w:val="24"/>
          <w:highlight w:val="none"/>
        </w:rPr>
      </w:pPr>
      <w:r>
        <w:rPr>
          <w:rFonts w:hint="eastAsia" w:ascii="宋体" w:hAnsi="宋体"/>
          <w:b/>
          <w:color w:val="auto"/>
          <w:sz w:val="24"/>
          <w:highlight w:val="none"/>
        </w:rPr>
        <w:t>表</w:t>
      </w:r>
      <w:r>
        <w:rPr>
          <w:rFonts w:hint="eastAsia" w:ascii="宋体" w:hAnsi="宋体"/>
          <w:b/>
          <w:color w:val="auto"/>
          <w:sz w:val="24"/>
          <w:highlight w:val="none"/>
          <w:lang w:val="en-US" w:eastAsia="zh-CN"/>
        </w:rPr>
        <w:t>3-9</w:t>
      </w:r>
      <w:r>
        <w:rPr>
          <w:rFonts w:hint="eastAsia" w:ascii="宋体" w:hAnsi="宋体"/>
          <w:b/>
          <w:color w:val="auto"/>
          <w:sz w:val="24"/>
          <w:highlight w:val="none"/>
        </w:rPr>
        <w:t xml:space="preserve">   </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 xml:space="preserve"> </w:t>
      </w:r>
      <w:r>
        <w:rPr>
          <w:rFonts w:hint="eastAsia"/>
          <w:b/>
          <w:color w:val="auto"/>
          <w:sz w:val="24"/>
          <w:highlight w:val="none"/>
          <w:lang w:val="en-US" w:eastAsia="zh-CN"/>
        </w:rPr>
        <w:t>双</w:t>
      </w:r>
      <w:r>
        <w:rPr>
          <w:rFonts w:hint="eastAsia" w:ascii="宋体" w:hAnsi="宋体"/>
          <w:b/>
          <w:bCs w:val="0"/>
          <w:color w:val="auto"/>
          <w:sz w:val="24"/>
          <w:highlight w:val="none"/>
        </w:rPr>
        <w:t>回路线路电磁环境预测值</w:t>
      </w:r>
      <w:r>
        <w:rPr>
          <w:rFonts w:hint="eastAsia" w:ascii="宋体" w:hAnsi="宋体"/>
          <w:b/>
          <w:bCs w:val="0"/>
          <w:color w:val="auto"/>
          <w:sz w:val="24"/>
          <w:highlight w:val="none"/>
          <w:lang w:eastAsia="zh-CN"/>
        </w:rPr>
        <w:t>（</w:t>
      </w:r>
      <w:r>
        <w:rPr>
          <w:rFonts w:hint="eastAsia" w:ascii="宋体" w:hAnsi="宋体"/>
          <w:b/>
          <w:bCs w:val="0"/>
          <w:color w:val="auto"/>
          <w:sz w:val="24"/>
          <w:highlight w:val="none"/>
          <w:lang w:val="en-US" w:eastAsia="zh-CN"/>
        </w:rPr>
        <w:t>SDJC耐张塔）</w:t>
      </w:r>
    </w:p>
    <w:tbl>
      <w:tblPr>
        <w:tblStyle w:val="2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809"/>
        <w:gridCol w:w="1811"/>
        <w:gridCol w:w="1811"/>
        <w:gridCol w:w="1812"/>
      </w:tblGrid>
      <w:tr w14:paraId="651E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vMerge w:val="restart"/>
            <w:noWrap w:val="0"/>
            <w:vAlign w:val="center"/>
          </w:tcPr>
          <w:p w14:paraId="321DC8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sz w:val="21"/>
                <w:szCs w:val="21"/>
                <w:highlight w:val="none"/>
                <w:vertAlign w:val="baseline"/>
                <w:lang w:eastAsia="zh-CN"/>
              </w:rPr>
            </w:pPr>
            <w:r>
              <w:rPr>
                <w:rFonts w:hint="eastAsia" w:asciiTheme="minorEastAsia" w:hAnsiTheme="minorEastAsia" w:eastAsiaTheme="minorEastAsia" w:cstheme="minorEastAsia"/>
                <w:b/>
                <w:color w:val="auto"/>
                <w:sz w:val="21"/>
                <w:szCs w:val="21"/>
                <w:highlight w:val="none"/>
                <w:vertAlign w:val="baseline"/>
                <w:lang w:eastAsia="zh-CN"/>
              </w:rPr>
              <w:t>距线路走廊中心距离（m）</w:t>
            </w:r>
          </w:p>
        </w:tc>
        <w:tc>
          <w:tcPr>
            <w:tcW w:w="1999" w:type="pct"/>
            <w:gridSpan w:val="2"/>
            <w:noWrap w:val="0"/>
            <w:vAlign w:val="center"/>
          </w:tcPr>
          <w:p w14:paraId="22929E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sz w:val="21"/>
                <w:szCs w:val="21"/>
                <w:highlight w:val="none"/>
                <w:vertAlign w:val="baseline"/>
                <w:lang w:val="en-US" w:eastAsia="zh-CN"/>
              </w:rPr>
            </w:pPr>
            <w:r>
              <w:rPr>
                <w:rFonts w:hint="eastAsia" w:asciiTheme="minorEastAsia" w:hAnsiTheme="minorEastAsia" w:eastAsiaTheme="minorEastAsia" w:cstheme="minorEastAsia"/>
                <w:b/>
                <w:color w:val="auto"/>
                <w:sz w:val="21"/>
                <w:szCs w:val="21"/>
                <w:highlight w:val="none"/>
                <w:vertAlign w:val="baseline"/>
                <w:lang w:val="en-US" w:eastAsia="zh-CN"/>
              </w:rPr>
              <w:t>工频电场强度</w:t>
            </w:r>
          </w:p>
        </w:tc>
        <w:tc>
          <w:tcPr>
            <w:tcW w:w="2001" w:type="pct"/>
            <w:gridSpan w:val="2"/>
            <w:noWrap w:val="0"/>
            <w:vAlign w:val="center"/>
          </w:tcPr>
          <w:p w14:paraId="613B93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sz w:val="21"/>
                <w:szCs w:val="21"/>
                <w:highlight w:val="none"/>
                <w:vertAlign w:val="baseline"/>
                <w:lang w:val="en-US" w:eastAsia="zh-CN"/>
              </w:rPr>
            </w:pPr>
            <w:r>
              <w:rPr>
                <w:rFonts w:hint="eastAsia" w:asciiTheme="minorEastAsia" w:hAnsiTheme="minorEastAsia" w:eastAsiaTheme="minorEastAsia" w:cstheme="minorEastAsia"/>
                <w:b/>
                <w:color w:val="auto"/>
                <w:sz w:val="21"/>
                <w:szCs w:val="21"/>
                <w:highlight w:val="none"/>
                <w:vertAlign w:val="baseline"/>
                <w:lang w:val="en-US" w:eastAsia="zh-CN"/>
              </w:rPr>
              <w:t>工频磁感应强度</w:t>
            </w:r>
          </w:p>
        </w:tc>
      </w:tr>
      <w:tr w14:paraId="34539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vMerge w:val="continue"/>
            <w:noWrap w:val="0"/>
            <w:vAlign w:val="center"/>
          </w:tcPr>
          <w:p w14:paraId="37002C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sz w:val="21"/>
                <w:szCs w:val="21"/>
                <w:highlight w:val="none"/>
                <w:vertAlign w:val="baseline"/>
                <w:lang w:eastAsia="zh-CN"/>
              </w:rPr>
            </w:pPr>
          </w:p>
        </w:tc>
        <w:tc>
          <w:tcPr>
            <w:tcW w:w="999" w:type="pct"/>
            <w:noWrap w:val="0"/>
            <w:vAlign w:val="center"/>
          </w:tcPr>
          <w:p w14:paraId="595E88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color w:val="auto"/>
                <w:sz w:val="21"/>
                <w:szCs w:val="21"/>
                <w:highlight w:val="none"/>
                <w:vertAlign w:val="baseline"/>
                <w:lang w:eastAsia="zh-CN"/>
              </w:rPr>
              <w:t>导线对地最小线高7m</w:t>
            </w:r>
          </w:p>
        </w:tc>
        <w:tc>
          <w:tcPr>
            <w:tcW w:w="1000" w:type="pct"/>
            <w:noWrap w:val="0"/>
            <w:vAlign w:val="center"/>
          </w:tcPr>
          <w:p w14:paraId="2356F2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color w:val="auto"/>
                <w:sz w:val="21"/>
                <w:szCs w:val="21"/>
                <w:highlight w:val="none"/>
                <w:vertAlign w:val="baseline"/>
                <w:lang w:eastAsia="zh-CN"/>
              </w:rPr>
              <w:t>导线对地最小线高6m</w:t>
            </w:r>
          </w:p>
        </w:tc>
        <w:tc>
          <w:tcPr>
            <w:tcW w:w="1000" w:type="pct"/>
            <w:noWrap w:val="0"/>
            <w:vAlign w:val="center"/>
          </w:tcPr>
          <w:p w14:paraId="0F8228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color w:val="auto"/>
                <w:sz w:val="21"/>
                <w:szCs w:val="21"/>
                <w:highlight w:val="none"/>
                <w:vertAlign w:val="baseline"/>
                <w:lang w:eastAsia="zh-CN"/>
              </w:rPr>
              <w:t>导线对地最小线高7m</w:t>
            </w:r>
          </w:p>
        </w:tc>
        <w:tc>
          <w:tcPr>
            <w:tcW w:w="1000" w:type="pct"/>
            <w:noWrap w:val="0"/>
            <w:vAlign w:val="center"/>
          </w:tcPr>
          <w:p w14:paraId="509CC0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color w:val="auto"/>
                <w:kern w:val="2"/>
                <w:sz w:val="21"/>
                <w:szCs w:val="21"/>
                <w:highlight w:val="none"/>
                <w:vertAlign w:val="baseline"/>
                <w:lang w:val="en-US" w:eastAsia="zh-CN" w:bidi="ar-SA"/>
              </w:rPr>
            </w:pPr>
            <w:r>
              <w:rPr>
                <w:rFonts w:hint="eastAsia" w:asciiTheme="minorEastAsia" w:hAnsiTheme="minorEastAsia" w:eastAsiaTheme="minorEastAsia" w:cstheme="minorEastAsia"/>
                <w:b/>
                <w:color w:val="auto"/>
                <w:sz w:val="21"/>
                <w:szCs w:val="21"/>
                <w:highlight w:val="none"/>
                <w:vertAlign w:val="baseline"/>
                <w:lang w:eastAsia="zh-CN"/>
              </w:rPr>
              <w:t>导线对地最小线高6m</w:t>
            </w:r>
          </w:p>
        </w:tc>
      </w:tr>
      <w:tr w14:paraId="7150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A24BC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-40</w:t>
            </w:r>
          </w:p>
        </w:tc>
        <w:tc>
          <w:tcPr>
            <w:tcW w:w="1832" w:type="dxa"/>
            <w:noWrap w:val="0"/>
            <w:vAlign w:val="top"/>
          </w:tcPr>
          <w:p w14:paraId="77393C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0.079</w:t>
            </w:r>
          </w:p>
        </w:tc>
        <w:tc>
          <w:tcPr>
            <w:tcW w:w="1834" w:type="dxa"/>
            <w:noWrap w:val="0"/>
            <w:vAlign w:val="top"/>
          </w:tcPr>
          <w:p w14:paraId="6C25AB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0.085</w:t>
            </w:r>
          </w:p>
        </w:tc>
        <w:tc>
          <w:tcPr>
            <w:tcW w:w="1834" w:type="dxa"/>
            <w:noWrap w:val="0"/>
            <w:vAlign w:val="top"/>
          </w:tcPr>
          <w:p w14:paraId="1B3630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1.40</w:t>
            </w:r>
          </w:p>
        </w:tc>
        <w:tc>
          <w:tcPr>
            <w:tcW w:w="1836" w:type="dxa"/>
            <w:noWrap w:val="0"/>
            <w:vAlign w:val="top"/>
          </w:tcPr>
          <w:p w14:paraId="287757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1.42</w:t>
            </w:r>
          </w:p>
        </w:tc>
      </w:tr>
      <w:tr w14:paraId="5764A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1851B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-39</w:t>
            </w:r>
          </w:p>
        </w:tc>
        <w:tc>
          <w:tcPr>
            <w:tcW w:w="1832" w:type="dxa"/>
            <w:noWrap w:val="0"/>
            <w:vAlign w:val="top"/>
          </w:tcPr>
          <w:p w14:paraId="7070AD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0.081</w:t>
            </w:r>
          </w:p>
        </w:tc>
        <w:tc>
          <w:tcPr>
            <w:tcW w:w="1834" w:type="dxa"/>
            <w:noWrap w:val="0"/>
            <w:vAlign w:val="top"/>
          </w:tcPr>
          <w:p w14:paraId="1AC2C3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0.088</w:t>
            </w:r>
          </w:p>
        </w:tc>
        <w:tc>
          <w:tcPr>
            <w:tcW w:w="1834" w:type="dxa"/>
            <w:noWrap w:val="0"/>
            <w:vAlign w:val="top"/>
          </w:tcPr>
          <w:p w14:paraId="505C03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1.47</w:t>
            </w:r>
          </w:p>
        </w:tc>
        <w:tc>
          <w:tcPr>
            <w:tcW w:w="1836" w:type="dxa"/>
            <w:noWrap w:val="0"/>
            <w:vAlign w:val="top"/>
          </w:tcPr>
          <w:p w14:paraId="117BAF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1.49</w:t>
            </w:r>
          </w:p>
        </w:tc>
      </w:tr>
      <w:tr w14:paraId="0CE7F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55262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-38</w:t>
            </w:r>
          </w:p>
        </w:tc>
        <w:tc>
          <w:tcPr>
            <w:tcW w:w="1832" w:type="dxa"/>
            <w:noWrap w:val="0"/>
            <w:vAlign w:val="top"/>
          </w:tcPr>
          <w:p w14:paraId="2B85A1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0.084</w:t>
            </w:r>
          </w:p>
        </w:tc>
        <w:tc>
          <w:tcPr>
            <w:tcW w:w="1834" w:type="dxa"/>
            <w:noWrap w:val="0"/>
            <w:vAlign w:val="top"/>
          </w:tcPr>
          <w:p w14:paraId="097120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0.091</w:t>
            </w:r>
          </w:p>
        </w:tc>
        <w:tc>
          <w:tcPr>
            <w:tcW w:w="1834" w:type="dxa"/>
            <w:noWrap w:val="0"/>
            <w:vAlign w:val="top"/>
          </w:tcPr>
          <w:p w14:paraId="720DB7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1.55</w:t>
            </w:r>
          </w:p>
        </w:tc>
        <w:tc>
          <w:tcPr>
            <w:tcW w:w="1836" w:type="dxa"/>
            <w:noWrap w:val="0"/>
            <w:vAlign w:val="top"/>
          </w:tcPr>
          <w:p w14:paraId="41F0F5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1.57</w:t>
            </w:r>
          </w:p>
        </w:tc>
      </w:tr>
      <w:tr w14:paraId="5C7B5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8" w:type="pct"/>
            <w:noWrap w:val="0"/>
            <w:vAlign w:val="center"/>
          </w:tcPr>
          <w:p w14:paraId="4FB608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-37</w:t>
            </w:r>
          </w:p>
        </w:tc>
        <w:tc>
          <w:tcPr>
            <w:tcW w:w="1832" w:type="dxa"/>
            <w:noWrap w:val="0"/>
            <w:vAlign w:val="top"/>
          </w:tcPr>
          <w:p w14:paraId="0E0A34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0.086</w:t>
            </w:r>
          </w:p>
        </w:tc>
        <w:tc>
          <w:tcPr>
            <w:tcW w:w="1834" w:type="dxa"/>
            <w:noWrap w:val="0"/>
            <w:vAlign w:val="top"/>
          </w:tcPr>
          <w:p w14:paraId="71C422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0.094</w:t>
            </w:r>
          </w:p>
        </w:tc>
        <w:tc>
          <w:tcPr>
            <w:tcW w:w="1834" w:type="dxa"/>
            <w:noWrap w:val="0"/>
            <w:vAlign w:val="top"/>
          </w:tcPr>
          <w:p w14:paraId="2D1085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1.63</w:t>
            </w:r>
          </w:p>
        </w:tc>
        <w:tc>
          <w:tcPr>
            <w:tcW w:w="1836" w:type="dxa"/>
            <w:noWrap w:val="0"/>
            <w:vAlign w:val="top"/>
          </w:tcPr>
          <w:p w14:paraId="058AE0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1.65</w:t>
            </w:r>
          </w:p>
        </w:tc>
      </w:tr>
      <w:tr w14:paraId="111BB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3E241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-36</w:t>
            </w:r>
          </w:p>
        </w:tc>
        <w:tc>
          <w:tcPr>
            <w:tcW w:w="1832" w:type="dxa"/>
            <w:noWrap w:val="0"/>
            <w:vAlign w:val="top"/>
          </w:tcPr>
          <w:p w14:paraId="674AC0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0.089</w:t>
            </w:r>
          </w:p>
        </w:tc>
        <w:tc>
          <w:tcPr>
            <w:tcW w:w="1834" w:type="dxa"/>
            <w:noWrap w:val="0"/>
            <w:vAlign w:val="top"/>
          </w:tcPr>
          <w:p w14:paraId="5F0C37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0.098</w:t>
            </w:r>
          </w:p>
        </w:tc>
        <w:tc>
          <w:tcPr>
            <w:tcW w:w="1834" w:type="dxa"/>
            <w:noWrap w:val="0"/>
            <w:vAlign w:val="top"/>
          </w:tcPr>
          <w:p w14:paraId="786D84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1.71</w:t>
            </w:r>
          </w:p>
        </w:tc>
        <w:tc>
          <w:tcPr>
            <w:tcW w:w="1836" w:type="dxa"/>
            <w:noWrap w:val="0"/>
            <w:vAlign w:val="top"/>
          </w:tcPr>
          <w:p w14:paraId="733B84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1.74</w:t>
            </w:r>
          </w:p>
        </w:tc>
      </w:tr>
      <w:tr w14:paraId="2D47C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D1A46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-35</w:t>
            </w:r>
          </w:p>
        </w:tc>
        <w:tc>
          <w:tcPr>
            <w:tcW w:w="1832" w:type="dxa"/>
            <w:noWrap w:val="0"/>
            <w:vAlign w:val="top"/>
          </w:tcPr>
          <w:p w14:paraId="3EE51A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0.092</w:t>
            </w:r>
          </w:p>
        </w:tc>
        <w:tc>
          <w:tcPr>
            <w:tcW w:w="1834" w:type="dxa"/>
            <w:noWrap w:val="0"/>
            <w:vAlign w:val="top"/>
          </w:tcPr>
          <w:p w14:paraId="715E4A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0.101</w:t>
            </w:r>
          </w:p>
        </w:tc>
        <w:tc>
          <w:tcPr>
            <w:tcW w:w="1834" w:type="dxa"/>
            <w:noWrap w:val="0"/>
            <w:vAlign w:val="top"/>
          </w:tcPr>
          <w:p w14:paraId="261F80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1.81</w:t>
            </w:r>
          </w:p>
        </w:tc>
        <w:tc>
          <w:tcPr>
            <w:tcW w:w="1836" w:type="dxa"/>
            <w:noWrap w:val="0"/>
            <w:vAlign w:val="top"/>
          </w:tcPr>
          <w:p w14:paraId="633F52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1.84</w:t>
            </w:r>
          </w:p>
        </w:tc>
      </w:tr>
      <w:tr w14:paraId="43DC2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0FA1D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-34</w:t>
            </w:r>
          </w:p>
        </w:tc>
        <w:tc>
          <w:tcPr>
            <w:tcW w:w="1832" w:type="dxa"/>
            <w:noWrap w:val="0"/>
            <w:vAlign w:val="top"/>
          </w:tcPr>
          <w:p w14:paraId="4211E7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0.094</w:t>
            </w:r>
          </w:p>
        </w:tc>
        <w:tc>
          <w:tcPr>
            <w:tcW w:w="1834" w:type="dxa"/>
            <w:noWrap w:val="0"/>
            <w:vAlign w:val="top"/>
          </w:tcPr>
          <w:p w14:paraId="07DD98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0.104</w:t>
            </w:r>
          </w:p>
        </w:tc>
        <w:tc>
          <w:tcPr>
            <w:tcW w:w="1834" w:type="dxa"/>
            <w:noWrap w:val="0"/>
            <w:vAlign w:val="top"/>
          </w:tcPr>
          <w:p w14:paraId="5DB19F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1.91</w:t>
            </w:r>
          </w:p>
        </w:tc>
        <w:tc>
          <w:tcPr>
            <w:tcW w:w="1836" w:type="dxa"/>
            <w:noWrap w:val="0"/>
            <w:vAlign w:val="top"/>
          </w:tcPr>
          <w:p w14:paraId="148773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1.94</w:t>
            </w:r>
          </w:p>
        </w:tc>
      </w:tr>
      <w:tr w14:paraId="4553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4A14B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-33</w:t>
            </w:r>
          </w:p>
        </w:tc>
        <w:tc>
          <w:tcPr>
            <w:tcW w:w="1832" w:type="dxa"/>
            <w:noWrap w:val="0"/>
            <w:vAlign w:val="top"/>
          </w:tcPr>
          <w:p w14:paraId="1CB138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0.096</w:t>
            </w:r>
          </w:p>
        </w:tc>
        <w:tc>
          <w:tcPr>
            <w:tcW w:w="1834" w:type="dxa"/>
            <w:noWrap w:val="0"/>
            <w:vAlign w:val="top"/>
          </w:tcPr>
          <w:p w14:paraId="02452F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0.108</w:t>
            </w:r>
          </w:p>
        </w:tc>
        <w:tc>
          <w:tcPr>
            <w:tcW w:w="1834" w:type="dxa"/>
            <w:noWrap w:val="0"/>
            <w:vAlign w:val="top"/>
          </w:tcPr>
          <w:p w14:paraId="46D518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2.02</w:t>
            </w:r>
          </w:p>
        </w:tc>
        <w:tc>
          <w:tcPr>
            <w:tcW w:w="1836" w:type="dxa"/>
            <w:noWrap w:val="0"/>
            <w:vAlign w:val="top"/>
          </w:tcPr>
          <w:p w14:paraId="7DCE83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2.06</w:t>
            </w:r>
          </w:p>
        </w:tc>
      </w:tr>
      <w:tr w14:paraId="0CDF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16EA3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-32</w:t>
            </w:r>
          </w:p>
        </w:tc>
        <w:tc>
          <w:tcPr>
            <w:tcW w:w="1832" w:type="dxa"/>
            <w:noWrap w:val="0"/>
            <w:vAlign w:val="top"/>
          </w:tcPr>
          <w:p w14:paraId="4F7E58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0.099</w:t>
            </w:r>
          </w:p>
        </w:tc>
        <w:tc>
          <w:tcPr>
            <w:tcW w:w="1834" w:type="dxa"/>
            <w:noWrap w:val="0"/>
            <w:vAlign w:val="top"/>
          </w:tcPr>
          <w:p w14:paraId="6E6134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0.111</w:t>
            </w:r>
          </w:p>
        </w:tc>
        <w:tc>
          <w:tcPr>
            <w:tcW w:w="1834" w:type="dxa"/>
            <w:noWrap w:val="0"/>
            <w:vAlign w:val="top"/>
          </w:tcPr>
          <w:p w14:paraId="216BD6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2.14</w:t>
            </w:r>
          </w:p>
        </w:tc>
        <w:tc>
          <w:tcPr>
            <w:tcW w:w="1836" w:type="dxa"/>
            <w:noWrap w:val="0"/>
            <w:vAlign w:val="top"/>
          </w:tcPr>
          <w:p w14:paraId="70330D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2.18</w:t>
            </w:r>
          </w:p>
        </w:tc>
      </w:tr>
      <w:tr w14:paraId="635F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B6FB2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-31</w:t>
            </w:r>
          </w:p>
        </w:tc>
        <w:tc>
          <w:tcPr>
            <w:tcW w:w="1832" w:type="dxa"/>
            <w:noWrap w:val="0"/>
            <w:vAlign w:val="top"/>
          </w:tcPr>
          <w:p w14:paraId="1DBBF1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0.101</w:t>
            </w:r>
          </w:p>
        </w:tc>
        <w:tc>
          <w:tcPr>
            <w:tcW w:w="1834" w:type="dxa"/>
            <w:noWrap w:val="0"/>
            <w:vAlign w:val="top"/>
          </w:tcPr>
          <w:p w14:paraId="4D8DD5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0.115</w:t>
            </w:r>
          </w:p>
        </w:tc>
        <w:tc>
          <w:tcPr>
            <w:tcW w:w="1834" w:type="dxa"/>
            <w:noWrap w:val="0"/>
            <w:vAlign w:val="top"/>
          </w:tcPr>
          <w:p w14:paraId="04DA55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2.27</w:t>
            </w:r>
          </w:p>
        </w:tc>
        <w:tc>
          <w:tcPr>
            <w:tcW w:w="1836" w:type="dxa"/>
            <w:noWrap w:val="0"/>
            <w:vAlign w:val="top"/>
          </w:tcPr>
          <w:p w14:paraId="512929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2.32</w:t>
            </w:r>
          </w:p>
        </w:tc>
      </w:tr>
      <w:tr w14:paraId="6954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3E424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-30</w:t>
            </w:r>
          </w:p>
        </w:tc>
        <w:tc>
          <w:tcPr>
            <w:tcW w:w="1832" w:type="dxa"/>
            <w:noWrap w:val="0"/>
            <w:vAlign w:val="top"/>
          </w:tcPr>
          <w:p w14:paraId="7CA072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0.103</w:t>
            </w:r>
          </w:p>
        </w:tc>
        <w:tc>
          <w:tcPr>
            <w:tcW w:w="1834" w:type="dxa"/>
            <w:noWrap w:val="0"/>
            <w:vAlign w:val="top"/>
          </w:tcPr>
          <w:p w14:paraId="0D65DB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0.118</w:t>
            </w:r>
          </w:p>
        </w:tc>
        <w:tc>
          <w:tcPr>
            <w:tcW w:w="1834" w:type="dxa"/>
            <w:noWrap w:val="0"/>
            <w:vAlign w:val="top"/>
          </w:tcPr>
          <w:p w14:paraId="55DF3A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2.41</w:t>
            </w:r>
          </w:p>
        </w:tc>
        <w:tc>
          <w:tcPr>
            <w:tcW w:w="1836" w:type="dxa"/>
            <w:noWrap w:val="0"/>
            <w:vAlign w:val="top"/>
          </w:tcPr>
          <w:p w14:paraId="46CDA5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2.47</w:t>
            </w:r>
          </w:p>
        </w:tc>
      </w:tr>
      <w:tr w14:paraId="22F6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4F8C89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-29</w:t>
            </w:r>
          </w:p>
        </w:tc>
        <w:tc>
          <w:tcPr>
            <w:tcW w:w="1832" w:type="dxa"/>
            <w:noWrap w:val="0"/>
            <w:vAlign w:val="top"/>
          </w:tcPr>
          <w:p w14:paraId="2FD170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0.104</w:t>
            </w:r>
          </w:p>
        </w:tc>
        <w:tc>
          <w:tcPr>
            <w:tcW w:w="1834" w:type="dxa"/>
            <w:noWrap w:val="0"/>
            <w:vAlign w:val="top"/>
          </w:tcPr>
          <w:p w14:paraId="32DCA8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0.122</w:t>
            </w:r>
          </w:p>
        </w:tc>
        <w:tc>
          <w:tcPr>
            <w:tcW w:w="1834" w:type="dxa"/>
            <w:noWrap w:val="0"/>
            <w:vAlign w:val="top"/>
          </w:tcPr>
          <w:p w14:paraId="7600C5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2.56</w:t>
            </w:r>
          </w:p>
        </w:tc>
        <w:tc>
          <w:tcPr>
            <w:tcW w:w="1836" w:type="dxa"/>
            <w:noWrap w:val="0"/>
            <w:vAlign w:val="top"/>
          </w:tcPr>
          <w:p w14:paraId="379B95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2.63</w:t>
            </w:r>
          </w:p>
        </w:tc>
      </w:tr>
      <w:tr w14:paraId="06642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56C4A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-28</w:t>
            </w:r>
          </w:p>
        </w:tc>
        <w:tc>
          <w:tcPr>
            <w:tcW w:w="1832" w:type="dxa"/>
            <w:noWrap w:val="0"/>
            <w:vAlign w:val="top"/>
          </w:tcPr>
          <w:p w14:paraId="7C5450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0.106</w:t>
            </w:r>
          </w:p>
        </w:tc>
        <w:tc>
          <w:tcPr>
            <w:tcW w:w="1834" w:type="dxa"/>
            <w:noWrap w:val="0"/>
            <w:vAlign w:val="top"/>
          </w:tcPr>
          <w:p w14:paraId="075002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0.125</w:t>
            </w:r>
          </w:p>
        </w:tc>
        <w:tc>
          <w:tcPr>
            <w:tcW w:w="1834" w:type="dxa"/>
            <w:noWrap w:val="0"/>
            <w:vAlign w:val="top"/>
          </w:tcPr>
          <w:p w14:paraId="1AF745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2.73</w:t>
            </w:r>
          </w:p>
        </w:tc>
        <w:tc>
          <w:tcPr>
            <w:tcW w:w="1836" w:type="dxa"/>
            <w:noWrap w:val="0"/>
            <w:vAlign w:val="top"/>
          </w:tcPr>
          <w:p w14:paraId="0C8D73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2.81</w:t>
            </w:r>
          </w:p>
        </w:tc>
      </w:tr>
      <w:tr w14:paraId="25266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8C919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-27</w:t>
            </w:r>
          </w:p>
        </w:tc>
        <w:tc>
          <w:tcPr>
            <w:tcW w:w="1832" w:type="dxa"/>
            <w:noWrap w:val="0"/>
            <w:vAlign w:val="top"/>
          </w:tcPr>
          <w:p w14:paraId="53FD90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0.106</w:t>
            </w:r>
          </w:p>
        </w:tc>
        <w:tc>
          <w:tcPr>
            <w:tcW w:w="1834" w:type="dxa"/>
            <w:noWrap w:val="0"/>
            <w:vAlign w:val="top"/>
          </w:tcPr>
          <w:p w14:paraId="21A03E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0.127</w:t>
            </w:r>
          </w:p>
        </w:tc>
        <w:tc>
          <w:tcPr>
            <w:tcW w:w="1834" w:type="dxa"/>
            <w:noWrap w:val="0"/>
            <w:vAlign w:val="top"/>
          </w:tcPr>
          <w:p w14:paraId="6D6DEC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2.92</w:t>
            </w:r>
          </w:p>
        </w:tc>
        <w:tc>
          <w:tcPr>
            <w:tcW w:w="1836" w:type="dxa"/>
            <w:noWrap w:val="0"/>
            <w:vAlign w:val="top"/>
          </w:tcPr>
          <w:p w14:paraId="1D2600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3.00</w:t>
            </w:r>
          </w:p>
        </w:tc>
      </w:tr>
      <w:tr w14:paraId="5EFC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FA567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-26</w:t>
            </w:r>
          </w:p>
        </w:tc>
        <w:tc>
          <w:tcPr>
            <w:tcW w:w="1832" w:type="dxa"/>
            <w:noWrap w:val="0"/>
            <w:vAlign w:val="top"/>
          </w:tcPr>
          <w:p w14:paraId="3F771D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0.106</w:t>
            </w:r>
          </w:p>
        </w:tc>
        <w:tc>
          <w:tcPr>
            <w:tcW w:w="1834" w:type="dxa"/>
            <w:noWrap w:val="0"/>
            <w:vAlign w:val="top"/>
          </w:tcPr>
          <w:p w14:paraId="3C6521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0.130</w:t>
            </w:r>
          </w:p>
        </w:tc>
        <w:tc>
          <w:tcPr>
            <w:tcW w:w="1834" w:type="dxa"/>
            <w:noWrap w:val="0"/>
            <w:vAlign w:val="top"/>
          </w:tcPr>
          <w:p w14:paraId="3E4D80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3.12</w:t>
            </w:r>
          </w:p>
        </w:tc>
        <w:tc>
          <w:tcPr>
            <w:tcW w:w="1836" w:type="dxa"/>
            <w:noWrap w:val="0"/>
            <w:vAlign w:val="top"/>
          </w:tcPr>
          <w:p w14:paraId="4D3C31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3.22</w:t>
            </w:r>
          </w:p>
        </w:tc>
      </w:tr>
      <w:tr w14:paraId="68F19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0FBFF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-25</w:t>
            </w:r>
          </w:p>
        </w:tc>
        <w:tc>
          <w:tcPr>
            <w:tcW w:w="1832" w:type="dxa"/>
            <w:noWrap w:val="0"/>
            <w:vAlign w:val="top"/>
          </w:tcPr>
          <w:p w14:paraId="03799E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0.106</w:t>
            </w:r>
          </w:p>
        </w:tc>
        <w:tc>
          <w:tcPr>
            <w:tcW w:w="1834" w:type="dxa"/>
            <w:noWrap w:val="0"/>
            <w:vAlign w:val="top"/>
          </w:tcPr>
          <w:p w14:paraId="4103CC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0.131</w:t>
            </w:r>
          </w:p>
        </w:tc>
        <w:tc>
          <w:tcPr>
            <w:tcW w:w="1834" w:type="dxa"/>
            <w:noWrap w:val="0"/>
            <w:vAlign w:val="top"/>
          </w:tcPr>
          <w:p w14:paraId="7D9700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3.35</w:t>
            </w:r>
          </w:p>
        </w:tc>
        <w:tc>
          <w:tcPr>
            <w:tcW w:w="1836" w:type="dxa"/>
            <w:noWrap w:val="0"/>
            <w:vAlign w:val="top"/>
          </w:tcPr>
          <w:p w14:paraId="5B9F2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3.46</w:t>
            </w:r>
          </w:p>
        </w:tc>
      </w:tr>
      <w:tr w14:paraId="5FC2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ABDB6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-24</w:t>
            </w:r>
          </w:p>
        </w:tc>
        <w:tc>
          <w:tcPr>
            <w:tcW w:w="1832" w:type="dxa"/>
            <w:noWrap w:val="0"/>
            <w:vAlign w:val="top"/>
          </w:tcPr>
          <w:p w14:paraId="2F72C8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0.105</w:t>
            </w:r>
          </w:p>
        </w:tc>
        <w:tc>
          <w:tcPr>
            <w:tcW w:w="1834" w:type="dxa"/>
            <w:noWrap w:val="0"/>
            <w:vAlign w:val="top"/>
          </w:tcPr>
          <w:p w14:paraId="6C356E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0.133</w:t>
            </w:r>
          </w:p>
        </w:tc>
        <w:tc>
          <w:tcPr>
            <w:tcW w:w="1834" w:type="dxa"/>
            <w:noWrap w:val="0"/>
            <w:vAlign w:val="top"/>
          </w:tcPr>
          <w:p w14:paraId="29CFAE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3.60</w:t>
            </w:r>
          </w:p>
        </w:tc>
        <w:tc>
          <w:tcPr>
            <w:tcW w:w="1836" w:type="dxa"/>
            <w:noWrap w:val="0"/>
            <w:vAlign w:val="top"/>
          </w:tcPr>
          <w:p w14:paraId="7F4DC5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3.73</w:t>
            </w:r>
          </w:p>
        </w:tc>
      </w:tr>
      <w:tr w14:paraId="62D51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3A6A0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-23</w:t>
            </w:r>
          </w:p>
        </w:tc>
        <w:tc>
          <w:tcPr>
            <w:tcW w:w="1832" w:type="dxa"/>
            <w:noWrap w:val="0"/>
            <w:vAlign w:val="top"/>
          </w:tcPr>
          <w:p w14:paraId="2910AA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0.103</w:t>
            </w:r>
          </w:p>
        </w:tc>
        <w:tc>
          <w:tcPr>
            <w:tcW w:w="1834" w:type="dxa"/>
            <w:noWrap w:val="0"/>
            <w:vAlign w:val="top"/>
          </w:tcPr>
          <w:p w14:paraId="0DEB2C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0.133</w:t>
            </w:r>
          </w:p>
        </w:tc>
        <w:tc>
          <w:tcPr>
            <w:tcW w:w="1834" w:type="dxa"/>
            <w:noWrap w:val="0"/>
            <w:vAlign w:val="top"/>
          </w:tcPr>
          <w:p w14:paraId="0FB2E1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3.87</w:t>
            </w:r>
          </w:p>
        </w:tc>
        <w:tc>
          <w:tcPr>
            <w:tcW w:w="1836" w:type="dxa"/>
            <w:noWrap w:val="0"/>
            <w:vAlign w:val="top"/>
          </w:tcPr>
          <w:p w14:paraId="5E46DA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4.03</w:t>
            </w:r>
          </w:p>
        </w:tc>
      </w:tr>
      <w:tr w14:paraId="20C53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AEA07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-22</w:t>
            </w:r>
          </w:p>
        </w:tc>
        <w:tc>
          <w:tcPr>
            <w:tcW w:w="1832" w:type="dxa"/>
            <w:noWrap w:val="0"/>
            <w:vAlign w:val="top"/>
          </w:tcPr>
          <w:p w14:paraId="468F19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0.102</w:t>
            </w:r>
          </w:p>
        </w:tc>
        <w:tc>
          <w:tcPr>
            <w:tcW w:w="1834" w:type="dxa"/>
            <w:noWrap w:val="0"/>
            <w:vAlign w:val="top"/>
          </w:tcPr>
          <w:p w14:paraId="0B8147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0.133</w:t>
            </w:r>
          </w:p>
        </w:tc>
        <w:tc>
          <w:tcPr>
            <w:tcW w:w="1834" w:type="dxa"/>
            <w:noWrap w:val="0"/>
            <w:vAlign w:val="top"/>
          </w:tcPr>
          <w:p w14:paraId="509840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4.18</w:t>
            </w:r>
          </w:p>
        </w:tc>
        <w:tc>
          <w:tcPr>
            <w:tcW w:w="1836" w:type="dxa"/>
            <w:noWrap w:val="0"/>
            <w:vAlign w:val="top"/>
          </w:tcPr>
          <w:p w14:paraId="75A702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4.36</w:t>
            </w:r>
          </w:p>
        </w:tc>
      </w:tr>
      <w:tr w14:paraId="03F0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6AFAF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-21</w:t>
            </w:r>
          </w:p>
        </w:tc>
        <w:tc>
          <w:tcPr>
            <w:tcW w:w="1832" w:type="dxa"/>
            <w:noWrap w:val="0"/>
            <w:vAlign w:val="top"/>
          </w:tcPr>
          <w:p w14:paraId="1AF73E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0.103</w:t>
            </w:r>
          </w:p>
        </w:tc>
        <w:tc>
          <w:tcPr>
            <w:tcW w:w="1834" w:type="dxa"/>
            <w:noWrap w:val="0"/>
            <w:vAlign w:val="top"/>
          </w:tcPr>
          <w:p w14:paraId="3306EC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0.133</w:t>
            </w:r>
          </w:p>
        </w:tc>
        <w:tc>
          <w:tcPr>
            <w:tcW w:w="1834" w:type="dxa"/>
            <w:noWrap w:val="0"/>
            <w:vAlign w:val="top"/>
          </w:tcPr>
          <w:p w14:paraId="697674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4.52</w:t>
            </w:r>
          </w:p>
        </w:tc>
        <w:tc>
          <w:tcPr>
            <w:tcW w:w="1836" w:type="dxa"/>
            <w:noWrap w:val="0"/>
            <w:vAlign w:val="top"/>
          </w:tcPr>
          <w:p w14:paraId="07CE60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4.73</w:t>
            </w:r>
          </w:p>
        </w:tc>
      </w:tr>
      <w:tr w14:paraId="79EC2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FD8F7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-20</w:t>
            </w:r>
          </w:p>
        </w:tc>
        <w:tc>
          <w:tcPr>
            <w:tcW w:w="1832" w:type="dxa"/>
            <w:noWrap w:val="0"/>
            <w:vAlign w:val="top"/>
          </w:tcPr>
          <w:p w14:paraId="4A2BE6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0.107</w:t>
            </w:r>
          </w:p>
        </w:tc>
        <w:tc>
          <w:tcPr>
            <w:tcW w:w="1834" w:type="dxa"/>
            <w:noWrap w:val="0"/>
            <w:vAlign w:val="top"/>
          </w:tcPr>
          <w:p w14:paraId="7FD0AB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0.135</w:t>
            </w:r>
          </w:p>
        </w:tc>
        <w:tc>
          <w:tcPr>
            <w:tcW w:w="1834" w:type="dxa"/>
            <w:noWrap w:val="0"/>
            <w:vAlign w:val="top"/>
          </w:tcPr>
          <w:p w14:paraId="463E6E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4.90</w:t>
            </w:r>
          </w:p>
        </w:tc>
        <w:tc>
          <w:tcPr>
            <w:tcW w:w="1836" w:type="dxa"/>
            <w:noWrap w:val="0"/>
            <w:vAlign w:val="top"/>
          </w:tcPr>
          <w:p w14:paraId="4C180A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5.15</w:t>
            </w:r>
          </w:p>
        </w:tc>
      </w:tr>
      <w:tr w14:paraId="4DDDF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25E77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-19</w:t>
            </w:r>
          </w:p>
        </w:tc>
        <w:tc>
          <w:tcPr>
            <w:tcW w:w="1832" w:type="dxa"/>
            <w:noWrap w:val="0"/>
            <w:vAlign w:val="top"/>
          </w:tcPr>
          <w:p w14:paraId="697F33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0.119</w:t>
            </w:r>
          </w:p>
        </w:tc>
        <w:tc>
          <w:tcPr>
            <w:tcW w:w="1834" w:type="dxa"/>
            <w:noWrap w:val="0"/>
            <w:vAlign w:val="top"/>
          </w:tcPr>
          <w:p w14:paraId="244A47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0.139</w:t>
            </w:r>
          </w:p>
        </w:tc>
        <w:tc>
          <w:tcPr>
            <w:tcW w:w="1834" w:type="dxa"/>
            <w:noWrap w:val="0"/>
            <w:vAlign w:val="top"/>
          </w:tcPr>
          <w:p w14:paraId="3FC305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5.32</w:t>
            </w:r>
          </w:p>
        </w:tc>
        <w:tc>
          <w:tcPr>
            <w:tcW w:w="1836" w:type="dxa"/>
            <w:noWrap w:val="0"/>
            <w:vAlign w:val="top"/>
          </w:tcPr>
          <w:p w14:paraId="205489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5.62</w:t>
            </w:r>
          </w:p>
        </w:tc>
      </w:tr>
      <w:tr w14:paraId="70997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88C38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-18</w:t>
            </w:r>
          </w:p>
        </w:tc>
        <w:tc>
          <w:tcPr>
            <w:tcW w:w="1832" w:type="dxa"/>
            <w:noWrap w:val="0"/>
            <w:vAlign w:val="top"/>
          </w:tcPr>
          <w:p w14:paraId="6C3B1F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0.142</w:t>
            </w:r>
          </w:p>
        </w:tc>
        <w:tc>
          <w:tcPr>
            <w:tcW w:w="1834" w:type="dxa"/>
            <w:noWrap w:val="0"/>
            <w:vAlign w:val="top"/>
          </w:tcPr>
          <w:p w14:paraId="29909D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0.151</w:t>
            </w:r>
          </w:p>
        </w:tc>
        <w:tc>
          <w:tcPr>
            <w:tcW w:w="1834" w:type="dxa"/>
            <w:noWrap w:val="0"/>
            <w:vAlign w:val="top"/>
          </w:tcPr>
          <w:p w14:paraId="0E86E6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5.80</w:t>
            </w:r>
          </w:p>
        </w:tc>
        <w:tc>
          <w:tcPr>
            <w:tcW w:w="1836" w:type="dxa"/>
            <w:noWrap w:val="0"/>
            <w:vAlign w:val="top"/>
          </w:tcPr>
          <w:p w14:paraId="3BB402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6.16</w:t>
            </w:r>
          </w:p>
        </w:tc>
      </w:tr>
      <w:tr w14:paraId="5BD5E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449DE9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-17</w:t>
            </w:r>
          </w:p>
        </w:tc>
        <w:tc>
          <w:tcPr>
            <w:tcW w:w="1832" w:type="dxa"/>
            <w:noWrap w:val="0"/>
            <w:vAlign w:val="top"/>
          </w:tcPr>
          <w:p w14:paraId="501617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0.180</w:t>
            </w:r>
          </w:p>
        </w:tc>
        <w:tc>
          <w:tcPr>
            <w:tcW w:w="1834" w:type="dxa"/>
            <w:noWrap w:val="0"/>
            <w:vAlign w:val="top"/>
          </w:tcPr>
          <w:p w14:paraId="52A1E1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0.175</w:t>
            </w:r>
          </w:p>
        </w:tc>
        <w:tc>
          <w:tcPr>
            <w:tcW w:w="1834" w:type="dxa"/>
            <w:noWrap w:val="0"/>
            <w:vAlign w:val="top"/>
          </w:tcPr>
          <w:p w14:paraId="44F983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6.33</w:t>
            </w:r>
          </w:p>
        </w:tc>
        <w:tc>
          <w:tcPr>
            <w:tcW w:w="1836" w:type="dxa"/>
            <w:noWrap w:val="0"/>
            <w:vAlign w:val="top"/>
          </w:tcPr>
          <w:p w14:paraId="23835F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6.76</w:t>
            </w:r>
          </w:p>
        </w:tc>
      </w:tr>
      <w:tr w14:paraId="1702B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B4E61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-16</w:t>
            </w:r>
          </w:p>
        </w:tc>
        <w:tc>
          <w:tcPr>
            <w:tcW w:w="1832" w:type="dxa"/>
            <w:noWrap w:val="0"/>
            <w:vAlign w:val="top"/>
          </w:tcPr>
          <w:p w14:paraId="0CC0C3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0.235</w:t>
            </w:r>
          </w:p>
        </w:tc>
        <w:tc>
          <w:tcPr>
            <w:tcW w:w="1834" w:type="dxa"/>
            <w:noWrap w:val="0"/>
            <w:vAlign w:val="top"/>
          </w:tcPr>
          <w:p w14:paraId="729F6D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0.218</w:t>
            </w:r>
          </w:p>
        </w:tc>
        <w:tc>
          <w:tcPr>
            <w:tcW w:w="1834" w:type="dxa"/>
            <w:noWrap w:val="0"/>
            <w:vAlign w:val="top"/>
          </w:tcPr>
          <w:p w14:paraId="370BAE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6.92</w:t>
            </w:r>
          </w:p>
        </w:tc>
        <w:tc>
          <w:tcPr>
            <w:tcW w:w="1836" w:type="dxa"/>
            <w:noWrap w:val="0"/>
            <w:vAlign w:val="top"/>
          </w:tcPr>
          <w:p w14:paraId="062492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7.45</w:t>
            </w:r>
          </w:p>
        </w:tc>
      </w:tr>
      <w:tr w14:paraId="68155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1A7D0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-15</w:t>
            </w:r>
          </w:p>
        </w:tc>
        <w:tc>
          <w:tcPr>
            <w:tcW w:w="1832" w:type="dxa"/>
            <w:noWrap w:val="0"/>
            <w:vAlign w:val="top"/>
          </w:tcPr>
          <w:p w14:paraId="791953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0.312</w:t>
            </w:r>
          </w:p>
        </w:tc>
        <w:tc>
          <w:tcPr>
            <w:tcW w:w="1834" w:type="dxa"/>
            <w:noWrap w:val="0"/>
            <w:vAlign w:val="top"/>
          </w:tcPr>
          <w:p w14:paraId="5EC13A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0.284</w:t>
            </w:r>
          </w:p>
        </w:tc>
        <w:tc>
          <w:tcPr>
            <w:tcW w:w="1834" w:type="dxa"/>
            <w:noWrap w:val="0"/>
            <w:vAlign w:val="top"/>
          </w:tcPr>
          <w:p w14:paraId="0C1984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7.59</w:t>
            </w:r>
          </w:p>
        </w:tc>
        <w:tc>
          <w:tcPr>
            <w:tcW w:w="1836" w:type="dxa"/>
            <w:noWrap w:val="0"/>
            <w:vAlign w:val="top"/>
          </w:tcPr>
          <w:p w14:paraId="75A3F0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8.24</w:t>
            </w:r>
          </w:p>
        </w:tc>
      </w:tr>
      <w:tr w14:paraId="3135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D0C8E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-14</w:t>
            </w:r>
          </w:p>
        </w:tc>
        <w:tc>
          <w:tcPr>
            <w:tcW w:w="1832" w:type="dxa"/>
            <w:noWrap w:val="0"/>
            <w:vAlign w:val="top"/>
          </w:tcPr>
          <w:p w14:paraId="4D0D44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0.414</w:t>
            </w:r>
          </w:p>
        </w:tc>
        <w:tc>
          <w:tcPr>
            <w:tcW w:w="1834" w:type="dxa"/>
            <w:noWrap w:val="0"/>
            <w:vAlign w:val="top"/>
          </w:tcPr>
          <w:p w14:paraId="48EEE0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0.381</w:t>
            </w:r>
          </w:p>
        </w:tc>
        <w:tc>
          <w:tcPr>
            <w:tcW w:w="1834" w:type="dxa"/>
            <w:noWrap w:val="0"/>
            <w:vAlign w:val="top"/>
          </w:tcPr>
          <w:p w14:paraId="3FC9CF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8.34</w:t>
            </w:r>
          </w:p>
        </w:tc>
        <w:tc>
          <w:tcPr>
            <w:tcW w:w="1836" w:type="dxa"/>
            <w:noWrap w:val="0"/>
            <w:vAlign w:val="top"/>
          </w:tcPr>
          <w:p w14:paraId="52D7FC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9.14</w:t>
            </w:r>
          </w:p>
        </w:tc>
      </w:tr>
      <w:tr w14:paraId="53A5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1B501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-13</w:t>
            </w:r>
          </w:p>
        </w:tc>
        <w:tc>
          <w:tcPr>
            <w:tcW w:w="1832" w:type="dxa"/>
            <w:noWrap w:val="0"/>
            <w:vAlign w:val="top"/>
          </w:tcPr>
          <w:p w14:paraId="4E2306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0.546</w:t>
            </w:r>
          </w:p>
        </w:tc>
        <w:tc>
          <w:tcPr>
            <w:tcW w:w="1834" w:type="dxa"/>
            <w:noWrap w:val="0"/>
            <w:vAlign w:val="top"/>
          </w:tcPr>
          <w:p w14:paraId="3F3B2D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0.516</w:t>
            </w:r>
          </w:p>
        </w:tc>
        <w:tc>
          <w:tcPr>
            <w:tcW w:w="1834" w:type="dxa"/>
            <w:noWrap w:val="0"/>
            <w:vAlign w:val="top"/>
          </w:tcPr>
          <w:p w14:paraId="5D98E8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9.16</w:t>
            </w:r>
          </w:p>
        </w:tc>
        <w:tc>
          <w:tcPr>
            <w:tcW w:w="1836" w:type="dxa"/>
            <w:noWrap w:val="0"/>
            <w:vAlign w:val="top"/>
          </w:tcPr>
          <w:p w14:paraId="306BAC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10.17</w:t>
            </w:r>
          </w:p>
        </w:tc>
      </w:tr>
      <w:tr w14:paraId="72527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665FD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-12</w:t>
            </w:r>
          </w:p>
        </w:tc>
        <w:tc>
          <w:tcPr>
            <w:tcW w:w="1832" w:type="dxa"/>
            <w:noWrap w:val="0"/>
            <w:vAlign w:val="top"/>
          </w:tcPr>
          <w:p w14:paraId="0117AA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0.713</w:t>
            </w:r>
          </w:p>
        </w:tc>
        <w:tc>
          <w:tcPr>
            <w:tcW w:w="1834" w:type="dxa"/>
            <w:noWrap w:val="0"/>
            <w:vAlign w:val="top"/>
          </w:tcPr>
          <w:p w14:paraId="6B823A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0.698</w:t>
            </w:r>
          </w:p>
        </w:tc>
        <w:tc>
          <w:tcPr>
            <w:tcW w:w="1834" w:type="dxa"/>
            <w:noWrap w:val="0"/>
            <w:vAlign w:val="top"/>
          </w:tcPr>
          <w:p w14:paraId="1A9855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10.07</w:t>
            </w:r>
          </w:p>
        </w:tc>
        <w:tc>
          <w:tcPr>
            <w:tcW w:w="1836" w:type="dxa"/>
            <w:noWrap w:val="0"/>
            <w:vAlign w:val="top"/>
          </w:tcPr>
          <w:p w14:paraId="0AD0E5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11.34</w:t>
            </w:r>
          </w:p>
        </w:tc>
      </w:tr>
      <w:tr w14:paraId="5EFE2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D36D0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-11</w:t>
            </w:r>
          </w:p>
        </w:tc>
        <w:tc>
          <w:tcPr>
            <w:tcW w:w="1832" w:type="dxa"/>
            <w:noWrap w:val="0"/>
            <w:vAlign w:val="top"/>
          </w:tcPr>
          <w:p w14:paraId="777270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0.919</w:t>
            </w:r>
          </w:p>
        </w:tc>
        <w:tc>
          <w:tcPr>
            <w:tcW w:w="1834" w:type="dxa"/>
            <w:noWrap w:val="0"/>
            <w:vAlign w:val="top"/>
          </w:tcPr>
          <w:p w14:paraId="4DA6E3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0.937</w:t>
            </w:r>
          </w:p>
        </w:tc>
        <w:tc>
          <w:tcPr>
            <w:tcW w:w="1834" w:type="dxa"/>
            <w:noWrap w:val="0"/>
            <w:vAlign w:val="top"/>
          </w:tcPr>
          <w:p w14:paraId="366D0B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11.04</w:t>
            </w:r>
          </w:p>
        </w:tc>
        <w:tc>
          <w:tcPr>
            <w:tcW w:w="1836" w:type="dxa"/>
            <w:noWrap w:val="0"/>
            <w:vAlign w:val="top"/>
          </w:tcPr>
          <w:p w14:paraId="46E13D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12.65</w:t>
            </w:r>
          </w:p>
        </w:tc>
      </w:tr>
      <w:tr w14:paraId="0F0ED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D7382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-10</w:t>
            </w:r>
          </w:p>
        </w:tc>
        <w:tc>
          <w:tcPr>
            <w:tcW w:w="1832" w:type="dxa"/>
            <w:noWrap w:val="0"/>
            <w:vAlign w:val="top"/>
          </w:tcPr>
          <w:p w14:paraId="5C4FDD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1.163</w:t>
            </w:r>
          </w:p>
        </w:tc>
        <w:tc>
          <w:tcPr>
            <w:tcW w:w="1834" w:type="dxa"/>
            <w:noWrap w:val="0"/>
            <w:vAlign w:val="top"/>
          </w:tcPr>
          <w:p w14:paraId="3B38E2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1.240</w:t>
            </w:r>
          </w:p>
        </w:tc>
        <w:tc>
          <w:tcPr>
            <w:tcW w:w="1834" w:type="dxa"/>
            <w:noWrap w:val="0"/>
            <w:vAlign w:val="top"/>
          </w:tcPr>
          <w:p w14:paraId="56543E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12.03</w:t>
            </w:r>
          </w:p>
        </w:tc>
        <w:tc>
          <w:tcPr>
            <w:tcW w:w="1836" w:type="dxa"/>
            <w:noWrap w:val="0"/>
            <w:vAlign w:val="top"/>
          </w:tcPr>
          <w:p w14:paraId="127A3D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14.06</w:t>
            </w:r>
          </w:p>
        </w:tc>
      </w:tr>
      <w:tr w14:paraId="61E68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D6746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-9</w:t>
            </w:r>
          </w:p>
        </w:tc>
        <w:tc>
          <w:tcPr>
            <w:tcW w:w="1832" w:type="dxa"/>
            <w:noWrap w:val="0"/>
            <w:vAlign w:val="top"/>
          </w:tcPr>
          <w:p w14:paraId="1E9FEE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1.438</w:t>
            </w:r>
          </w:p>
        </w:tc>
        <w:tc>
          <w:tcPr>
            <w:tcW w:w="1834" w:type="dxa"/>
            <w:noWrap w:val="0"/>
            <w:vAlign w:val="top"/>
          </w:tcPr>
          <w:p w14:paraId="5A5469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1.604</w:t>
            </w:r>
          </w:p>
        </w:tc>
        <w:tc>
          <w:tcPr>
            <w:tcW w:w="1834" w:type="dxa"/>
            <w:noWrap w:val="0"/>
            <w:vAlign w:val="top"/>
          </w:tcPr>
          <w:p w14:paraId="16A81C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12.98</w:t>
            </w:r>
          </w:p>
        </w:tc>
        <w:tc>
          <w:tcPr>
            <w:tcW w:w="1836" w:type="dxa"/>
            <w:noWrap w:val="0"/>
            <w:vAlign w:val="top"/>
          </w:tcPr>
          <w:p w14:paraId="19C6F8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15.52</w:t>
            </w:r>
          </w:p>
        </w:tc>
      </w:tr>
      <w:tr w14:paraId="5B8EB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C7D81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-8</w:t>
            </w:r>
          </w:p>
        </w:tc>
        <w:tc>
          <w:tcPr>
            <w:tcW w:w="1832" w:type="dxa"/>
            <w:noWrap w:val="0"/>
            <w:vAlign w:val="top"/>
          </w:tcPr>
          <w:p w14:paraId="5C0ED0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1.720</w:t>
            </w:r>
          </w:p>
        </w:tc>
        <w:tc>
          <w:tcPr>
            <w:tcW w:w="1834" w:type="dxa"/>
            <w:noWrap w:val="0"/>
            <w:vAlign w:val="top"/>
          </w:tcPr>
          <w:p w14:paraId="4DF480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2.003</w:t>
            </w:r>
          </w:p>
        </w:tc>
        <w:tc>
          <w:tcPr>
            <w:tcW w:w="1834" w:type="dxa"/>
            <w:noWrap w:val="0"/>
            <w:vAlign w:val="top"/>
          </w:tcPr>
          <w:p w14:paraId="1AD298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13.75</w:t>
            </w:r>
          </w:p>
        </w:tc>
        <w:tc>
          <w:tcPr>
            <w:tcW w:w="1836" w:type="dxa"/>
            <w:noWrap w:val="0"/>
            <w:vAlign w:val="top"/>
          </w:tcPr>
          <w:p w14:paraId="316794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16.82</w:t>
            </w:r>
          </w:p>
        </w:tc>
      </w:tr>
      <w:tr w14:paraId="2CFC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CFE76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-7</w:t>
            </w:r>
          </w:p>
        </w:tc>
        <w:tc>
          <w:tcPr>
            <w:tcW w:w="1832" w:type="dxa"/>
            <w:noWrap w:val="0"/>
            <w:vAlign w:val="top"/>
          </w:tcPr>
          <w:p w14:paraId="637D69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1.972</w:t>
            </w:r>
          </w:p>
        </w:tc>
        <w:tc>
          <w:tcPr>
            <w:tcW w:w="1834" w:type="dxa"/>
            <w:noWrap w:val="0"/>
            <w:vAlign w:val="top"/>
          </w:tcPr>
          <w:p w14:paraId="57761D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2.377</w:t>
            </w:r>
          </w:p>
        </w:tc>
        <w:tc>
          <w:tcPr>
            <w:tcW w:w="1834" w:type="dxa"/>
            <w:noWrap w:val="0"/>
            <w:vAlign w:val="top"/>
          </w:tcPr>
          <w:p w14:paraId="076181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14.18</w:t>
            </w:r>
          </w:p>
        </w:tc>
        <w:tc>
          <w:tcPr>
            <w:tcW w:w="1836" w:type="dxa"/>
            <w:noWrap w:val="0"/>
            <w:vAlign w:val="top"/>
          </w:tcPr>
          <w:p w14:paraId="30D891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17.66</w:t>
            </w:r>
          </w:p>
        </w:tc>
      </w:tr>
      <w:tr w14:paraId="07E5D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EB88B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-6</w:t>
            </w:r>
          </w:p>
        </w:tc>
        <w:tc>
          <w:tcPr>
            <w:tcW w:w="1832" w:type="dxa"/>
            <w:noWrap w:val="0"/>
            <w:vAlign w:val="top"/>
          </w:tcPr>
          <w:p w14:paraId="35C6EB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2.151</w:t>
            </w:r>
          </w:p>
        </w:tc>
        <w:tc>
          <w:tcPr>
            <w:tcW w:w="1834" w:type="dxa"/>
            <w:noWrap w:val="0"/>
            <w:vAlign w:val="top"/>
          </w:tcPr>
          <w:p w14:paraId="5DCE03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2.637</w:t>
            </w:r>
          </w:p>
        </w:tc>
        <w:tc>
          <w:tcPr>
            <w:tcW w:w="1834" w:type="dxa"/>
            <w:noWrap w:val="0"/>
            <w:vAlign w:val="top"/>
          </w:tcPr>
          <w:p w14:paraId="626329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14.12</w:t>
            </w:r>
          </w:p>
        </w:tc>
        <w:tc>
          <w:tcPr>
            <w:tcW w:w="1836" w:type="dxa"/>
            <w:noWrap w:val="0"/>
            <w:vAlign w:val="top"/>
          </w:tcPr>
          <w:p w14:paraId="6FF111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17.64</w:t>
            </w:r>
          </w:p>
        </w:tc>
      </w:tr>
      <w:tr w14:paraId="4545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CFA5C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-5</w:t>
            </w:r>
          </w:p>
        </w:tc>
        <w:tc>
          <w:tcPr>
            <w:tcW w:w="1832" w:type="dxa"/>
            <w:noWrap w:val="0"/>
            <w:vAlign w:val="top"/>
          </w:tcPr>
          <w:p w14:paraId="588B64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2.226</w:t>
            </w:r>
          </w:p>
        </w:tc>
        <w:tc>
          <w:tcPr>
            <w:tcW w:w="1834" w:type="dxa"/>
            <w:noWrap w:val="0"/>
            <w:vAlign w:val="top"/>
          </w:tcPr>
          <w:p w14:paraId="20ADCC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2.707</w:t>
            </w:r>
          </w:p>
        </w:tc>
        <w:tc>
          <w:tcPr>
            <w:tcW w:w="1834" w:type="dxa"/>
            <w:noWrap w:val="0"/>
            <w:vAlign w:val="top"/>
          </w:tcPr>
          <w:p w14:paraId="765D01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13.49</w:t>
            </w:r>
          </w:p>
        </w:tc>
        <w:tc>
          <w:tcPr>
            <w:tcW w:w="1836" w:type="dxa"/>
            <w:noWrap w:val="0"/>
            <w:vAlign w:val="top"/>
          </w:tcPr>
          <w:p w14:paraId="5F9400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16.54</w:t>
            </w:r>
          </w:p>
        </w:tc>
      </w:tr>
      <w:tr w14:paraId="50F91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74D95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-4</w:t>
            </w:r>
          </w:p>
        </w:tc>
        <w:tc>
          <w:tcPr>
            <w:tcW w:w="1832" w:type="dxa"/>
            <w:noWrap w:val="0"/>
            <w:vAlign w:val="top"/>
          </w:tcPr>
          <w:p w14:paraId="2EE1CE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2.198</w:t>
            </w:r>
          </w:p>
        </w:tc>
        <w:tc>
          <w:tcPr>
            <w:tcW w:w="1834" w:type="dxa"/>
            <w:noWrap w:val="0"/>
            <w:vAlign w:val="top"/>
          </w:tcPr>
          <w:p w14:paraId="6D5903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2.592</w:t>
            </w:r>
          </w:p>
        </w:tc>
        <w:tc>
          <w:tcPr>
            <w:tcW w:w="1834" w:type="dxa"/>
            <w:noWrap w:val="0"/>
            <w:vAlign w:val="top"/>
          </w:tcPr>
          <w:p w14:paraId="61FA40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12.40</w:t>
            </w:r>
          </w:p>
        </w:tc>
        <w:tc>
          <w:tcPr>
            <w:tcW w:w="1836" w:type="dxa"/>
            <w:noWrap w:val="0"/>
            <w:vAlign w:val="top"/>
          </w:tcPr>
          <w:p w14:paraId="0CC76A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14.54</w:t>
            </w:r>
          </w:p>
        </w:tc>
      </w:tr>
      <w:tr w14:paraId="6D85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8E895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w:t>
            </w:r>
          </w:p>
        </w:tc>
        <w:tc>
          <w:tcPr>
            <w:tcW w:w="1832" w:type="dxa"/>
            <w:noWrap w:val="0"/>
            <w:vAlign w:val="top"/>
          </w:tcPr>
          <w:p w14:paraId="2E2B28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2.108</w:t>
            </w:r>
          </w:p>
        </w:tc>
        <w:tc>
          <w:tcPr>
            <w:tcW w:w="1834" w:type="dxa"/>
            <w:noWrap w:val="0"/>
            <w:vAlign w:val="top"/>
          </w:tcPr>
          <w:p w14:paraId="504454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2.375</w:t>
            </w:r>
          </w:p>
        </w:tc>
        <w:tc>
          <w:tcPr>
            <w:tcW w:w="1834" w:type="dxa"/>
            <w:noWrap w:val="0"/>
            <w:vAlign w:val="top"/>
          </w:tcPr>
          <w:p w14:paraId="24CE71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11.11</w:t>
            </w:r>
          </w:p>
        </w:tc>
        <w:tc>
          <w:tcPr>
            <w:tcW w:w="1836" w:type="dxa"/>
            <w:noWrap w:val="0"/>
            <w:vAlign w:val="top"/>
          </w:tcPr>
          <w:p w14:paraId="5B5613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12.15</w:t>
            </w:r>
          </w:p>
        </w:tc>
      </w:tr>
      <w:tr w14:paraId="2AEB0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7BBBE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w:t>
            </w:r>
          </w:p>
        </w:tc>
        <w:tc>
          <w:tcPr>
            <w:tcW w:w="1832" w:type="dxa"/>
            <w:noWrap w:val="0"/>
            <w:vAlign w:val="top"/>
          </w:tcPr>
          <w:p w14:paraId="22FF89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2.008</w:t>
            </w:r>
          </w:p>
        </w:tc>
        <w:tc>
          <w:tcPr>
            <w:tcW w:w="1834" w:type="dxa"/>
            <w:noWrap w:val="0"/>
            <w:vAlign w:val="top"/>
          </w:tcPr>
          <w:p w14:paraId="680E30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2.162</w:t>
            </w:r>
          </w:p>
        </w:tc>
        <w:tc>
          <w:tcPr>
            <w:tcW w:w="1834" w:type="dxa"/>
            <w:noWrap w:val="0"/>
            <w:vAlign w:val="top"/>
          </w:tcPr>
          <w:p w14:paraId="036A16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9.97</w:t>
            </w:r>
          </w:p>
        </w:tc>
        <w:tc>
          <w:tcPr>
            <w:tcW w:w="1836" w:type="dxa"/>
            <w:noWrap w:val="0"/>
            <w:vAlign w:val="top"/>
          </w:tcPr>
          <w:p w14:paraId="7301A8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9.98</w:t>
            </w:r>
          </w:p>
        </w:tc>
      </w:tr>
      <w:tr w14:paraId="2B740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4BFCD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w:t>
            </w:r>
          </w:p>
        </w:tc>
        <w:tc>
          <w:tcPr>
            <w:tcW w:w="1832" w:type="dxa"/>
            <w:noWrap w:val="0"/>
            <w:vAlign w:val="top"/>
          </w:tcPr>
          <w:p w14:paraId="05A18E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1.945</w:t>
            </w:r>
          </w:p>
        </w:tc>
        <w:tc>
          <w:tcPr>
            <w:tcW w:w="1834" w:type="dxa"/>
            <w:noWrap w:val="0"/>
            <w:vAlign w:val="top"/>
          </w:tcPr>
          <w:p w14:paraId="15F946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2.036</w:t>
            </w:r>
          </w:p>
        </w:tc>
        <w:tc>
          <w:tcPr>
            <w:tcW w:w="1834" w:type="dxa"/>
            <w:noWrap w:val="0"/>
            <w:vAlign w:val="top"/>
          </w:tcPr>
          <w:p w14:paraId="576CD7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9.28</w:t>
            </w:r>
          </w:p>
        </w:tc>
        <w:tc>
          <w:tcPr>
            <w:tcW w:w="1836" w:type="dxa"/>
            <w:noWrap w:val="0"/>
            <w:vAlign w:val="top"/>
          </w:tcPr>
          <w:p w14:paraId="516C33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8.65</w:t>
            </w:r>
          </w:p>
        </w:tc>
      </w:tr>
      <w:tr w14:paraId="7185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8E1FE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0</w:t>
            </w:r>
          </w:p>
        </w:tc>
        <w:tc>
          <w:tcPr>
            <w:tcW w:w="1832" w:type="dxa"/>
            <w:noWrap w:val="0"/>
            <w:vAlign w:val="top"/>
          </w:tcPr>
          <w:p w14:paraId="1DB9D1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1.945</w:t>
            </w:r>
          </w:p>
        </w:tc>
        <w:tc>
          <w:tcPr>
            <w:tcW w:w="1834" w:type="dxa"/>
            <w:noWrap w:val="0"/>
            <w:vAlign w:val="top"/>
          </w:tcPr>
          <w:p w14:paraId="263CC0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2.036</w:t>
            </w:r>
          </w:p>
        </w:tc>
        <w:tc>
          <w:tcPr>
            <w:tcW w:w="1834" w:type="dxa"/>
            <w:noWrap w:val="0"/>
            <w:vAlign w:val="top"/>
          </w:tcPr>
          <w:p w14:paraId="0DD4A4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9.28</w:t>
            </w:r>
          </w:p>
        </w:tc>
        <w:tc>
          <w:tcPr>
            <w:tcW w:w="1836" w:type="dxa"/>
            <w:noWrap w:val="0"/>
            <w:vAlign w:val="top"/>
          </w:tcPr>
          <w:p w14:paraId="2BD53D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8.65</w:t>
            </w:r>
          </w:p>
        </w:tc>
      </w:tr>
      <w:tr w14:paraId="3F5F2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9DE03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w:t>
            </w:r>
          </w:p>
        </w:tc>
        <w:tc>
          <w:tcPr>
            <w:tcW w:w="1832" w:type="dxa"/>
            <w:noWrap w:val="0"/>
            <w:vAlign w:val="top"/>
          </w:tcPr>
          <w:p w14:paraId="7875AA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2.008</w:t>
            </w:r>
          </w:p>
        </w:tc>
        <w:tc>
          <w:tcPr>
            <w:tcW w:w="1834" w:type="dxa"/>
            <w:noWrap w:val="0"/>
            <w:vAlign w:val="top"/>
          </w:tcPr>
          <w:p w14:paraId="4DA942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2.162</w:t>
            </w:r>
          </w:p>
        </w:tc>
        <w:tc>
          <w:tcPr>
            <w:tcW w:w="1834" w:type="dxa"/>
            <w:noWrap w:val="0"/>
            <w:vAlign w:val="top"/>
          </w:tcPr>
          <w:p w14:paraId="1C1218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9.97</w:t>
            </w:r>
          </w:p>
        </w:tc>
        <w:tc>
          <w:tcPr>
            <w:tcW w:w="1836" w:type="dxa"/>
            <w:noWrap w:val="0"/>
            <w:vAlign w:val="top"/>
          </w:tcPr>
          <w:p w14:paraId="4FCC2B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9.98</w:t>
            </w:r>
          </w:p>
        </w:tc>
      </w:tr>
      <w:tr w14:paraId="3453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FA36C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w:t>
            </w:r>
          </w:p>
        </w:tc>
        <w:tc>
          <w:tcPr>
            <w:tcW w:w="1832" w:type="dxa"/>
            <w:noWrap w:val="0"/>
            <w:vAlign w:val="top"/>
          </w:tcPr>
          <w:p w14:paraId="1B95F0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2.108</w:t>
            </w:r>
          </w:p>
        </w:tc>
        <w:tc>
          <w:tcPr>
            <w:tcW w:w="1834" w:type="dxa"/>
            <w:noWrap w:val="0"/>
            <w:vAlign w:val="top"/>
          </w:tcPr>
          <w:p w14:paraId="015931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2.375</w:t>
            </w:r>
          </w:p>
        </w:tc>
        <w:tc>
          <w:tcPr>
            <w:tcW w:w="1834" w:type="dxa"/>
            <w:noWrap w:val="0"/>
            <w:vAlign w:val="top"/>
          </w:tcPr>
          <w:p w14:paraId="5C18FF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11.11</w:t>
            </w:r>
          </w:p>
        </w:tc>
        <w:tc>
          <w:tcPr>
            <w:tcW w:w="1836" w:type="dxa"/>
            <w:noWrap w:val="0"/>
            <w:vAlign w:val="top"/>
          </w:tcPr>
          <w:p w14:paraId="3146CA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12.15</w:t>
            </w:r>
          </w:p>
        </w:tc>
      </w:tr>
      <w:tr w14:paraId="04C78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9FA50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w:t>
            </w:r>
          </w:p>
        </w:tc>
        <w:tc>
          <w:tcPr>
            <w:tcW w:w="1832" w:type="dxa"/>
            <w:noWrap w:val="0"/>
            <w:vAlign w:val="top"/>
          </w:tcPr>
          <w:p w14:paraId="7CA2FD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2.198</w:t>
            </w:r>
          </w:p>
        </w:tc>
        <w:tc>
          <w:tcPr>
            <w:tcW w:w="1834" w:type="dxa"/>
            <w:noWrap w:val="0"/>
            <w:vAlign w:val="top"/>
          </w:tcPr>
          <w:p w14:paraId="571261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2.592</w:t>
            </w:r>
          </w:p>
        </w:tc>
        <w:tc>
          <w:tcPr>
            <w:tcW w:w="1834" w:type="dxa"/>
            <w:noWrap w:val="0"/>
            <w:vAlign w:val="top"/>
          </w:tcPr>
          <w:p w14:paraId="30C631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12.40</w:t>
            </w:r>
          </w:p>
        </w:tc>
        <w:tc>
          <w:tcPr>
            <w:tcW w:w="1836" w:type="dxa"/>
            <w:noWrap w:val="0"/>
            <w:vAlign w:val="top"/>
          </w:tcPr>
          <w:p w14:paraId="1AF77B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14.54</w:t>
            </w:r>
          </w:p>
        </w:tc>
      </w:tr>
      <w:tr w14:paraId="01D13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584B9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4</w:t>
            </w:r>
          </w:p>
        </w:tc>
        <w:tc>
          <w:tcPr>
            <w:tcW w:w="1832" w:type="dxa"/>
            <w:noWrap w:val="0"/>
            <w:vAlign w:val="top"/>
          </w:tcPr>
          <w:p w14:paraId="70C603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2.226</w:t>
            </w:r>
          </w:p>
        </w:tc>
        <w:tc>
          <w:tcPr>
            <w:tcW w:w="1834" w:type="dxa"/>
            <w:noWrap w:val="0"/>
            <w:vAlign w:val="top"/>
          </w:tcPr>
          <w:p w14:paraId="2AC3C9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2.707</w:t>
            </w:r>
          </w:p>
        </w:tc>
        <w:tc>
          <w:tcPr>
            <w:tcW w:w="1834" w:type="dxa"/>
            <w:noWrap w:val="0"/>
            <w:vAlign w:val="top"/>
          </w:tcPr>
          <w:p w14:paraId="275843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13.49</w:t>
            </w:r>
          </w:p>
        </w:tc>
        <w:tc>
          <w:tcPr>
            <w:tcW w:w="1836" w:type="dxa"/>
            <w:noWrap w:val="0"/>
            <w:vAlign w:val="top"/>
          </w:tcPr>
          <w:p w14:paraId="4F1DD9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16.54</w:t>
            </w:r>
          </w:p>
        </w:tc>
      </w:tr>
      <w:tr w14:paraId="4804D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BE149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5</w:t>
            </w:r>
          </w:p>
        </w:tc>
        <w:tc>
          <w:tcPr>
            <w:tcW w:w="1832" w:type="dxa"/>
            <w:noWrap w:val="0"/>
            <w:vAlign w:val="top"/>
          </w:tcPr>
          <w:p w14:paraId="316196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2.151</w:t>
            </w:r>
          </w:p>
        </w:tc>
        <w:tc>
          <w:tcPr>
            <w:tcW w:w="1834" w:type="dxa"/>
            <w:noWrap w:val="0"/>
            <w:vAlign w:val="top"/>
          </w:tcPr>
          <w:p w14:paraId="54FE84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2.637</w:t>
            </w:r>
          </w:p>
        </w:tc>
        <w:tc>
          <w:tcPr>
            <w:tcW w:w="1834" w:type="dxa"/>
            <w:noWrap w:val="0"/>
            <w:vAlign w:val="top"/>
          </w:tcPr>
          <w:p w14:paraId="4B16D2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14.12</w:t>
            </w:r>
          </w:p>
        </w:tc>
        <w:tc>
          <w:tcPr>
            <w:tcW w:w="1836" w:type="dxa"/>
            <w:noWrap w:val="0"/>
            <w:vAlign w:val="top"/>
          </w:tcPr>
          <w:p w14:paraId="755CF5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17.64</w:t>
            </w:r>
          </w:p>
        </w:tc>
      </w:tr>
      <w:tr w14:paraId="2AEB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BC269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6</w:t>
            </w:r>
          </w:p>
        </w:tc>
        <w:tc>
          <w:tcPr>
            <w:tcW w:w="1832" w:type="dxa"/>
            <w:noWrap w:val="0"/>
            <w:vAlign w:val="top"/>
          </w:tcPr>
          <w:p w14:paraId="5F00DE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1.972</w:t>
            </w:r>
          </w:p>
        </w:tc>
        <w:tc>
          <w:tcPr>
            <w:tcW w:w="1834" w:type="dxa"/>
            <w:noWrap w:val="0"/>
            <w:vAlign w:val="top"/>
          </w:tcPr>
          <w:p w14:paraId="66AF24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2.377</w:t>
            </w:r>
          </w:p>
        </w:tc>
        <w:tc>
          <w:tcPr>
            <w:tcW w:w="1834" w:type="dxa"/>
            <w:noWrap w:val="0"/>
            <w:vAlign w:val="top"/>
          </w:tcPr>
          <w:p w14:paraId="39927E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14.18</w:t>
            </w:r>
          </w:p>
        </w:tc>
        <w:tc>
          <w:tcPr>
            <w:tcW w:w="1836" w:type="dxa"/>
            <w:noWrap w:val="0"/>
            <w:vAlign w:val="top"/>
          </w:tcPr>
          <w:p w14:paraId="1A9425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17.66</w:t>
            </w:r>
          </w:p>
        </w:tc>
      </w:tr>
      <w:tr w14:paraId="6D52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DE834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7</w:t>
            </w:r>
          </w:p>
        </w:tc>
        <w:tc>
          <w:tcPr>
            <w:tcW w:w="1832" w:type="dxa"/>
            <w:noWrap w:val="0"/>
            <w:vAlign w:val="top"/>
          </w:tcPr>
          <w:p w14:paraId="4A124E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1.720</w:t>
            </w:r>
          </w:p>
        </w:tc>
        <w:tc>
          <w:tcPr>
            <w:tcW w:w="1834" w:type="dxa"/>
            <w:noWrap w:val="0"/>
            <w:vAlign w:val="top"/>
          </w:tcPr>
          <w:p w14:paraId="1E9122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2.003</w:t>
            </w:r>
          </w:p>
        </w:tc>
        <w:tc>
          <w:tcPr>
            <w:tcW w:w="1834" w:type="dxa"/>
            <w:noWrap w:val="0"/>
            <w:vAlign w:val="top"/>
          </w:tcPr>
          <w:p w14:paraId="3F6595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13.75</w:t>
            </w:r>
          </w:p>
        </w:tc>
        <w:tc>
          <w:tcPr>
            <w:tcW w:w="1836" w:type="dxa"/>
            <w:noWrap w:val="0"/>
            <w:vAlign w:val="top"/>
          </w:tcPr>
          <w:p w14:paraId="6A7E03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16.82</w:t>
            </w:r>
          </w:p>
        </w:tc>
      </w:tr>
      <w:tr w14:paraId="0081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1791D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8</w:t>
            </w:r>
          </w:p>
        </w:tc>
        <w:tc>
          <w:tcPr>
            <w:tcW w:w="1832" w:type="dxa"/>
            <w:noWrap w:val="0"/>
            <w:vAlign w:val="top"/>
          </w:tcPr>
          <w:p w14:paraId="48C2CD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1.438</w:t>
            </w:r>
          </w:p>
        </w:tc>
        <w:tc>
          <w:tcPr>
            <w:tcW w:w="1834" w:type="dxa"/>
            <w:noWrap w:val="0"/>
            <w:vAlign w:val="top"/>
          </w:tcPr>
          <w:p w14:paraId="0BC07A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1.604</w:t>
            </w:r>
          </w:p>
        </w:tc>
        <w:tc>
          <w:tcPr>
            <w:tcW w:w="1834" w:type="dxa"/>
            <w:noWrap w:val="0"/>
            <w:vAlign w:val="top"/>
          </w:tcPr>
          <w:p w14:paraId="76BDB2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12.98</w:t>
            </w:r>
          </w:p>
        </w:tc>
        <w:tc>
          <w:tcPr>
            <w:tcW w:w="1836" w:type="dxa"/>
            <w:noWrap w:val="0"/>
            <w:vAlign w:val="top"/>
          </w:tcPr>
          <w:p w14:paraId="4C879C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15.52</w:t>
            </w:r>
          </w:p>
        </w:tc>
      </w:tr>
      <w:tr w14:paraId="4C7B1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CF0D7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9</w:t>
            </w:r>
          </w:p>
        </w:tc>
        <w:tc>
          <w:tcPr>
            <w:tcW w:w="1832" w:type="dxa"/>
            <w:noWrap w:val="0"/>
            <w:vAlign w:val="top"/>
          </w:tcPr>
          <w:p w14:paraId="7E0461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1.163</w:t>
            </w:r>
          </w:p>
        </w:tc>
        <w:tc>
          <w:tcPr>
            <w:tcW w:w="1834" w:type="dxa"/>
            <w:noWrap w:val="0"/>
            <w:vAlign w:val="top"/>
          </w:tcPr>
          <w:p w14:paraId="6690A7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1.240</w:t>
            </w:r>
          </w:p>
        </w:tc>
        <w:tc>
          <w:tcPr>
            <w:tcW w:w="1834" w:type="dxa"/>
            <w:noWrap w:val="0"/>
            <w:vAlign w:val="top"/>
          </w:tcPr>
          <w:p w14:paraId="572A5D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12.03</w:t>
            </w:r>
          </w:p>
        </w:tc>
        <w:tc>
          <w:tcPr>
            <w:tcW w:w="1836" w:type="dxa"/>
            <w:noWrap w:val="0"/>
            <w:vAlign w:val="top"/>
          </w:tcPr>
          <w:p w14:paraId="0F30C6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14.06</w:t>
            </w:r>
          </w:p>
        </w:tc>
      </w:tr>
      <w:tr w14:paraId="3E4A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B36D3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10</w:t>
            </w:r>
          </w:p>
        </w:tc>
        <w:tc>
          <w:tcPr>
            <w:tcW w:w="1832" w:type="dxa"/>
            <w:noWrap w:val="0"/>
            <w:vAlign w:val="top"/>
          </w:tcPr>
          <w:p w14:paraId="56930D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0.919</w:t>
            </w:r>
          </w:p>
        </w:tc>
        <w:tc>
          <w:tcPr>
            <w:tcW w:w="1834" w:type="dxa"/>
            <w:noWrap w:val="0"/>
            <w:vAlign w:val="top"/>
          </w:tcPr>
          <w:p w14:paraId="287C0C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0.937</w:t>
            </w:r>
          </w:p>
        </w:tc>
        <w:tc>
          <w:tcPr>
            <w:tcW w:w="1834" w:type="dxa"/>
            <w:noWrap w:val="0"/>
            <w:vAlign w:val="top"/>
          </w:tcPr>
          <w:p w14:paraId="01481D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11.04</w:t>
            </w:r>
          </w:p>
        </w:tc>
        <w:tc>
          <w:tcPr>
            <w:tcW w:w="1836" w:type="dxa"/>
            <w:noWrap w:val="0"/>
            <w:vAlign w:val="top"/>
          </w:tcPr>
          <w:p w14:paraId="101A73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12.65</w:t>
            </w:r>
          </w:p>
        </w:tc>
      </w:tr>
      <w:tr w14:paraId="7EAA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E12D3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11</w:t>
            </w:r>
          </w:p>
        </w:tc>
        <w:tc>
          <w:tcPr>
            <w:tcW w:w="1832" w:type="dxa"/>
            <w:noWrap w:val="0"/>
            <w:vAlign w:val="top"/>
          </w:tcPr>
          <w:p w14:paraId="4A7AF9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0.713</w:t>
            </w:r>
          </w:p>
        </w:tc>
        <w:tc>
          <w:tcPr>
            <w:tcW w:w="1834" w:type="dxa"/>
            <w:noWrap w:val="0"/>
            <w:vAlign w:val="top"/>
          </w:tcPr>
          <w:p w14:paraId="79046A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0.698</w:t>
            </w:r>
          </w:p>
        </w:tc>
        <w:tc>
          <w:tcPr>
            <w:tcW w:w="1834" w:type="dxa"/>
            <w:noWrap w:val="0"/>
            <w:vAlign w:val="top"/>
          </w:tcPr>
          <w:p w14:paraId="511A8E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10.07</w:t>
            </w:r>
          </w:p>
        </w:tc>
        <w:tc>
          <w:tcPr>
            <w:tcW w:w="1836" w:type="dxa"/>
            <w:noWrap w:val="0"/>
            <w:vAlign w:val="top"/>
          </w:tcPr>
          <w:p w14:paraId="115B0C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11.34</w:t>
            </w:r>
          </w:p>
        </w:tc>
      </w:tr>
      <w:tr w14:paraId="76C76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FB6E7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12</w:t>
            </w:r>
          </w:p>
        </w:tc>
        <w:tc>
          <w:tcPr>
            <w:tcW w:w="1832" w:type="dxa"/>
            <w:noWrap w:val="0"/>
            <w:vAlign w:val="top"/>
          </w:tcPr>
          <w:p w14:paraId="6510A0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0.546</w:t>
            </w:r>
          </w:p>
        </w:tc>
        <w:tc>
          <w:tcPr>
            <w:tcW w:w="1834" w:type="dxa"/>
            <w:noWrap w:val="0"/>
            <w:vAlign w:val="top"/>
          </w:tcPr>
          <w:p w14:paraId="1E1D3E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0.516</w:t>
            </w:r>
          </w:p>
        </w:tc>
        <w:tc>
          <w:tcPr>
            <w:tcW w:w="1834" w:type="dxa"/>
            <w:noWrap w:val="0"/>
            <w:vAlign w:val="top"/>
          </w:tcPr>
          <w:p w14:paraId="6641C9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9.16</w:t>
            </w:r>
          </w:p>
        </w:tc>
        <w:tc>
          <w:tcPr>
            <w:tcW w:w="1836" w:type="dxa"/>
            <w:noWrap w:val="0"/>
            <w:vAlign w:val="top"/>
          </w:tcPr>
          <w:p w14:paraId="16020F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10.17</w:t>
            </w:r>
          </w:p>
        </w:tc>
      </w:tr>
      <w:tr w14:paraId="0B892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937EA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13</w:t>
            </w:r>
          </w:p>
        </w:tc>
        <w:tc>
          <w:tcPr>
            <w:tcW w:w="1832" w:type="dxa"/>
            <w:noWrap w:val="0"/>
            <w:vAlign w:val="top"/>
          </w:tcPr>
          <w:p w14:paraId="6C9706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0.414</w:t>
            </w:r>
          </w:p>
        </w:tc>
        <w:tc>
          <w:tcPr>
            <w:tcW w:w="1834" w:type="dxa"/>
            <w:noWrap w:val="0"/>
            <w:vAlign w:val="top"/>
          </w:tcPr>
          <w:p w14:paraId="17B97F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0.381</w:t>
            </w:r>
          </w:p>
        </w:tc>
        <w:tc>
          <w:tcPr>
            <w:tcW w:w="1834" w:type="dxa"/>
            <w:noWrap w:val="0"/>
            <w:vAlign w:val="top"/>
          </w:tcPr>
          <w:p w14:paraId="1D3235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8.34</w:t>
            </w:r>
          </w:p>
        </w:tc>
        <w:tc>
          <w:tcPr>
            <w:tcW w:w="1836" w:type="dxa"/>
            <w:noWrap w:val="0"/>
            <w:vAlign w:val="top"/>
          </w:tcPr>
          <w:p w14:paraId="157050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9.14</w:t>
            </w:r>
          </w:p>
        </w:tc>
      </w:tr>
      <w:tr w14:paraId="3EA3E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7EA70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14</w:t>
            </w:r>
          </w:p>
        </w:tc>
        <w:tc>
          <w:tcPr>
            <w:tcW w:w="1832" w:type="dxa"/>
            <w:noWrap w:val="0"/>
            <w:vAlign w:val="top"/>
          </w:tcPr>
          <w:p w14:paraId="618738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0.312</w:t>
            </w:r>
          </w:p>
        </w:tc>
        <w:tc>
          <w:tcPr>
            <w:tcW w:w="1834" w:type="dxa"/>
            <w:noWrap w:val="0"/>
            <w:vAlign w:val="top"/>
          </w:tcPr>
          <w:p w14:paraId="1FD19C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0.284</w:t>
            </w:r>
          </w:p>
        </w:tc>
        <w:tc>
          <w:tcPr>
            <w:tcW w:w="1834" w:type="dxa"/>
            <w:noWrap w:val="0"/>
            <w:vAlign w:val="top"/>
          </w:tcPr>
          <w:p w14:paraId="423B58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7.59</w:t>
            </w:r>
          </w:p>
        </w:tc>
        <w:tc>
          <w:tcPr>
            <w:tcW w:w="1836" w:type="dxa"/>
            <w:noWrap w:val="0"/>
            <w:vAlign w:val="top"/>
          </w:tcPr>
          <w:p w14:paraId="15FB25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8.24</w:t>
            </w:r>
          </w:p>
        </w:tc>
      </w:tr>
      <w:tr w14:paraId="4A6A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0DD4C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15</w:t>
            </w:r>
          </w:p>
        </w:tc>
        <w:tc>
          <w:tcPr>
            <w:tcW w:w="1832" w:type="dxa"/>
            <w:noWrap w:val="0"/>
            <w:vAlign w:val="top"/>
          </w:tcPr>
          <w:p w14:paraId="6C43AE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0.235</w:t>
            </w:r>
          </w:p>
        </w:tc>
        <w:tc>
          <w:tcPr>
            <w:tcW w:w="1834" w:type="dxa"/>
            <w:noWrap w:val="0"/>
            <w:vAlign w:val="top"/>
          </w:tcPr>
          <w:p w14:paraId="209A66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0.218</w:t>
            </w:r>
          </w:p>
        </w:tc>
        <w:tc>
          <w:tcPr>
            <w:tcW w:w="1834" w:type="dxa"/>
            <w:noWrap w:val="0"/>
            <w:vAlign w:val="top"/>
          </w:tcPr>
          <w:p w14:paraId="413779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6.92</w:t>
            </w:r>
          </w:p>
        </w:tc>
        <w:tc>
          <w:tcPr>
            <w:tcW w:w="1836" w:type="dxa"/>
            <w:noWrap w:val="0"/>
            <w:vAlign w:val="top"/>
          </w:tcPr>
          <w:p w14:paraId="184E41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7.45</w:t>
            </w:r>
          </w:p>
        </w:tc>
      </w:tr>
      <w:tr w14:paraId="233DA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B78B4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16</w:t>
            </w:r>
          </w:p>
        </w:tc>
        <w:tc>
          <w:tcPr>
            <w:tcW w:w="1832" w:type="dxa"/>
            <w:noWrap w:val="0"/>
            <w:vAlign w:val="top"/>
          </w:tcPr>
          <w:p w14:paraId="4C9934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0.180</w:t>
            </w:r>
          </w:p>
        </w:tc>
        <w:tc>
          <w:tcPr>
            <w:tcW w:w="1834" w:type="dxa"/>
            <w:noWrap w:val="0"/>
            <w:vAlign w:val="top"/>
          </w:tcPr>
          <w:p w14:paraId="30B1E2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0.175</w:t>
            </w:r>
          </w:p>
        </w:tc>
        <w:tc>
          <w:tcPr>
            <w:tcW w:w="1834" w:type="dxa"/>
            <w:noWrap w:val="0"/>
            <w:vAlign w:val="top"/>
          </w:tcPr>
          <w:p w14:paraId="471921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6.33</w:t>
            </w:r>
          </w:p>
        </w:tc>
        <w:tc>
          <w:tcPr>
            <w:tcW w:w="1836" w:type="dxa"/>
            <w:noWrap w:val="0"/>
            <w:vAlign w:val="top"/>
          </w:tcPr>
          <w:p w14:paraId="4702C8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6.76</w:t>
            </w:r>
          </w:p>
        </w:tc>
      </w:tr>
      <w:tr w14:paraId="131C6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2AABF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17</w:t>
            </w:r>
          </w:p>
        </w:tc>
        <w:tc>
          <w:tcPr>
            <w:tcW w:w="1832" w:type="dxa"/>
            <w:noWrap w:val="0"/>
            <w:vAlign w:val="top"/>
          </w:tcPr>
          <w:p w14:paraId="77CB20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0.142</w:t>
            </w:r>
          </w:p>
        </w:tc>
        <w:tc>
          <w:tcPr>
            <w:tcW w:w="1834" w:type="dxa"/>
            <w:noWrap w:val="0"/>
            <w:vAlign w:val="top"/>
          </w:tcPr>
          <w:p w14:paraId="4E684E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0.151</w:t>
            </w:r>
          </w:p>
        </w:tc>
        <w:tc>
          <w:tcPr>
            <w:tcW w:w="1834" w:type="dxa"/>
            <w:noWrap w:val="0"/>
            <w:vAlign w:val="top"/>
          </w:tcPr>
          <w:p w14:paraId="64DC3E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5.80</w:t>
            </w:r>
          </w:p>
        </w:tc>
        <w:tc>
          <w:tcPr>
            <w:tcW w:w="1836" w:type="dxa"/>
            <w:noWrap w:val="0"/>
            <w:vAlign w:val="top"/>
          </w:tcPr>
          <w:p w14:paraId="2B9FAB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6.16</w:t>
            </w:r>
          </w:p>
        </w:tc>
      </w:tr>
      <w:tr w14:paraId="4A78C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0467C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18</w:t>
            </w:r>
          </w:p>
        </w:tc>
        <w:tc>
          <w:tcPr>
            <w:tcW w:w="1832" w:type="dxa"/>
            <w:noWrap w:val="0"/>
            <w:vAlign w:val="top"/>
          </w:tcPr>
          <w:p w14:paraId="16CAEA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0.119</w:t>
            </w:r>
          </w:p>
        </w:tc>
        <w:tc>
          <w:tcPr>
            <w:tcW w:w="1834" w:type="dxa"/>
            <w:noWrap w:val="0"/>
            <w:vAlign w:val="top"/>
          </w:tcPr>
          <w:p w14:paraId="265B62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0.139</w:t>
            </w:r>
          </w:p>
        </w:tc>
        <w:tc>
          <w:tcPr>
            <w:tcW w:w="1834" w:type="dxa"/>
            <w:noWrap w:val="0"/>
            <w:vAlign w:val="top"/>
          </w:tcPr>
          <w:p w14:paraId="2963A4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5.32</w:t>
            </w:r>
          </w:p>
        </w:tc>
        <w:tc>
          <w:tcPr>
            <w:tcW w:w="1836" w:type="dxa"/>
            <w:noWrap w:val="0"/>
            <w:vAlign w:val="top"/>
          </w:tcPr>
          <w:p w14:paraId="55B553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5.62</w:t>
            </w:r>
          </w:p>
        </w:tc>
      </w:tr>
      <w:tr w14:paraId="6658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403827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19</w:t>
            </w:r>
          </w:p>
        </w:tc>
        <w:tc>
          <w:tcPr>
            <w:tcW w:w="1832" w:type="dxa"/>
            <w:noWrap w:val="0"/>
            <w:vAlign w:val="top"/>
          </w:tcPr>
          <w:p w14:paraId="354C1C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0.107</w:t>
            </w:r>
          </w:p>
        </w:tc>
        <w:tc>
          <w:tcPr>
            <w:tcW w:w="1834" w:type="dxa"/>
            <w:noWrap w:val="0"/>
            <w:vAlign w:val="top"/>
          </w:tcPr>
          <w:p w14:paraId="4438CA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0.135</w:t>
            </w:r>
          </w:p>
        </w:tc>
        <w:tc>
          <w:tcPr>
            <w:tcW w:w="1834" w:type="dxa"/>
            <w:noWrap w:val="0"/>
            <w:vAlign w:val="top"/>
          </w:tcPr>
          <w:p w14:paraId="3CCE06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4.90</w:t>
            </w:r>
          </w:p>
        </w:tc>
        <w:tc>
          <w:tcPr>
            <w:tcW w:w="1836" w:type="dxa"/>
            <w:noWrap w:val="0"/>
            <w:vAlign w:val="top"/>
          </w:tcPr>
          <w:p w14:paraId="49B98C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5.15</w:t>
            </w:r>
          </w:p>
        </w:tc>
      </w:tr>
      <w:tr w14:paraId="7AD78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A202F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20</w:t>
            </w:r>
          </w:p>
        </w:tc>
        <w:tc>
          <w:tcPr>
            <w:tcW w:w="1832" w:type="dxa"/>
            <w:noWrap w:val="0"/>
            <w:vAlign w:val="top"/>
          </w:tcPr>
          <w:p w14:paraId="12A265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0.103</w:t>
            </w:r>
          </w:p>
        </w:tc>
        <w:tc>
          <w:tcPr>
            <w:tcW w:w="1834" w:type="dxa"/>
            <w:noWrap w:val="0"/>
            <w:vAlign w:val="top"/>
          </w:tcPr>
          <w:p w14:paraId="422BD8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0.133</w:t>
            </w:r>
          </w:p>
        </w:tc>
        <w:tc>
          <w:tcPr>
            <w:tcW w:w="1834" w:type="dxa"/>
            <w:noWrap w:val="0"/>
            <w:vAlign w:val="top"/>
          </w:tcPr>
          <w:p w14:paraId="1AE575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4.52</w:t>
            </w:r>
          </w:p>
        </w:tc>
        <w:tc>
          <w:tcPr>
            <w:tcW w:w="1836" w:type="dxa"/>
            <w:noWrap w:val="0"/>
            <w:vAlign w:val="top"/>
          </w:tcPr>
          <w:p w14:paraId="5E77EC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4.73</w:t>
            </w:r>
          </w:p>
        </w:tc>
      </w:tr>
      <w:tr w14:paraId="5A25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4B30E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21</w:t>
            </w:r>
          </w:p>
        </w:tc>
        <w:tc>
          <w:tcPr>
            <w:tcW w:w="1832" w:type="dxa"/>
            <w:noWrap w:val="0"/>
            <w:vAlign w:val="top"/>
          </w:tcPr>
          <w:p w14:paraId="27831A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0.102</w:t>
            </w:r>
          </w:p>
        </w:tc>
        <w:tc>
          <w:tcPr>
            <w:tcW w:w="1834" w:type="dxa"/>
            <w:noWrap w:val="0"/>
            <w:vAlign w:val="top"/>
          </w:tcPr>
          <w:p w14:paraId="5DD9B4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0.133</w:t>
            </w:r>
          </w:p>
        </w:tc>
        <w:tc>
          <w:tcPr>
            <w:tcW w:w="1834" w:type="dxa"/>
            <w:noWrap w:val="0"/>
            <w:vAlign w:val="top"/>
          </w:tcPr>
          <w:p w14:paraId="2D01E9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4.18</w:t>
            </w:r>
          </w:p>
        </w:tc>
        <w:tc>
          <w:tcPr>
            <w:tcW w:w="1836" w:type="dxa"/>
            <w:noWrap w:val="0"/>
            <w:vAlign w:val="top"/>
          </w:tcPr>
          <w:p w14:paraId="694DE6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4.36</w:t>
            </w:r>
          </w:p>
        </w:tc>
      </w:tr>
      <w:tr w14:paraId="6D6C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1B381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22</w:t>
            </w:r>
          </w:p>
        </w:tc>
        <w:tc>
          <w:tcPr>
            <w:tcW w:w="1832" w:type="dxa"/>
            <w:noWrap w:val="0"/>
            <w:vAlign w:val="top"/>
          </w:tcPr>
          <w:p w14:paraId="74FD51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0.103</w:t>
            </w:r>
          </w:p>
        </w:tc>
        <w:tc>
          <w:tcPr>
            <w:tcW w:w="1834" w:type="dxa"/>
            <w:noWrap w:val="0"/>
            <w:vAlign w:val="top"/>
          </w:tcPr>
          <w:p w14:paraId="33A1BA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0.133</w:t>
            </w:r>
          </w:p>
        </w:tc>
        <w:tc>
          <w:tcPr>
            <w:tcW w:w="1834" w:type="dxa"/>
            <w:noWrap w:val="0"/>
            <w:vAlign w:val="top"/>
          </w:tcPr>
          <w:p w14:paraId="5D2E6A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3.87</w:t>
            </w:r>
          </w:p>
        </w:tc>
        <w:tc>
          <w:tcPr>
            <w:tcW w:w="1836" w:type="dxa"/>
            <w:noWrap w:val="0"/>
            <w:vAlign w:val="top"/>
          </w:tcPr>
          <w:p w14:paraId="79603B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4.03</w:t>
            </w:r>
          </w:p>
        </w:tc>
      </w:tr>
      <w:tr w14:paraId="21DB0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34AAE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23</w:t>
            </w:r>
          </w:p>
        </w:tc>
        <w:tc>
          <w:tcPr>
            <w:tcW w:w="1832" w:type="dxa"/>
            <w:noWrap w:val="0"/>
            <w:vAlign w:val="top"/>
          </w:tcPr>
          <w:p w14:paraId="42FF49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0.105</w:t>
            </w:r>
          </w:p>
        </w:tc>
        <w:tc>
          <w:tcPr>
            <w:tcW w:w="1834" w:type="dxa"/>
            <w:noWrap w:val="0"/>
            <w:vAlign w:val="top"/>
          </w:tcPr>
          <w:p w14:paraId="5CE7E2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0.133</w:t>
            </w:r>
          </w:p>
        </w:tc>
        <w:tc>
          <w:tcPr>
            <w:tcW w:w="1834" w:type="dxa"/>
            <w:noWrap w:val="0"/>
            <w:vAlign w:val="top"/>
          </w:tcPr>
          <w:p w14:paraId="3D16AA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3.60</w:t>
            </w:r>
          </w:p>
        </w:tc>
        <w:tc>
          <w:tcPr>
            <w:tcW w:w="1836" w:type="dxa"/>
            <w:noWrap w:val="0"/>
            <w:vAlign w:val="top"/>
          </w:tcPr>
          <w:p w14:paraId="02F8C1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3.73</w:t>
            </w:r>
          </w:p>
        </w:tc>
      </w:tr>
      <w:tr w14:paraId="2081F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755A7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24</w:t>
            </w:r>
          </w:p>
        </w:tc>
        <w:tc>
          <w:tcPr>
            <w:tcW w:w="1832" w:type="dxa"/>
            <w:noWrap w:val="0"/>
            <w:vAlign w:val="top"/>
          </w:tcPr>
          <w:p w14:paraId="419EEC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0.106</w:t>
            </w:r>
          </w:p>
        </w:tc>
        <w:tc>
          <w:tcPr>
            <w:tcW w:w="1834" w:type="dxa"/>
            <w:noWrap w:val="0"/>
            <w:vAlign w:val="top"/>
          </w:tcPr>
          <w:p w14:paraId="3B3A73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0.131</w:t>
            </w:r>
          </w:p>
        </w:tc>
        <w:tc>
          <w:tcPr>
            <w:tcW w:w="1834" w:type="dxa"/>
            <w:noWrap w:val="0"/>
            <w:vAlign w:val="top"/>
          </w:tcPr>
          <w:p w14:paraId="04D780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3.35</w:t>
            </w:r>
          </w:p>
        </w:tc>
        <w:tc>
          <w:tcPr>
            <w:tcW w:w="1836" w:type="dxa"/>
            <w:noWrap w:val="0"/>
            <w:vAlign w:val="top"/>
          </w:tcPr>
          <w:p w14:paraId="39FE38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3.46</w:t>
            </w:r>
          </w:p>
        </w:tc>
      </w:tr>
      <w:tr w14:paraId="485A0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2B163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25</w:t>
            </w:r>
          </w:p>
        </w:tc>
        <w:tc>
          <w:tcPr>
            <w:tcW w:w="1832" w:type="dxa"/>
            <w:noWrap w:val="0"/>
            <w:vAlign w:val="top"/>
          </w:tcPr>
          <w:p w14:paraId="0DABFD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0.106</w:t>
            </w:r>
          </w:p>
        </w:tc>
        <w:tc>
          <w:tcPr>
            <w:tcW w:w="1834" w:type="dxa"/>
            <w:noWrap w:val="0"/>
            <w:vAlign w:val="top"/>
          </w:tcPr>
          <w:p w14:paraId="30B9BC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0.130</w:t>
            </w:r>
          </w:p>
        </w:tc>
        <w:tc>
          <w:tcPr>
            <w:tcW w:w="1834" w:type="dxa"/>
            <w:noWrap w:val="0"/>
            <w:vAlign w:val="top"/>
          </w:tcPr>
          <w:p w14:paraId="610846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3.12</w:t>
            </w:r>
          </w:p>
        </w:tc>
        <w:tc>
          <w:tcPr>
            <w:tcW w:w="1836" w:type="dxa"/>
            <w:noWrap w:val="0"/>
            <w:vAlign w:val="top"/>
          </w:tcPr>
          <w:p w14:paraId="7EE19C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3.22</w:t>
            </w:r>
          </w:p>
        </w:tc>
      </w:tr>
      <w:tr w14:paraId="3F5D3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791BAD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26</w:t>
            </w:r>
          </w:p>
        </w:tc>
        <w:tc>
          <w:tcPr>
            <w:tcW w:w="1832" w:type="dxa"/>
            <w:noWrap w:val="0"/>
            <w:vAlign w:val="top"/>
          </w:tcPr>
          <w:p w14:paraId="78E2DB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0.106</w:t>
            </w:r>
          </w:p>
        </w:tc>
        <w:tc>
          <w:tcPr>
            <w:tcW w:w="1834" w:type="dxa"/>
            <w:noWrap w:val="0"/>
            <w:vAlign w:val="top"/>
          </w:tcPr>
          <w:p w14:paraId="7678C3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0.127</w:t>
            </w:r>
          </w:p>
        </w:tc>
        <w:tc>
          <w:tcPr>
            <w:tcW w:w="1834" w:type="dxa"/>
            <w:noWrap w:val="0"/>
            <w:vAlign w:val="top"/>
          </w:tcPr>
          <w:p w14:paraId="25FB99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2.92</w:t>
            </w:r>
          </w:p>
        </w:tc>
        <w:tc>
          <w:tcPr>
            <w:tcW w:w="1836" w:type="dxa"/>
            <w:noWrap w:val="0"/>
            <w:vAlign w:val="top"/>
          </w:tcPr>
          <w:p w14:paraId="2B6429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3.00</w:t>
            </w:r>
          </w:p>
        </w:tc>
      </w:tr>
      <w:tr w14:paraId="1E67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3DC82D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27</w:t>
            </w:r>
          </w:p>
        </w:tc>
        <w:tc>
          <w:tcPr>
            <w:tcW w:w="1832" w:type="dxa"/>
            <w:noWrap w:val="0"/>
            <w:vAlign w:val="top"/>
          </w:tcPr>
          <w:p w14:paraId="18CA5D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0.106</w:t>
            </w:r>
          </w:p>
        </w:tc>
        <w:tc>
          <w:tcPr>
            <w:tcW w:w="1834" w:type="dxa"/>
            <w:noWrap w:val="0"/>
            <w:vAlign w:val="top"/>
          </w:tcPr>
          <w:p w14:paraId="2C9277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0.125</w:t>
            </w:r>
          </w:p>
        </w:tc>
        <w:tc>
          <w:tcPr>
            <w:tcW w:w="1834" w:type="dxa"/>
            <w:noWrap w:val="0"/>
            <w:vAlign w:val="top"/>
          </w:tcPr>
          <w:p w14:paraId="7508E4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2.73</w:t>
            </w:r>
          </w:p>
        </w:tc>
        <w:tc>
          <w:tcPr>
            <w:tcW w:w="1836" w:type="dxa"/>
            <w:noWrap w:val="0"/>
            <w:vAlign w:val="top"/>
          </w:tcPr>
          <w:p w14:paraId="6B589A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2.81</w:t>
            </w:r>
          </w:p>
        </w:tc>
      </w:tr>
      <w:tr w14:paraId="5944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4C2080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28</w:t>
            </w:r>
          </w:p>
        </w:tc>
        <w:tc>
          <w:tcPr>
            <w:tcW w:w="1832" w:type="dxa"/>
            <w:noWrap w:val="0"/>
            <w:vAlign w:val="top"/>
          </w:tcPr>
          <w:p w14:paraId="604CF7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0.104</w:t>
            </w:r>
          </w:p>
        </w:tc>
        <w:tc>
          <w:tcPr>
            <w:tcW w:w="1834" w:type="dxa"/>
            <w:noWrap w:val="0"/>
            <w:vAlign w:val="top"/>
          </w:tcPr>
          <w:p w14:paraId="70FC5F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0.122</w:t>
            </w:r>
          </w:p>
        </w:tc>
        <w:tc>
          <w:tcPr>
            <w:tcW w:w="1834" w:type="dxa"/>
            <w:noWrap w:val="0"/>
            <w:vAlign w:val="top"/>
          </w:tcPr>
          <w:p w14:paraId="14D4D9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2.56</w:t>
            </w:r>
          </w:p>
        </w:tc>
        <w:tc>
          <w:tcPr>
            <w:tcW w:w="1836" w:type="dxa"/>
            <w:noWrap w:val="0"/>
            <w:vAlign w:val="top"/>
          </w:tcPr>
          <w:p w14:paraId="70AE74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2.63</w:t>
            </w:r>
          </w:p>
        </w:tc>
      </w:tr>
      <w:tr w14:paraId="08F3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69469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29</w:t>
            </w:r>
          </w:p>
        </w:tc>
        <w:tc>
          <w:tcPr>
            <w:tcW w:w="1832" w:type="dxa"/>
            <w:noWrap w:val="0"/>
            <w:vAlign w:val="top"/>
          </w:tcPr>
          <w:p w14:paraId="782521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0.103</w:t>
            </w:r>
          </w:p>
        </w:tc>
        <w:tc>
          <w:tcPr>
            <w:tcW w:w="1834" w:type="dxa"/>
            <w:noWrap w:val="0"/>
            <w:vAlign w:val="top"/>
          </w:tcPr>
          <w:p w14:paraId="054EC5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0.118</w:t>
            </w:r>
          </w:p>
        </w:tc>
        <w:tc>
          <w:tcPr>
            <w:tcW w:w="1834" w:type="dxa"/>
            <w:noWrap w:val="0"/>
            <w:vAlign w:val="top"/>
          </w:tcPr>
          <w:p w14:paraId="325772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2.41</w:t>
            </w:r>
          </w:p>
        </w:tc>
        <w:tc>
          <w:tcPr>
            <w:tcW w:w="1836" w:type="dxa"/>
            <w:noWrap w:val="0"/>
            <w:vAlign w:val="top"/>
          </w:tcPr>
          <w:p w14:paraId="1D24672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2.47</w:t>
            </w:r>
          </w:p>
        </w:tc>
      </w:tr>
      <w:tr w14:paraId="6856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64D98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30</w:t>
            </w:r>
          </w:p>
        </w:tc>
        <w:tc>
          <w:tcPr>
            <w:tcW w:w="1832" w:type="dxa"/>
            <w:noWrap w:val="0"/>
            <w:vAlign w:val="top"/>
          </w:tcPr>
          <w:p w14:paraId="50EF7F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0.101</w:t>
            </w:r>
          </w:p>
        </w:tc>
        <w:tc>
          <w:tcPr>
            <w:tcW w:w="1834" w:type="dxa"/>
            <w:noWrap w:val="0"/>
            <w:vAlign w:val="top"/>
          </w:tcPr>
          <w:p w14:paraId="625309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0.115</w:t>
            </w:r>
          </w:p>
        </w:tc>
        <w:tc>
          <w:tcPr>
            <w:tcW w:w="1834" w:type="dxa"/>
            <w:noWrap w:val="0"/>
            <w:vAlign w:val="top"/>
          </w:tcPr>
          <w:p w14:paraId="2F527C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2.27</w:t>
            </w:r>
          </w:p>
        </w:tc>
        <w:tc>
          <w:tcPr>
            <w:tcW w:w="1836" w:type="dxa"/>
            <w:noWrap w:val="0"/>
            <w:vAlign w:val="top"/>
          </w:tcPr>
          <w:p w14:paraId="432014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2.32</w:t>
            </w:r>
          </w:p>
        </w:tc>
      </w:tr>
      <w:tr w14:paraId="0DA20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A6627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31</w:t>
            </w:r>
          </w:p>
        </w:tc>
        <w:tc>
          <w:tcPr>
            <w:tcW w:w="1832" w:type="dxa"/>
            <w:noWrap w:val="0"/>
            <w:vAlign w:val="top"/>
          </w:tcPr>
          <w:p w14:paraId="001029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0.099</w:t>
            </w:r>
          </w:p>
        </w:tc>
        <w:tc>
          <w:tcPr>
            <w:tcW w:w="1834" w:type="dxa"/>
            <w:noWrap w:val="0"/>
            <w:vAlign w:val="top"/>
          </w:tcPr>
          <w:p w14:paraId="162A65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0.111</w:t>
            </w:r>
          </w:p>
        </w:tc>
        <w:tc>
          <w:tcPr>
            <w:tcW w:w="1834" w:type="dxa"/>
            <w:noWrap w:val="0"/>
            <w:vAlign w:val="top"/>
          </w:tcPr>
          <w:p w14:paraId="13C1E4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2.14</w:t>
            </w:r>
          </w:p>
        </w:tc>
        <w:tc>
          <w:tcPr>
            <w:tcW w:w="1836" w:type="dxa"/>
            <w:noWrap w:val="0"/>
            <w:vAlign w:val="top"/>
          </w:tcPr>
          <w:p w14:paraId="358C75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2.18</w:t>
            </w:r>
          </w:p>
        </w:tc>
      </w:tr>
      <w:tr w14:paraId="7D57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BB3A6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32</w:t>
            </w:r>
          </w:p>
        </w:tc>
        <w:tc>
          <w:tcPr>
            <w:tcW w:w="1832" w:type="dxa"/>
            <w:noWrap w:val="0"/>
            <w:vAlign w:val="top"/>
          </w:tcPr>
          <w:p w14:paraId="2C9884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0.096</w:t>
            </w:r>
          </w:p>
        </w:tc>
        <w:tc>
          <w:tcPr>
            <w:tcW w:w="1834" w:type="dxa"/>
            <w:noWrap w:val="0"/>
            <w:vAlign w:val="top"/>
          </w:tcPr>
          <w:p w14:paraId="785A69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0.108</w:t>
            </w:r>
          </w:p>
        </w:tc>
        <w:tc>
          <w:tcPr>
            <w:tcW w:w="1834" w:type="dxa"/>
            <w:noWrap w:val="0"/>
            <w:vAlign w:val="top"/>
          </w:tcPr>
          <w:p w14:paraId="43D9D2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2.02</w:t>
            </w:r>
          </w:p>
        </w:tc>
        <w:tc>
          <w:tcPr>
            <w:tcW w:w="1836" w:type="dxa"/>
            <w:noWrap w:val="0"/>
            <w:vAlign w:val="top"/>
          </w:tcPr>
          <w:p w14:paraId="421212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2.06</w:t>
            </w:r>
          </w:p>
        </w:tc>
      </w:tr>
      <w:tr w14:paraId="2A826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36D3F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33</w:t>
            </w:r>
          </w:p>
        </w:tc>
        <w:tc>
          <w:tcPr>
            <w:tcW w:w="1832" w:type="dxa"/>
            <w:noWrap w:val="0"/>
            <w:vAlign w:val="top"/>
          </w:tcPr>
          <w:p w14:paraId="45D389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0.094</w:t>
            </w:r>
          </w:p>
        </w:tc>
        <w:tc>
          <w:tcPr>
            <w:tcW w:w="1834" w:type="dxa"/>
            <w:noWrap w:val="0"/>
            <w:vAlign w:val="top"/>
          </w:tcPr>
          <w:p w14:paraId="6F7522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0.104</w:t>
            </w:r>
          </w:p>
        </w:tc>
        <w:tc>
          <w:tcPr>
            <w:tcW w:w="1834" w:type="dxa"/>
            <w:noWrap w:val="0"/>
            <w:vAlign w:val="top"/>
          </w:tcPr>
          <w:p w14:paraId="1D784F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1.91</w:t>
            </w:r>
          </w:p>
        </w:tc>
        <w:tc>
          <w:tcPr>
            <w:tcW w:w="1836" w:type="dxa"/>
            <w:noWrap w:val="0"/>
            <w:vAlign w:val="top"/>
          </w:tcPr>
          <w:p w14:paraId="17B5E3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1.94</w:t>
            </w:r>
          </w:p>
        </w:tc>
      </w:tr>
      <w:tr w14:paraId="59CA3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51D10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34</w:t>
            </w:r>
          </w:p>
        </w:tc>
        <w:tc>
          <w:tcPr>
            <w:tcW w:w="1832" w:type="dxa"/>
            <w:noWrap w:val="0"/>
            <w:vAlign w:val="top"/>
          </w:tcPr>
          <w:p w14:paraId="7052EA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0.092</w:t>
            </w:r>
          </w:p>
        </w:tc>
        <w:tc>
          <w:tcPr>
            <w:tcW w:w="1834" w:type="dxa"/>
            <w:noWrap w:val="0"/>
            <w:vAlign w:val="top"/>
          </w:tcPr>
          <w:p w14:paraId="5AAAFF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0.101</w:t>
            </w:r>
          </w:p>
        </w:tc>
        <w:tc>
          <w:tcPr>
            <w:tcW w:w="1834" w:type="dxa"/>
            <w:noWrap w:val="0"/>
            <w:vAlign w:val="top"/>
          </w:tcPr>
          <w:p w14:paraId="19BAF6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1.81</w:t>
            </w:r>
          </w:p>
        </w:tc>
        <w:tc>
          <w:tcPr>
            <w:tcW w:w="1836" w:type="dxa"/>
            <w:noWrap w:val="0"/>
            <w:vAlign w:val="top"/>
          </w:tcPr>
          <w:p w14:paraId="579FEB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1.84</w:t>
            </w:r>
          </w:p>
        </w:tc>
      </w:tr>
      <w:tr w14:paraId="50CD6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007B56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35</w:t>
            </w:r>
          </w:p>
        </w:tc>
        <w:tc>
          <w:tcPr>
            <w:tcW w:w="1832" w:type="dxa"/>
            <w:noWrap w:val="0"/>
            <w:vAlign w:val="top"/>
          </w:tcPr>
          <w:p w14:paraId="3268C7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0.089</w:t>
            </w:r>
          </w:p>
        </w:tc>
        <w:tc>
          <w:tcPr>
            <w:tcW w:w="1834" w:type="dxa"/>
            <w:noWrap w:val="0"/>
            <w:vAlign w:val="top"/>
          </w:tcPr>
          <w:p w14:paraId="601081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0.098</w:t>
            </w:r>
          </w:p>
        </w:tc>
        <w:tc>
          <w:tcPr>
            <w:tcW w:w="1834" w:type="dxa"/>
            <w:noWrap w:val="0"/>
            <w:vAlign w:val="top"/>
          </w:tcPr>
          <w:p w14:paraId="6DA958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1.71</w:t>
            </w:r>
          </w:p>
        </w:tc>
        <w:tc>
          <w:tcPr>
            <w:tcW w:w="1836" w:type="dxa"/>
            <w:noWrap w:val="0"/>
            <w:vAlign w:val="top"/>
          </w:tcPr>
          <w:p w14:paraId="1ACCC6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1.74</w:t>
            </w:r>
          </w:p>
        </w:tc>
      </w:tr>
      <w:tr w14:paraId="68E9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13CB61A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36</w:t>
            </w:r>
          </w:p>
        </w:tc>
        <w:tc>
          <w:tcPr>
            <w:tcW w:w="1832" w:type="dxa"/>
            <w:noWrap w:val="0"/>
            <w:vAlign w:val="top"/>
          </w:tcPr>
          <w:p w14:paraId="05F6F1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0.086</w:t>
            </w:r>
          </w:p>
        </w:tc>
        <w:tc>
          <w:tcPr>
            <w:tcW w:w="1834" w:type="dxa"/>
            <w:noWrap w:val="0"/>
            <w:vAlign w:val="top"/>
          </w:tcPr>
          <w:p w14:paraId="761F51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0.094</w:t>
            </w:r>
          </w:p>
        </w:tc>
        <w:tc>
          <w:tcPr>
            <w:tcW w:w="1834" w:type="dxa"/>
            <w:noWrap w:val="0"/>
            <w:vAlign w:val="top"/>
          </w:tcPr>
          <w:p w14:paraId="34A33F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1.63</w:t>
            </w:r>
          </w:p>
        </w:tc>
        <w:tc>
          <w:tcPr>
            <w:tcW w:w="1836" w:type="dxa"/>
            <w:noWrap w:val="0"/>
            <w:vAlign w:val="top"/>
          </w:tcPr>
          <w:p w14:paraId="059703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1.65</w:t>
            </w:r>
          </w:p>
        </w:tc>
      </w:tr>
      <w:tr w14:paraId="2379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8DBE0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37</w:t>
            </w:r>
          </w:p>
        </w:tc>
        <w:tc>
          <w:tcPr>
            <w:tcW w:w="1832" w:type="dxa"/>
            <w:noWrap w:val="0"/>
            <w:vAlign w:val="top"/>
          </w:tcPr>
          <w:p w14:paraId="09CAC2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0.084</w:t>
            </w:r>
          </w:p>
        </w:tc>
        <w:tc>
          <w:tcPr>
            <w:tcW w:w="1834" w:type="dxa"/>
            <w:noWrap w:val="0"/>
            <w:vAlign w:val="top"/>
          </w:tcPr>
          <w:p w14:paraId="299217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0.091</w:t>
            </w:r>
          </w:p>
        </w:tc>
        <w:tc>
          <w:tcPr>
            <w:tcW w:w="1834" w:type="dxa"/>
            <w:noWrap w:val="0"/>
            <w:vAlign w:val="top"/>
          </w:tcPr>
          <w:p w14:paraId="641041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1.55</w:t>
            </w:r>
          </w:p>
        </w:tc>
        <w:tc>
          <w:tcPr>
            <w:tcW w:w="1836" w:type="dxa"/>
            <w:noWrap w:val="0"/>
            <w:vAlign w:val="top"/>
          </w:tcPr>
          <w:p w14:paraId="0D3DFA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1.57</w:t>
            </w:r>
          </w:p>
        </w:tc>
      </w:tr>
      <w:tr w14:paraId="67FD5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6B697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38</w:t>
            </w:r>
          </w:p>
        </w:tc>
        <w:tc>
          <w:tcPr>
            <w:tcW w:w="1832" w:type="dxa"/>
            <w:noWrap w:val="0"/>
            <w:vAlign w:val="top"/>
          </w:tcPr>
          <w:p w14:paraId="25AB265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0.081</w:t>
            </w:r>
          </w:p>
        </w:tc>
        <w:tc>
          <w:tcPr>
            <w:tcW w:w="1834" w:type="dxa"/>
            <w:noWrap w:val="0"/>
            <w:vAlign w:val="top"/>
          </w:tcPr>
          <w:p w14:paraId="76BCC6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0.088</w:t>
            </w:r>
          </w:p>
        </w:tc>
        <w:tc>
          <w:tcPr>
            <w:tcW w:w="1834" w:type="dxa"/>
            <w:noWrap w:val="0"/>
            <w:vAlign w:val="top"/>
          </w:tcPr>
          <w:p w14:paraId="2A6321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1.47</w:t>
            </w:r>
          </w:p>
        </w:tc>
        <w:tc>
          <w:tcPr>
            <w:tcW w:w="1836" w:type="dxa"/>
            <w:noWrap w:val="0"/>
            <w:vAlign w:val="top"/>
          </w:tcPr>
          <w:p w14:paraId="5C55B4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1.49</w:t>
            </w:r>
          </w:p>
        </w:tc>
      </w:tr>
      <w:tr w14:paraId="02FC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213EDE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39</w:t>
            </w:r>
          </w:p>
        </w:tc>
        <w:tc>
          <w:tcPr>
            <w:tcW w:w="1832" w:type="dxa"/>
            <w:noWrap w:val="0"/>
            <w:vAlign w:val="top"/>
          </w:tcPr>
          <w:p w14:paraId="4C9836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0.079</w:t>
            </w:r>
          </w:p>
        </w:tc>
        <w:tc>
          <w:tcPr>
            <w:tcW w:w="1834" w:type="dxa"/>
            <w:noWrap w:val="0"/>
            <w:vAlign w:val="top"/>
          </w:tcPr>
          <w:p w14:paraId="30FED1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0.085</w:t>
            </w:r>
          </w:p>
        </w:tc>
        <w:tc>
          <w:tcPr>
            <w:tcW w:w="1834" w:type="dxa"/>
            <w:noWrap w:val="0"/>
            <w:vAlign w:val="top"/>
          </w:tcPr>
          <w:p w14:paraId="6C40BF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1.40</w:t>
            </w:r>
          </w:p>
        </w:tc>
        <w:tc>
          <w:tcPr>
            <w:tcW w:w="1836" w:type="dxa"/>
            <w:noWrap w:val="0"/>
            <w:vAlign w:val="top"/>
          </w:tcPr>
          <w:p w14:paraId="0074FE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1.42</w:t>
            </w:r>
          </w:p>
        </w:tc>
      </w:tr>
      <w:tr w14:paraId="6C702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6532F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40</w:t>
            </w:r>
          </w:p>
        </w:tc>
        <w:tc>
          <w:tcPr>
            <w:tcW w:w="1832" w:type="dxa"/>
            <w:noWrap w:val="0"/>
            <w:vAlign w:val="top"/>
          </w:tcPr>
          <w:p w14:paraId="7E8D51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0.076</w:t>
            </w:r>
          </w:p>
        </w:tc>
        <w:tc>
          <w:tcPr>
            <w:tcW w:w="1834" w:type="dxa"/>
            <w:noWrap w:val="0"/>
            <w:vAlign w:val="top"/>
          </w:tcPr>
          <w:p w14:paraId="6EC714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0.082</w:t>
            </w:r>
          </w:p>
        </w:tc>
        <w:tc>
          <w:tcPr>
            <w:tcW w:w="1834" w:type="dxa"/>
            <w:noWrap w:val="0"/>
            <w:vAlign w:val="top"/>
          </w:tcPr>
          <w:p w14:paraId="43ED84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1.34</w:t>
            </w:r>
          </w:p>
        </w:tc>
        <w:tc>
          <w:tcPr>
            <w:tcW w:w="1836" w:type="dxa"/>
            <w:noWrap w:val="0"/>
            <w:vAlign w:val="top"/>
          </w:tcPr>
          <w:p w14:paraId="36A2D5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1.35</w:t>
            </w:r>
          </w:p>
        </w:tc>
      </w:tr>
      <w:tr w14:paraId="4331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627D44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最大值（kV/m）</w:t>
            </w:r>
          </w:p>
        </w:tc>
        <w:tc>
          <w:tcPr>
            <w:tcW w:w="1832" w:type="dxa"/>
            <w:noWrap w:val="0"/>
            <w:vAlign w:val="center"/>
          </w:tcPr>
          <w:p w14:paraId="2675A9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2.227</w:t>
            </w:r>
          </w:p>
        </w:tc>
        <w:tc>
          <w:tcPr>
            <w:tcW w:w="1834" w:type="dxa"/>
            <w:noWrap w:val="0"/>
            <w:vAlign w:val="center"/>
          </w:tcPr>
          <w:p w14:paraId="029C3B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2.709</w:t>
            </w:r>
          </w:p>
        </w:tc>
        <w:tc>
          <w:tcPr>
            <w:tcW w:w="1834" w:type="dxa"/>
            <w:noWrap w:val="0"/>
            <w:vAlign w:val="center"/>
          </w:tcPr>
          <w:p w14:paraId="57C25C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14.22</w:t>
            </w:r>
          </w:p>
        </w:tc>
        <w:tc>
          <w:tcPr>
            <w:tcW w:w="1836" w:type="dxa"/>
            <w:noWrap w:val="0"/>
            <w:vAlign w:val="center"/>
          </w:tcPr>
          <w:p w14:paraId="3F6079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17.78</w:t>
            </w:r>
          </w:p>
        </w:tc>
      </w:tr>
      <w:tr w14:paraId="17FF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14:paraId="507847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sz w:val="21"/>
                <w:szCs w:val="21"/>
                <w:highlight w:val="none"/>
                <w:vertAlign w:val="baseline"/>
                <w:lang w:eastAsia="zh-CN"/>
              </w:rPr>
            </w:pPr>
            <w:r>
              <w:rPr>
                <w:rFonts w:hint="eastAsia" w:asciiTheme="minorEastAsia" w:hAnsiTheme="minorEastAsia" w:eastAsiaTheme="minorEastAsia" w:cstheme="minorEastAsia"/>
                <w:b w:val="0"/>
                <w:color w:val="auto"/>
                <w:sz w:val="21"/>
                <w:szCs w:val="21"/>
                <w:highlight w:val="none"/>
                <w:vertAlign w:val="baseline"/>
                <w:lang w:eastAsia="zh-CN"/>
              </w:rPr>
              <w:t>最大值处距线路走廊中心距离（m）</w:t>
            </w:r>
          </w:p>
        </w:tc>
        <w:tc>
          <w:tcPr>
            <w:tcW w:w="1832" w:type="dxa"/>
            <w:noWrap w:val="0"/>
            <w:vAlign w:val="center"/>
          </w:tcPr>
          <w:p w14:paraId="06FD4F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-4.8</w:t>
            </w:r>
          </w:p>
        </w:tc>
        <w:tc>
          <w:tcPr>
            <w:tcW w:w="1834" w:type="dxa"/>
            <w:noWrap w:val="0"/>
            <w:vAlign w:val="center"/>
          </w:tcPr>
          <w:p w14:paraId="5C862B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-5.2</w:t>
            </w:r>
          </w:p>
        </w:tc>
        <w:tc>
          <w:tcPr>
            <w:tcW w:w="1834" w:type="dxa"/>
            <w:noWrap w:val="0"/>
            <w:vAlign w:val="center"/>
          </w:tcPr>
          <w:p w14:paraId="429295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-6.6</w:t>
            </w:r>
          </w:p>
        </w:tc>
        <w:tc>
          <w:tcPr>
            <w:tcW w:w="1836" w:type="dxa"/>
            <w:noWrap w:val="0"/>
            <w:vAlign w:val="center"/>
          </w:tcPr>
          <w:p w14:paraId="3490AC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 w:val="0"/>
                <w:color w:val="auto"/>
                <w:kern w:val="2"/>
                <w:sz w:val="21"/>
                <w:szCs w:val="21"/>
                <w:vertAlign w:val="baseline"/>
                <w:lang w:val="en-US" w:eastAsia="zh-CN" w:bidi="ar-SA"/>
              </w:rPr>
            </w:pPr>
            <w:r>
              <w:rPr>
                <w:rFonts w:hint="eastAsia" w:asciiTheme="minorEastAsia" w:hAnsiTheme="minorEastAsia" w:eastAsiaTheme="minorEastAsia" w:cstheme="minorEastAsia"/>
                <w:b w:val="0"/>
                <w:color w:val="auto"/>
                <w:sz w:val="21"/>
                <w:szCs w:val="21"/>
                <w:vertAlign w:val="baseline"/>
                <w:lang w:eastAsia="zh-CN"/>
              </w:rPr>
              <w:t>-6.5</w:t>
            </w:r>
          </w:p>
        </w:tc>
      </w:tr>
    </w:tbl>
    <w:p w14:paraId="7E99BFA0">
      <w:pPr>
        <w:keepNext w:val="0"/>
        <w:keepLines w:val="0"/>
        <w:pageBreakBefore w:val="0"/>
        <w:widowControl w:val="0"/>
        <w:kinsoku/>
        <w:wordWrap/>
        <w:overflowPunct/>
        <w:topLinePunct w:val="0"/>
        <w:autoSpaceDE/>
        <w:autoSpaceDN/>
        <w:bidi w:val="0"/>
        <w:adjustRightInd/>
        <w:snapToGrid w:val="0"/>
        <w:spacing w:line="300" w:lineRule="exact"/>
        <w:ind w:left="0" w:leftChars="0" w:right="0" w:rightChars="0" w:firstLine="482" w:firstLineChars="200"/>
        <w:jc w:val="both"/>
        <w:textAlignment w:val="auto"/>
        <w:outlineLvl w:val="9"/>
        <w:rPr>
          <w:rFonts w:hint="eastAsia" w:ascii="宋体" w:hAnsi="宋体" w:eastAsia="宋体" w:cs="Times New Roman"/>
          <w:b/>
          <w:color w:val="auto"/>
          <w:sz w:val="24"/>
          <w:highlight w:val="none"/>
        </w:rPr>
      </w:pPr>
    </w:p>
    <w:p w14:paraId="070364CE">
      <w:pPr>
        <w:snapToGrid w:val="0"/>
        <w:jc w:val="center"/>
        <w:rPr>
          <w:color w:val="auto"/>
          <w:highlight w:val="none"/>
        </w:rPr>
      </w:pPr>
      <w:r>
        <w:rPr>
          <w:rFonts w:hint="default" w:ascii="Times New Roman" w:hAnsi="Times New Roman" w:eastAsia="宋体" w:cs="Times New Roman"/>
          <w:b w:val="0"/>
          <w:color w:val="auto"/>
          <w:sz w:val="24"/>
          <w:lang w:eastAsia="zh-CN"/>
        </w:rPr>
        <w:drawing>
          <wp:inline distT="0" distB="0" distL="114300" distR="114300">
            <wp:extent cx="5270500" cy="3503295"/>
            <wp:effectExtent l="0" t="0" r="6350" b="1905"/>
            <wp:docPr id="18" name="图片 18" descr="Graph_DifLowH_elecIntensity"/>
            <wp:cNvGraphicFramePr/>
            <a:graphic xmlns:a="http://schemas.openxmlformats.org/drawingml/2006/main">
              <a:graphicData uri="http://schemas.openxmlformats.org/drawingml/2006/picture">
                <pic:pic xmlns:pic="http://schemas.openxmlformats.org/drawingml/2006/picture">
                  <pic:nvPicPr>
                    <pic:cNvPr id="18" name="图片 18" descr="Graph_DifLowH_elecIntensity"/>
                    <pic:cNvPicPr/>
                  </pic:nvPicPr>
                  <pic:blipFill>
                    <a:blip r:embed="rId71"/>
                    <a:stretch>
                      <a:fillRect/>
                    </a:stretch>
                  </pic:blipFill>
                  <pic:spPr>
                    <a:xfrm>
                      <a:off x="0" y="0"/>
                      <a:ext cx="5270500" cy="3503295"/>
                    </a:xfrm>
                    <a:prstGeom prst="rect">
                      <a:avLst/>
                    </a:prstGeom>
                  </pic:spPr>
                </pic:pic>
              </a:graphicData>
            </a:graphic>
          </wp:inline>
        </w:drawing>
      </w:r>
    </w:p>
    <w:p w14:paraId="7594AA7C">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default" w:ascii="宋体" w:hAnsi="宋体" w:eastAsia="宋体"/>
          <w:b/>
          <w:color w:val="auto"/>
          <w:sz w:val="24"/>
          <w:highlight w:val="none"/>
          <w:lang w:val="en-US" w:eastAsia="zh-CN"/>
        </w:rPr>
      </w:pPr>
      <w:r>
        <w:rPr>
          <w:rFonts w:hint="eastAsia" w:ascii="宋体" w:hAnsi="宋体" w:eastAsia="宋体" w:cs="宋体"/>
          <w:b/>
          <w:color w:val="auto"/>
          <w:sz w:val="24"/>
          <w:highlight w:val="none"/>
        </w:rPr>
        <w:t>图3</w:t>
      </w:r>
      <w:r>
        <w:rPr>
          <w:rFonts w:hint="eastAsia" w:ascii="宋体" w:hAnsi="宋体" w:eastAsia="宋体" w:cs="宋体"/>
          <w:b/>
          <w:color w:val="auto"/>
          <w:sz w:val="24"/>
          <w:highlight w:val="none"/>
          <w:lang w:val="en-US" w:eastAsia="zh-CN"/>
        </w:rPr>
        <w:t>-9</w:t>
      </w:r>
      <w:r>
        <w:rPr>
          <w:rFonts w:hint="eastAsia" w:ascii="宋体" w:hAnsi="宋体" w:eastAsia="宋体" w:cs="宋体"/>
          <w:b/>
          <w:color w:val="auto"/>
          <w:sz w:val="24"/>
          <w:highlight w:val="none"/>
        </w:rPr>
        <w:t xml:space="preserve">   </w:t>
      </w:r>
      <w:r>
        <w:rPr>
          <w:rFonts w:hint="eastAsia" w:cs="宋体"/>
          <w:b/>
          <w:color w:val="auto"/>
          <w:sz w:val="24"/>
          <w:highlight w:val="none"/>
          <w:lang w:val="en-US" w:eastAsia="zh-CN"/>
        </w:rPr>
        <w:t>双</w:t>
      </w:r>
      <w:r>
        <w:rPr>
          <w:rFonts w:hint="eastAsia" w:ascii="宋体" w:hAnsi="宋体"/>
          <w:b/>
          <w:bCs/>
          <w:color w:val="auto"/>
          <w:sz w:val="24"/>
          <w:highlight w:val="none"/>
        </w:rPr>
        <w:t>回路线路工频电场强度预测分布曲线</w:t>
      </w:r>
      <w:r>
        <w:rPr>
          <w:rFonts w:hint="eastAsia" w:ascii="宋体" w:hAnsi="宋体"/>
          <w:b/>
          <w:bCs/>
          <w:color w:val="auto"/>
          <w:sz w:val="24"/>
          <w:highlight w:val="none"/>
          <w:lang w:eastAsia="zh-CN"/>
        </w:rPr>
        <w:t>（</w:t>
      </w:r>
      <w:r>
        <w:rPr>
          <w:rFonts w:hint="eastAsia" w:ascii="宋体" w:hAnsi="宋体"/>
          <w:b/>
          <w:bCs w:val="0"/>
          <w:color w:val="auto"/>
          <w:sz w:val="24"/>
          <w:highlight w:val="none"/>
          <w:lang w:val="en-US" w:eastAsia="zh-CN"/>
        </w:rPr>
        <w:t>SDJC）</w:t>
      </w:r>
    </w:p>
    <w:p w14:paraId="62ED0F43">
      <w:pPr>
        <w:spacing w:line="360" w:lineRule="auto"/>
        <w:jc w:val="center"/>
        <w:rPr>
          <w:rFonts w:hint="eastAsia" w:ascii="宋体" w:hAnsi="宋体"/>
          <w:color w:val="auto"/>
          <w:sz w:val="24"/>
          <w:highlight w:val="none"/>
        </w:rPr>
      </w:pPr>
      <w:r>
        <w:rPr>
          <w:rFonts w:hint="default" w:ascii="Times New Roman" w:hAnsi="Times New Roman" w:eastAsia="宋体" w:cs="Times New Roman"/>
          <w:b w:val="0"/>
          <w:color w:val="auto"/>
          <w:sz w:val="24"/>
          <w:lang w:eastAsia="zh-CN"/>
        </w:rPr>
        <w:drawing>
          <wp:inline distT="0" distB="0" distL="114300" distR="114300">
            <wp:extent cx="5270500" cy="3503295"/>
            <wp:effectExtent l="0" t="0" r="6350" b="1905"/>
            <wp:docPr id="17" name="图片 17" descr="Graph_DifLowH_magIntensity"/>
            <wp:cNvGraphicFramePr/>
            <a:graphic xmlns:a="http://schemas.openxmlformats.org/drawingml/2006/main">
              <a:graphicData uri="http://schemas.openxmlformats.org/drawingml/2006/picture">
                <pic:pic xmlns:pic="http://schemas.openxmlformats.org/drawingml/2006/picture">
                  <pic:nvPicPr>
                    <pic:cNvPr id="17" name="图片 17" descr="Graph_DifLowH_magIntensity"/>
                    <pic:cNvPicPr/>
                  </pic:nvPicPr>
                  <pic:blipFill>
                    <a:blip r:embed="rId72"/>
                    <a:stretch>
                      <a:fillRect/>
                    </a:stretch>
                  </pic:blipFill>
                  <pic:spPr>
                    <a:xfrm>
                      <a:off x="0" y="0"/>
                      <a:ext cx="5270500" cy="3503295"/>
                    </a:xfrm>
                    <a:prstGeom prst="rect">
                      <a:avLst/>
                    </a:prstGeom>
                  </pic:spPr>
                </pic:pic>
              </a:graphicData>
            </a:graphic>
          </wp:inline>
        </w:drawing>
      </w:r>
    </w:p>
    <w:p w14:paraId="1470069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Calibri" w:hAnsi="Calibri" w:eastAsia="宋体" w:cs="Calibri"/>
          <w:color w:val="FF0000"/>
        </w:rPr>
      </w:pPr>
      <w:r>
        <w:rPr>
          <w:rFonts w:hint="eastAsia" w:ascii="宋体" w:hAnsi="宋体"/>
          <w:b/>
          <w:color w:val="auto"/>
          <w:sz w:val="24"/>
          <w:highlight w:val="none"/>
        </w:rPr>
        <w:t>图3-</w:t>
      </w:r>
      <w:r>
        <w:rPr>
          <w:rFonts w:hint="eastAsia"/>
          <w:b/>
          <w:color w:val="auto"/>
          <w:sz w:val="24"/>
          <w:highlight w:val="none"/>
          <w:lang w:val="en-US" w:eastAsia="zh-CN"/>
        </w:rPr>
        <w:t xml:space="preserve">10 </w:t>
      </w:r>
      <w:r>
        <w:rPr>
          <w:rFonts w:hint="eastAsia" w:ascii="宋体" w:hAnsi="宋体"/>
          <w:b/>
          <w:color w:val="auto"/>
          <w:sz w:val="24"/>
          <w:highlight w:val="none"/>
        </w:rPr>
        <w:t xml:space="preserve"> </w:t>
      </w:r>
      <w:r>
        <w:rPr>
          <w:rFonts w:hint="eastAsia" w:cs="宋体"/>
          <w:b/>
          <w:color w:val="auto"/>
          <w:sz w:val="24"/>
          <w:highlight w:val="none"/>
          <w:lang w:val="en-US" w:eastAsia="zh-CN"/>
        </w:rPr>
        <w:t>双</w:t>
      </w:r>
      <w:r>
        <w:rPr>
          <w:rFonts w:hint="eastAsia" w:ascii="宋体" w:hAnsi="宋体"/>
          <w:b/>
          <w:bCs/>
          <w:color w:val="auto"/>
          <w:sz w:val="24"/>
          <w:highlight w:val="none"/>
        </w:rPr>
        <w:t>回路线路</w:t>
      </w:r>
      <w:r>
        <w:rPr>
          <w:rFonts w:hint="eastAsia" w:ascii="宋体" w:hAnsi="宋体"/>
          <w:b/>
          <w:bCs/>
          <w:color w:val="auto"/>
          <w:sz w:val="24"/>
          <w:highlight w:val="none"/>
          <w:lang w:val="en-US" w:eastAsia="zh-CN"/>
        </w:rPr>
        <w:t>工</w:t>
      </w:r>
      <w:r>
        <w:rPr>
          <w:rFonts w:hint="eastAsia" w:ascii="宋体" w:hAnsi="宋体"/>
          <w:b/>
          <w:bCs/>
          <w:color w:val="auto"/>
          <w:sz w:val="24"/>
          <w:highlight w:val="none"/>
        </w:rPr>
        <w:t>频磁感应强度预测分布曲线</w:t>
      </w:r>
      <w:r>
        <w:rPr>
          <w:rFonts w:hint="eastAsia" w:ascii="宋体" w:hAnsi="宋体"/>
          <w:b/>
          <w:bCs/>
          <w:color w:val="auto"/>
          <w:sz w:val="24"/>
          <w:highlight w:val="none"/>
          <w:lang w:eastAsia="zh-CN"/>
        </w:rPr>
        <w:t>（</w:t>
      </w:r>
      <w:r>
        <w:rPr>
          <w:rFonts w:hint="eastAsia" w:ascii="宋体" w:hAnsi="宋体"/>
          <w:b/>
          <w:bCs w:val="0"/>
          <w:color w:val="auto"/>
          <w:sz w:val="24"/>
          <w:highlight w:val="none"/>
          <w:lang w:val="en-US" w:eastAsia="zh-CN"/>
        </w:rPr>
        <w:t>SDJC）</w:t>
      </w:r>
    </w:p>
    <w:p w14:paraId="394BBE6F">
      <w:pPr>
        <w:keepNext w:val="0"/>
        <w:keepLines w:val="0"/>
        <w:pageBreakBefore w:val="0"/>
        <w:widowControl w:val="0"/>
        <w:kinsoku/>
        <w:wordWrap/>
        <w:overflowPunct/>
        <w:topLinePunct w:val="0"/>
        <w:autoSpaceDE/>
        <w:autoSpaceDN/>
        <w:bidi w:val="0"/>
        <w:adjustRightInd/>
        <w:snapToGrid w:val="0"/>
        <w:spacing w:line="480" w:lineRule="exact"/>
        <w:textAlignment w:val="auto"/>
        <w:outlineLvl w:val="2"/>
        <w:rPr>
          <w:rFonts w:hint="default" w:ascii="Calibri" w:hAnsi="Calibri" w:eastAsia="宋体" w:cs="Calibri"/>
          <w:b/>
          <w:color w:val="auto"/>
          <w:kern w:val="15"/>
          <w:sz w:val="24"/>
          <w:highlight w:val="none"/>
        </w:rPr>
      </w:pPr>
      <w:bookmarkStart w:id="125" w:name="_Toc6680"/>
      <w:r>
        <w:rPr>
          <w:rFonts w:hint="default" w:ascii="Calibri" w:hAnsi="Calibri" w:eastAsia="宋体" w:cs="Calibri"/>
          <w:b/>
          <w:color w:val="auto"/>
          <w:kern w:val="15"/>
          <w:sz w:val="24"/>
          <w:highlight w:val="none"/>
        </w:rPr>
        <w:t>3.</w:t>
      </w:r>
      <w:r>
        <w:rPr>
          <w:rFonts w:hint="default" w:ascii="Calibri" w:hAnsi="Calibri" w:eastAsia="宋体" w:cs="Calibri"/>
          <w:b/>
          <w:color w:val="auto"/>
          <w:kern w:val="15"/>
          <w:sz w:val="24"/>
          <w:highlight w:val="none"/>
          <w:lang w:val="en-US" w:eastAsia="zh-CN"/>
        </w:rPr>
        <w:t>2</w:t>
      </w:r>
      <w:r>
        <w:rPr>
          <w:rFonts w:hint="default" w:ascii="Calibri" w:hAnsi="Calibri" w:eastAsia="宋体" w:cs="Calibri"/>
          <w:b/>
          <w:color w:val="auto"/>
          <w:kern w:val="15"/>
          <w:sz w:val="24"/>
          <w:highlight w:val="none"/>
        </w:rPr>
        <w:t>.</w:t>
      </w:r>
      <w:r>
        <w:rPr>
          <w:rFonts w:hint="default" w:ascii="Calibri" w:hAnsi="Calibri" w:eastAsia="宋体" w:cs="Calibri"/>
          <w:b/>
          <w:color w:val="auto"/>
          <w:kern w:val="15"/>
          <w:sz w:val="24"/>
          <w:highlight w:val="none"/>
          <w:lang w:val="en-US" w:eastAsia="zh-CN"/>
        </w:rPr>
        <w:t>4</w:t>
      </w:r>
      <w:r>
        <w:rPr>
          <w:rFonts w:hint="default" w:ascii="Calibri" w:hAnsi="Calibri" w:eastAsia="宋体" w:cs="Calibri"/>
          <w:b/>
          <w:color w:val="auto"/>
          <w:kern w:val="15"/>
          <w:sz w:val="24"/>
          <w:highlight w:val="none"/>
        </w:rPr>
        <w:t>计算结果分析</w:t>
      </w:r>
      <w:bookmarkEnd w:id="125"/>
    </w:p>
    <w:p w14:paraId="33940A5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Calibri" w:hAnsi="Calibri" w:eastAsia="宋体" w:cs="Calibri"/>
          <w:color w:val="auto"/>
          <w:sz w:val="24"/>
        </w:rPr>
      </w:pPr>
      <w:r>
        <w:rPr>
          <w:rFonts w:hint="eastAsia" w:ascii="Calibri" w:hAnsi="Calibri" w:cs="Calibri"/>
          <w:color w:val="auto"/>
          <w:sz w:val="24"/>
          <w:lang w:eastAsia="zh-CN"/>
        </w:rPr>
        <w:t>（</w:t>
      </w:r>
      <w:r>
        <w:rPr>
          <w:rFonts w:hint="eastAsia" w:ascii="Calibri" w:hAnsi="Calibri" w:cs="Calibri"/>
          <w:color w:val="auto"/>
          <w:sz w:val="24"/>
          <w:lang w:val="en-US" w:eastAsia="zh-CN"/>
        </w:rPr>
        <w:t>1</w:t>
      </w:r>
      <w:r>
        <w:rPr>
          <w:rFonts w:hint="eastAsia" w:ascii="Calibri" w:hAnsi="Calibri" w:cs="Calibri"/>
          <w:color w:val="auto"/>
          <w:sz w:val="24"/>
          <w:lang w:eastAsia="zh-CN"/>
        </w:rPr>
        <w:t>）</w:t>
      </w:r>
      <w:r>
        <w:rPr>
          <w:rFonts w:hint="default" w:ascii="Calibri" w:hAnsi="Calibri" w:eastAsia="宋体" w:cs="Calibri"/>
          <w:color w:val="auto"/>
          <w:sz w:val="24"/>
        </w:rPr>
        <w:t>单回路预测结果分析：</w:t>
      </w:r>
    </w:p>
    <w:p w14:paraId="2EEDE2E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Calibri" w:hAnsi="Calibri" w:eastAsia="宋体" w:cs="Calibri"/>
          <w:color w:val="auto"/>
          <w:sz w:val="24"/>
        </w:rPr>
      </w:pPr>
      <w:r>
        <w:rPr>
          <w:rFonts w:hint="default" w:ascii="Calibri" w:hAnsi="Calibri" w:eastAsia="宋体" w:cs="Calibri"/>
          <w:color w:val="auto"/>
          <w:sz w:val="24"/>
        </w:rPr>
        <w:t>根据预测结果分析可知，当线高按6.0m预测</w:t>
      </w:r>
      <w:r>
        <w:rPr>
          <w:rFonts w:hint="eastAsia" w:ascii="Calibri" w:hAnsi="Calibri" w:cs="Calibri"/>
          <w:color w:val="auto"/>
          <w:sz w:val="24"/>
          <w:lang w:eastAsia="zh-CN"/>
        </w:rPr>
        <w:t>（</w:t>
      </w:r>
      <w:r>
        <w:rPr>
          <w:rFonts w:hint="default" w:ascii="Calibri" w:hAnsi="Calibri" w:eastAsia="宋体" w:cs="Calibri"/>
          <w:color w:val="auto"/>
          <w:sz w:val="24"/>
        </w:rPr>
        <w:t>经过非居民区</w:t>
      </w:r>
      <w:r>
        <w:rPr>
          <w:rFonts w:hint="eastAsia" w:ascii="Calibri" w:hAnsi="Calibri" w:cs="Calibri"/>
          <w:color w:val="auto"/>
          <w:sz w:val="24"/>
          <w:lang w:eastAsia="zh-CN"/>
        </w:rPr>
        <w:t>）</w:t>
      </w:r>
      <w:r>
        <w:rPr>
          <w:rFonts w:hint="default" w:ascii="Calibri" w:hAnsi="Calibri" w:eastAsia="宋体" w:cs="Calibri"/>
          <w:color w:val="auto"/>
          <w:sz w:val="24"/>
        </w:rPr>
        <w:t>，线路工频电场强度最大值为2.721kV/m、工频磁感应强度最大值为28.63μT，线路运行产生的工频电场强度能满足不大于10kV/m的控制限值要求，线路运行产生的工频磁感应强度能满足不大于100μT控制限值。当计算线高按7.0m预测</w:t>
      </w:r>
      <w:r>
        <w:rPr>
          <w:rFonts w:hint="eastAsia" w:ascii="Calibri" w:hAnsi="Calibri" w:cs="Calibri"/>
          <w:color w:val="auto"/>
          <w:sz w:val="24"/>
          <w:lang w:eastAsia="zh-CN"/>
        </w:rPr>
        <w:t>（</w:t>
      </w:r>
      <w:r>
        <w:rPr>
          <w:rFonts w:hint="default" w:ascii="Calibri" w:hAnsi="Calibri" w:eastAsia="宋体" w:cs="Calibri"/>
          <w:color w:val="auto"/>
          <w:sz w:val="24"/>
        </w:rPr>
        <w:t>经过居民区</w:t>
      </w:r>
      <w:r>
        <w:rPr>
          <w:rFonts w:hint="eastAsia" w:ascii="Calibri" w:hAnsi="Calibri" w:cs="Calibri"/>
          <w:color w:val="auto"/>
          <w:sz w:val="24"/>
          <w:lang w:eastAsia="zh-CN"/>
        </w:rPr>
        <w:t>）</w:t>
      </w:r>
      <w:r>
        <w:rPr>
          <w:rFonts w:hint="default" w:ascii="Calibri" w:hAnsi="Calibri" w:eastAsia="宋体" w:cs="Calibri"/>
          <w:color w:val="auto"/>
          <w:sz w:val="24"/>
        </w:rPr>
        <w:t>，线路工频电场强度最大值为2.113kV/m、工频磁感应强度最大值为23.06μT，线路运行产生的工频电场强度可满足不大于4kV/m要求，工频磁感应强度能满足不大于100μT控制限值。</w:t>
      </w:r>
    </w:p>
    <w:p w14:paraId="12F5905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Calibri" w:hAnsi="Calibri" w:eastAsia="宋体" w:cs="Calibri"/>
          <w:color w:val="auto"/>
          <w:sz w:val="24"/>
        </w:rPr>
      </w:pPr>
      <w:r>
        <w:rPr>
          <w:rFonts w:hint="eastAsia" w:ascii="Calibri" w:hAnsi="Calibri" w:cs="Calibri"/>
          <w:color w:val="auto"/>
          <w:sz w:val="24"/>
          <w:lang w:eastAsia="zh-CN"/>
        </w:rPr>
        <w:t>（</w:t>
      </w:r>
      <w:r>
        <w:rPr>
          <w:rFonts w:hint="eastAsia" w:ascii="Calibri" w:hAnsi="Calibri" w:cs="Calibri"/>
          <w:color w:val="auto"/>
          <w:sz w:val="24"/>
          <w:lang w:val="en-US" w:eastAsia="zh-CN"/>
        </w:rPr>
        <w:t>2</w:t>
      </w:r>
      <w:r>
        <w:rPr>
          <w:rFonts w:hint="eastAsia" w:ascii="Calibri" w:hAnsi="Calibri" w:cs="Calibri"/>
          <w:color w:val="auto"/>
          <w:sz w:val="24"/>
          <w:lang w:eastAsia="zh-CN"/>
        </w:rPr>
        <w:t>）</w:t>
      </w:r>
      <w:r>
        <w:rPr>
          <w:rFonts w:hint="default" w:ascii="Calibri" w:hAnsi="Calibri" w:eastAsia="宋体" w:cs="Calibri"/>
          <w:color w:val="auto"/>
          <w:sz w:val="24"/>
        </w:rPr>
        <w:t>双回路预测结果分析：</w:t>
      </w:r>
    </w:p>
    <w:p w14:paraId="38305D0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Calibri" w:hAnsi="Calibri" w:eastAsia="宋体" w:cs="Calibri"/>
          <w:color w:val="auto"/>
          <w:sz w:val="24"/>
        </w:rPr>
      </w:pPr>
      <w:r>
        <w:rPr>
          <w:rFonts w:hint="default" w:ascii="Calibri" w:hAnsi="Calibri" w:eastAsia="宋体" w:cs="Calibri"/>
          <w:color w:val="auto"/>
          <w:sz w:val="24"/>
        </w:rPr>
        <w:t>根据预测结果分析可知，同塔双回路电磁预测结果分析可知，SZC4塔型和SDJC塔型线高按6.0m预测</w:t>
      </w:r>
      <w:r>
        <w:rPr>
          <w:rFonts w:hint="eastAsia" w:ascii="Calibri" w:hAnsi="Calibri" w:cs="Calibri"/>
          <w:color w:val="auto"/>
          <w:sz w:val="24"/>
          <w:lang w:eastAsia="zh-CN"/>
        </w:rPr>
        <w:t>（</w:t>
      </w:r>
      <w:r>
        <w:rPr>
          <w:rFonts w:hint="default" w:ascii="Calibri" w:hAnsi="Calibri" w:eastAsia="宋体" w:cs="Calibri"/>
          <w:color w:val="auto"/>
          <w:sz w:val="24"/>
        </w:rPr>
        <w:t>经过非居民区</w:t>
      </w:r>
      <w:r>
        <w:rPr>
          <w:rFonts w:hint="eastAsia" w:ascii="Calibri" w:hAnsi="Calibri" w:cs="Calibri"/>
          <w:color w:val="auto"/>
          <w:sz w:val="24"/>
          <w:lang w:eastAsia="zh-CN"/>
        </w:rPr>
        <w:t>）</w:t>
      </w:r>
      <w:r>
        <w:rPr>
          <w:rFonts w:hint="default" w:ascii="Calibri" w:hAnsi="Calibri" w:eastAsia="宋体" w:cs="Calibri"/>
          <w:color w:val="auto"/>
          <w:sz w:val="24"/>
        </w:rPr>
        <w:t>，线路工频电场强度最大值分别为2.830kV/m和2.709kV/m、工频磁感应强度最大值分别为18.76μT和17.78μT，线路运行产生的工频电场强度能满足不大于10kV/m的控制限值要求，线路运行产生的工频磁感应强度能满足不大于100μT控制限值。当计算线高按7.0m预测</w:t>
      </w:r>
      <w:r>
        <w:rPr>
          <w:rFonts w:hint="eastAsia" w:ascii="Calibri" w:hAnsi="Calibri" w:cs="Calibri"/>
          <w:color w:val="auto"/>
          <w:sz w:val="24"/>
          <w:lang w:eastAsia="zh-CN"/>
        </w:rPr>
        <w:t>（</w:t>
      </w:r>
      <w:r>
        <w:rPr>
          <w:rFonts w:hint="default" w:ascii="Calibri" w:hAnsi="Calibri" w:eastAsia="宋体" w:cs="Calibri"/>
          <w:color w:val="auto"/>
          <w:sz w:val="24"/>
        </w:rPr>
        <w:t>经过居民区</w:t>
      </w:r>
      <w:r>
        <w:rPr>
          <w:rFonts w:hint="eastAsia" w:ascii="Calibri" w:hAnsi="Calibri" w:cs="Calibri"/>
          <w:color w:val="auto"/>
          <w:sz w:val="24"/>
          <w:lang w:eastAsia="zh-CN"/>
        </w:rPr>
        <w:t>）</w:t>
      </w:r>
      <w:r>
        <w:rPr>
          <w:rFonts w:hint="default" w:ascii="Calibri" w:hAnsi="Calibri" w:eastAsia="宋体" w:cs="Calibri"/>
          <w:color w:val="auto"/>
          <w:sz w:val="24"/>
        </w:rPr>
        <w:t>，线路工频电场强度最大值分别为2.350kV/m和2.227kV/m、工频磁感应强度最大值分别为15.14μT和14.22μT，线路运行产生的工频电场强度可满足不大于4kV/m要求，工频磁感应强度能满足不大于100μT控制限值。</w:t>
      </w:r>
    </w:p>
    <w:p w14:paraId="59F6AB43">
      <w:pPr>
        <w:pStyle w:val="3"/>
        <w:keepNext/>
        <w:keepLines/>
        <w:pageBreakBefore w:val="0"/>
        <w:widowControl w:val="0"/>
        <w:tabs>
          <w:tab w:val="left" w:pos="425"/>
        </w:tabs>
        <w:kinsoku/>
        <w:wordWrap/>
        <w:overflowPunct/>
        <w:topLinePunct w:val="0"/>
        <w:autoSpaceDE/>
        <w:autoSpaceDN/>
        <w:bidi w:val="0"/>
        <w:adjustRightInd w:val="0"/>
        <w:snapToGrid w:val="0"/>
        <w:spacing w:before="0" w:after="0" w:line="480" w:lineRule="exact"/>
        <w:ind w:left="0" w:leftChars="0" w:right="0" w:rightChars="0" w:firstLine="0" w:firstLineChars="0"/>
        <w:jc w:val="both"/>
        <w:textAlignment w:val="auto"/>
        <w:outlineLvl w:val="0"/>
        <w:rPr>
          <w:rFonts w:hint="default" w:ascii="Calibri" w:hAnsi="Calibri" w:eastAsia="宋体" w:cs="Calibri"/>
          <w:b/>
          <w:color w:val="000000"/>
          <w:szCs w:val="22"/>
        </w:rPr>
      </w:pPr>
      <w:bookmarkStart w:id="126" w:name="_Toc4953"/>
      <w:bookmarkStart w:id="127" w:name="_Toc23895"/>
      <w:bookmarkStart w:id="128" w:name="_Toc18845"/>
      <w:bookmarkStart w:id="129" w:name="_Toc57028488"/>
      <w:r>
        <w:rPr>
          <w:rFonts w:hint="default" w:ascii="Calibri" w:hAnsi="Calibri" w:eastAsia="宋体" w:cs="Calibri"/>
          <w:b/>
          <w:color w:val="000000"/>
          <w:szCs w:val="22"/>
          <w:lang w:val="en-US" w:eastAsia="zh-CN"/>
        </w:rPr>
        <w:t>4</w:t>
      </w:r>
      <w:r>
        <w:rPr>
          <w:rFonts w:hint="default" w:ascii="Calibri" w:hAnsi="Calibri" w:eastAsia="宋体" w:cs="Calibri"/>
          <w:b/>
          <w:color w:val="000000"/>
          <w:szCs w:val="22"/>
        </w:rPr>
        <w:t>电磁环境保护措施</w:t>
      </w:r>
      <w:bookmarkEnd w:id="126"/>
      <w:bookmarkEnd w:id="127"/>
      <w:bookmarkEnd w:id="128"/>
      <w:bookmarkEnd w:id="129"/>
    </w:p>
    <w:p w14:paraId="0B17BDE7">
      <w:pPr>
        <w:keepNext w:val="0"/>
        <w:keepLines w:val="0"/>
        <w:pageBreakBefore w:val="0"/>
        <w:widowControl w:val="0"/>
        <w:numPr>
          <w:ilvl w:val="0"/>
          <w:numId w:val="4"/>
        </w:numPr>
        <w:kinsoku/>
        <w:wordWrap/>
        <w:overflowPunct/>
        <w:topLinePunct w:val="0"/>
        <w:autoSpaceDE/>
        <w:autoSpaceDN/>
        <w:bidi w:val="0"/>
        <w:adjustRightInd/>
        <w:snapToGrid w:val="0"/>
        <w:spacing w:line="480" w:lineRule="exact"/>
        <w:ind w:left="0" w:leftChars="0" w:right="0" w:rightChars="0" w:firstLine="480" w:firstLineChars="200"/>
        <w:jc w:val="both"/>
        <w:textAlignment w:val="auto"/>
        <w:outlineLvl w:val="9"/>
        <w:rPr>
          <w:rFonts w:hint="default" w:ascii="Calibri" w:hAnsi="Calibri" w:eastAsia="宋体" w:cs="Calibri"/>
          <w:color w:val="000000"/>
          <w:sz w:val="24"/>
        </w:rPr>
      </w:pPr>
      <w:r>
        <w:rPr>
          <w:rFonts w:hint="default" w:ascii="Calibri" w:hAnsi="Calibri" w:eastAsia="宋体" w:cs="Calibri"/>
          <w:color w:val="000000"/>
          <w:sz w:val="24"/>
        </w:rPr>
        <w:t>线路建成后，应加强输电线路防护距离宣传教育和督查工作，导线下方不得再建设房屋。</w:t>
      </w:r>
    </w:p>
    <w:p w14:paraId="5271C2ED">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jc w:val="both"/>
        <w:textAlignment w:val="auto"/>
        <w:outlineLvl w:val="9"/>
        <w:rPr>
          <w:rFonts w:hint="default" w:ascii="Calibri" w:hAnsi="Calibri" w:eastAsia="宋体" w:cs="Calibri"/>
          <w:color w:val="000000"/>
          <w:sz w:val="24"/>
        </w:rPr>
      </w:pPr>
      <w:r>
        <w:rPr>
          <w:rFonts w:hint="eastAsia" w:ascii="Calibri" w:hAnsi="Calibri" w:cs="Calibri"/>
          <w:color w:val="000000"/>
          <w:sz w:val="24"/>
          <w:lang w:eastAsia="zh-CN"/>
        </w:rPr>
        <w:t>（2）</w:t>
      </w:r>
      <w:r>
        <w:rPr>
          <w:rFonts w:hint="default" w:ascii="Calibri" w:hAnsi="Calibri" w:eastAsia="宋体" w:cs="Calibri"/>
          <w:color w:val="000000"/>
          <w:sz w:val="24"/>
        </w:rPr>
        <w:t>线路选用的导线质量应符合国家相关标准的要求，防止由于导线缺陷导致的</w:t>
      </w:r>
      <w:r>
        <w:rPr>
          <w:rFonts w:hint="eastAsia" w:ascii="Calibri" w:hAnsi="Calibri" w:cs="Calibri"/>
          <w:color w:val="000000"/>
          <w:sz w:val="24"/>
          <w:lang w:eastAsia="zh-CN"/>
        </w:rPr>
        <w:t>电阻</w:t>
      </w:r>
      <w:r>
        <w:rPr>
          <w:rFonts w:hint="default" w:ascii="Calibri" w:hAnsi="Calibri" w:eastAsia="宋体" w:cs="Calibri"/>
          <w:color w:val="000000"/>
          <w:sz w:val="24"/>
        </w:rPr>
        <w:t>增加，降低线路运行时产生的噪声。</w:t>
      </w:r>
    </w:p>
    <w:p w14:paraId="1ED5BC79">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jc w:val="both"/>
        <w:textAlignment w:val="auto"/>
        <w:outlineLvl w:val="9"/>
        <w:rPr>
          <w:rFonts w:hint="default" w:ascii="Calibri" w:hAnsi="Calibri" w:eastAsia="宋体" w:cs="Calibri"/>
          <w:color w:val="000000"/>
          <w:sz w:val="24"/>
        </w:rPr>
      </w:pPr>
      <w:r>
        <w:rPr>
          <w:rFonts w:hint="eastAsia" w:ascii="Calibri" w:hAnsi="Calibri" w:cs="Calibri"/>
          <w:color w:val="000000"/>
          <w:sz w:val="24"/>
          <w:lang w:eastAsia="zh-CN"/>
        </w:rPr>
        <w:t>（3）</w:t>
      </w:r>
      <w:r>
        <w:rPr>
          <w:rFonts w:hint="default" w:ascii="Calibri" w:hAnsi="Calibri" w:eastAsia="宋体" w:cs="Calibri"/>
          <w:color w:val="000000"/>
          <w:sz w:val="24"/>
        </w:rPr>
        <w:t>做好警示和防护指示标志及环保标志的悬挂设立工作，禁止无关人员进入变电站或靠近带电架构。</w:t>
      </w:r>
    </w:p>
    <w:p w14:paraId="1C0BA19D">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jc w:val="both"/>
        <w:textAlignment w:val="auto"/>
        <w:outlineLvl w:val="9"/>
        <w:rPr>
          <w:rFonts w:hint="default" w:ascii="Calibri" w:hAnsi="Calibri" w:eastAsia="宋体" w:cs="Calibri"/>
          <w:color w:val="000000"/>
          <w:sz w:val="24"/>
        </w:rPr>
      </w:pPr>
      <w:r>
        <w:rPr>
          <w:rFonts w:hint="eastAsia" w:ascii="Calibri" w:hAnsi="Calibri" w:cs="Calibri"/>
          <w:color w:val="000000"/>
          <w:sz w:val="24"/>
          <w:lang w:eastAsia="zh-CN"/>
        </w:rPr>
        <w:t>（4）</w:t>
      </w:r>
      <w:r>
        <w:rPr>
          <w:rFonts w:hint="default" w:ascii="Calibri" w:hAnsi="Calibri" w:eastAsia="宋体" w:cs="Calibri"/>
          <w:color w:val="000000"/>
          <w:sz w:val="24"/>
        </w:rPr>
        <w:t>建设单位应设立一名兼职的环保工作人员，负责输电线路运行期间的环境保护工作，并做好对线路沿线群众的电磁环境知识的宣传。</w:t>
      </w:r>
    </w:p>
    <w:p w14:paraId="6A4B5C8A">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jc w:val="both"/>
        <w:textAlignment w:val="auto"/>
        <w:outlineLvl w:val="9"/>
        <w:rPr>
          <w:rFonts w:hint="default" w:ascii="Calibri" w:hAnsi="Calibri" w:eastAsia="宋体" w:cs="Calibri"/>
          <w:color w:val="000000"/>
          <w:sz w:val="24"/>
        </w:rPr>
      </w:pPr>
      <w:r>
        <w:rPr>
          <w:rFonts w:hint="eastAsia" w:ascii="Calibri" w:hAnsi="Calibri" w:cs="Calibri"/>
          <w:color w:val="000000"/>
          <w:sz w:val="24"/>
          <w:lang w:eastAsia="zh-CN"/>
        </w:rPr>
        <w:t>（5）</w:t>
      </w:r>
      <w:r>
        <w:rPr>
          <w:rFonts w:hint="default" w:ascii="Calibri" w:hAnsi="Calibri" w:eastAsia="宋体" w:cs="Calibri"/>
          <w:color w:val="000000"/>
          <w:sz w:val="24"/>
        </w:rPr>
        <w:t>对员工进行电磁基础知识培训，在巡检带电维修过程中，尽可能减少</w:t>
      </w:r>
      <w:r>
        <w:rPr>
          <w:rFonts w:hint="eastAsia" w:ascii="Calibri" w:hAnsi="Calibri" w:cs="Calibri"/>
          <w:color w:val="000000"/>
          <w:sz w:val="24"/>
          <w:lang w:eastAsia="zh-CN"/>
        </w:rPr>
        <w:t>暴露</w:t>
      </w:r>
      <w:r>
        <w:rPr>
          <w:rFonts w:hint="default" w:ascii="Calibri" w:hAnsi="Calibri" w:eastAsia="宋体" w:cs="Calibri"/>
          <w:color w:val="000000"/>
          <w:sz w:val="24"/>
        </w:rPr>
        <w:t>在电磁场中的时间。</w:t>
      </w:r>
    </w:p>
    <w:p w14:paraId="6315C6B3">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jc w:val="both"/>
        <w:textAlignment w:val="auto"/>
        <w:outlineLvl w:val="9"/>
        <w:rPr>
          <w:rFonts w:hint="default" w:ascii="Calibri" w:hAnsi="Calibri" w:eastAsia="宋体" w:cs="Calibri"/>
          <w:color w:val="000000"/>
          <w:sz w:val="24"/>
          <w:lang w:eastAsia="zh-CN"/>
        </w:rPr>
      </w:pPr>
      <w:r>
        <w:rPr>
          <w:rFonts w:hint="eastAsia" w:ascii="Calibri" w:hAnsi="Calibri" w:cs="Calibri"/>
          <w:color w:val="000000"/>
          <w:sz w:val="24"/>
          <w:lang w:eastAsia="zh-CN"/>
        </w:rPr>
        <w:t>（6）</w:t>
      </w:r>
      <w:r>
        <w:rPr>
          <w:rFonts w:hint="default" w:ascii="Calibri" w:hAnsi="Calibri" w:eastAsia="宋体" w:cs="Calibri"/>
          <w:color w:val="000000"/>
          <w:sz w:val="24"/>
          <w:lang w:eastAsia="zh-CN"/>
        </w:rPr>
        <w:t>本项目</w:t>
      </w:r>
      <w:r>
        <w:rPr>
          <w:rFonts w:hint="default" w:ascii="Calibri" w:hAnsi="Calibri" w:eastAsia="宋体" w:cs="Calibri"/>
          <w:color w:val="000000"/>
          <w:sz w:val="24"/>
        </w:rPr>
        <w:t>线路工频电场、工频磁场满足设计规范要求，线路</w:t>
      </w:r>
      <w:r>
        <w:rPr>
          <w:rFonts w:hint="default" w:ascii="Calibri" w:hAnsi="Calibri" w:eastAsia="宋体" w:cs="Calibri"/>
          <w:color w:val="000000"/>
          <w:sz w:val="24"/>
          <w:lang w:val="en-US" w:eastAsia="zh-CN"/>
        </w:rPr>
        <w:t>经过</w:t>
      </w:r>
      <w:r>
        <w:rPr>
          <w:rFonts w:hint="default" w:ascii="Calibri" w:hAnsi="Calibri" w:eastAsia="宋体" w:cs="Calibri"/>
          <w:color w:val="000000"/>
          <w:sz w:val="24"/>
        </w:rPr>
        <w:t>公路、通讯线、电力线时，严格按照有关规范要求留有足够净空距离，控制地面最大场强，使线路运行产生的电场强度对交叉跨越的对象无影响</w:t>
      </w:r>
      <w:r>
        <w:rPr>
          <w:rFonts w:hint="default" w:ascii="Calibri" w:hAnsi="Calibri" w:eastAsia="宋体" w:cs="Calibri"/>
          <w:color w:val="000000"/>
          <w:sz w:val="24"/>
          <w:lang w:eastAsia="zh-CN"/>
        </w:rPr>
        <w:t>。</w:t>
      </w:r>
    </w:p>
    <w:p w14:paraId="41126CA5">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jc w:val="both"/>
        <w:textAlignment w:val="auto"/>
        <w:outlineLvl w:val="9"/>
        <w:rPr>
          <w:rFonts w:hint="default" w:ascii="Calibri" w:hAnsi="Calibri" w:eastAsia="宋体" w:cs="Calibri"/>
          <w:color w:val="000000"/>
          <w:sz w:val="24"/>
        </w:rPr>
      </w:pPr>
      <w:r>
        <w:rPr>
          <w:rFonts w:hint="eastAsia" w:ascii="Calibri" w:hAnsi="Calibri" w:cs="Calibri"/>
          <w:color w:val="000000"/>
          <w:sz w:val="24"/>
          <w:lang w:eastAsia="zh-CN"/>
        </w:rPr>
        <w:t>（7）</w:t>
      </w:r>
      <w:r>
        <w:rPr>
          <w:rFonts w:hint="default" w:ascii="Calibri" w:hAnsi="Calibri" w:eastAsia="宋体" w:cs="Calibri"/>
          <w:color w:val="000000"/>
          <w:sz w:val="24"/>
        </w:rPr>
        <w:t>制定安全操作规程，加强职工安全教育，加强电磁水平监测</w:t>
      </w:r>
      <w:r>
        <w:rPr>
          <w:rFonts w:hint="default" w:ascii="Calibri" w:hAnsi="Calibri" w:eastAsia="宋体" w:cs="Calibri"/>
          <w:color w:val="000000"/>
          <w:sz w:val="24"/>
          <w:lang w:eastAsia="zh-CN"/>
        </w:rPr>
        <w:t>。</w:t>
      </w:r>
    </w:p>
    <w:p w14:paraId="63644DC4">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jc w:val="both"/>
        <w:textAlignment w:val="auto"/>
        <w:outlineLvl w:val="9"/>
        <w:rPr>
          <w:rFonts w:hint="default" w:ascii="Calibri" w:hAnsi="Calibri" w:eastAsia="宋体" w:cs="Calibri"/>
          <w:color w:val="000000"/>
          <w:sz w:val="24"/>
        </w:rPr>
      </w:pPr>
      <w:r>
        <w:rPr>
          <w:rFonts w:hint="eastAsia" w:ascii="Calibri" w:hAnsi="Calibri" w:cs="Calibri"/>
          <w:color w:val="000000"/>
          <w:sz w:val="24"/>
          <w:lang w:eastAsia="zh-CN"/>
        </w:rPr>
        <w:t>（8）</w:t>
      </w:r>
      <w:r>
        <w:rPr>
          <w:rFonts w:hint="default" w:ascii="Calibri" w:hAnsi="Calibri" w:eastAsia="宋体" w:cs="Calibri"/>
          <w:color w:val="000000"/>
          <w:sz w:val="24"/>
        </w:rPr>
        <w:t>建立环境风险事故应急响应机制，降低风险事故概率。</w:t>
      </w:r>
    </w:p>
    <w:p w14:paraId="5F9EC52E">
      <w:pPr>
        <w:pStyle w:val="3"/>
        <w:keepNext/>
        <w:keepLines/>
        <w:pageBreakBefore w:val="0"/>
        <w:widowControl w:val="0"/>
        <w:tabs>
          <w:tab w:val="left" w:pos="425"/>
        </w:tabs>
        <w:kinsoku/>
        <w:wordWrap/>
        <w:overflowPunct/>
        <w:topLinePunct w:val="0"/>
        <w:autoSpaceDE/>
        <w:autoSpaceDN/>
        <w:bidi w:val="0"/>
        <w:adjustRightInd w:val="0"/>
        <w:snapToGrid w:val="0"/>
        <w:spacing w:before="0" w:after="0" w:line="480" w:lineRule="exact"/>
        <w:ind w:left="0" w:leftChars="0" w:right="0" w:rightChars="0" w:firstLine="0" w:firstLineChars="0"/>
        <w:jc w:val="both"/>
        <w:textAlignment w:val="auto"/>
        <w:outlineLvl w:val="0"/>
        <w:rPr>
          <w:rFonts w:hint="default" w:ascii="Calibri" w:hAnsi="Calibri" w:eastAsia="宋体" w:cs="Calibri"/>
          <w:b/>
          <w:color w:val="000000"/>
        </w:rPr>
      </w:pPr>
      <w:bookmarkStart w:id="130" w:name="_Toc29134"/>
      <w:bookmarkStart w:id="131" w:name="_Toc1720"/>
      <w:bookmarkStart w:id="132" w:name="_Toc6264"/>
      <w:bookmarkStart w:id="133" w:name="_Toc4219"/>
      <w:r>
        <w:rPr>
          <w:rFonts w:hint="default" w:ascii="Calibri" w:hAnsi="Calibri" w:eastAsia="宋体" w:cs="Calibri"/>
          <w:b/>
          <w:color w:val="000000"/>
        </w:rPr>
        <w:t>5电磁环境影响评价结论</w:t>
      </w:r>
      <w:bookmarkEnd w:id="130"/>
      <w:bookmarkEnd w:id="131"/>
      <w:bookmarkEnd w:id="132"/>
      <w:bookmarkEnd w:id="133"/>
    </w:p>
    <w:p w14:paraId="54E9B1A5">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jc w:val="both"/>
        <w:textAlignment w:val="auto"/>
        <w:outlineLvl w:val="9"/>
        <w:rPr>
          <w:rFonts w:hint="default" w:ascii="Calibri" w:hAnsi="Calibri" w:eastAsia="宋体" w:cs="Calibri"/>
          <w:color w:val="000000"/>
          <w:sz w:val="24"/>
          <w:lang w:val="en-US" w:eastAsia="zh-CN"/>
        </w:rPr>
      </w:pPr>
      <w:r>
        <w:rPr>
          <w:rFonts w:hint="eastAsia" w:ascii="Calibri" w:hAnsi="Calibri" w:cs="Calibri"/>
          <w:color w:val="000000"/>
          <w:sz w:val="24"/>
          <w:lang w:eastAsia="zh-CN"/>
        </w:rPr>
        <w:t>（1）</w:t>
      </w:r>
      <w:r>
        <w:rPr>
          <w:rFonts w:hint="default" w:ascii="Calibri" w:hAnsi="Calibri" w:eastAsia="宋体" w:cs="Calibri"/>
          <w:color w:val="000000"/>
          <w:sz w:val="24"/>
        </w:rPr>
        <w:t xml:space="preserve"> 变电站</w:t>
      </w:r>
    </w:p>
    <w:p w14:paraId="214F53DD">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jc w:val="both"/>
        <w:textAlignment w:val="auto"/>
        <w:outlineLvl w:val="9"/>
        <w:rPr>
          <w:rFonts w:hint="default" w:ascii="Calibri" w:hAnsi="Calibri" w:eastAsia="宋体" w:cs="Calibri"/>
          <w:color w:val="000000"/>
          <w:sz w:val="24"/>
        </w:rPr>
      </w:pPr>
      <w:r>
        <w:rPr>
          <w:rFonts w:hint="default" w:ascii="Calibri" w:hAnsi="Calibri" w:eastAsia="宋体" w:cs="Calibri"/>
          <w:color w:val="000000"/>
          <w:sz w:val="24"/>
        </w:rPr>
        <w:t>根据类比监测方式预测结果进行分析，变电站投运后，对变电站周围的环境产生的影响在可以接受的范围，变电站电磁环境影响能满足《电磁环境控制限值》</w:t>
      </w:r>
      <w:r>
        <w:rPr>
          <w:rFonts w:hint="eastAsia" w:ascii="Calibri" w:hAnsi="Calibri" w:cs="Calibri"/>
          <w:color w:val="000000"/>
          <w:sz w:val="24"/>
          <w:lang w:eastAsia="zh-CN"/>
        </w:rPr>
        <w:t>（</w:t>
      </w:r>
      <w:r>
        <w:rPr>
          <w:rFonts w:hint="default" w:ascii="Calibri" w:hAnsi="Calibri" w:eastAsia="宋体" w:cs="Calibri"/>
          <w:color w:val="000000"/>
          <w:sz w:val="24"/>
        </w:rPr>
        <w:t>GB8702-2014</w:t>
      </w:r>
      <w:r>
        <w:rPr>
          <w:rFonts w:hint="eastAsia" w:ascii="Calibri" w:hAnsi="Calibri" w:cs="Calibri"/>
          <w:color w:val="000000"/>
          <w:sz w:val="24"/>
          <w:lang w:eastAsia="zh-CN"/>
        </w:rPr>
        <w:t>）</w:t>
      </w:r>
      <w:r>
        <w:rPr>
          <w:rFonts w:hint="default" w:ascii="Calibri" w:hAnsi="Calibri" w:eastAsia="宋体" w:cs="Calibri"/>
          <w:color w:val="000000"/>
          <w:sz w:val="24"/>
        </w:rPr>
        <w:t>中频率为50Hz时的电场强度≤4</w:t>
      </w:r>
      <w:r>
        <w:rPr>
          <w:rFonts w:hint="default" w:ascii="Calibri" w:hAnsi="Calibri" w:eastAsia="宋体" w:cs="Calibri"/>
          <w:color w:val="000000"/>
          <w:sz w:val="24"/>
          <w:lang w:val="en-US" w:eastAsia="zh-CN"/>
        </w:rPr>
        <w:t>k</w:t>
      </w:r>
      <w:r>
        <w:rPr>
          <w:rFonts w:hint="default" w:ascii="Calibri" w:hAnsi="Calibri" w:eastAsia="宋体" w:cs="Calibri"/>
          <w:color w:val="000000"/>
          <w:sz w:val="24"/>
        </w:rPr>
        <w:t>V/m、磁感应强度≤100μT的限值要求。</w:t>
      </w:r>
    </w:p>
    <w:p w14:paraId="1D824A7F">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jc w:val="both"/>
        <w:textAlignment w:val="auto"/>
        <w:outlineLvl w:val="9"/>
        <w:rPr>
          <w:rFonts w:hint="default" w:ascii="Calibri" w:hAnsi="Calibri" w:eastAsia="宋体" w:cs="Calibri"/>
          <w:color w:val="000000"/>
          <w:sz w:val="24"/>
        </w:rPr>
      </w:pPr>
      <w:r>
        <w:rPr>
          <w:rFonts w:hint="eastAsia" w:ascii="Calibri" w:hAnsi="Calibri" w:cs="Calibri"/>
          <w:color w:val="000000"/>
          <w:sz w:val="24"/>
          <w:lang w:eastAsia="zh-CN"/>
        </w:rPr>
        <w:t>（2）</w:t>
      </w:r>
      <w:r>
        <w:rPr>
          <w:rFonts w:hint="default" w:ascii="Calibri" w:hAnsi="Calibri" w:eastAsia="宋体" w:cs="Calibri"/>
          <w:color w:val="000000"/>
          <w:sz w:val="24"/>
        </w:rPr>
        <w:t xml:space="preserve"> 输电线路</w:t>
      </w:r>
    </w:p>
    <w:p w14:paraId="5A600CB9">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jc w:val="both"/>
        <w:textAlignment w:val="auto"/>
        <w:outlineLvl w:val="9"/>
        <w:rPr>
          <w:rFonts w:hint="default" w:ascii="Calibri" w:hAnsi="Calibri" w:eastAsia="宋体" w:cs="Calibri"/>
          <w:color w:val="000000"/>
          <w:sz w:val="24"/>
          <w:highlight w:val="none"/>
        </w:rPr>
      </w:pPr>
      <w:r>
        <w:rPr>
          <w:rFonts w:hint="default" w:ascii="Calibri" w:hAnsi="Calibri" w:eastAsia="宋体" w:cs="Calibri"/>
          <w:color w:val="000000"/>
          <w:sz w:val="24"/>
        </w:rPr>
        <w:t>根据预测结果分析可知，当线路经过非居民区时，</w:t>
      </w:r>
      <w:r>
        <w:rPr>
          <w:rFonts w:hint="default" w:ascii="Calibri" w:hAnsi="Calibri" w:eastAsia="宋体" w:cs="Calibri"/>
          <w:color w:val="000000"/>
          <w:sz w:val="24"/>
          <w:lang w:val="en-US" w:eastAsia="zh-CN"/>
        </w:rPr>
        <w:t>110kV</w:t>
      </w:r>
      <w:r>
        <w:rPr>
          <w:rFonts w:hint="default" w:ascii="Calibri" w:hAnsi="Calibri" w:eastAsia="宋体" w:cs="Calibri"/>
          <w:color w:val="000000"/>
          <w:sz w:val="24"/>
        </w:rPr>
        <w:t>线路运行产生的工频磁感应强度能满足《电磁环境控制限值》</w:t>
      </w:r>
      <w:r>
        <w:rPr>
          <w:rFonts w:hint="eastAsia" w:ascii="Calibri" w:hAnsi="Calibri" w:cs="Calibri"/>
          <w:color w:val="000000"/>
          <w:sz w:val="24"/>
          <w:lang w:eastAsia="zh-CN"/>
        </w:rPr>
        <w:t>（</w:t>
      </w:r>
      <w:r>
        <w:rPr>
          <w:rFonts w:hint="default" w:ascii="Calibri" w:hAnsi="Calibri" w:eastAsia="宋体" w:cs="Calibri"/>
          <w:color w:val="000000"/>
          <w:sz w:val="24"/>
        </w:rPr>
        <w:t>GB8702-2014</w:t>
      </w:r>
      <w:r>
        <w:rPr>
          <w:rFonts w:hint="eastAsia" w:ascii="Calibri" w:hAnsi="Calibri" w:cs="Calibri"/>
          <w:color w:val="000000"/>
          <w:sz w:val="24"/>
          <w:lang w:eastAsia="zh-CN"/>
        </w:rPr>
        <w:t>）</w:t>
      </w:r>
      <w:r>
        <w:rPr>
          <w:rFonts w:hint="default" w:ascii="Calibri" w:hAnsi="Calibri" w:eastAsia="宋体" w:cs="Calibri"/>
          <w:color w:val="000000"/>
          <w:sz w:val="24"/>
        </w:rPr>
        <w:t>中规定的频率为50Hz时磁感应强度≤100μT控制限值，线路运行产生的工频电场强度能满足《电磁环境控制限值》</w:t>
      </w:r>
      <w:r>
        <w:rPr>
          <w:rFonts w:hint="eastAsia" w:ascii="Calibri" w:hAnsi="Calibri" w:cs="Calibri"/>
          <w:color w:val="000000"/>
          <w:sz w:val="24"/>
          <w:lang w:eastAsia="zh-CN"/>
        </w:rPr>
        <w:t>（</w:t>
      </w:r>
      <w:r>
        <w:rPr>
          <w:rFonts w:hint="default" w:ascii="Calibri" w:hAnsi="Calibri" w:eastAsia="宋体" w:cs="Calibri"/>
          <w:color w:val="000000"/>
          <w:sz w:val="24"/>
        </w:rPr>
        <w:t>GB8702-2014</w:t>
      </w:r>
      <w:r>
        <w:rPr>
          <w:rFonts w:hint="eastAsia" w:ascii="Calibri" w:hAnsi="Calibri" w:cs="Calibri"/>
          <w:color w:val="000000"/>
          <w:sz w:val="24"/>
          <w:lang w:eastAsia="zh-CN"/>
        </w:rPr>
        <w:t>）</w:t>
      </w:r>
      <w:r>
        <w:rPr>
          <w:rFonts w:hint="default" w:ascii="Calibri" w:hAnsi="Calibri" w:eastAsia="宋体" w:cs="Calibri"/>
          <w:color w:val="000000"/>
          <w:sz w:val="24"/>
        </w:rPr>
        <w:t>中规定</w:t>
      </w:r>
      <w:r>
        <w:rPr>
          <w:rFonts w:hint="eastAsia" w:ascii="Calibri" w:hAnsi="Calibri" w:cs="Calibri"/>
          <w:color w:val="000000"/>
          <w:sz w:val="24"/>
          <w:lang w:eastAsia="zh-CN"/>
        </w:rPr>
        <w:t>（</w:t>
      </w:r>
      <w:r>
        <w:rPr>
          <w:rFonts w:hint="default" w:ascii="Calibri" w:hAnsi="Calibri" w:eastAsia="宋体" w:cs="Calibri"/>
          <w:color w:val="000000"/>
          <w:sz w:val="24"/>
        </w:rPr>
        <w:t>架空输电线路线下的耕地、园地、牧草地、畜禽饲养地、养殖水面、道路等场所，其频率50Hz</w:t>
      </w:r>
      <w:r>
        <w:rPr>
          <w:rFonts w:hint="eastAsia" w:ascii="Calibri" w:hAnsi="Calibri" w:cs="Calibri"/>
          <w:color w:val="000000"/>
          <w:sz w:val="24"/>
          <w:lang w:eastAsia="zh-CN"/>
        </w:rPr>
        <w:t>）</w:t>
      </w:r>
      <w:r>
        <w:rPr>
          <w:rFonts w:hint="default" w:ascii="Calibri" w:hAnsi="Calibri" w:eastAsia="宋体" w:cs="Calibri"/>
          <w:color w:val="000000"/>
          <w:sz w:val="24"/>
        </w:rPr>
        <w:t>的电场强度≤10kV/m的控制限值</w:t>
      </w:r>
      <w:r>
        <w:rPr>
          <w:rFonts w:hint="default" w:ascii="Calibri" w:hAnsi="Calibri" w:eastAsia="宋体" w:cs="Calibri"/>
          <w:color w:val="000000"/>
          <w:sz w:val="24"/>
          <w:lang w:eastAsia="zh-CN"/>
        </w:rPr>
        <w:t>。</w:t>
      </w:r>
      <w:r>
        <w:rPr>
          <w:rFonts w:hint="default" w:ascii="Calibri" w:hAnsi="Calibri" w:eastAsia="宋体" w:cs="Calibri"/>
          <w:color w:val="000000"/>
          <w:sz w:val="24"/>
        </w:rPr>
        <w:t>经过居民区</w:t>
      </w:r>
      <w:r>
        <w:rPr>
          <w:rFonts w:hint="default" w:ascii="Calibri" w:hAnsi="Calibri" w:eastAsia="宋体" w:cs="Calibri"/>
          <w:color w:val="000000"/>
          <w:sz w:val="24"/>
          <w:lang w:val="en-US" w:eastAsia="zh-CN"/>
        </w:rPr>
        <w:t>时，</w:t>
      </w:r>
      <w:r>
        <w:rPr>
          <w:rFonts w:hint="default" w:ascii="Calibri" w:hAnsi="Calibri" w:eastAsia="宋体" w:cs="Calibri"/>
          <w:color w:val="000000"/>
          <w:sz w:val="24"/>
          <w:highlight w:val="none"/>
          <w:lang w:val="en-US" w:eastAsia="zh-CN"/>
        </w:rPr>
        <w:t>11</w:t>
      </w:r>
      <w:r>
        <w:rPr>
          <w:rFonts w:hint="default" w:ascii="Calibri" w:hAnsi="Calibri" w:eastAsia="宋体" w:cs="Calibri"/>
          <w:color w:val="000000"/>
          <w:sz w:val="24"/>
          <w:highlight w:val="none"/>
          <w:lang w:eastAsia="zh-CN"/>
        </w:rPr>
        <w:t>0kV线路</w:t>
      </w:r>
      <w:r>
        <w:rPr>
          <w:rFonts w:hint="default" w:ascii="Calibri" w:hAnsi="Calibri" w:eastAsia="宋体" w:cs="Calibri"/>
          <w:color w:val="000000"/>
          <w:sz w:val="24"/>
          <w:highlight w:val="none"/>
        </w:rPr>
        <w:t>产生的工频电场强度</w:t>
      </w:r>
      <w:r>
        <w:rPr>
          <w:rFonts w:hint="default" w:ascii="Calibri" w:hAnsi="Calibri" w:eastAsia="宋体" w:cs="Calibri"/>
          <w:color w:val="000000"/>
          <w:sz w:val="24"/>
          <w:highlight w:val="none"/>
          <w:lang w:eastAsia="zh-CN"/>
        </w:rPr>
        <w:t>能</w:t>
      </w:r>
      <w:r>
        <w:rPr>
          <w:rFonts w:hint="default" w:ascii="Calibri" w:hAnsi="Calibri" w:eastAsia="宋体" w:cs="Calibri"/>
          <w:color w:val="000000"/>
          <w:sz w:val="24"/>
          <w:highlight w:val="none"/>
        </w:rPr>
        <w:t>满足《电磁环境控制限值》</w:t>
      </w:r>
      <w:r>
        <w:rPr>
          <w:rFonts w:hint="eastAsia" w:ascii="Calibri" w:hAnsi="Calibri" w:cs="Calibri"/>
          <w:color w:val="000000"/>
          <w:sz w:val="24"/>
          <w:highlight w:val="none"/>
          <w:lang w:eastAsia="zh-CN"/>
        </w:rPr>
        <w:t>（</w:t>
      </w:r>
      <w:r>
        <w:rPr>
          <w:rFonts w:hint="default" w:ascii="Calibri" w:hAnsi="Calibri" w:eastAsia="宋体" w:cs="Calibri"/>
          <w:color w:val="000000"/>
          <w:sz w:val="24"/>
          <w:highlight w:val="none"/>
        </w:rPr>
        <w:t>GB8702-2014</w:t>
      </w:r>
      <w:r>
        <w:rPr>
          <w:rFonts w:hint="eastAsia" w:ascii="Calibri" w:hAnsi="Calibri" w:cs="Calibri"/>
          <w:color w:val="000000"/>
          <w:sz w:val="24"/>
          <w:highlight w:val="none"/>
          <w:lang w:eastAsia="zh-CN"/>
        </w:rPr>
        <w:t>）</w:t>
      </w:r>
      <w:r>
        <w:rPr>
          <w:rFonts w:hint="default" w:ascii="Calibri" w:hAnsi="Calibri" w:eastAsia="宋体" w:cs="Calibri"/>
          <w:color w:val="000000"/>
          <w:sz w:val="24"/>
          <w:highlight w:val="none"/>
        </w:rPr>
        <w:t>中规定的频率为50Hz时电场强度≤4kV/m要求，工频磁感应强度能满足《电磁环境控制限值》</w:t>
      </w:r>
      <w:r>
        <w:rPr>
          <w:rFonts w:hint="eastAsia" w:ascii="Calibri" w:hAnsi="Calibri" w:cs="Calibri"/>
          <w:color w:val="000000"/>
          <w:sz w:val="24"/>
          <w:highlight w:val="none"/>
          <w:lang w:eastAsia="zh-CN"/>
        </w:rPr>
        <w:t>（</w:t>
      </w:r>
      <w:r>
        <w:rPr>
          <w:rFonts w:hint="default" w:ascii="Calibri" w:hAnsi="Calibri" w:eastAsia="宋体" w:cs="Calibri"/>
          <w:color w:val="000000"/>
          <w:sz w:val="24"/>
          <w:highlight w:val="none"/>
        </w:rPr>
        <w:t>GB8702-2014</w:t>
      </w:r>
      <w:r>
        <w:rPr>
          <w:rFonts w:hint="eastAsia" w:ascii="Calibri" w:hAnsi="Calibri" w:cs="Calibri"/>
          <w:color w:val="000000"/>
          <w:sz w:val="24"/>
          <w:highlight w:val="none"/>
          <w:lang w:eastAsia="zh-CN"/>
        </w:rPr>
        <w:t>）</w:t>
      </w:r>
      <w:r>
        <w:rPr>
          <w:rFonts w:hint="default" w:ascii="Calibri" w:hAnsi="Calibri" w:eastAsia="宋体" w:cs="Calibri"/>
          <w:color w:val="000000"/>
          <w:sz w:val="24"/>
          <w:highlight w:val="none"/>
        </w:rPr>
        <w:t>中规定的频率为50Hz时磁感应强度≤100μT控制限值</w:t>
      </w:r>
    </w:p>
    <w:p w14:paraId="4C2FBD53">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jc w:val="both"/>
        <w:textAlignment w:val="auto"/>
        <w:outlineLvl w:val="9"/>
        <w:rPr>
          <w:rFonts w:hint="default" w:ascii="Calibri" w:hAnsi="Calibri" w:eastAsia="宋体" w:cs="Calibri"/>
          <w:color w:val="000000"/>
          <w:sz w:val="24"/>
        </w:rPr>
      </w:pPr>
      <w:r>
        <w:rPr>
          <w:rFonts w:hint="eastAsia" w:ascii="Calibri" w:hAnsi="Calibri" w:cs="Calibri"/>
          <w:color w:val="000000"/>
          <w:sz w:val="24"/>
          <w:lang w:eastAsia="zh-CN"/>
        </w:rPr>
        <w:t>（3）</w:t>
      </w:r>
      <w:r>
        <w:rPr>
          <w:rFonts w:hint="default" w:ascii="Calibri" w:hAnsi="Calibri" w:eastAsia="宋体" w:cs="Calibri"/>
          <w:color w:val="000000"/>
          <w:sz w:val="24"/>
          <w:lang w:val="en-US" w:eastAsia="zh-CN"/>
        </w:rPr>
        <w:t xml:space="preserve"> </w:t>
      </w:r>
      <w:r>
        <w:rPr>
          <w:rFonts w:hint="default" w:ascii="Calibri" w:hAnsi="Calibri" w:eastAsia="宋体" w:cs="Calibri"/>
          <w:color w:val="000000"/>
          <w:sz w:val="24"/>
        </w:rPr>
        <w:t>结论</w:t>
      </w:r>
    </w:p>
    <w:p w14:paraId="45F6A11B">
      <w:pPr>
        <w:keepNext w:val="0"/>
        <w:keepLines w:val="0"/>
        <w:pageBreakBefore w:val="0"/>
        <w:widowControl w:val="0"/>
        <w:kinsoku/>
        <w:wordWrap/>
        <w:overflowPunct/>
        <w:topLinePunct w:val="0"/>
        <w:autoSpaceDE/>
        <w:autoSpaceDN/>
        <w:bidi w:val="0"/>
        <w:adjustRightInd/>
        <w:snapToGrid w:val="0"/>
        <w:spacing w:line="480" w:lineRule="exact"/>
        <w:ind w:left="0" w:leftChars="0" w:right="0" w:rightChars="0" w:firstLine="480" w:firstLineChars="200"/>
        <w:jc w:val="both"/>
        <w:textAlignment w:val="auto"/>
        <w:outlineLvl w:val="9"/>
        <w:rPr>
          <w:rFonts w:hint="default" w:ascii="Calibri" w:hAnsi="Calibri" w:eastAsia="宋体" w:cs="Calibri"/>
          <w:color w:val="000000"/>
          <w:sz w:val="24"/>
        </w:rPr>
      </w:pPr>
      <w:r>
        <w:rPr>
          <w:rFonts w:hint="default" w:ascii="Calibri" w:hAnsi="Calibri" w:eastAsia="宋体" w:cs="Calibri"/>
          <w:color w:val="000000"/>
          <w:sz w:val="24"/>
        </w:rPr>
        <w:t>综上所述，</w:t>
      </w:r>
      <w:r>
        <w:rPr>
          <w:rFonts w:hint="default" w:ascii="Calibri" w:hAnsi="Calibri" w:eastAsia="宋体" w:cs="Calibri"/>
          <w:color w:val="000000"/>
          <w:sz w:val="24"/>
          <w:lang w:eastAsia="zh-CN"/>
        </w:rPr>
        <w:t>本项目</w:t>
      </w:r>
      <w:r>
        <w:rPr>
          <w:rFonts w:hint="default" w:ascii="Calibri" w:hAnsi="Calibri" w:eastAsia="宋体" w:cs="Calibri"/>
          <w:color w:val="000000"/>
          <w:sz w:val="24"/>
        </w:rPr>
        <w:t>建成运行后产生的</w:t>
      </w:r>
      <w:r>
        <w:rPr>
          <w:rFonts w:hint="default" w:ascii="Calibri" w:hAnsi="Calibri" w:eastAsia="宋体" w:cs="Calibri"/>
          <w:color w:val="000000"/>
          <w:sz w:val="24"/>
          <w:lang w:val="en-US" w:eastAsia="zh-CN"/>
        </w:rPr>
        <w:t>工频电场、工频磁场</w:t>
      </w:r>
      <w:r>
        <w:rPr>
          <w:rFonts w:hint="default" w:ascii="Calibri" w:hAnsi="Calibri" w:eastAsia="宋体" w:cs="Calibri"/>
          <w:color w:val="000000"/>
          <w:sz w:val="24"/>
        </w:rPr>
        <w:t>能满足《电磁环境控制限值》</w:t>
      </w:r>
      <w:r>
        <w:rPr>
          <w:rFonts w:hint="eastAsia" w:ascii="Calibri" w:hAnsi="Calibri" w:cs="Calibri"/>
          <w:color w:val="000000"/>
          <w:sz w:val="24"/>
          <w:lang w:eastAsia="zh-CN"/>
        </w:rPr>
        <w:t>（</w:t>
      </w:r>
      <w:r>
        <w:rPr>
          <w:rFonts w:hint="default" w:ascii="Calibri" w:hAnsi="Calibri" w:eastAsia="宋体" w:cs="Calibri"/>
          <w:color w:val="000000"/>
          <w:sz w:val="24"/>
        </w:rPr>
        <w:t>GB8702-2014</w:t>
      </w:r>
      <w:r>
        <w:rPr>
          <w:rFonts w:hint="eastAsia" w:ascii="Calibri" w:hAnsi="Calibri" w:cs="Calibri"/>
          <w:color w:val="000000"/>
          <w:sz w:val="24"/>
          <w:lang w:eastAsia="zh-CN"/>
        </w:rPr>
        <w:t>）</w:t>
      </w:r>
      <w:r>
        <w:rPr>
          <w:rFonts w:hint="default" w:ascii="Calibri" w:hAnsi="Calibri" w:eastAsia="宋体" w:cs="Calibri"/>
          <w:color w:val="000000"/>
          <w:sz w:val="24"/>
        </w:rPr>
        <w:t>标准要求限值，项目对周边的电磁环境影响较小。</w:t>
      </w:r>
    </w:p>
    <w:p w14:paraId="5B6B2BDA">
      <w:pPr>
        <w:spacing w:line="360" w:lineRule="auto"/>
        <w:rPr>
          <w:rFonts w:hint="default" w:ascii="Calibri" w:hAnsi="Calibri" w:eastAsia="宋体" w:cs="Calibri"/>
          <w:color w:val="auto"/>
          <w:sz w:val="36"/>
          <w:szCs w:val="36"/>
          <w:u w:val="none"/>
          <w:lang w:val="en-US" w:eastAsia="zh-CN"/>
        </w:rPr>
      </w:pPr>
    </w:p>
    <w:sectPr>
      <w:pgSz w:w="11906" w:h="16838"/>
      <w:pgMar w:top="1440" w:right="1266"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7FC94">
    <w:pPr>
      <w:pStyle w:val="15"/>
      <w:ind w:right="360" w:firstLine="360"/>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11F9FD">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811F9FD">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915BBD"/>
    <w:multiLevelType w:val="singleLevel"/>
    <w:tmpl w:val="CF915BBD"/>
    <w:lvl w:ilvl="0" w:tentative="0">
      <w:start w:val="1"/>
      <w:numFmt w:val="decimal"/>
      <w:suff w:val="nothing"/>
      <w:lvlText w:val="（%1）"/>
      <w:lvlJc w:val="left"/>
    </w:lvl>
  </w:abstractNum>
  <w:abstractNum w:abstractNumId="1">
    <w:nsid w:val="EB98B301"/>
    <w:multiLevelType w:val="singleLevel"/>
    <w:tmpl w:val="EB98B301"/>
    <w:lvl w:ilvl="0" w:tentative="0">
      <w:start w:val="2"/>
      <w:numFmt w:val="decimal"/>
      <w:suff w:val="nothing"/>
      <w:lvlText w:val="%1、"/>
      <w:lvlJc w:val="left"/>
    </w:lvl>
  </w:abstractNum>
  <w:abstractNum w:abstractNumId="2">
    <w:nsid w:val="FC06752A"/>
    <w:multiLevelType w:val="singleLevel"/>
    <w:tmpl w:val="FC06752A"/>
    <w:lvl w:ilvl="0" w:tentative="0">
      <w:start w:val="5"/>
      <w:numFmt w:val="decimal"/>
      <w:suff w:val="nothing"/>
      <w:lvlText w:val="%1、"/>
      <w:lvlJc w:val="left"/>
    </w:lvl>
  </w:abstractNum>
  <w:abstractNum w:abstractNumId="3">
    <w:nsid w:val="0000000A"/>
    <w:multiLevelType w:val="multilevel"/>
    <w:tmpl w:val="0000000A"/>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YxZWQwYTU0M2U5Njc0NDEyODYwYzkxMTljZDcwYjMifQ=="/>
  </w:docVars>
  <w:rsids>
    <w:rsidRoot w:val="1E9E5825"/>
    <w:rsid w:val="006758DB"/>
    <w:rsid w:val="00D20DBC"/>
    <w:rsid w:val="016043AA"/>
    <w:rsid w:val="025E76FC"/>
    <w:rsid w:val="033E2E05"/>
    <w:rsid w:val="0393192D"/>
    <w:rsid w:val="03C6170E"/>
    <w:rsid w:val="03E56DE9"/>
    <w:rsid w:val="04312041"/>
    <w:rsid w:val="04BD1B14"/>
    <w:rsid w:val="04CE2416"/>
    <w:rsid w:val="04E14131"/>
    <w:rsid w:val="04EA03A6"/>
    <w:rsid w:val="05266F1A"/>
    <w:rsid w:val="05FF06FB"/>
    <w:rsid w:val="06BA455D"/>
    <w:rsid w:val="06CD4AC7"/>
    <w:rsid w:val="08200062"/>
    <w:rsid w:val="08636731"/>
    <w:rsid w:val="08906F8C"/>
    <w:rsid w:val="08AA3CC4"/>
    <w:rsid w:val="08E34F63"/>
    <w:rsid w:val="08EF0F04"/>
    <w:rsid w:val="09D31E9A"/>
    <w:rsid w:val="0B56402C"/>
    <w:rsid w:val="0B896BF3"/>
    <w:rsid w:val="0C8306A8"/>
    <w:rsid w:val="0DC237A9"/>
    <w:rsid w:val="0E7C491D"/>
    <w:rsid w:val="0F296B04"/>
    <w:rsid w:val="0F7A1A4D"/>
    <w:rsid w:val="0F7E4588"/>
    <w:rsid w:val="0FF544E9"/>
    <w:rsid w:val="1043028B"/>
    <w:rsid w:val="11180BAB"/>
    <w:rsid w:val="116D7BCE"/>
    <w:rsid w:val="13280799"/>
    <w:rsid w:val="133D5D93"/>
    <w:rsid w:val="14956609"/>
    <w:rsid w:val="149F2F77"/>
    <w:rsid w:val="14C36CD2"/>
    <w:rsid w:val="15A9482E"/>
    <w:rsid w:val="162837AC"/>
    <w:rsid w:val="1647748F"/>
    <w:rsid w:val="17CE7E68"/>
    <w:rsid w:val="17D25A49"/>
    <w:rsid w:val="1881137E"/>
    <w:rsid w:val="18CD0120"/>
    <w:rsid w:val="18E415B1"/>
    <w:rsid w:val="1934019F"/>
    <w:rsid w:val="1AA76138"/>
    <w:rsid w:val="1AE33073"/>
    <w:rsid w:val="1C1868B0"/>
    <w:rsid w:val="1C8F2E61"/>
    <w:rsid w:val="1CAB54DB"/>
    <w:rsid w:val="1CB70B57"/>
    <w:rsid w:val="1CD17E67"/>
    <w:rsid w:val="1D464340"/>
    <w:rsid w:val="1E0B0FB1"/>
    <w:rsid w:val="1E7D37A6"/>
    <w:rsid w:val="1E9E5825"/>
    <w:rsid w:val="1EF36406"/>
    <w:rsid w:val="1F225307"/>
    <w:rsid w:val="1FAA0FDE"/>
    <w:rsid w:val="1FB97650"/>
    <w:rsid w:val="200302D6"/>
    <w:rsid w:val="20592D03"/>
    <w:rsid w:val="20993A2E"/>
    <w:rsid w:val="212A1445"/>
    <w:rsid w:val="21343493"/>
    <w:rsid w:val="214C3686"/>
    <w:rsid w:val="22EE04D4"/>
    <w:rsid w:val="242B3F3D"/>
    <w:rsid w:val="24DE3356"/>
    <w:rsid w:val="265B519B"/>
    <w:rsid w:val="2666570F"/>
    <w:rsid w:val="26E97E98"/>
    <w:rsid w:val="2857757A"/>
    <w:rsid w:val="28F05DC4"/>
    <w:rsid w:val="290A02AE"/>
    <w:rsid w:val="297E1E9B"/>
    <w:rsid w:val="29FA1F75"/>
    <w:rsid w:val="2AA60471"/>
    <w:rsid w:val="2AA62355"/>
    <w:rsid w:val="2C112F2E"/>
    <w:rsid w:val="2C4B6266"/>
    <w:rsid w:val="2CC81905"/>
    <w:rsid w:val="2D501B16"/>
    <w:rsid w:val="2D5E1836"/>
    <w:rsid w:val="2D721B9B"/>
    <w:rsid w:val="2E361712"/>
    <w:rsid w:val="2EBE7A66"/>
    <w:rsid w:val="2F1F7560"/>
    <w:rsid w:val="2F947791"/>
    <w:rsid w:val="2FAF45CB"/>
    <w:rsid w:val="3030048E"/>
    <w:rsid w:val="317307A1"/>
    <w:rsid w:val="31E5372A"/>
    <w:rsid w:val="32676E8E"/>
    <w:rsid w:val="329C5554"/>
    <w:rsid w:val="32AD132E"/>
    <w:rsid w:val="32E70642"/>
    <w:rsid w:val="32EF349D"/>
    <w:rsid w:val="3400458D"/>
    <w:rsid w:val="34C50FBD"/>
    <w:rsid w:val="354E3156"/>
    <w:rsid w:val="35FA369E"/>
    <w:rsid w:val="360975D4"/>
    <w:rsid w:val="36726BA4"/>
    <w:rsid w:val="3696550A"/>
    <w:rsid w:val="36C3070C"/>
    <w:rsid w:val="36E467D2"/>
    <w:rsid w:val="376922D4"/>
    <w:rsid w:val="385E740A"/>
    <w:rsid w:val="388323B4"/>
    <w:rsid w:val="395A1104"/>
    <w:rsid w:val="3AE4508A"/>
    <w:rsid w:val="3AFD2AFA"/>
    <w:rsid w:val="3BCB002E"/>
    <w:rsid w:val="3C554A8C"/>
    <w:rsid w:val="3DF110E3"/>
    <w:rsid w:val="3F3113F0"/>
    <w:rsid w:val="3F4956C0"/>
    <w:rsid w:val="3FBA27F5"/>
    <w:rsid w:val="405350E0"/>
    <w:rsid w:val="40A51420"/>
    <w:rsid w:val="40CE0CB0"/>
    <w:rsid w:val="41890D91"/>
    <w:rsid w:val="42B240BE"/>
    <w:rsid w:val="43002FD3"/>
    <w:rsid w:val="43175E04"/>
    <w:rsid w:val="44406DAA"/>
    <w:rsid w:val="445D3983"/>
    <w:rsid w:val="46421121"/>
    <w:rsid w:val="46495689"/>
    <w:rsid w:val="465A09A4"/>
    <w:rsid w:val="46A96355"/>
    <w:rsid w:val="47AA1D65"/>
    <w:rsid w:val="488D79BC"/>
    <w:rsid w:val="49CF7976"/>
    <w:rsid w:val="4A107915"/>
    <w:rsid w:val="4A2937EA"/>
    <w:rsid w:val="4AB33B5C"/>
    <w:rsid w:val="4AEF3D39"/>
    <w:rsid w:val="4C161D8A"/>
    <w:rsid w:val="4CB42E18"/>
    <w:rsid w:val="4CF11B3E"/>
    <w:rsid w:val="4D2979A2"/>
    <w:rsid w:val="4EB40C4B"/>
    <w:rsid w:val="4F58467E"/>
    <w:rsid w:val="4F7B0348"/>
    <w:rsid w:val="52296652"/>
    <w:rsid w:val="523A6921"/>
    <w:rsid w:val="524B7068"/>
    <w:rsid w:val="53312878"/>
    <w:rsid w:val="55496AC7"/>
    <w:rsid w:val="55705D34"/>
    <w:rsid w:val="55B06ABC"/>
    <w:rsid w:val="567B4A55"/>
    <w:rsid w:val="56C006F5"/>
    <w:rsid w:val="570B09E4"/>
    <w:rsid w:val="579A52EC"/>
    <w:rsid w:val="59323D78"/>
    <w:rsid w:val="5A9843E7"/>
    <w:rsid w:val="5B965D4B"/>
    <w:rsid w:val="5C1B0F90"/>
    <w:rsid w:val="5CB53EB3"/>
    <w:rsid w:val="5D2B7A96"/>
    <w:rsid w:val="5DC8223B"/>
    <w:rsid w:val="5F104A48"/>
    <w:rsid w:val="60074972"/>
    <w:rsid w:val="611F3F33"/>
    <w:rsid w:val="62627FDC"/>
    <w:rsid w:val="63D66B2C"/>
    <w:rsid w:val="640F5A26"/>
    <w:rsid w:val="64372D99"/>
    <w:rsid w:val="653764EC"/>
    <w:rsid w:val="65DD3BB2"/>
    <w:rsid w:val="667C00EB"/>
    <w:rsid w:val="66D23A2E"/>
    <w:rsid w:val="6714500D"/>
    <w:rsid w:val="676313BF"/>
    <w:rsid w:val="6790225E"/>
    <w:rsid w:val="680B5B51"/>
    <w:rsid w:val="68232E85"/>
    <w:rsid w:val="68260C5C"/>
    <w:rsid w:val="69286279"/>
    <w:rsid w:val="693A17B3"/>
    <w:rsid w:val="69FA2120"/>
    <w:rsid w:val="6A301086"/>
    <w:rsid w:val="6A98323C"/>
    <w:rsid w:val="6AB1430D"/>
    <w:rsid w:val="6B1A4AE4"/>
    <w:rsid w:val="6B970714"/>
    <w:rsid w:val="6BA56989"/>
    <w:rsid w:val="6BA76062"/>
    <w:rsid w:val="6BF16DF6"/>
    <w:rsid w:val="6D9F05C7"/>
    <w:rsid w:val="6DC11CDB"/>
    <w:rsid w:val="6DD14D73"/>
    <w:rsid w:val="6DDF5EC3"/>
    <w:rsid w:val="6E296D1B"/>
    <w:rsid w:val="6E461CD3"/>
    <w:rsid w:val="6E7D1E41"/>
    <w:rsid w:val="6F2D36A2"/>
    <w:rsid w:val="6F2D680C"/>
    <w:rsid w:val="70616B25"/>
    <w:rsid w:val="709F0C77"/>
    <w:rsid w:val="717E1EF5"/>
    <w:rsid w:val="71AF0F77"/>
    <w:rsid w:val="7241520A"/>
    <w:rsid w:val="724A12F3"/>
    <w:rsid w:val="736006E1"/>
    <w:rsid w:val="73D62538"/>
    <w:rsid w:val="74BF3C26"/>
    <w:rsid w:val="75EB7530"/>
    <w:rsid w:val="76165993"/>
    <w:rsid w:val="76217C85"/>
    <w:rsid w:val="76942D18"/>
    <w:rsid w:val="77023538"/>
    <w:rsid w:val="78931961"/>
    <w:rsid w:val="792E3438"/>
    <w:rsid w:val="79D7006B"/>
    <w:rsid w:val="7B9749AF"/>
    <w:rsid w:val="7BD83947"/>
    <w:rsid w:val="7DC92F5D"/>
    <w:rsid w:val="7F7767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kern w:val="2"/>
      <w:sz w:val="32"/>
      <w:lang w:val="en-US" w:eastAsia="zh-CN"/>
    </w:rPr>
  </w:style>
  <w:style w:type="paragraph" w:styleId="5">
    <w:name w:val="heading 3"/>
    <w:basedOn w:val="1"/>
    <w:next w:val="1"/>
    <w:unhideWhenUsed/>
    <w:qFormat/>
    <w:uiPriority w:val="0"/>
    <w:pPr>
      <w:adjustRightInd w:val="0"/>
      <w:spacing w:line="360" w:lineRule="auto"/>
      <w:textAlignment w:val="baseline"/>
      <w:outlineLvl w:val="2"/>
    </w:pPr>
    <w:rPr>
      <w:rFonts w:eastAsia="黑体"/>
      <w:kern w:val="2"/>
      <w:sz w:val="28"/>
      <w:lang w:val="en-US" w:eastAsia="zh-CN"/>
    </w:rPr>
  </w:style>
  <w:style w:type="paragraph" w:styleId="6">
    <w:name w:val="heading 4"/>
    <w:basedOn w:val="1"/>
    <w:next w:val="1"/>
    <w:qFormat/>
    <w:uiPriority w:val="1"/>
    <w:pPr>
      <w:ind w:left="899"/>
      <w:outlineLvl w:val="3"/>
    </w:pPr>
    <w:rPr>
      <w:rFonts w:ascii="宋体" w:hAnsi="宋体" w:cs="宋体"/>
      <w:b/>
      <w:bCs/>
      <w:sz w:val="24"/>
      <w:lang w:val="zh-CN" w:bidi="zh-CN"/>
    </w:rPr>
  </w:style>
  <w:style w:type="character" w:default="1" w:styleId="24">
    <w:name w:val="Default Paragraph Font"/>
    <w:autoRedefine/>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customStyle="1" w:styleId="2">
    <w:name w:val="Char"/>
    <w:basedOn w:val="1"/>
    <w:next w:val="1"/>
    <w:qFormat/>
    <w:uiPriority w:val="0"/>
    <w:rPr>
      <w:rFonts w:ascii="Arial" w:hAnsi="Arial" w:eastAsia="黑体"/>
      <w:b/>
      <w:kern w:val="2"/>
      <w:sz w:val="28"/>
      <w:lang w:val="en-US" w:eastAsia="zh-CN"/>
    </w:rPr>
  </w:style>
  <w:style w:type="paragraph" w:styleId="7">
    <w:name w:val="Normal Indent"/>
    <w:basedOn w:val="1"/>
    <w:next w:val="1"/>
    <w:qFormat/>
    <w:uiPriority w:val="0"/>
    <w:pPr>
      <w:ind w:firstLine="420" w:firstLineChars="200"/>
    </w:pPr>
  </w:style>
  <w:style w:type="paragraph" w:styleId="8">
    <w:name w:val="annotation text"/>
    <w:basedOn w:val="1"/>
    <w:qFormat/>
    <w:uiPriority w:val="0"/>
    <w:pPr>
      <w:jc w:val="left"/>
    </w:pPr>
  </w:style>
  <w:style w:type="paragraph" w:styleId="9">
    <w:name w:val="Body Text"/>
    <w:basedOn w:val="1"/>
    <w:qFormat/>
    <w:uiPriority w:val="0"/>
    <w:pPr>
      <w:widowControl/>
      <w:spacing w:after="200"/>
      <w:jc w:val="center"/>
    </w:pPr>
    <w:rPr>
      <w:kern w:val="0"/>
      <w:sz w:val="20"/>
      <w:szCs w:val="20"/>
      <w:lang w:eastAsia="en-US" w:bidi="en-US"/>
    </w:rPr>
  </w:style>
  <w:style w:type="paragraph" w:styleId="10">
    <w:name w:val="Body Text Indent"/>
    <w:basedOn w:val="1"/>
    <w:next w:val="11"/>
    <w:qFormat/>
    <w:uiPriority w:val="0"/>
    <w:pPr>
      <w:spacing w:line="360" w:lineRule="auto"/>
      <w:ind w:left="0" w:leftChars="0" w:firstLine="720" w:firstLineChars="200"/>
    </w:pPr>
    <w:rPr>
      <w:rFonts w:ascii="Times New Roman" w:hAnsi="Times New Roman" w:eastAsia="宋体"/>
      <w:sz w:val="24"/>
    </w:rPr>
  </w:style>
  <w:style w:type="paragraph" w:styleId="11">
    <w:name w:val="Body Text First Indent 2"/>
    <w:basedOn w:val="10"/>
    <w:next w:val="1"/>
    <w:qFormat/>
    <w:uiPriority w:val="0"/>
    <w:pPr>
      <w:spacing w:line="360" w:lineRule="auto"/>
      <w:ind w:left="0" w:leftChars="0" w:firstLine="420" w:firstLineChars="200"/>
    </w:pPr>
    <w:rPr>
      <w:sz w:val="24"/>
    </w:rPr>
  </w:style>
  <w:style w:type="paragraph" w:styleId="12">
    <w:name w:val="List 2"/>
    <w:basedOn w:val="1"/>
    <w:unhideWhenUsed/>
    <w:qFormat/>
    <w:uiPriority w:val="0"/>
    <w:pPr>
      <w:widowControl w:val="0"/>
      <w:adjustRightInd/>
      <w:snapToGrid/>
      <w:ind w:left="100" w:leftChars="200" w:hanging="200" w:hangingChars="200"/>
      <w:contextualSpacing/>
    </w:pPr>
    <w:rPr>
      <w:szCs w:val="22"/>
      <w:lang w:bidi="ar-SA"/>
    </w:rPr>
  </w:style>
  <w:style w:type="paragraph" w:styleId="13">
    <w:name w:val="Plain Text"/>
    <w:basedOn w:val="1"/>
    <w:qFormat/>
    <w:uiPriority w:val="0"/>
    <w:rPr>
      <w:rFonts w:ascii="宋体" w:hAnsi="Courier New" w:eastAsia="仿宋_GB2312"/>
      <w:kern w:val="2"/>
      <w:sz w:val="28"/>
      <w:lang w:val="en-US" w:eastAsia="zh-CN"/>
    </w:rPr>
  </w:style>
  <w:style w:type="paragraph" w:styleId="14">
    <w:name w:val="Date"/>
    <w:basedOn w:val="1"/>
    <w:next w:val="1"/>
    <w:qFormat/>
    <w:uiPriority w:val="0"/>
    <w:pPr>
      <w:ind w:left="100" w:leftChars="2500"/>
    </w:pPr>
    <w:rPr>
      <w:kern w:val="0"/>
      <w:sz w:val="24"/>
      <w:szCs w:val="20"/>
    </w:rPr>
  </w:style>
  <w:style w:type="paragraph" w:styleId="15">
    <w:name w:val="footer"/>
    <w:basedOn w:val="1"/>
    <w:next w:val="1"/>
    <w:qFormat/>
    <w:uiPriority w:val="0"/>
    <w:pPr>
      <w:tabs>
        <w:tab w:val="center" w:pos="4153"/>
        <w:tab w:val="right" w:pos="8306"/>
      </w:tabs>
      <w:snapToGrid w:val="0"/>
      <w:jc w:val="left"/>
    </w:pPr>
    <w:rPr>
      <w:sz w:val="18"/>
      <w:szCs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0"/>
  </w:style>
  <w:style w:type="paragraph" w:styleId="18">
    <w:name w:val="List"/>
    <w:basedOn w:val="1"/>
    <w:qFormat/>
    <w:uiPriority w:val="0"/>
    <w:pPr>
      <w:widowControl/>
      <w:spacing w:after="120"/>
      <w:ind w:firstLine="567"/>
      <w:jc w:val="left"/>
      <w:outlineLvl w:val="2"/>
    </w:pPr>
    <w:rPr>
      <w:rFonts w:eastAsia="黑体"/>
      <w:b/>
      <w:color w:val="000000"/>
      <w:kern w:val="0"/>
      <w:sz w:val="28"/>
      <w:szCs w:val="20"/>
      <w:lang w:eastAsia="en-US" w:bidi="en-US"/>
    </w:rPr>
  </w:style>
  <w:style w:type="paragraph" w:styleId="19">
    <w:name w:val="Body Text 2"/>
    <w:basedOn w:val="1"/>
    <w:qFormat/>
    <w:uiPriority w:val="0"/>
    <w:pPr>
      <w:widowControl/>
      <w:spacing w:after="200"/>
      <w:jc w:val="left"/>
    </w:pPr>
    <w:rPr>
      <w:kern w:val="0"/>
      <w:sz w:val="22"/>
      <w:szCs w:val="20"/>
      <w:lang w:eastAsia="en-US" w:bidi="en-US"/>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Title"/>
    <w:basedOn w:val="1"/>
    <w:next w:val="1"/>
    <w:qFormat/>
    <w:uiPriority w:val="0"/>
    <w:pPr>
      <w:spacing w:before="240" w:beforeLines="0" w:beforeAutospacing="0" w:after="60" w:afterLines="0" w:afterAutospacing="0"/>
      <w:jc w:val="center"/>
      <w:outlineLvl w:val="0"/>
    </w:pPr>
    <w:rPr>
      <w:rFonts w:ascii="Arial" w:hAnsi="Arial"/>
      <w:b/>
      <w:sz w:val="32"/>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page number"/>
    <w:basedOn w:val="24"/>
    <w:qFormat/>
    <w:uiPriority w:val="0"/>
  </w:style>
  <w:style w:type="character" w:styleId="27">
    <w:name w:val="Emphasis"/>
    <w:basedOn w:val="24"/>
    <w:qFormat/>
    <w:uiPriority w:val="0"/>
    <w:rPr>
      <w:i/>
    </w:rPr>
  </w:style>
  <w:style w:type="character" w:styleId="28">
    <w:name w:val="Hyperlink"/>
    <w:basedOn w:val="24"/>
    <w:qFormat/>
    <w:uiPriority w:val="0"/>
    <w:rPr>
      <w:color w:val="0000FF"/>
      <w:u w:val="single"/>
    </w:rPr>
  </w:style>
  <w:style w:type="paragraph" w:customStyle="1" w:styleId="29">
    <w:name w:val="样式 正文缩进正文缩进2正文缩进 Char Char正文缩进 Char Char Char Char正文缩进 Char ..."/>
    <w:basedOn w:val="7"/>
    <w:autoRedefine/>
    <w:qFormat/>
    <w:uiPriority w:val="0"/>
    <w:pPr>
      <w:spacing w:line="360" w:lineRule="auto"/>
      <w:ind w:firstLine="200"/>
    </w:pPr>
    <w:rPr>
      <w:rFonts w:cs="宋体"/>
      <w:sz w:val="24"/>
    </w:rPr>
  </w:style>
  <w:style w:type="paragraph" w:customStyle="1" w:styleId="30">
    <w:name w:val="Char Char Char Char Char Char Char Char Char1 Char"/>
    <w:autoRedefine/>
    <w:qFormat/>
    <w:uiPriority w:val="0"/>
    <w:pPr>
      <w:widowControl w:val="0"/>
      <w:spacing w:line="360" w:lineRule="auto"/>
      <w:ind w:firstLine="200" w:firstLineChars="200"/>
      <w:jc w:val="both"/>
    </w:pPr>
    <w:rPr>
      <w:rFonts w:ascii="宋体" w:hAnsi="宋体" w:eastAsia="宋体" w:cs="宋体"/>
      <w:bCs/>
      <w:spacing w:val="0"/>
      <w:kern w:val="2"/>
      <w:sz w:val="24"/>
      <w:szCs w:val="24"/>
      <w:lang w:val="en-US" w:eastAsia="zh-CN" w:bidi="ar-SA"/>
    </w:rPr>
  </w:style>
  <w:style w:type="paragraph" w:customStyle="1" w:styleId="31">
    <w:name w:val="Body Text First Indent1"/>
    <w:next w:val="1"/>
    <w:autoRedefine/>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customStyle="1" w:styleId="32">
    <w:name w:val="BodyTextIndent2"/>
    <w:qFormat/>
    <w:uiPriority w:val="0"/>
    <w:pPr>
      <w:widowControl w:val="0"/>
      <w:spacing w:after="120" w:line="480" w:lineRule="auto"/>
      <w:ind w:left="420" w:leftChars="200" w:firstLine="200" w:firstLineChars="200"/>
      <w:jc w:val="both"/>
    </w:pPr>
    <w:rPr>
      <w:rFonts w:ascii="Times New Roman" w:hAnsi="Times New Roman" w:eastAsia="宋体" w:cs="Times New Roman"/>
      <w:kern w:val="2"/>
      <w:sz w:val="21"/>
      <w:lang w:val="en-US" w:eastAsia="zh-CN" w:bidi="ar-SA"/>
    </w:rPr>
  </w:style>
  <w:style w:type="paragraph" w:customStyle="1" w:styleId="33">
    <w:name w:val="Default"/>
    <w:basedOn w:val="34"/>
    <w:next w:val="1"/>
    <w:autoRedefine/>
    <w:unhideWhenUsed/>
    <w:qFormat/>
    <w:uiPriority w:val="99"/>
    <w:pPr>
      <w:autoSpaceDE w:val="0"/>
      <w:autoSpaceDN w:val="0"/>
    </w:pPr>
    <w:rPr>
      <w:rFonts w:hint="eastAsia" w:ascii="黑体" w:hAnsi="黑体" w:eastAsia="黑体"/>
      <w:color w:val="000000"/>
      <w:sz w:val="24"/>
      <w:szCs w:val="22"/>
    </w:rPr>
  </w:style>
  <w:style w:type="paragraph" w:customStyle="1" w:styleId="34">
    <w:name w:val="1 表头"/>
    <w:basedOn w:val="1"/>
    <w:autoRedefine/>
    <w:qFormat/>
    <w:uiPriority w:val="0"/>
    <w:pPr>
      <w:adjustRightInd w:val="0"/>
      <w:snapToGrid w:val="0"/>
      <w:jc w:val="center"/>
    </w:pPr>
    <w:rPr>
      <w:b/>
      <w:color w:val="000000"/>
      <w:szCs w:val="21"/>
    </w:rPr>
  </w:style>
  <w:style w:type="paragraph" w:customStyle="1" w:styleId="35">
    <w:name w:val="表格内容"/>
    <w:basedOn w:val="1"/>
    <w:qFormat/>
    <w:uiPriority w:val="0"/>
    <w:pPr>
      <w:autoSpaceDE w:val="0"/>
      <w:autoSpaceDN w:val="0"/>
      <w:adjustRightInd w:val="0"/>
      <w:snapToGrid w:val="0"/>
      <w:spacing w:line="240" w:lineRule="auto"/>
      <w:jc w:val="center"/>
    </w:pPr>
    <w:rPr>
      <w:rFonts w:ascii="Times New Roman" w:hAnsi="Times New Roman" w:eastAsia="宋体"/>
      <w:kern w:val="0"/>
      <w:szCs w:val="21"/>
    </w:rPr>
  </w:style>
  <w:style w:type="paragraph" w:customStyle="1" w:styleId="36">
    <w:name w:val="表格标题"/>
    <w:basedOn w:val="1"/>
    <w:next w:val="1"/>
    <w:qFormat/>
    <w:uiPriority w:val="0"/>
    <w:pPr>
      <w:autoSpaceDE w:val="0"/>
      <w:autoSpaceDN w:val="0"/>
      <w:adjustRightInd w:val="0"/>
      <w:snapToGrid w:val="0"/>
      <w:spacing w:line="360" w:lineRule="auto"/>
    </w:pPr>
    <w:rPr>
      <w:rFonts w:ascii="宋体" w:hAnsi="宋体" w:eastAsia="宋体" w:cs="宋体"/>
      <w:b/>
      <w:kern w:val="0"/>
      <w:sz w:val="24"/>
      <w:szCs w:val="21"/>
    </w:rPr>
  </w:style>
  <w:style w:type="paragraph" w:customStyle="1" w:styleId="37">
    <w:name w:val="Table Paragraph"/>
    <w:basedOn w:val="1"/>
    <w:autoRedefine/>
    <w:qFormat/>
    <w:uiPriority w:val="1"/>
    <w:rPr>
      <w:rFonts w:ascii="宋体" w:hAnsi="宋体" w:cs="宋体"/>
      <w:lang w:val="zh-CN" w:bidi="zh-CN"/>
    </w:rPr>
  </w:style>
  <w:style w:type="table" w:customStyle="1" w:styleId="38">
    <w:name w:val="Table Normal"/>
    <w:semiHidden/>
    <w:unhideWhenUsed/>
    <w:qFormat/>
    <w:uiPriority w:val="0"/>
    <w:tblPr>
      <w:tblCellMar>
        <w:top w:w="0" w:type="dxa"/>
        <w:left w:w="0" w:type="dxa"/>
        <w:bottom w:w="0" w:type="dxa"/>
        <w:right w:w="0" w:type="dxa"/>
      </w:tblCellMar>
    </w:tblPr>
  </w:style>
  <w:style w:type="paragraph" w:customStyle="1" w:styleId="39">
    <w:name w:val="Table Text"/>
    <w:basedOn w:val="1"/>
    <w:semiHidden/>
    <w:qFormat/>
    <w:uiPriority w:val="0"/>
    <w:rPr>
      <w:rFonts w:ascii="宋体" w:hAnsi="宋体" w:eastAsia="宋体" w:cs="宋体"/>
      <w:sz w:val="22"/>
      <w:szCs w:val="22"/>
      <w:lang w:val="en-US" w:eastAsia="en-US" w:bidi="ar-SA"/>
    </w:rPr>
  </w:style>
  <w:style w:type="paragraph" w:customStyle="1" w:styleId="40">
    <w:name w:val="表格"/>
    <w:basedOn w:val="18"/>
    <w:next w:val="1"/>
    <w:qFormat/>
    <w:uiPriority w:val="0"/>
    <w:pPr>
      <w:pBdr>
        <w:top w:val="none" w:color="auto" w:sz="0" w:space="1"/>
        <w:left w:val="none" w:color="auto" w:sz="0" w:space="4"/>
        <w:bottom w:val="none" w:color="auto" w:sz="0" w:space="1"/>
        <w:right w:val="none" w:color="auto" w:sz="0" w:space="4"/>
      </w:pBdr>
      <w:spacing w:line="240" w:lineRule="auto"/>
      <w:ind w:firstLine="0" w:firstLineChars="0"/>
    </w:pPr>
    <w:rPr>
      <w:rFonts w:ascii="Times New Roman" w:hAnsi="Times New Roman" w:eastAsia="宋体"/>
      <w:b w:val="0"/>
      <w:sz w:val="21"/>
      <w:szCs w:val="21"/>
      <w:lang w:val="en-US"/>
    </w:rPr>
  </w:style>
  <w:style w:type="paragraph" w:customStyle="1" w:styleId="41">
    <w:name w:val="表中文字"/>
    <w:next w:val="1"/>
    <w:qFormat/>
    <w:uiPriority w:val="0"/>
    <w:pPr>
      <w:jc w:val="center"/>
    </w:pPr>
    <w:rPr>
      <w:rFonts w:ascii="Times New Roman" w:hAnsi="Times New Roman" w:eastAsia="宋体" w:cs="Times New Roman"/>
      <w:color w:val="000000"/>
      <w:kern w:val="2"/>
      <w:sz w:val="21"/>
      <w:szCs w:val="24"/>
      <w:lang w:val="en-US" w:eastAsia="zh-CN" w:bidi="ar-SA"/>
    </w:rPr>
  </w:style>
  <w:style w:type="paragraph" w:customStyle="1" w:styleId="42">
    <w:name w:val="正文(首行缩进)"/>
    <w:basedOn w:val="1"/>
    <w:next w:val="1"/>
    <w:qFormat/>
    <w:uiPriority w:val="0"/>
    <w:pPr>
      <w:spacing w:line="360" w:lineRule="auto"/>
      <w:ind w:firstLine="590" w:firstLineChars="200"/>
    </w:pPr>
    <w:rPr>
      <w:snapToGrid w:val="0"/>
      <w:color w:val="000000"/>
      <w:spacing w:val="0"/>
      <w:kern w:val="0"/>
      <w:sz w:val="24"/>
      <w:szCs w:val="24"/>
    </w:rPr>
  </w:style>
  <w:style w:type="paragraph" w:customStyle="1" w:styleId="43">
    <w:name w:val="样式 表内容 + 行距: 固定值 28 磅"/>
    <w:basedOn w:val="44"/>
    <w:qFormat/>
    <w:uiPriority w:val="0"/>
    <w:pPr>
      <w:spacing w:line="240" w:lineRule="auto"/>
    </w:pPr>
    <w:rPr>
      <w:rFonts w:cs="宋体"/>
      <w:szCs w:val="20"/>
    </w:rPr>
  </w:style>
  <w:style w:type="paragraph" w:customStyle="1" w:styleId="44">
    <w:name w:val="表内容"/>
    <w:basedOn w:val="1"/>
    <w:next w:val="1"/>
    <w:qFormat/>
    <w:uiPriority w:val="0"/>
    <w:pPr>
      <w:jc w:val="center"/>
    </w:pPr>
    <w:rPr>
      <w:rFonts w:ascii="宋体" w:hAnsi="宋体" w:eastAsia="宋体"/>
      <w:kern w:val="2"/>
      <w:sz w:val="21"/>
      <w:lang w:val="en-US" w:eastAsia="zh-CN" w:bidi="ar-SA"/>
    </w:rPr>
  </w:style>
  <w:style w:type="paragraph" w:customStyle="1" w:styleId="45">
    <w:name w:val="正文 新"/>
    <w:autoRedefine/>
    <w:qFormat/>
    <w:uiPriority w:val="0"/>
    <w:pPr>
      <w:widowControl w:val="0"/>
      <w:spacing w:line="440" w:lineRule="exact"/>
      <w:ind w:firstLine="200" w:firstLineChars="200"/>
      <w:jc w:val="both"/>
    </w:pPr>
    <w:rPr>
      <w:rFonts w:ascii="宋体" w:hAnsi="Cambria" w:eastAsia="宋体" w:cs="Times New Roman"/>
      <w:bCs/>
      <w:kern w:val="2"/>
      <w:sz w:val="25"/>
      <w:szCs w:val="25"/>
      <w:lang w:val="en-US" w:eastAsia="zh-CN" w:bidi="ar-SA"/>
    </w:rPr>
  </w:style>
  <w:style w:type="paragraph" w:customStyle="1" w:styleId="46">
    <w:name w:val="！正文"/>
    <w:basedOn w:val="1"/>
    <w:autoRedefine/>
    <w:qFormat/>
    <w:uiPriority w:val="0"/>
    <w:rPr>
      <w:kern w:val="0"/>
    </w:rPr>
  </w:style>
  <w:style w:type="character" w:customStyle="1" w:styleId="47">
    <w:name w:val="书籍标题"/>
    <w:basedOn w:val="24"/>
    <w:qFormat/>
    <w:uiPriority w:val="0"/>
    <w:rPr>
      <w:b/>
      <w:smallCaps/>
      <w:spacing w:val="5"/>
    </w:rPr>
  </w:style>
  <w:style w:type="paragraph" w:customStyle="1" w:styleId="48">
    <w:name w:val="WPSOffice手动目录 1"/>
    <w:autoRedefine/>
    <w:qFormat/>
    <w:uiPriority w:val="0"/>
    <w:pPr>
      <w:ind w:leftChars="0"/>
    </w:pPr>
    <w:rPr>
      <w:rFonts w:ascii="Times New Roman" w:hAnsi="Times New Roman" w:eastAsia="宋体" w:cs="Times New Roman"/>
      <w:sz w:val="20"/>
      <w:szCs w:val="20"/>
    </w:rPr>
  </w:style>
  <w:style w:type="paragraph" w:customStyle="1" w:styleId="49">
    <w:name w:val="表题"/>
    <w:basedOn w:val="1"/>
    <w:next w:val="1"/>
    <w:qFormat/>
    <w:uiPriority w:val="0"/>
    <w:pPr>
      <w:spacing w:before="50" w:beforeLines="50" w:line="240" w:lineRule="auto"/>
      <w:ind w:firstLine="0" w:firstLineChars="0"/>
      <w:jc w:val="center"/>
    </w:pPr>
    <w:rPr>
      <w:b/>
      <w:sz w:val="21"/>
    </w:rPr>
  </w:style>
  <w:style w:type="paragraph" w:styleId="50">
    <w:name w:val="No Spacing"/>
    <w:basedOn w:val="18"/>
    <w:next w:val="1"/>
    <w:qFormat/>
    <w:uiPriority w:val="1"/>
    <w:pPr>
      <w:spacing w:line="240" w:lineRule="auto"/>
      <w:ind w:left="0" w:firstLine="0" w:firstLineChars="0"/>
      <w:jc w:val="center"/>
    </w:pPr>
    <w:rPr>
      <w:sz w:val="21"/>
    </w:rPr>
  </w:style>
  <w:style w:type="character" w:customStyle="1" w:styleId="51">
    <w:name w:val="方案正文 Char"/>
    <w:link w:val="52"/>
    <w:autoRedefine/>
    <w:qFormat/>
    <w:uiPriority w:val="0"/>
    <w:rPr>
      <w:snapToGrid w:val="0"/>
      <w:kern w:val="24"/>
    </w:rPr>
  </w:style>
  <w:style w:type="paragraph" w:customStyle="1" w:styleId="52">
    <w:name w:val="方案正文"/>
    <w:basedOn w:val="1"/>
    <w:link w:val="51"/>
    <w:autoRedefine/>
    <w:qFormat/>
    <w:uiPriority w:val="0"/>
    <w:pPr>
      <w:widowControl/>
      <w:adjustRightInd w:val="0"/>
      <w:snapToGrid w:val="0"/>
      <w:spacing w:line="360" w:lineRule="auto"/>
      <w:ind w:firstLine="200" w:firstLineChars="200"/>
      <w:jc w:val="left"/>
    </w:pPr>
    <w:rPr>
      <w:snapToGrid w:val="0"/>
      <w:kern w:val="24"/>
    </w:rPr>
  </w:style>
  <w:style w:type="paragraph" w:customStyle="1" w:styleId="53">
    <w:name w:val="表头-水保"/>
    <w:basedOn w:val="1"/>
    <w:autoRedefine/>
    <w:qFormat/>
    <w:uiPriority w:val="0"/>
    <w:pPr>
      <w:ind w:firstLine="420" w:firstLineChars="200"/>
      <w:jc w:val="center"/>
    </w:pPr>
    <w:rPr>
      <w:rFonts w:eastAsia="黑体"/>
    </w:rPr>
  </w:style>
  <w:style w:type="paragraph" w:customStyle="1" w:styleId="54">
    <w:name w:val="T-水保正文"/>
    <w:basedOn w:val="1"/>
    <w:autoRedefine/>
    <w:qFormat/>
    <w:uiPriority w:val="0"/>
    <w:pPr>
      <w:spacing w:line="360" w:lineRule="auto"/>
      <w:ind w:firstLine="420" w:firstLineChars="200"/>
    </w:pPr>
    <w:rPr>
      <w:kern w:val="0"/>
      <w:szCs w:val="20"/>
    </w:rPr>
  </w:style>
  <w:style w:type="paragraph" w:customStyle="1" w:styleId="55">
    <w:name w:val="表内居左"/>
    <w:autoRedefine/>
    <w:qFormat/>
    <w:uiPriority w:val="0"/>
    <w:pPr>
      <w:adjustRightInd w:val="0"/>
      <w:snapToGrid w:val="0"/>
      <w:jc w:val="both"/>
    </w:pPr>
    <w:rPr>
      <w:rFonts w:hAnsi="Times New Roman" w:cs="Times New Roman" w:asciiTheme="minorEastAsia" w:eastAsiaTheme="minorEastAsia"/>
      <w:sz w:val="21"/>
      <w:lang w:val="en-US" w:eastAsia="zh-CN" w:bidi="ar-SA"/>
    </w:rPr>
  </w:style>
  <w:style w:type="paragraph" w:customStyle="1" w:styleId="56">
    <w:name w:val="J表格文字"/>
    <w:qFormat/>
    <w:uiPriority w:val="0"/>
    <w:pPr>
      <w:widowControl w:val="0"/>
      <w:adjustRightInd w:val="0"/>
      <w:snapToGrid w:val="0"/>
      <w:spacing w:before="20" w:line="264" w:lineRule="auto"/>
      <w:jc w:val="center"/>
    </w:pPr>
    <w:rPr>
      <w:rFonts w:ascii="Times New Roman" w:hAnsi="Times New Roman" w:eastAsia="宋体" w:cs="Times New Roman"/>
      <w:snapToGrid w:val="0"/>
      <w:sz w:val="21"/>
      <w:szCs w:val="21"/>
      <w:lang w:val="en-US" w:eastAsia="zh-CN" w:bidi="ar-SA"/>
    </w:rPr>
  </w:style>
  <w:style w:type="paragraph" w:customStyle="1" w:styleId="57">
    <w:name w:val="样式 正文缩进s4标题4表正文正文非缩进图标题段1Body Text(ch)缩进ALT+Z特点四号正文不...3"/>
    <w:basedOn w:val="7"/>
    <w:qFormat/>
    <w:uiPriority w:val="0"/>
    <w:pPr>
      <w:ind w:firstLine="200" w:firstLineChars="200"/>
    </w:pPr>
    <w:rPr>
      <w:rFonts w:ascii="宋体" w:eastAsia="仿宋_GB2312" w:cs="宋体"/>
      <w:sz w:val="24"/>
    </w:rPr>
  </w:style>
  <w:style w:type="character" w:customStyle="1" w:styleId="58">
    <w:name w:val="样式 正文缩进s4标题4表正文正文非缩进图标题段1Body Text(ch)缩进ALT+Z特点四号正文不...2 Char"/>
    <w:link w:val="59"/>
    <w:qFormat/>
    <w:uiPriority w:val="0"/>
    <w:rPr>
      <w:rFonts w:ascii="宋体" w:eastAsia="仿宋_GB2312"/>
      <w:sz w:val="24"/>
    </w:rPr>
  </w:style>
  <w:style w:type="paragraph" w:customStyle="1" w:styleId="59">
    <w:name w:val="样式 正文缩进s4标题4表正文正文非缩进图标题段1Body Text(ch)缩进ALT+Z特点四号正文不...2"/>
    <w:basedOn w:val="7"/>
    <w:link w:val="58"/>
    <w:qFormat/>
    <w:uiPriority w:val="0"/>
    <w:pPr>
      <w:ind w:firstLine="200" w:firstLineChars="200"/>
    </w:pPr>
    <w:rPr>
      <w:rFonts w:ascii="宋体" w:eastAsia="仿宋_GB2312"/>
      <w:sz w:val="24"/>
    </w:rPr>
  </w:style>
  <w:style w:type="paragraph" w:customStyle="1" w:styleId="60">
    <w:name w:val="样式 样式 正文缩进s4标题4表正文正文非缩进图标题段1Body Text(ch)缩进ALT+Z特点四号正文不... + 首行缩..."/>
    <w:basedOn w:val="1"/>
    <w:qFormat/>
    <w:uiPriority w:val="0"/>
    <w:pPr>
      <w:ind w:firstLine="480" w:firstLineChars="200"/>
    </w:pPr>
    <w:rPr>
      <w:rFonts w:ascii="宋体" w:hAnsi="宋体" w:eastAsia="仿宋_GB2312" w:cs="宋体"/>
      <w:kern w:val="0"/>
      <w:sz w:val="24"/>
      <w:szCs w:val="20"/>
    </w:rPr>
  </w:style>
  <w:style w:type="paragraph" w:customStyle="1" w:styleId="61">
    <w:name w:val="样式 正文缩进s4标题4表正文正文非缩进图标题段1Body Text(ch)缩进ALT+Z特点四号正文不...1"/>
    <w:basedOn w:val="7"/>
    <w:qFormat/>
    <w:uiPriority w:val="0"/>
    <w:pPr>
      <w:ind w:firstLine="840" w:firstLineChars="400"/>
    </w:pPr>
    <w:rPr>
      <w:rFonts w:ascii="宋体" w:hAnsi="宋体" w:eastAsia="仿宋_GB2312" w:cs="宋体"/>
      <w:sz w:val="24"/>
    </w:rPr>
  </w:style>
  <w:style w:type="paragraph" w:customStyle="1" w:styleId="62">
    <w:name w:val="表头"/>
    <w:basedOn w:val="7"/>
    <w:next w:val="1"/>
    <w:qFormat/>
    <w:uiPriority w:val="0"/>
    <w:pPr>
      <w:tabs>
        <w:tab w:val="left" w:pos="1485"/>
        <w:tab w:val="center" w:pos="4113"/>
      </w:tabs>
      <w:spacing w:line="480" w:lineRule="exact"/>
      <w:ind w:firstLine="0" w:firstLineChars="0"/>
      <w:jc w:val="center"/>
    </w:pPr>
    <w:rPr>
      <w:rFonts w:ascii="黑体" w:eastAsia="黑体"/>
      <w:spacing w:val="6"/>
      <w:position w:val="10"/>
      <w:sz w:val="21"/>
    </w:rPr>
  </w:style>
  <w:style w:type="paragraph" w:customStyle="1" w:styleId="63">
    <w:name w:val="表格内文字"/>
    <w:next w:val="1"/>
    <w:qFormat/>
    <w:uiPriority w:val="0"/>
    <w:pPr>
      <w:spacing w:line="320" w:lineRule="exact"/>
      <w:jc w:val="center"/>
    </w:pPr>
    <w:rPr>
      <w:rFonts w:ascii="Times New Roman" w:hAnsi="Times New Roman" w:eastAsia="宋体" w:cs="Times New Roman"/>
      <w:sz w:val="21"/>
      <w:szCs w:val="21"/>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43.png"/><Relationship Id="rId71" Type="http://schemas.openxmlformats.org/officeDocument/2006/relationships/image" Target="media/image42.png"/><Relationship Id="rId70" Type="http://schemas.openxmlformats.org/officeDocument/2006/relationships/image" Target="media/image41.png"/><Relationship Id="rId7" Type="http://schemas.openxmlformats.org/officeDocument/2006/relationships/image" Target="media/image3.png"/><Relationship Id="rId69" Type="http://schemas.openxmlformats.org/officeDocument/2006/relationships/image" Target="media/image40.png"/><Relationship Id="rId68" Type="http://schemas.openxmlformats.org/officeDocument/2006/relationships/image" Target="media/image39.png"/><Relationship Id="rId67" Type="http://schemas.openxmlformats.org/officeDocument/2006/relationships/image" Target="media/image38.png"/><Relationship Id="rId66" Type="http://schemas.openxmlformats.org/officeDocument/2006/relationships/image" Target="media/image37.jpeg"/><Relationship Id="rId65" Type="http://schemas.openxmlformats.org/officeDocument/2006/relationships/image" Target="media/image36.jpeg"/><Relationship Id="rId64" Type="http://schemas.openxmlformats.org/officeDocument/2006/relationships/image" Target="media/image35.jpeg"/><Relationship Id="rId63" Type="http://schemas.openxmlformats.org/officeDocument/2006/relationships/image" Target="media/image34.jpeg"/><Relationship Id="rId62" Type="http://schemas.openxmlformats.org/officeDocument/2006/relationships/image" Target="media/image33.wmf"/><Relationship Id="rId61" Type="http://schemas.openxmlformats.org/officeDocument/2006/relationships/oleObject" Target="embeddings/oleObject25.bin"/><Relationship Id="rId60" Type="http://schemas.openxmlformats.org/officeDocument/2006/relationships/image" Target="media/image32.wmf"/><Relationship Id="rId6" Type="http://schemas.openxmlformats.org/officeDocument/2006/relationships/image" Target="media/image2.png"/><Relationship Id="rId59" Type="http://schemas.openxmlformats.org/officeDocument/2006/relationships/oleObject" Target="embeddings/oleObject24.bin"/><Relationship Id="rId58" Type="http://schemas.openxmlformats.org/officeDocument/2006/relationships/image" Target="media/image31.wmf"/><Relationship Id="rId57" Type="http://schemas.openxmlformats.org/officeDocument/2006/relationships/oleObject" Target="embeddings/oleObject23.bin"/><Relationship Id="rId56" Type="http://schemas.openxmlformats.org/officeDocument/2006/relationships/image" Target="media/image30.wmf"/><Relationship Id="rId55" Type="http://schemas.openxmlformats.org/officeDocument/2006/relationships/oleObject" Target="embeddings/oleObject22.bin"/><Relationship Id="rId54" Type="http://schemas.openxmlformats.org/officeDocument/2006/relationships/image" Target="media/image29.wmf"/><Relationship Id="rId53" Type="http://schemas.openxmlformats.org/officeDocument/2006/relationships/oleObject" Target="embeddings/oleObject21.bin"/><Relationship Id="rId52" Type="http://schemas.openxmlformats.org/officeDocument/2006/relationships/image" Target="media/image28.wmf"/><Relationship Id="rId51" Type="http://schemas.openxmlformats.org/officeDocument/2006/relationships/oleObject" Target="embeddings/oleObject20.bin"/><Relationship Id="rId50" Type="http://schemas.openxmlformats.org/officeDocument/2006/relationships/image" Target="media/image27.wmf"/><Relationship Id="rId5" Type="http://schemas.openxmlformats.org/officeDocument/2006/relationships/image" Target="media/image1.png"/><Relationship Id="rId49" Type="http://schemas.openxmlformats.org/officeDocument/2006/relationships/oleObject" Target="embeddings/oleObject19.bin"/><Relationship Id="rId48" Type="http://schemas.openxmlformats.org/officeDocument/2006/relationships/image" Target="media/image26.wmf"/><Relationship Id="rId47" Type="http://schemas.openxmlformats.org/officeDocument/2006/relationships/oleObject" Target="embeddings/oleObject18.bin"/><Relationship Id="rId46" Type="http://schemas.openxmlformats.org/officeDocument/2006/relationships/image" Target="media/image25.wmf"/><Relationship Id="rId45" Type="http://schemas.openxmlformats.org/officeDocument/2006/relationships/oleObject" Target="embeddings/oleObject17.bin"/><Relationship Id="rId44" Type="http://schemas.openxmlformats.org/officeDocument/2006/relationships/image" Target="media/image24.wmf"/><Relationship Id="rId43" Type="http://schemas.openxmlformats.org/officeDocument/2006/relationships/oleObject" Target="embeddings/oleObject16.bin"/><Relationship Id="rId42" Type="http://schemas.openxmlformats.org/officeDocument/2006/relationships/image" Target="media/image23.wmf"/><Relationship Id="rId41" Type="http://schemas.openxmlformats.org/officeDocument/2006/relationships/oleObject" Target="embeddings/oleObject15.bin"/><Relationship Id="rId40" Type="http://schemas.openxmlformats.org/officeDocument/2006/relationships/image" Target="media/image22.wmf"/><Relationship Id="rId4" Type="http://schemas.openxmlformats.org/officeDocument/2006/relationships/theme" Target="theme/theme1.xml"/><Relationship Id="rId39" Type="http://schemas.openxmlformats.org/officeDocument/2006/relationships/oleObject" Target="embeddings/oleObject14.bin"/><Relationship Id="rId38" Type="http://schemas.openxmlformats.org/officeDocument/2006/relationships/image" Target="media/image21.wmf"/><Relationship Id="rId37" Type="http://schemas.openxmlformats.org/officeDocument/2006/relationships/oleObject" Target="embeddings/oleObject13.bin"/><Relationship Id="rId36" Type="http://schemas.openxmlformats.org/officeDocument/2006/relationships/image" Target="media/image20.wmf"/><Relationship Id="rId35" Type="http://schemas.openxmlformats.org/officeDocument/2006/relationships/oleObject" Target="embeddings/oleObject12.bin"/><Relationship Id="rId34" Type="http://schemas.openxmlformats.org/officeDocument/2006/relationships/image" Target="media/image19.wmf"/><Relationship Id="rId33" Type="http://schemas.openxmlformats.org/officeDocument/2006/relationships/oleObject" Target="embeddings/oleObject11.bin"/><Relationship Id="rId32" Type="http://schemas.openxmlformats.org/officeDocument/2006/relationships/image" Target="media/image18.wmf"/><Relationship Id="rId31" Type="http://schemas.openxmlformats.org/officeDocument/2006/relationships/oleObject" Target="embeddings/oleObject10.bin"/><Relationship Id="rId30" Type="http://schemas.openxmlformats.org/officeDocument/2006/relationships/image" Target="media/image17.wmf"/><Relationship Id="rId3" Type="http://schemas.openxmlformats.org/officeDocument/2006/relationships/footer" Target="footer1.xml"/><Relationship Id="rId29" Type="http://schemas.openxmlformats.org/officeDocument/2006/relationships/oleObject" Target="embeddings/oleObject9.bin"/><Relationship Id="rId28" Type="http://schemas.openxmlformats.org/officeDocument/2006/relationships/image" Target="media/image16.wmf"/><Relationship Id="rId27" Type="http://schemas.openxmlformats.org/officeDocument/2006/relationships/oleObject" Target="embeddings/oleObject8.bin"/><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wmf"/><Relationship Id="rId23" Type="http://schemas.openxmlformats.org/officeDocument/2006/relationships/oleObject" Target="embeddings/oleObject7.bin"/><Relationship Id="rId22" Type="http://schemas.openxmlformats.org/officeDocument/2006/relationships/image" Target="media/image12.wmf"/><Relationship Id="rId21" Type="http://schemas.openxmlformats.org/officeDocument/2006/relationships/oleObject" Target="embeddings/oleObject6.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10.wmf"/><Relationship Id="rId17" Type="http://schemas.openxmlformats.org/officeDocument/2006/relationships/oleObject" Target="embeddings/oleObject4.bin"/><Relationship Id="rId16" Type="http://schemas.openxmlformats.org/officeDocument/2006/relationships/image" Target="media/image9.wmf"/><Relationship Id="rId15" Type="http://schemas.openxmlformats.org/officeDocument/2006/relationships/oleObject" Target="embeddings/oleObject3.bin"/><Relationship Id="rId14" Type="http://schemas.openxmlformats.org/officeDocument/2006/relationships/image" Target="media/image8.jpeg"/><Relationship Id="rId13" Type="http://schemas.openxmlformats.org/officeDocument/2006/relationships/image" Target="media/image7.wmf"/><Relationship Id="rId12" Type="http://schemas.openxmlformats.org/officeDocument/2006/relationships/oleObject" Target="embeddings/oleObject2.bin"/><Relationship Id="rId11" Type="http://schemas.openxmlformats.org/officeDocument/2006/relationships/image" Target="media/image6.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99</Pages>
  <Words>18783</Words>
  <Characters>25619</Characters>
  <Lines>0</Lines>
  <Paragraphs>0</Paragraphs>
  <TotalTime>8</TotalTime>
  <ScaleCrop>false</ScaleCrop>
  <LinksUpToDate>false</LinksUpToDate>
  <CharactersWithSpaces>25730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2024-08-05T01:56:00Z</dcterms:created>
  <dc:creator>ballballYoU</dc:creator>
  <cp:lastModifiedBy>不是没有木鱼吗</cp:lastModifiedBy>
  <dcterms:modified xsi:type="dcterms:W3CDTF">2025-09-03T09:42:23Z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9F3AA990A0004EF8B0E8992ED3B4E4CC_13</vt:lpwstr>
  </property>
  <property fmtid="{D5CDD505-2E9C-101B-9397-08002B2CF9AE}" pid="4" name="KSOTemplateDocerSaveRecord">
    <vt:lpwstr>eyJoZGlkIjoiYWEwMDA5YTFmM2UyNzI0NTM3ZGY4Mjc2YWZiMDI1MjciLCJ1c2VySWQiOiI1OTgzODMzNTQifQ==</vt:lpwstr>
  </property>
</Properties>
</file>