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default" w:ascii="方正小标宋_GBK" w:eastAsia="方正小标宋_GBK"/>
          <w:bCs/>
          <w:sz w:val="72"/>
          <w:szCs w:val="72"/>
          <w:lang w:val="en-US" w:eastAsia="zh-CN"/>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adjustRightInd w:val="0"/>
        <w:snapToGrid w:val="0"/>
        <w:spacing w:line="288" w:lineRule="auto"/>
        <w:ind w:left="2877" w:leftChars="513" w:hanging="1800" w:hangingChars="500"/>
        <w:rPr>
          <w:rFonts w:hint="default" w:ascii="Times New Roman" w:hAnsi="Times New Roman" w:eastAsia="仿宋_GB2312" w:cs="Times New Roman"/>
          <w:sz w:val="36"/>
          <w:szCs w:val="36"/>
          <w:u w:val="single"/>
          <w:lang w:val="en-US" w:eastAsia="zh-CN"/>
        </w:rPr>
      </w:pPr>
      <w:r>
        <w:rPr>
          <w:rFonts w:hint="default" w:ascii="Times New Roman" w:hAnsi="Times New Roman" w:eastAsia="仿宋_GB2312" w:cs="Times New Roman"/>
          <w:sz w:val="36"/>
          <w:szCs w:val="36"/>
        </w:rPr>
        <w:t>项目名称：</w:t>
      </w:r>
      <w:r>
        <w:rPr>
          <w:rFonts w:hint="default" w:ascii="Times New Roman" w:hAnsi="Times New Roman" w:eastAsia="仿宋_GB2312" w:cs="Times New Roman"/>
          <w:sz w:val="36"/>
          <w:szCs w:val="36"/>
          <w:u w:val="single"/>
          <w:lang w:val="en-US" w:eastAsia="zh-CN"/>
        </w:rPr>
        <w:t>库尔勒市第一人民医院医技及重症</w:t>
      </w:r>
    </w:p>
    <w:p>
      <w:pPr>
        <w:adjustRightInd w:val="0"/>
        <w:snapToGrid w:val="0"/>
        <w:spacing w:line="288" w:lineRule="auto"/>
        <w:ind w:left="2873" w:leftChars="1368" w:firstLine="0" w:firstLineChars="0"/>
        <w:rPr>
          <w:rFonts w:hint="default" w:ascii="Times New Roman" w:hAnsi="Times New Roman" w:eastAsia="仿宋_GB2312" w:cs="Times New Roman"/>
          <w:sz w:val="36"/>
          <w:szCs w:val="36"/>
          <w:u w:val="single"/>
          <w:lang w:val="en-US" w:eastAsia="zh-CN"/>
        </w:rPr>
      </w:pPr>
      <w:r>
        <w:rPr>
          <w:rFonts w:hint="default" w:ascii="Times New Roman" w:hAnsi="Times New Roman" w:eastAsia="仿宋_GB2312" w:cs="Times New Roman"/>
          <w:sz w:val="36"/>
          <w:szCs w:val="36"/>
          <w:u w:val="single"/>
          <w:lang w:val="en-US" w:eastAsia="zh-CN"/>
        </w:rPr>
        <w:t xml:space="preserve">医学楼项目 </w:t>
      </w:r>
      <w:r>
        <w:rPr>
          <w:rFonts w:hint="eastAsia" w:eastAsia="仿宋_GB2312" w:cs="Times New Roman"/>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建设单位（盖章）：</w:t>
      </w:r>
      <w:r>
        <w:rPr>
          <w:rFonts w:hint="default" w:ascii="Times New Roman" w:hAnsi="Times New Roman" w:eastAsia="仿宋_GB2312" w:cs="Times New Roman"/>
          <w:sz w:val="36"/>
          <w:szCs w:val="36"/>
          <w:u w:val="single"/>
          <w:lang w:val="en-US" w:eastAsia="zh-CN"/>
        </w:rPr>
        <w:t>库尔勒市第一人民医院</w:t>
      </w:r>
      <w:r>
        <w:rPr>
          <w:rFonts w:hint="default" w:ascii="Times New Roman" w:hAnsi="Times New Roman" w:eastAsia="仿宋_GB2312" w:cs="Times New Roman"/>
          <w:sz w:val="36"/>
          <w:szCs w:val="36"/>
          <w:u w:val="single"/>
        </w:rPr>
        <w:t xml:space="preserve">  </w:t>
      </w:r>
    </w:p>
    <w:p>
      <w:pPr>
        <w:adjustRightInd w:val="0"/>
        <w:snapToGrid w:val="0"/>
        <w:spacing w:line="288" w:lineRule="auto"/>
        <w:ind w:firstLine="1040"/>
        <w:rPr>
          <w:rFonts w:ascii="仿宋_GB2312" w:eastAsia="仿宋_GB2312"/>
          <w:sz w:val="36"/>
          <w:szCs w:val="36"/>
          <w:u w:val="single"/>
        </w:rPr>
      </w:pPr>
      <w:r>
        <w:rPr>
          <w:rFonts w:hint="default" w:ascii="Times New Roman" w:hAnsi="Times New Roman" w:eastAsia="仿宋_GB2312" w:cs="Times New Roman"/>
          <w:sz w:val="36"/>
          <w:szCs w:val="36"/>
        </w:rPr>
        <w:t>编制日期：</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val="en-US" w:eastAsia="zh-CN"/>
        </w:rPr>
        <w:t>2025年10月</w:t>
      </w:r>
      <w:r>
        <w:rPr>
          <w:rFonts w:hint="default" w:ascii="Times New Roman" w:hAnsi="Times New Roman" w:eastAsia="仿宋_GB2312" w:cs="Times New Roman"/>
          <w:sz w:val="36"/>
          <w:szCs w:val="36"/>
          <w:u w:val="single"/>
        </w:rPr>
        <w:t xml:space="preserve">  </w:t>
      </w:r>
      <w:r>
        <w:rPr>
          <w:rFonts w:ascii="仿宋_GB2312" w:eastAsia="仿宋_GB2312"/>
          <w:sz w:val="36"/>
          <w:szCs w:val="36"/>
          <w:u w:val="single"/>
        </w:rPr>
        <w:t xml:space="preserve">      </w:t>
      </w:r>
      <w:bookmarkStart w:id="0" w:name="_Hlk57884087"/>
    </w:p>
    <w:p>
      <w:pPr>
        <w:tabs>
          <w:tab w:val="left" w:pos="6246"/>
        </w:tabs>
        <w:adjustRightInd w:val="0"/>
        <w:snapToGrid w:val="0"/>
        <w:spacing w:line="288" w:lineRule="auto"/>
        <w:ind w:firstLine="1040"/>
        <w:rPr>
          <w:rFonts w:hint="eastAsia" w:ascii="仿宋_GB2312" w:eastAsia="仿宋_GB2312"/>
          <w:sz w:val="36"/>
          <w:szCs w:val="36"/>
          <w:lang w:eastAsia="zh-CN"/>
        </w:rPr>
      </w:pPr>
      <w:r>
        <w:rPr>
          <w:rFonts w:hint="eastAsia" w:ascii="仿宋_GB2312" w:eastAsia="仿宋_GB2312"/>
          <w:sz w:val="36"/>
          <w:szCs w:val="36"/>
          <w:lang w:eastAsia="zh-CN"/>
        </w:rPr>
        <w:tab/>
      </w: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pPr>
        <w:pStyle w:val="21"/>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78"/>
        <w:gridCol w:w="2347"/>
        <w:gridCol w:w="2220"/>
        <w:gridCol w:w="32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ascii="宋体" w:hAnsi="宋体" w:cs="宋体"/>
                <w:szCs w:val="21"/>
              </w:rPr>
            </w:pPr>
          </w:p>
        </w:tc>
        <w:tc>
          <w:tcPr>
            <w:tcW w:w="7792" w:type="dxa"/>
            <w:gridSpan w:val="3"/>
            <w:noWrap w:val="0"/>
            <w:vAlign w:val="center"/>
          </w:tcPr>
          <w:p>
            <w:pPr>
              <w:adjustRightInd w:val="0"/>
              <w:snapToGrid w:val="0"/>
              <w:jc w:val="center"/>
              <w:rPr>
                <w:rFonts w:hint="default" w:ascii="宋体" w:hAnsi="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ascii="宋体" w:hAnsi="宋体" w:cs="宋体"/>
                <w:szCs w:val="21"/>
              </w:rPr>
            </w:pPr>
          </w:p>
        </w:tc>
        <w:tc>
          <w:tcPr>
            <w:tcW w:w="7792" w:type="dxa"/>
            <w:gridSpan w:val="3"/>
            <w:noWrap w:val="0"/>
            <w:vAlign w:val="center"/>
          </w:tcPr>
          <w:p>
            <w:pPr>
              <w:adjustRightInd w:val="0"/>
              <w:snapToGrid w:val="0"/>
              <w:jc w:val="center"/>
              <w:rPr>
                <w:rFonts w:hint="eastAsia" w:ascii="宋体" w:hAnsi="宋体" w:eastAsia="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hint="eastAsia" w:ascii="宋体" w:hAnsi="宋体" w:cs="宋体"/>
                <w:szCs w:val="21"/>
              </w:rPr>
            </w:pPr>
          </w:p>
        </w:tc>
        <w:tc>
          <w:tcPr>
            <w:tcW w:w="2347" w:type="dxa"/>
            <w:noWrap w:val="0"/>
            <w:vAlign w:val="center"/>
          </w:tcPr>
          <w:p>
            <w:pPr>
              <w:adjustRightInd w:val="0"/>
              <w:snapToGrid w:val="0"/>
              <w:jc w:val="center"/>
              <w:rPr>
                <w:rFonts w:hint="default" w:ascii="宋体" w:hAnsi="宋体" w:eastAsia="宋体" w:cs="宋体"/>
                <w:szCs w:val="21"/>
                <w:lang w:val="en-US" w:eastAsia="zh-CN"/>
              </w:rPr>
            </w:pPr>
          </w:p>
        </w:tc>
        <w:tc>
          <w:tcPr>
            <w:tcW w:w="2220" w:type="dxa"/>
            <w:noWrap w:val="0"/>
            <w:vAlign w:val="center"/>
          </w:tcPr>
          <w:p>
            <w:pPr>
              <w:adjustRightInd w:val="0"/>
              <w:snapToGrid w:val="0"/>
              <w:jc w:val="center"/>
              <w:rPr>
                <w:rFonts w:ascii="宋体" w:hAnsi="宋体" w:cs="宋体"/>
                <w:szCs w:val="21"/>
              </w:rPr>
            </w:pPr>
          </w:p>
        </w:tc>
        <w:tc>
          <w:tcPr>
            <w:tcW w:w="3225" w:type="dxa"/>
            <w:noWrap w:val="0"/>
            <w:vAlign w:val="center"/>
          </w:tcPr>
          <w:p>
            <w:pPr>
              <w:adjustRightInd w:val="0"/>
              <w:snapToGrid w:val="0"/>
              <w:jc w:val="center"/>
              <w:rPr>
                <w:rFonts w:hint="default" w:ascii="宋体" w:hAnsi="宋体" w:eastAsia="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ascii="宋体" w:hAnsi="宋体" w:cs="宋体"/>
                <w:szCs w:val="21"/>
              </w:rPr>
            </w:pPr>
          </w:p>
        </w:tc>
        <w:tc>
          <w:tcPr>
            <w:tcW w:w="7792" w:type="dxa"/>
            <w:gridSpan w:val="3"/>
            <w:noWrap w:val="0"/>
            <w:vAlign w:val="center"/>
          </w:tcPr>
          <w:p>
            <w:pPr>
              <w:pStyle w:val="49"/>
              <w:bidi w:val="0"/>
              <w:rPr>
                <w:rFonts w:hint="default" w:ascii="宋体" w:hAnsi="宋体" w:eastAsia="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ascii="宋体" w:hAnsi="宋体" w:cs="宋体"/>
                <w:szCs w:val="21"/>
              </w:rPr>
            </w:pPr>
          </w:p>
        </w:tc>
        <w:tc>
          <w:tcPr>
            <w:tcW w:w="7792" w:type="dxa"/>
            <w:gridSpan w:val="3"/>
            <w:noWrap w:val="0"/>
            <w:vAlign w:val="center"/>
          </w:tcPr>
          <w:p>
            <w:pPr>
              <w:pStyle w:val="49"/>
              <w:bidi w:val="0"/>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78"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国民经济</w:t>
            </w:r>
          </w:p>
          <w:p>
            <w:pPr>
              <w:adjustRightInd w:val="0"/>
              <w:snapToGrid w:val="0"/>
              <w:jc w:val="center"/>
              <w:rPr>
                <w:rFonts w:ascii="宋体" w:hAnsi="宋体" w:cs="宋体"/>
                <w:szCs w:val="21"/>
              </w:rPr>
            </w:pPr>
            <w:r>
              <w:rPr>
                <w:rFonts w:hint="eastAsia" w:ascii="宋体" w:hAnsi="宋体" w:cs="宋体"/>
                <w:szCs w:val="21"/>
              </w:rPr>
              <w:t>行业类别</w:t>
            </w:r>
          </w:p>
        </w:tc>
        <w:tc>
          <w:tcPr>
            <w:tcW w:w="2347" w:type="dxa"/>
            <w:noWrap w:val="0"/>
            <w:vAlign w:val="center"/>
          </w:tcPr>
          <w:p>
            <w:pPr>
              <w:adjustRightInd w:val="0"/>
              <w:snapToGrid w:val="0"/>
              <w:jc w:val="center"/>
              <w:rPr>
                <w:rFonts w:hint="default" w:ascii="宋体" w:hAnsi="宋体" w:eastAsia="宋体" w:cs="宋体"/>
                <w:szCs w:val="21"/>
                <w:lang w:val="en-US" w:eastAsia="zh-CN"/>
              </w:rPr>
            </w:pPr>
            <w:r>
              <w:rPr>
                <w:rFonts w:hint="default" w:ascii="Times New Roman" w:hAnsi="Times New Roman" w:cs="Times New Roman"/>
                <w:szCs w:val="21"/>
                <w:lang w:val="en-US" w:eastAsia="zh-CN"/>
              </w:rPr>
              <w:t>Q8411</w:t>
            </w:r>
            <w:r>
              <w:rPr>
                <w:rFonts w:hint="eastAsia" w:ascii="Times New Roman" w:hAnsi="Times New Roman" w:cs="Times New Roman"/>
                <w:szCs w:val="21"/>
                <w:lang w:val="en-US" w:eastAsia="zh-CN"/>
              </w:rPr>
              <w:t>综合医院</w:t>
            </w:r>
          </w:p>
        </w:tc>
        <w:tc>
          <w:tcPr>
            <w:tcW w:w="2220" w:type="dxa"/>
            <w:noWrap w:val="0"/>
            <w:vAlign w:val="center"/>
          </w:tcPr>
          <w:p>
            <w:pPr>
              <w:adjustRightInd w:val="0"/>
              <w:snapToGrid w:val="0"/>
              <w:jc w:val="center"/>
              <w:rPr>
                <w:rFonts w:ascii="宋体" w:hAnsi="宋体" w:cs="宋体"/>
                <w:szCs w:val="21"/>
              </w:rPr>
            </w:pPr>
            <w:bookmarkStart w:id="1" w:name="_Hlk49843745"/>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bookmarkEnd w:id="1"/>
          </w:p>
        </w:tc>
        <w:tc>
          <w:tcPr>
            <w:tcW w:w="3225" w:type="dxa"/>
            <w:noWrap w:val="0"/>
            <w:vAlign w:val="center"/>
          </w:tcPr>
          <w:p>
            <w:pPr>
              <w:pStyle w:val="49"/>
              <w:bidi w:val="0"/>
              <w:rPr>
                <w:rFonts w:hint="default" w:ascii="宋体" w:hAnsi="宋体" w:eastAsia="宋体" w:cs="宋体"/>
                <w:szCs w:val="21"/>
                <w:lang w:val="en-US" w:eastAsia="zh-CN"/>
              </w:rPr>
            </w:pPr>
            <w:r>
              <w:rPr>
                <w:rFonts w:hint="eastAsia"/>
                <w:lang w:val="en-US" w:eastAsia="zh-CN"/>
              </w:rPr>
              <w:t>四十九、卫生84-108医院841-其他（住院床位20张以下的除外）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8"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2347" w:type="dxa"/>
            <w:noWrap w:val="0"/>
            <w:vAlign w:val="center"/>
          </w:tcPr>
          <w:p>
            <w:pPr>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新建（迁建）</w:t>
            </w:r>
          </w:p>
          <w:p>
            <w:pPr>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改建</w:t>
            </w:r>
          </w:p>
          <w:p>
            <w:pPr>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扩建</w:t>
            </w:r>
          </w:p>
          <w:p>
            <w:pPr>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技术改造</w:t>
            </w:r>
          </w:p>
        </w:tc>
        <w:tc>
          <w:tcPr>
            <w:tcW w:w="2220"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3225" w:type="dxa"/>
            <w:noWrap w:val="0"/>
            <w:vAlign w:val="center"/>
          </w:tcPr>
          <w:p>
            <w:pPr>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首次申报项目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□不予批准后再次申报项目</w:t>
            </w:r>
          </w:p>
          <w:p>
            <w:pPr>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超五年重新审核项目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78"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备案）部门（选填）</w:t>
            </w:r>
          </w:p>
        </w:tc>
        <w:tc>
          <w:tcPr>
            <w:tcW w:w="2347"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库尔勒市发展和改革委员会</w:t>
            </w:r>
          </w:p>
        </w:tc>
        <w:tc>
          <w:tcPr>
            <w:tcW w:w="2220"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备案）文号（选填）</w:t>
            </w:r>
          </w:p>
        </w:tc>
        <w:tc>
          <w:tcPr>
            <w:tcW w:w="3225"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库发改社会</w:t>
            </w:r>
            <w:r>
              <w:rPr>
                <w:rFonts w:hint="eastAsia" w:ascii="微软雅黑" w:hAnsi="微软雅黑" w:eastAsia="微软雅黑" w:cs="微软雅黑"/>
                <w:szCs w:val="21"/>
                <w:lang w:val="en-US" w:eastAsia="zh-CN"/>
              </w:rPr>
              <w:t>〔</w:t>
            </w:r>
            <w:r>
              <w:rPr>
                <w:rFonts w:hint="eastAsia" w:ascii="Times New Roman" w:hAnsi="Times New Roman" w:cs="Times New Roman"/>
                <w:szCs w:val="21"/>
                <w:lang w:val="en-US" w:eastAsia="zh-CN"/>
              </w:rPr>
              <w:t>2025</w:t>
            </w:r>
            <w:r>
              <w:rPr>
                <w:rFonts w:hint="eastAsia" w:ascii="微软雅黑" w:hAnsi="微软雅黑" w:eastAsia="微软雅黑" w:cs="微软雅黑"/>
                <w:szCs w:val="21"/>
                <w:lang w:val="en-US" w:eastAsia="zh-CN"/>
              </w:rPr>
              <w:t>〕</w:t>
            </w:r>
            <w:r>
              <w:rPr>
                <w:rFonts w:hint="eastAsia" w:ascii="Times New Roman" w:hAnsi="Times New Roman" w:cs="Times New Roman"/>
                <w:szCs w:val="21"/>
                <w:lang w:val="en-US" w:eastAsia="zh-CN"/>
              </w:rPr>
              <w:t>201号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总投资（万元）</w:t>
            </w:r>
          </w:p>
        </w:tc>
        <w:tc>
          <w:tcPr>
            <w:tcW w:w="2347" w:type="dxa"/>
            <w:noWrap w:val="0"/>
            <w:vAlign w:val="center"/>
          </w:tcPr>
          <w:p>
            <w:pPr>
              <w:adjustRightInd w:val="0"/>
              <w:snapToGrid w:val="0"/>
              <w:jc w:val="center"/>
              <w:rPr>
                <w:rFonts w:hint="default" w:ascii="Times New Roman" w:hAnsi="Times New Roman" w:cs="Times New Roman"/>
                <w:szCs w:val="21"/>
                <w:lang w:val="en-US"/>
              </w:rPr>
            </w:pPr>
            <w:r>
              <w:rPr>
                <w:rFonts w:hint="default" w:ascii="Times New Roman" w:hAnsi="Times New Roman" w:cs="Times New Roman"/>
                <w:lang w:val="en-US" w:eastAsia="zh-CN"/>
              </w:rPr>
              <w:t>12500</w:t>
            </w:r>
            <w:bookmarkStart w:id="5" w:name="_GoBack"/>
            <w:bookmarkEnd w:id="5"/>
          </w:p>
        </w:tc>
        <w:tc>
          <w:tcPr>
            <w:tcW w:w="2220"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环保投资（万元）</w:t>
            </w:r>
          </w:p>
        </w:tc>
        <w:tc>
          <w:tcPr>
            <w:tcW w:w="3225"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8"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环保投资占比（%）</w:t>
            </w:r>
          </w:p>
        </w:tc>
        <w:tc>
          <w:tcPr>
            <w:tcW w:w="2347"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0.86</w:t>
            </w:r>
          </w:p>
        </w:tc>
        <w:tc>
          <w:tcPr>
            <w:tcW w:w="2220"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施工工期</w:t>
            </w:r>
          </w:p>
        </w:tc>
        <w:tc>
          <w:tcPr>
            <w:tcW w:w="3225"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1078"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是否开工建设</w:t>
            </w:r>
          </w:p>
        </w:tc>
        <w:tc>
          <w:tcPr>
            <w:tcW w:w="2347" w:type="dxa"/>
            <w:noWrap w:val="0"/>
            <w:vAlign w:val="center"/>
          </w:tcPr>
          <w:p>
            <w:pPr>
              <w:adjustRightInd w:val="0"/>
              <w:snapToGrid w:val="0"/>
              <w:rPr>
                <w:rFonts w:ascii="宋体" w:hAnsi="宋体" w:cs="宋体"/>
                <w:szCs w:val="21"/>
              </w:rPr>
            </w:pPr>
            <w:r>
              <w:rPr>
                <w:rFonts w:hint="eastAsia" w:ascii="宋体" w:hAnsi="宋体" w:cs="宋体"/>
                <w:szCs w:val="21"/>
                <w:lang w:eastAsia="zh-CN"/>
              </w:rPr>
              <w:t>☑</w:t>
            </w:r>
            <w:r>
              <w:rPr>
                <w:rFonts w:hint="eastAsia" w:ascii="宋体" w:hAnsi="宋体" w:cs="宋体"/>
                <w:szCs w:val="21"/>
              </w:rPr>
              <w:t>否</w:t>
            </w:r>
          </w:p>
          <w:p>
            <w:pPr>
              <w:adjustRightInd w:val="0"/>
              <w:snapToGrid w:val="0"/>
              <w:rPr>
                <w:rFonts w:hint="default" w:ascii="宋体" w:hAnsi="宋体" w:cs="宋体"/>
                <w:szCs w:val="21"/>
                <w:u w:val="single"/>
                <w:lang w:val="en-US" w:eastAsia="zh-CN"/>
              </w:rPr>
            </w:pPr>
            <w:r>
              <w:rPr>
                <w:rFonts w:hint="eastAsia" w:ascii="宋体" w:hAnsi="宋体" w:cs="宋体"/>
                <w:szCs w:val="21"/>
                <w:lang w:eastAsia="zh-CN"/>
              </w:rPr>
              <w:t>□</w:t>
            </w:r>
            <w:r>
              <w:rPr>
                <w:rFonts w:hint="eastAsia" w:ascii="宋体" w:hAnsi="宋体" w:cs="宋体"/>
                <w:szCs w:val="21"/>
              </w:rPr>
              <w:t>是：</w:t>
            </w:r>
            <w:r>
              <w:rPr>
                <w:rFonts w:hint="eastAsia" w:ascii="宋体" w:hAnsi="宋体" w:cs="宋体"/>
                <w:szCs w:val="21"/>
                <w:u w:val="single"/>
                <w:lang w:val="en-US" w:eastAsia="zh-CN"/>
              </w:rPr>
              <w:t xml:space="preserve">        </w:t>
            </w:r>
          </w:p>
        </w:tc>
        <w:tc>
          <w:tcPr>
            <w:tcW w:w="2220"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Cs w:val="21"/>
              </w:rPr>
            </w:pPr>
            <w:r>
              <w:rPr>
                <w:rFonts w:hint="default" w:ascii="Times New Roman" w:hAnsi="Times New Roman" w:cs="Times New Roman"/>
                <w:spacing w:val="-6"/>
                <w:szCs w:val="21"/>
              </w:rPr>
              <w:t>用地（用海）</w:t>
            </w:r>
          </w:p>
          <w:p>
            <w:pPr>
              <w:adjustRightInd w:val="0"/>
              <w:snapToGrid w:val="0"/>
              <w:jc w:val="center"/>
              <w:rPr>
                <w:rFonts w:hint="default" w:ascii="Times New Roman" w:hAnsi="Times New Roman" w:cs="Times New Roman"/>
                <w:szCs w:val="21"/>
              </w:rPr>
            </w:pPr>
            <w:r>
              <w:rPr>
                <w:rFonts w:hint="default" w:ascii="Times New Roman" w:hAnsi="Times New Roman" w:cs="Times New Roman"/>
                <w:spacing w:val="-6"/>
                <w:szCs w:val="21"/>
              </w:rPr>
              <w:t>面积（m</w:t>
            </w:r>
            <w:r>
              <w:rPr>
                <w:rFonts w:hint="default" w:ascii="Times New Roman" w:hAnsi="Times New Roman" w:cs="Times New Roman"/>
                <w:spacing w:val="-6"/>
                <w:szCs w:val="21"/>
                <w:vertAlign w:val="superscript"/>
              </w:rPr>
              <w:t>2</w:t>
            </w:r>
            <w:r>
              <w:rPr>
                <w:rFonts w:hint="default" w:ascii="Times New Roman" w:hAnsi="Times New Roman" w:cs="Times New Roman"/>
                <w:spacing w:val="-6"/>
                <w:szCs w:val="21"/>
              </w:rPr>
              <w:t>）</w:t>
            </w:r>
          </w:p>
        </w:tc>
        <w:tc>
          <w:tcPr>
            <w:tcW w:w="3225"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0m</w:t>
            </w:r>
            <w:r>
              <w:rPr>
                <w:rFonts w:hint="default" w:ascii="Times New Roman" w:hAnsi="Times New Roman" w:cs="Times New Roman"/>
                <w:szCs w:val="21"/>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078" w:type="dxa"/>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7792" w:type="dxa"/>
            <w:gridSpan w:val="3"/>
            <w:noWrap w:val="0"/>
            <w:vAlign w:val="center"/>
          </w:tcPr>
          <w:p>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078"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szCs w:val="21"/>
              </w:rPr>
              <w:t>规划情况</w:t>
            </w:r>
          </w:p>
        </w:tc>
        <w:tc>
          <w:tcPr>
            <w:tcW w:w="7792" w:type="dxa"/>
            <w:gridSpan w:val="3"/>
            <w:noWrap w:val="0"/>
            <w:vAlign w:val="center"/>
          </w:tcPr>
          <w:p>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规划文件名称：《库尔勒市国土空间总体规划（2021-2035年）》；</w:t>
            </w:r>
          </w:p>
          <w:p>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审批机关：</w:t>
            </w:r>
            <w:r>
              <w:rPr>
                <w:rFonts w:hint="default" w:ascii="Times New Roman" w:hAnsi="Times New Roman" w:eastAsia="宋体" w:cs="Times New Roman"/>
                <w:i w:val="0"/>
                <w:iCs w:val="0"/>
                <w:caps w:val="0"/>
                <w:color w:val="333333"/>
                <w:spacing w:val="0"/>
                <w:sz w:val="21"/>
                <w:szCs w:val="21"/>
                <w:shd w:val="clear" w:fill="FFFFFF"/>
              </w:rPr>
              <w:t>新疆维吾尔自治区人民政府</w:t>
            </w:r>
            <w:r>
              <w:rPr>
                <w:rFonts w:hint="default" w:ascii="Times New Roman" w:hAnsi="Times New Roman" w:eastAsia="宋体" w:cs="Times New Roman"/>
                <w:i w:val="0"/>
                <w:iCs w:val="0"/>
                <w:caps w:val="0"/>
                <w:color w:val="333333"/>
                <w:spacing w:val="0"/>
                <w:sz w:val="21"/>
                <w:szCs w:val="21"/>
                <w:shd w:val="clear" w:fill="FFFFFF"/>
                <w:lang w:eastAsia="zh-CN"/>
              </w:rPr>
              <w:t>；</w:t>
            </w:r>
          </w:p>
          <w:p>
            <w:pPr>
              <w:autoSpaceDE w:val="0"/>
              <w:autoSpaceDN w:val="0"/>
              <w:adjustRightInd w:val="0"/>
              <w:snapToGrid w:val="0"/>
              <w:jc w:val="center"/>
              <w:rPr>
                <w:rFonts w:hint="default"/>
                <w:lang w:val="en-US" w:eastAsia="zh-CN"/>
              </w:rPr>
            </w:pPr>
            <w:r>
              <w:rPr>
                <w:rFonts w:hint="default" w:ascii="Times New Roman" w:hAnsi="Times New Roman" w:eastAsia="宋体" w:cs="Times New Roman"/>
                <w:sz w:val="21"/>
                <w:szCs w:val="21"/>
                <w:lang w:val="en-US" w:eastAsia="zh-CN"/>
              </w:rPr>
              <w:t>审批文件名称及文号：/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078" w:type="dxa"/>
            <w:noWrap w:val="0"/>
            <w:vAlign w:val="center"/>
          </w:tcPr>
          <w:p>
            <w:pPr>
              <w:adjustRightInd w:val="0"/>
              <w:snapToGrid w:val="0"/>
              <w:jc w:val="center"/>
              <w:rPr>
                <w:rFonts w:hint="eastAsia" w:ascii="宋体" w:hAnsi="宋体" w:cs="宋体"/>
                <w:kern w:val="0"/>
                <w:szCs w:val="21"/>
              </w:rPr>
            </w:pPr>
            <w:r>
              <w:rPr>
                <w:rFonts w:hint="eastAsia" w:ascii="宋体" w:hAnsi="宋体" w:cs="宋体"/>
                <w:szCs w:val="21"/>
              </w:rPr>
              <w:t>规划环境影响评价情况</w:t>
            </w:r>
          </w:p>
        </w:tc>
        <w:tc>
          <w:tcPr>
            <w:tcW w:w="7792" w:type="dxa"/>
            <w:gridSpan w:val="3"/>
            <w:noWrap w:val="0"/>
            <w:vAlign w:val="center"/>
          </w:tcPr>
          <w:p>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1078" w:type="dxa"/>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规划及规划环境影响评价符合性分析</w:t>
            </w:r>
          </w:p>
        </w:tc>
        <w:tc>
          <w:tcPr>
            <w:tcW w:w="7792" w:type="dxa"/>
            <w:gridSpan w:val="3"/>
            <w:noWrap w:val="0"/>
            <w:vAlign w:val="center"/>
          </w:tcPr>
          <w:p>
            <w:pPr>
              <w:pStyle w:val="58"/>
              <w:bidi w:val="0"/>
              <w:rPr>
                <w:rFonts w:hint="default" w:ascii="宋体" w:hAnsi="宋体" w:eastAsia="宋体" w:cs="宋体"/>
                <w:kern w:val="0"/>
                <w:szCs w:val="21"/>
                <w:lang w:val="en-US" w:eastAsia="zh-CN"/>
              </w:rPr>
            </w:pPr>
            <w:r>
              <w:rPr>
                <w:rFonts w:hint="eastAsia" w:ascii="Times New Roman" w:hAnsi="Times New Roman" w:eastAsia="宋体" w:cs="宋体"/>
                <w:lang w:val="en-US" w:eastAsia="zh-CN"/>
              </w:rPr>
              <w:t>项目选址位于新疆维吾尔自治区巴音郭楞蒙古自治州库尔勒市团结北路108号（库尔勒市第一人民医院）院内，项目用地属性为卫生医疗用地，根据《库尔勒市国土空间总体规划（2021-2035年）》国土空间支撑保障要求，应完善库尔勒市公共服务设施，建立市级公共服务中心，作为市域乃至全州核心功能的重要承载区，配置文化、教育、体育、医疗、福利设施等一体的公共中心，提升城市人口吸引力，激发城市活力。本项目</w:t>
            </w:r>
            <w:r>
              <w:rPr>
                <w:rFonts w:hint="eastAsia" w:cs="宋体"/>
                <w:lang w:val="en-US" w:eastAsia="zh-CN"/>
              </w:rPr>
              <w:t>位于库尔勒市中心城区，</w:t>
            </w:r>
            <w:r>
              <w:rPr>
                <w:rFonts w:hint="eastAsia" w:ascii="Times New Roman" w:hAnsi="Times New Roman" w:eastAsia="宋体" w:cs="宋体"/>
                <w:lang w:val="en-US" w:eastAsia="zh-CN"/>
              </w:rPr>
              <w:t>建成后，有助于</w:t>
            </w:r>
            <w:r>
              <w:rPr>
                <w:rFonts w:hint="default" w:ascii="Times New Roman" w:hAnsi="Times New Roman" w:eastAsia="宋体" w:cs="宋体"/>
                <w:lang w:val="en-US" w:eastAsia="zh-CN"/>
              </w:rPr>
              <w:t>改善</w:t>
            </w:r>
            <w:r>
              <w:rPr>
                <w:rFonts w:hint="eastAsia" w:ascii="Times New Roman" w:hAnsi="Times New Roman" w:eastAsia="宋体" w:cs="宋体"/>
                <w:lang w:val="en-US" w:eastAsia="zh-CN"/>
              </w:rPr>
              <w:t>库尔勒市第一人民医院</w:t>
            </w:r>
            <w:r>
              <w:rPr>
                <w:rFonts w:hint="default" w:ascii="Times New Roman" w:hAnsi="Times New Roman" w:eastAsia="宋体" w:cs="宋体"/>
                <w:lang w:val="en-US" w:eastAsia="zh-CN"/>
              </w:rPr>
              <w:t>现有的医疗环境，提高</w:t>
            </w:r>
            <w:r>
              <w:rPr>
                <w:rFonts w:hint="eastAsia" w:cs="宋体"/>
                <w:lang w:val="en-US" w:eastAsia="zh-CN"/>
              </w:rPr>
              <w:t>库尔勒市</w:t>
            </w:r>
            <w:r>
              <w:rPr>
                <w:rFonts w:hint="default" w:ascii="Times New Roman" w:hAnsi="Times New Roman" w:eastAsia="宋体" w:cs="宋体"/>
                <w:lang w:val="en-US" w:eastAsia="zh-CN"/>
              </w:rPr>
              <w:t>医疗服务水平，</w:t>
            </w:r>
            <w:r>
              <w:rPr>
                <w:rFonts w:hint="eastAsia" w:ascii="Times New Roman" w:hAnsi="Times New Roman" w:eastAsia="宋体" w:cs="宋体"/>
                <w:lang w:val="en-US" w:eastAsia="zh-CN"/>
              </w:rPr>
              <w:t>为人民提供良好的医疗服务和就医环境，与《库尔勒市国土空间总体规划（2021-2035年）》的规划布局相符</w:t>
            </w:r>
            <w:r>
              <w:rPr>
                <w:rFonts w:hint="eastAsia" w:cs="宋体"/>
                <w:lang w:val="en-US" w:eastAsia="zh-CN"/>
              </w:rPr>
              <w:t>，项</w:t>
            </w:r>
            <w:r>
              <w:rPr>
                <w:rFonts w:hint="eastAsia" w:cs="宋体"/>
                <w:b w:val="0"/>
                <w:bCs/>
                <w:lang w:val="en-US" w:eastAsia="zh-CN"/>
              </w:rPr>
              <w:t>目在</w:t>
            </w:r>
            <w:r>
              <w:rPr>
                <w:rFonts w:hint="eastAsia" w:ascii="Times New Roman" w:hAnsi="Times New Roman" w:eastAsia="宋体" w:cs="宋体"/>
                <w:b w:val="0"/>
                <w:bCs/>
                <w:lang w:val="en-US" w:eastAsia="zh-CN"/>
              </w:rPr>
              <w:t>库尔勒市国土空间总体规划图中的位置</w:t>
            </w:r>
            <w:r>
              <w:rPr>
                <w:rFonts w:hint="eastAsia" w:cs="宋体"/>
                <w:b w:val="0"/>
                <w:bCs/>
                <w:lang w:val="en-US" w:eastAsia="zh-CN"/>
              </w:rPr>
              <w:t>详见附图6</w:t>
            </w:r>
            <w:r>
              <w:rPr>
                <w:rFonts w:hint="eastAsia" w:ascii="Times New Roman" w:hAnsi="Times New Roman" w:eastAsia="宋体" w:cs="宋体"/>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78"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其他符合性分析</w:t>
            </w:r>
          </w:p>
        </w:tc>
        <w:tc>
          <w:tcPr>
            <w:tcW w:w="7792" w:type="dxa"/>
            <w:gridSpan w:val="3"/>
            <w:noWrap w:val="0"/>
            <w:vAlign w:val="center"/>
          </w:tcPr>
          <w:p>
            <w:pPr>
              <w:pStyle w:val="51"/>
              <w:bidi w:val="0"/>
              <w:rPr>
                <w:rFonts w:hint="eastAsia"/>
                <w:lang w:val="en-US" w:eastAsia="zh-CN"/>
              </w:rPr>
            </w:pPr>
            <w:r>
              <w:rPr>
                <w:rFonts w:hint="eastAsia"/>
                <w:lang w:val="en-US" w:eastAsia="zh-CN"/>
              </w:rPr>
              <w:t>1产业政策符合性</w:t>
            </w:r>
          </w:p>
          <w:p>
            <w:pPr>
              <w:pStyle w:val="58"/>
              <w:bidi w:val="0"/>
              <w:rPr>
                <w:rFonts w:hint="eastAsia"/>
                <w:lang w:val="en-US" w:eastAsia="zh-CN"/>
              </w:rPr>
            </w:pPr>
            <w:r>
              <w:rPr>
                <w:rFonts w:hint="eastAsia"/>
                <w:lang w:val="en-US" w:eastAsia="zh-CN"/>
              </w:rPr>
              <w:t>本项目属于国民经济代码中</w:t>
            </w:r>
            <w:r>
              <w:rPr>
                <w:rFonts w:hint="default"/>
                <w:lang w:val="en-US" w:eastAsia="zh-CN"/>
              </w:rPr>
              <w:t>Q8411</w:t>
            </w:r>
            <w:r>
              <w:rPr>
                <w:rFonts w:hint="eastAsia"/>
                <w:lang w:val="en-US" w:eastAsia="zh-CN"/>
              </w:rPr>
              <w:t>综合医院，根据《产</w:t>
            </w:r>
            <w:r>
              <w:rPr>
                <w:rFonts w:hint="default"/>
                <w:lang w:val="en-US" w:eastAsia="zh-CN"/>
              </w:rPr>
              <w:t>业结构调整指导目录</w:t>
            </w:r>
            <w:r>
              <w:rPr>
                <w:rFonts w:hint="eastAsia"/>
                <w:lang w:val="en-US" w:eastAsia="zh-CN"/>
              </w:rPr>
              <w:t>（2024年本）》，本项目为鼓励类</w:t>
            </w:r>
            <w:r>
              <w:rPr>
                <w:rFonts w:hint="default"/>
                <w:lang w:val="en-US" w:eastAsia="zh-CN"/>
              </w:rPr>
              <w:t>中</w:t>
            </w:r>
            <w:r>
              <w:rPr>
                <w:rFonts w:hint="eastAsia"/>
                <w:lang w:val="en-US" w:eastAsia="zh-CN"/>
              </w:rPr>
              <w:t>“三十七、卫生健康”中“1．医疗服务设施建设：预防保健、卫生应急、卫生监督服务设施建设，医疗卫生服务设施建设，传染病、儿童、精神卫生专科医院和康复医院（中心）、护理院（中心）、安宁疗护中心、全科医疗设施与服务，医养结合设施与服务”类别，是国家鼓励发展的项目，因此本项目建设符合国家产业政策要求。</w:t>
            </w:r>
          </w:p>
          <w:p>
            <w:pPr>
              <w:pStyle w:val="64"/>
              <w:bidi w:val="0"/>
              <w:rPr>
                <w:rFonts w:hint="eastAsia"/>
                <w:lang w:val="en-US" w:eastAsia="zh-CN"/>
              </w:rPr>
            </w:pPr>
            <w:r>
              <w:rPr>
                <w:rFonts w:hint="eastAsia"/>
                <w:lang w:val="en-US" w:eastAsia="zh-CN"/>
              </w:rPr>
              <w:t>2选址合理性分析</w:t>
            </w:r>
          </w:p>
          <w:p>
            <w:pPr>
              <w:pStyle w:val="58"/>
              <w:bidi w:val="0"/>
              <w:rPr>
                <w:rFonts w:hint="default"/>
                <w:lang w:val="en-US" w:eastAsia="zh-CN"/>
              </w:rPr>
            </w:pPr>
            <w:r>
              <w:rPr>
                <w:rFonts w:hint="default"/>
                <w:lang w:val="en-US" w:eastAsia="zh-CN"/>
              </w:rPr>
              <w:t>①</w:t>
            </w:r>
            <w:r>
              <w:rPr>
                <w:rFonts w:hint="eastAsia"/>
                <w:lang w:val="en-US" w:eastAsia="zh-CN"/>
              </w:rPr>
              <w:t>用地现状</w:t>
            </w:r>
          </w:p>
          <w:p>
            <w:pPr>
              <w:pStyle w:val="55"/>
              <w:bidi w:val="0"/>
              <w:rPr>
                <w:rFonts w:hint="default"/>
                <w:lang w:val="en-US" w:eastAsia="zh-CN"/>
              </w:rPr>
            </w:pPr>
            <w:r>
              <w:rPr>
                <w:rFonts w:hint="eastAsia"/>
                <w:lang w:val="en-US" w:eastAsia="zh-CN"/>
              </w:rPr>
              <w:t>本</w:t>
            </w:r>
            <w:r>
              <w:rPr>
                <w:rFonts w:hint="default"/>
                <w:lang w:val="en-US" w:eastAsia="zh-CN"/>
              </w:rPr>
              <w:t>项目选址位于新疆维吾尔自治区巴音郭楞蒙古自治州库尔勒市团结北路108号</w:t>
            </w:r>
            <w:r>
              <w:rPr>
                <w:rFonts w:hint="eastAsia"/>
                <w:lang w:val="en-US" w:eastAsia="zh-CN"/>
              </w:rPr>
              <w:t>院内</w:t>
            </w:r>
            <w:r>
              <w:rPr>
                <w:rFonts w:hint="default"/>
                <w:lang w:val="en-US" w:eastAsia="zh-CN"/>
              </w:rPr>
              <w:t>，根据</w:t>
            </w:r>
            <w:r>
              <w:rPr>
                <w:rFonts w:hint="eastAsia"/>
                <w:lang w:val="en-US" w:eastAsia="zh-CN"/>
              </w:rPr>
              <w:t>建设单位提供的土地使用证</w:t>
            </w:r>
            <w:r>
              <w:rPr>
                <w:rFonts w:hint="default"/>
                <w:lang w:val="en-US" w:eastAsia="zh-CN"/>
              </w:rPr>
              <w:t>，</w:t>
            </w:r>
            <w:r>
              <w:rPr>
                <w:rFonts w:hint="eastAsia"/>
                <w:lang w:val="en-US" w:eastAsia="zh-CN"/>
              </w:rPr>
              <w:t>本项目规划用地属性为卫生医疗用地，用地符合要求，可用于建设医院。</w:t>
            </w:r>
          </w:p>
          <w:p>
            <w:pPr>
              <w:pStyle w:val="58"/>
              <w:bidi w:val="0"/>
              <w:rPr>
                <w:rFonts w:hint="eastAsia"/>
                <w:lang w:val="en-US" w:eastAsia="zh-CN"/>
              </w:rPr>
            </w:pPr>
            <w:r>
              <w:rPr>
                <w:rFonts w:hint="default"/>
                <w:lang w:val="en-US" w:eastAsia="zh-CN"/>
              </w:rPr>
              <w:t>②</w:t>
            </w:r>
            <w:r>
              <w:rPr>
                <w:rFonts w:hint="eastAsia"/>
                <w:lang w:val="en-US" w:eastAsia="zh-CN"/>
              </w:rPr>
              <w:t>选址所在地环境敏感程度</w:t>
            </w:r>
          </w:p>
          <w:p>
            <w:pPr>
              <w:pStyle w:val="58"/>
              <w:bidi w:val="0"/>
              <w:rPr>
                <w:rFonts w:hint="eastAsia"/>
                <w:lang w:val="en-US" w:eastAsia="zh-CN"/>
              </w:rPr>
            </w:pPr>
            <w:r>
              <w:rPr>
                <w:rFonts w:hint="eastAsia"/>
                <w:lang w:val="en-US" w:eastAsia="zh-CN"/>
              </w:rPr>
              <w:t>本项目</w:t>
            </w:r>
            <w:r>
              <w:rPr>
                <w:rFonts w:hint="default"/>
                <w:lang w:val="en-US" w:eastAsia="zh-CN"/>
              </w:rPr>
              <w:t>周边无自然保护区、水源保护区、国家和地方级文物古迹、珍稀动植物保护物种等敏感目标，项目所在地不在生态红线保护区范围内，项目所在区域环境敏感程度一般。</w:t>
            </w:r>
          </w:p>
          <w:p>
            <w:pPr>
              <w:pStyle w:val="58"/>
              <w:bidi w:val="0"/>
              <w:rPr>
                <w:rFonts w:hint="default"/>
                <w:lang w:val="en-US" w:eastAsia="zh-CN"/>
              </w:rPr>
            </w:pPr>
            <w:r>
              <w:rPr>
                <w:rFonts w:hint="eastAsia"/>
                <w:lang w:val="en-US" w:eastAsia="zh-CN"/>
              </w:rPr>
              <w:t>综上所述，本项目选址合理可行。</w:t>
            </w:r>
          </w:p>
          <w:p>
            <w:pPr>
              <w:pStyle w:val="64"/>
              <w:bidi w:val="0"/>
              <w:rPr>
                <w:rFonts w:hint="eastAsia"/>
                <w:lang w:val="en-US" w:eastAsia="zh-CN"/>
              </w:rPr>
            </w:pPr>
            <w:r>
              <w:rPr>
                <w:rFonts w:hint="eastAsia"/>
                <w:lang w:val="en-US" w:eastAsia="zh-CN"/>
              </w:rPr>
              <w:t>3“三线一单”符合性分析</w:t>
            </w:r>
          </w:p>
          <w:p>
            <w:pPr>
              <w:pStyle w:val="58"/>
              <w:bidi w:val="0"/>
              <w:rPr>
                <w:rFonts w:hint="eastAsia"/>
                <w:lang w:val="en-US" w:eastAsia="zh-CN"/>
              </w:rPr>
            </w:pPr>
            <w:r>
              <w:rPr>
                <w:rFonts w:hint="eastAsia"/>
                <w:lang w:val="en-US" w:eastAsia="zh-CN"/>
              </w:rPr>
              <w:t>（1）生态保护红线</w:t>
            </w:r>
          </w:p>
          <w:p>
            <w:pPr>
              <w:pStyle w:val="58"/>
              <w:bidi w:val="0"/>
              <w:rPr>
                <w:rFonts w:hint="default"/>
                <w:lang w:val="en-US" w:eastAsia="zh-CN"/>
              </w:rPr>
            </w:pPr>
            <w:r>
              <w:rPr>
                <w:rFonts w:hint="default"/>
                <w:lang w:val="en-US" w:eastAsia="zh-CN"/>
              </w:rPr>
              <w:t>本项目选址位于新疆维吾尔自治区巴音郭楞蒙古自治州库尔勒市团结北路108号</w:t>
            </w:r>
            <w:r>
              <w:rPr>
                <w:rFonts w:hint="eastAsia"/>
                <w:lang w:val="en-US" w:eastAsia="zh-CN"/>
              </w:rPr>
              <w:t>院内</w:t>
            </w:r>
            <w:r>
              <w:rPr>
                <w:rFonts w:hint="default"/>
                <w:lang w:val="en-US" w:eastAsia="zh-CN"/>
              </w:rPr>
              <w:t>。项目</w:t>
            </w:r>
            <w:r>
              <w:rPr>
                <w:rFonts w:hint="eastAsia"/>
                <w:lang w:val="en-US" w:eastAsia="zh-CN"/>
              </w:rPr>
              <w:t>区域</w:t>
            </w:r>
            <w:r>
              <w:rPr>
                <w:rFonts w:hint="default"/>
                <w:lang w:val="en-US" w:eastAsia="zh-CN"/>
              </w:rPr>
              <w:t>不在</w:t>
            </w:r>
            <w:r>
              <w:rPr>
                <w:rFonts w:hint="eastAsia"/>
                <w:lang w:val="en-US" w:eastAsia="zh-CN"/>
              </w:rPr>
              <w:t>生态保护红线范围内</w:t>
            </w:r>
            <w:r>
              <w:rPr>
                <w:rFonts w:hint="default"/>
                <w:lang w:val="en-US" w:eastAsia="zh-CN"/>
              </w:rPr>
              <w:t>，符合生态保护红线要求。</w:t>
            </w:r>
          </w:p>
          <w:p>
            <w:pPr>
              <w:pStyle w:val="58"/>
              <w:numPr>
                <w:ilvl w:val="0"/>
                <w:numId w:val="1"/>
              </w:numPr>
              <w:bidi w:val="0"/>
              <w:rPr>
                <w:rFonts w:hint="eastAsia"/>
                <w:lang w:val="en-US" w:eastAsia="zh-CN"/>
              </w:rPr>
            </w:pPr>
            <w:r>
              <w:rPr>
                <w:rFonts w:hint="eastAsia"/>
                <w:lang w:val="en-US" w:eastAsia="zh-CN"/>
              </w:rPr>
              <w:t>环境质量底线</w:t>
            </w:r>
          </w:p>
          <w:p>
            <w:pPr>
              <w:pStyle w:val="55"/>
              <w:bidi w:val="0"/>
              <w:rPr>
                <w:rFonts w:hint="default"/>
                <w:highlight w:val="none"/>
                <w:lang w:val="en-US" w:eastAsia="zh-CN"/>
              </w:rPr>
            </w:pPr>
            <w:r>
              <w:rPr>
                <w:rFonts w:hint="default"/>
                <w:highlight w:val="none"/>
                <w:lang w:val="en-US" w:eastAsia="zh-CN"/>
              </w:rPr>
              <w:t>区域环境空气属于《环境空气质量标准》（GB3095-2012）中二类功能区，地表水属于《地表水环境质量标准》（GB3838-2002）中Ⅲ类功能区，区域声环境属于《声环境质量标准》（GB3096-2008）中2类及4a类功能区；区域环境质量现状较好，具有相应的环境容量。项目废水经处理后可满足排放标准；项目产生的固体废物全部妥善处理，不直接排入环境，项目污染物排放不会降低区域环境质量现状，本项目建设不会对当地环境质量底线造成冲击。</w:t>
            </w:r>
          </w:p>
          <w:p>
            <w:pPr>
              <w:pStyle w:val="55"/>
              <w:numPr>
                <w:ilvl w:val="0"/>
                <w:numId w:val="1"/>
              </w:numPr>
              <w:bidi w:val="0"/>
              <w:ind w:left="0" w:leftChars="0" w:firstLine="480" w:firstLineChars="200"/>
              <w:rPr>
                <w:rFonts w:hint="eastAsia"/>
                <w:lang w:val="en-US" w:eastAsia="zh-CN"/>
              </w:rPr>
            </w:pPr>
            <w:r>
              <w:rPr>
                <w:rFonts w:hint="eastAsia"/>
                <w:lang w:val="en-US" w:eastAsia="zh-CN"/>
              </w:rPr>
              <w:t>资源利用上线</w:t>
            </w:r>
          </w:p>
          <w:p>
            <w:pPr>
              <w:pStyle w:val="55"/>
              <w:bidi w:val="0"/>
              <w:rPr>
                <w:rFonts w:hint="default"/>
                <w:lang w:val="en-US" w:eastAsia="zh-CN"/>
              </w:rPr>
            </w:pPr>
            <w:r>
              <w:rPr>
                <w:rFonts w:hint="default"/>
                <w:lang w:val="en-US" w:eastAsia="zh-CN"/>
              </w:rPr>
              <w:t>项目用水</w:t>
            </w:r>
            <w:r>
              <w:rPr>
                <w:rFonts w:hint="eastAsia"/>
                <w:lang w:val="en-US" w:eastAsia="zh-CN"/>
              </w:rPr>
              <w:t>来源于市政给水，用电来源于</w:t>
            </w:r>
            <w:r>
              <w:rPr>
                <w:rFonts w:hint="default"/>
                <w:lang w:val="en-US" w:eastAsia="zh-CN"/>
              </w:rPr>
              <w:t>市政供电系统。本项目建成运行后</w:t>
            </w:r>
            <w:r>
              <w:rPr>
                <w:rFonts w:hint="eastAsia"/>
                <w:lang w:val="en-US" w:eastAsia="zh-CN"/>
              </w:rPr>
              <w:t>，</w:t>
            </w:r>
            <w:r>
              <w:rPr>
                <w:rFonts w:hint="default"/>
                <w:lang w:val="en-US" w:eastAsia="zh-CN"/>
              </w:rPr>
              <w:t>通过内部管理</w:t>
            </w:r>
            <w:r>
              <w:rPr>
                <w:rFonts w:hint="eastAsia"/>
                <w:lang w:val="en-US" w:eastAsia="zh-CN"/>
              </w:rPr>
              <w:t>、设备</w:t>
            </w:r>
            <w:r>
              <w:rPr>
                <w:rFonts w:hint="default"/>
                <w:lang w:val="en-US" w:eastAsia="zh-CN"/>
              </w:rPr>
              <w:t>选择、原辅材料的选用和管理、污染治理等多方面采取可行的防治措施，以</w:t>
            </w:r>
            <w:r>
              <w:rPr>
                <w:rFonts w:hint="eastAsia"/>
                <w:lang w:val="en-US" w:eastAsia="zh-CN"/>
              </w:rPr>
              <w:t>“</w:t>
            </w:r>
            <w:r>
              <w:rPr>
                <w:rFonts w:hint="default"/>
                <w:lang w:val="en-US" w:eastAsia="zh-CN"/>
              </w:rPr>
              <w:t>节能降耗、减污</w:t>
            </w:r>
            <w:r>
              <w:rPr>
                <w:rFonts w:hint="eastAsia"/>
                <w:lang w:val="en-US" w:eastAsia="zh-CN"/>
              </w:rPr>
              <w:t>”</w:t>
            </w:r>
            <w:r>
              <w:rPr>
                <w:rFonts w:hint="default"/>
                <w:lang w:val="en-US" w:eastAsia="zh-CN"/>
              </w:rPr>
              <w:t>为目标，有</w:t>
            </w:r>
            <w:r>
              <w:rPr>
                <w:rFonts w:hint="eastAsia"/>
                <w:lang w:val="en-US" w:eastAsia="zh-CN"/>
              </w:rPr>
              <w:t>效</w:t>
            </w:r>
            <w:r>
              <w:rPr>
                <w:rFonts w:hint="default"/>
                <w:lang w:val="en-US" w:eastAsia="zh-CN"/>
              </w:rPr>
              <w:t>地控制污染，项目的水、电等资源不会突破区域的资源利用上线，项目用地不会突破区域的土地资源利用上线。</w:t>
            </w:r>
          </w:p>
          <w:p>
            <w:pPr>
              <w:pStyle w:val="55"/>
              <w:numPr>
                <w:ilvl w:val="0"/>
                <w:numId w:val="1"/>
              </w:numPr>
              <w:bidi w:val="0"/>
              <w:ind w:left="0" w:leftChars="0" w:firstLine="480" w:firstLineChars="200"/>
              <w:rPr>
                <w:rFonts w:hint="eastAsia"/>
                <w:lang w:val="en-US" w:eastAsia="zh-CN"/>
              </w:rPr>
            </w:pPr>
            <w:r>
              <w:rPr>
                <w:rFonts w:hint="eastAsia"/>
                <w:lang w:val="en-US" w:eastAsia="zh-CN"/>
              </w:rPr>
              <w:t>环境准入负面清单</w:t>
            </w:r>
          </w:p>
          <w:p>
            <w:pPr>
              <w:pStyle w:val="58"/>
              <w:bidi w:val="0"/>
              <w:rPr>
                <w:rFonts w:hint="default"/>
                <w:lang w:val="en-US" w:eastAsia="zh-CN"/>
              </w:rPr>
            </w:pPr>
            <w:r>
              <w:rPr>
                <w:rFonts w:hint="default"/>
                <w:lang w:val="en-US" w:eastAsia="zh-CN"/>
              </w:rPr>
              <w:t>项目位于库尔勒市，库尔勒市</w:t>
            </w:r>
            <w:r>
              <w:rPr>
                <w:rFonts w:hint="eastAsia"/>
                <w:lang w:val="en-US" w:eastAsia="zh-CN"/>
              </w:rPr>
              <w:t>不属于</w:t>
            </w:r>
            <w:r>
              <w:rPr>
                <w:rFonts w:hint="default"/>
                <w:lang w:val="en-US" w:eastAsia="zh-CN"/>
              </w:rPr>
              <w:t>《</w:t>
            </w:r>
            <w:r>
              <w:rPr>
                <w:rFonts w:hint="eastAsia"/>
                <w:lang w:val="en-US" w:eastAsia="zh-CN"/>
              </w:rPr>
              <w:t>新疆维吾尔自治区</w:t>
            </w:r>
            <w:r>
              <w:rPr>
                <w:rFonts w:hint="default"/>
                <w:lang w:val="en-US" w:eastAsia="zh-CN"/>
              </w:rPr>
              <w:t>28个国家重点生态功能区县（市）产业准入负面清单（试行）》与《新疆维吾尔自治区17个新增纳入国家重点生态功能区县（市）产业准入负面清单（试行）》</w:t>
            </w:r>
            <w:r>
              <w:rPr>
                <w:rFonts w:hint="eastAsia"/>
                <w:lang w:val="en-US" w:eastAsia="zh-CN"/>
              </w:rPr>
              <w:t>提及的</w:t>
            </w:r>
            <w:r>
              <w:rPr>
                <w:rFonts w:hint="default"/>
                <w:lang w:val="en-US" w:eastAsia="zh-CN"/>
              </w:rPr>
              <w:t>国家重点生态功能区县（市）。本项目建设内容符合国家产业政策和库尔勒市规划要求，评价区域内没有重点保护文物、水源保护区和珍稀动植物资源。本项目周边无限制开发建设的制约性因素，未违背环境准入负面清单的原则要求。</w:t>
            </w:r>
          </w:p>
          <w:p>
            <w:pPr>
              <w:pStyle w:val="58"/>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eastAsia="宋体"/>
                <w:lang w:val="en-US" w:eastAsia="zh-CN"/>
              </w:rPr>
            </w:pPr>
            <w:r>
              <w:rPr>
                <w:rFonts w:hint="eastAsia"/>
              </w:rPr>
              <w:t>根据《关于印发巴音郭楞蒙古自治州“三线一单”生态环境分区管控动态更新成果（2023年）的通知》</w:t>
            </w:r>
            <w:r>
              <w:rPr>
                <w:rFonts w:hint="eastAsia"/>
                <w:lang w:eastAsia="zh-CN"/>
              </w:rPr>
              <w:t>（</w:t>
            </w:r>
            <w:r>
              <w:rPr>
                <w:rFonts w:hint="eastAsia"/>
              </w:rPr>
              <w:t>巴政办发〔</w:t>
            </w:r>
            <w:r>
              <w:rPr>
                <w:rFonts w:hint="eastAsia"/>
                <w:lang w:val="en-US" w:eastAsia="zh-CN"/>
              </w:rPr>
              <w:t>2024</w:t>
            </w:r>
            <w:r>
              <w:rPr>
                <w:rFonts w:hint="eastAsia"/>
              </w:rPr>
              <w:t>〕32号</w:t>
            </w:r>
            <w:r>
              <w:rPr>
                <w:rFonts w:hint="eastAsia"/>
                <w:lang w:eastAsia="zh-CN"/>
              </w:rPr>
              <w:t>）</w:t>
            </w:r>
            <w:r>
              <w:rPr>
                <w:rFonts w:hint="eastAsia"/>
              </w:rPr>
              <w:t>，库尔勒市共划定</w:t>
            </w:r>
            <w:r>
              <w:rPr>
                <w:rFonts w:hint="eastAsia"/>
                <w:lang w:val="en-US" w:eastAsia="zh-CN"/>
              </w:rPr>
              <w:t>21</w:t>
            </w:r>
            <w:r>
              <w:rPr>
                <w:rFonts w:hint="eastAsia"/>
              </w:rPr>
              <w:t>个环境管控单元，其中优先保护单元</w:t>
            </w:r>
            <w:r>
              <w:rPr>
                <w:rFonts w:hint="eastAsia"/>
                <w:lang w:val="en-US" w:eastAsia="zh-CN"/>
              </w:rPr>
              <w:t>4</w:t>
            </w:r>
            <w:r>
              <w:rPr>
                <w:rFonts w:hint="eastAsia"/>
              </w:rPr>
              <w:t>个，重点管控单元15个，一般管控单元1个，</w:t>
            </w:r>
            <w:r>
              <w:rPr>
                <w:rFonts w:hint="eastAsia"/>
                <w:lang w:val="en-US" w:eastAsia="zh-CN"/>
              </w:rPr>
              <w:t>本项目位于新疆维吾尔自治区巴音郭楞蒙古自治州库尔勒市团结北路108号院内，所在管控单元名称为库尔勒市城区地下水禁采区，环境管控单元类别为重点管控单元，环境管控单元编码为ZH65280120011，详细情况见下表1-1。</w:t>
            </w:r>
          </w:p>
          <w:p>
            <w:pPr>
              <w:pStyle w:val="59"/>
              <w:keepNext w:val="0"/>
              <w:keepLines w:val="0"/>
              <w:pageBreakBefore w:val="0"/>
              <w:widowControl w:val="0"/>
              <w:kinsoku/>
              <w:overflowPunct/>
              <w:topLinePunct w:val="0"/>
              <w:autoSpaceDE/>
              <w:autoSpaceDN/>
              <w:bidi w:val="0"/>
              <w:adjustRightInd w:val="0"/>
              <w:snapToGrid w:val="0"/>
              <w:spacing w:line="480" w:lineRule="exact"/>
              <w:textAlignment w:val="auto"/>
              <w:rPr>
                <w:rFonts w:hint="default" w:ascii="Times New Roman" w:hAnsi="Times New Roman" w:cs="Times New Roman"/>
                <w:sz w:val="24"/>
                <w:szCs w:val="24"/>
                <w:highlight w:val="none"/>
                <w:lang w:val="en-US" w:eastAsia="zh-CN"/>
              </w:rPr>
            </w:pPr>
            <w:r>
              <w:rPr>
                <w:rFonts w:hint="eastAsia"/>
                <w:sz w:val="24"/>
                <w:szCs w:val="24"/>
                <w:lang w:val="en-US" w:eastAsia="zh-CN"/>
              </w:rPr>
              <w:t xml:space="preserve">表1-1    </w:t>
            </w:r>
            <w:r>
              <w:rPr>
                <w:rFonts w:hint="default" w:ascii="Times New Roman" w:hAnsi="Times New Roman" w:cs="Times New Roman"/>
                <w:sz w:val="24"/>
                <w:szCs w:val="24"/>
                <w:highlight w:val="none"/>
                <w:lang w:val="en-US" w:eastAsia="zh-CN"/>
              </w:rPr>
              <w:t>本项目与总体管控要求符合性分析</w:t>
            </w:r>
          </w:p>
          <w:tbl>
            <w:tblPr>
              <w:tblStyle w:val="25"/>
              <w:tblW w:w="49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341"/>
              <w:gridCol w:w="3175"/>
              <w:gridCol w:w="2316"/>
              <w:gridCol w:w="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42" w:type="pct"/>
                  <w:vAlign w:val="center"/>
                </w:tcPr>
                <w:p>
                  <w:pPr>
                    <w:pStyle w:val="67"/>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eastAsia="宋体"/>
                      <w:b/>
                      <w:sz w:val="21"/>
                      <w:szCs w:val="21"/>
                      <w:highlight w:val="none"/>
                    </w:rPr>
                  </w:pPr>
                  <w:r>
                    <w:rPr>
                      <w:rFonts w:ascii="Times New Roman" w:eastAsia="宋体"/>
                      <w:b/>
                      <w:sz w:val="21"/>
                      <w:szCs w:val="21"/>
                      <w:highlight w:val="none"/>
                    </w:rPr>
                    <w:t>名称</w:t>
                  </w:r>
                </w:p>
              </w:tc>
              <w:tc>
                <w:tcPr>
                  <w:tcW w:w="2353" w:type="pct"/>
                  <w:gridSpan w:val="2"/>
                  <w:vAlign w:val="center"/>
                </w:tcPr>
                <w:p>
                  <w:pPr>
                    <w:pStyle w:val="67"/>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eastAsia="宋体"/>
                      <w:b/>
                      <w:sz w:val="21"/>
                      <w:szCs w:val="21"/>
                      <w:highlight w:val="none"/>
                    </w:rPr>
                  </w:pPr>
                  <w:r>
                    <w:rPr>
                      <w:rFonts w:ascii="Times New Roman" w:eastAsia="宋体"/>
                      <w:b/>
                      <w:sz w:val="21"/>
                      <w:szCs w:val="21"/>
                      <w:highlight w:val="none"/>
                    </w:rPr>
                    <w:t>管控要求</w:t>
                  </w:r>
                </w:p>
              </w:tc>
              <w:tc>
                <w:tcPr>
                  <w:tcW w:w="1550" w:type="pct"/>
                  <w:vAlign w:val="center"/>
                </w:tcPr>
                <w:p>
                  <w:pPr>
                    <w:pStyle w:val="67"/>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eastAsia="宋体"/>
                      <w:b/>
                      <w:sz w:val="21"/>
                      <w:szCs w:val="21"/>
                      <w:highlight w:val="none"/>
                    </w:rPr>
                  </w:pPr>
                  <w:r>
                    <w:rPr>
                      <w:rFonts w:ascii="Times New Roman" w:eastAsia="宋体"/>
                      <w:b/>
                      <w:sz w:val="21"/>
                      <w:szCs w:val="21"/>
                      <w:highlight w:val="none"/>
                    </w:rPr>
                    <w:t>本项目相关内容</w:t>
                  </w:r>
                </w:p>
              </w:tc>
              <w:tc>
                <w:tcPr>
                  <w:tcW w:w="353" w:type="pct"/>
                  <w:vAlign w:val="center"/>
                </w:tcPr>
                <w:p>
                  <w:pPr>
                    <w:pStyle w:val="67"/>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eastAsia="宋体"/>
                      <w:b/>
                      <w:sz w:val="21"/>
                      <w:szCs w:val="21"/>
                      <w:highlight w:val="none"/>
                    </w:rPr>
                  </w:pPr>
                  <w:r>
                    <w:rPr>
                      <w:rFonts w:ascii="Times New Roman" w:eastAsia="宋体"/>
                      <w:b/>
                      <w:sz w:val="21"/>
                      <w:szCs w:val="21"/>
                      <w:highlight w:val="none"/>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61" w:hRule="atLeast"/>
                <w:jc w:val="center"/>
              </w:trPr>
              <w:tc>
                <w:tcPr>
                  <w:tcW w:w="742" w:type="pct"/>
                  <w:vMerge w:val="restart"/>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bCs/>
                      <w:spacing w:val="-10"/>
                      <w:sz w:val="21"/>
                      <w:szCs w:val="21"/>
                      <w:highlight w:val="none"/>
                    </w:rPr>
                  </w:pPr>
                  <w:r>
                    <w:rPr>
                      <w:bCs/>
                      <w:sz w:val="21"/>
                      <w:szCs w:val="21"/>
                      <w:highlight w:val="none"/>
                    </w:rPr>
                    <w:t>巴音郭楞蒙古自治州“三线一单”生态环境分区管控方案：</w:t>
                  </w:r>
                  <w:r>
                    <w:rPr>
                      <w:bCs/>
                      <w:spacing w:val="-10"/>
                      <w:sz w:val="21"/>
                      <w:szCs w:val="21"/>
                      <w:highlight w:val="none"/>
                    </w:rPr>
                    <w:t>总体管控要求</w:t>
                  </w:r>
                </w:p>
              </w:tc>
              <w:tc>
                <w:tcPr>
                  <w:tcW w:w="228" w:type="pct"/>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bCs/>
                      <w:spacing w:val="-10"/>
                      <w:sz w:val="21"/>
                      <w:szCs w:val="21"/>
                      <w:highlight w:val="none"/>
                    </w:rPr>
                  </w:pPr>
                  <w:r>
                    <w:rPr>
                      <w:bCs/>
                      <w:spacing w:val="-10"/>
                      <w:sz w:val="21"/>
                      <w:szCs w:val="21"/>
                      <w:highlight w:val="none"/>
                    </w:rPr>
                    <w:t>空间布局约束</w:t>
                  </w:r>
                </w:p>
              </w:tc>
              <w:tc>
                <w:tcPr>
                  <w:tcW w:w="2125" w:type="pct"/>
                  <w:tcBorders>
                    <w:bottom w:val="single" w:color="auto" w:sz="4" w:space="0"/>
                  </w:tcBorders>
                  <w:vAlign w:val="center"/>
                </w:tcPr>
                <w:p>
                  <w:pPr>
                    <w:pStyle w:val="42"/>
                    <w:keepNext w:val="0"/>
                    <w:keepLines w:val="0"/>
                    <w:pageBreakBefore w:val="0"/>
                    <w:kinsoku/>
                    <w:wordWrap/>
                    <w:overflowPunct/>
                    <w:topLinePunct w:val="0"/>
                    <w:autoSpaceDE/>
                    <w:autoSpaceDN/>
                    <w:bidi w:val="0"/>
                    <w:adjustRightInd/>
                    <w:snapToGrid/>
                    <w:spacing w:beforeLines="0" w:afterLines="0" w:line="240" w:lineRule="auto"/>
                    <w:ind w:firstLine="420" w:firstLineChars="200"/>
                    <w:jc w:val="both"/>
                    <w:textAlignment w:val="auto"/>
                    <w:rPr>
                      <w:sz w:val="21"/>
                      <w:szCs w:val="21"/>
                      <w:highlight w:val="none"/>
                    </w:rPr>
                  </w:pPr>
                  <w:r>
                    <w:rPr>
                      <w:rFonts w:ascii="Times New Roman"/>
                      <w:bCs/>
                      <w:sz w:val="21"/>
                      <w:szCs w:val="21"/>
                      <w:highlight w:val="none"/>
                    </w:rPr>
                    <w:t>1.5禁止新建、改建、扩建严重污染大气环境的项目。</w:t>
                  </w:r>
                  <w:r>
                    <w:rPr>
                      <w:rFonts w:hint="eastAsia" w:ascii="Times New Roman"/>
                      <w:bCs/>
                      <w:sz w:val="21"/>
                      <w:szCs w:val="21"/>
                      <w:highlight w:val="none"/>
                      <w:lang w:val="en-US" w:eastAsia="zh-CN"/>
                    </w:rPr>
                    <w:t>对城市建成区大气环境质量造成明显影响的项目，自治州、各县（市）人民政府规定期限内未达到治理要求的项目，应当停产、限期搬迁或者关闭。</w:t>
                  </w:r>
                </w:p>
              </w:tc>
              <w:tc>
                <w:tcPr>
                  <w:tcW w:w="1550" w:type="pct"/>
                  <w:vAlign w:val="center"/>
                </w:tcPr>
                <w:p>
                  <w:pPr>
                    <w:pStyle w:val="42"/>
                    <w:keepNext w:val="0"/>
                    <w:keepLines w:val="0"/>
                    <w:pageBreakBefore w:val="0"/>
                    <w:kinsoku/>
                    <w:wordWrap/>
                    <w:overflowPunct/>
                    <w:topLinePunct w:val="0"/>
                    <w:autoSpaceDE/>
                    <w:autoSpaceDN/>
                    <w:bidi w:val="0"/>
                    <w:adjustRightInd/>
                    <w:snapToGrid/>
                    <w:spacing w:beforeLines="0" w:afterLines="0" w:line="240" w:lineRule="auto"/>
                    <w:ind w:firstLine="380" w:firstLineChars="200"/>
                    <w:jc w:val="both"/>
                    <w:textAlignment w:val="auto"/>
                    <w:rPr>
                      <w:rFonts w:hint="default" w:ascii="Times New Roman"/>
                      <w:spacing w:val="-10"/>
                      <w:sz w:val="21"/>
                      <w:szCs w:val="21"/>
                      <w:highlight w:val="none"/>
                      <w:lang w:val="en-US"/>
                    </w:rPr>
                  </w:pPr>
                  <w:r>
                    <w:rPr>
                      <w:rFonts w:hint="default" w:ascii="Times New Roman"/>
                      <w:spacing w:val="-10"/>
                      <w:sz w:val="21"/>
                      <w:szCs w:val="21"/>
                      <w:highlight w:val="none"/>
                      <w:lang w:val="en-US" w:eastAsia="zh-CN"/>
                    </w:rPr>
                    <w:t>本项目属于国民经济代码中Q8411综合医院，</w:t>
                  </w:r>
                  <w:r>
                    <w:rPr>
                      <w:rFonts w:hint="eastAsia" w:ascii="Times New Roman"/>
                      <w:spacing w:val="-10"/>
                      <w:sz w:val="21"/>
                      <w:szCs w:val="21"/>
                      <w:highlight w:val="none"/>
                      <w:lang w:val="en-US" w:eastAsia="zh-CN"/>
                    </w:rPr>
                    <w:t>本项目不属于高耗水、高污染、高耗能项目，项目</w:t>
                  </w:r>
                  <w:r>
                    <w:rPr>
                      <w:rFonts w:hint="eastAsia"/>
                      <w:sz w:val="21"/>
                      <w:szCs w:val="21"/>
                      <w:highlight w:val="none"/>
                      <w:lang w:val="en-US" w:eastAsia="zh-CN"/>
                    </w:rPr>
                    <w:t>污染物均可达标排放，对环境空气质量影响较小，不会降低区域环境空气质量。</w:t>
                  </w:r>
                </w:p>
              </w:tc>
              <w:tc>
                <w:tcPr>
                  <w:tcW w:w="353" w:type="pct"/>
                  <w:vAlign w:val="center"/>
                </w:tcPr>
                <w:p>
                  <w:pPr>
                    <w:keepNext w:val="0"/>
                    <w:keepLines w:val="0"/>
                    <w:pageBreakBefore w:val="0"/>
                    <w:kinsoku/>
                    <w:wordWrap/>
                    <w:overflowPunct/>
                    <w:topLinePunct w:val="0"/>
                    <w:autoSpaceDE/>
                    <w:autoSpaceDN/>
                    <w:bidi w:val="0"/>
                    <w:adjustRightInd w:val="0"/>
                    <w:ind w:firstLine="0" w:firstLineChars="0"/>
                    <w:jc w:val="center"/>
                    <w:textAlignment w:val="auto"/>
                    <w:rPr>
                      <w:spacing w:val="-10"/>
                      <w:sz w:val="21"/>
                      <w:szCs w:val="21"/>
                      <w:highlight w:val="none"/>
                    </w:rPr>
                  </w:pPr>
                  <w:r>
                    <w:rPr>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7" w:hRule="atLeast"/>
                <w:jc w:val="center"/>
              </w:trPr>
              <w:tc>
                <w:tcPr>
                  <w:tcW w:w="742" w:type="pct"/>
                  <w:vMerge w:val="continue"/>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bCs/>
                      <w:spacing w:val="-10"/>
                      <w:sz w:val="21"/>
                      <w:szCs w:val="21"/>
                      <w:highlight w:val="none"/>
                    </w:rPr>
                  </w:pPr>
                </w:p>
              </w:tc>
              <w:tc>
                <w:tcPr>
                  <w:tcW w:w="22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bCs/>
                      <w:spacing w:val="-10"/>
                      <w:sz w:val="21"/>
                      <w:szCs w:val="21"/>
                      <w:highlight w:val="none"/>
                    </w:rPr>
                  </w:pPr>
                  <w:r>
                    <w:rPr>
                      <w:bCs/>
                      <w:spacing w:val="-10"/>
                      <w:sz w:val="21"/>
                      <w:szCs w:val="21"/>
                      <w:highlight w:val="none"/>
                    </w:rPr>
                    <w:t>污染物</w:t>
                  </w:r>
                  <w:r>
                    <w:rPr>
                      <w:rFonts w:hint="eastAsia"/>
                      <w:bCs/>
                      <w:spacing w:val="-10"/>
                      <w:sz w:val="21"/>
                      <w:szCs w:val="21"/>
                      <w:highlight w:val="none"/>
                    </w:rPr>
                    <w:t>排</w:t>
                  </w:r>
                  <w:r>
                    <w:rPr>
                      <w:bCs/>
                      <w:spacing w:val="-10"/>
                      <w:sz w:val="21"/>
                      <w:szCs w:val="21"/>
                      <w:highlight w:val="none"/>
                    </w:rPr>
                    <w:t>放管控</w:t>
                  </w:r>
                </w:p>
              </w:tc>
              <w:tc>
                <w:tcPr>
                  <w:tcW w:w="2125" w:type="pct"/>
                  <w:tcBorders>
                    <w:top w:val="single" w:color="auto" w:sz="4" w:space="0"/>
                    <w:bottom w:val="single" w:color="auto" w:sz="4" w:space="0"/>
                  </w:tcBorders>
                  <w:vAlign w:val="center"/>
                </w:tcPr>
                <w:p>
                  <w:pPr>
                    <w:pStyle w:val="42"/>
                    <w:keepNext w:val="0"/>
                    <w:keepLines w:val="0"/>
                    <w:pageBreakBefore w:val="0"/>
                    <w:kinsoku/>
                    <w:wordWrap/>
                    <w:overflowPunct/>
                    <w:topLinePunct w:val="0"/>
                    <w:autoSpaceDE/>
                    <w:autoSpaceDN/>
                    <w:bidi w:val="0"/>
                    <w:adjustRightInd/>
                    <w:snapToGrid/>
                    <w:spacing w:beforeLines="0" w:afterLines="0" w:line="240" w:lineRule="auto"/>
                    <w:ind w:firstLine="420" w:firstLineChars="200"/>
                    <w:jc w:val="both"/>
                    <w:textAlignment w:val="auto"/>
                    <w:rPr>
                      <w:rFonts w:ascii="Times New Roman"/>
                      <w:bCs/>
                      <w:sz w:val="21"/>
                      <w:szCs w:val="21"/>
                      <w:highlight w:val="none"/>
                    </w:rPr>
                  </w:pPr>
                  <w:r>
                    <w:rPr>
                      <w:rFonts w:ascii="Times New Roman"/>
                      <w:bCs/>
                      <w:sz w:val="21"/>
                      <w:szCs w:val="21"/>
                      <w:highlight w:val="none"/>
                    </w:rPr>
                    <w:t>2.9所有排污单位必须依法实现全面达标排放。</w:t>
                  </w:r>
                </w:p>
                <w:p>
                  <w:pPr>
                    <w:keepNext w:val="0"/>
                    <w:keepLines w:val="0"/>
                    <w:pageBreakBefore w:val="0"/>
                    <w:widowControl/>
                    <w:suppressLineNumbers w:val="0"/>
                    <w:kinsoku/>
                    <w:wordWrap/>
                    <w:overflowPunct/>
                    <w:topLinePunct w:val="0"/>
                    <w:autoSpaceDE/>
                    <w:autoSpaceDN/>
                    <w:bidi w:val="0"/>
                    <w:ind w:firstLine="420" w:firstLineChars="200"/>
                    <w:jc w:val="left"/>
                    <w:textAlignment w:val="auto"/>
                    <w:rPr>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2.15</w:t>
                  </w:r>
                  <w:r>
                    <w:rPr>
                      <w:rFonts w:hint="eastAsia" w:ascii="宋体" w:hAnsi="宋体" w:eastAsia="宋体" w:cs="宋体"/>
                      <w:color w:val="000000"/>
                      <w:kern w:val="0"/>
                      <w:sz w:val="21"/>
                      <w:szCs w:val="21"/>
                      <w:highlight w:val="none"/>
                      <w:lang w:val="en-US" w:eastAsia="zh-CN" w:bidi="ar"/>
                    </w:rPr>
                    <w:t>推进污泥处理处置。建立污泥从产生、运输、储存、处置全过程监管体系。污水处理设施产生的污泥应进行稳定化、无害化和资源化处理处置，禁止处理处置不达标的污泥进入耕地，非法污泥堆放点一律予以取缔。</w:t>
                  </w:r>
                </w:p>
              </w:tc>
              <w:tc>
                <w:tcPr>
                  <w:tcW w:w="1550" w:type="pct"/>
                  <w:vAlign w:val="center"/>
                </w:tcPr>
                <w:p>
                  <w:pPr>
                    <w:pStyle w:val="60"/>
                    <w:keepNext w:val="0"/>
                    <w:keepLines w:val="0"/>
                    <w:pageBreakBefore w:val="0"/>
                    <w:kinsoku/>
                    <w:wordWrap/>
                    <w:overflowPunct/>
                    <w:topLinePunct w:val="0"/>
                    <w:autoSpaceDE/>
                    <w:autoSpaceDN/>
                    <w:bidi w:val="0"/>
                    <w:ind w:firstLine="420" w:firstLineChars="200"/>
                    <w:jc w:val="both"/>
                    <w:textAlignment w:val="auto"/>
                    <w:rPr>
                      <w:rFonts w:hint="eastAsia"/>
                      <w:sz w:val="21"/>
                      <w:szCs w:val="21"/>
                      <w:highlight w:val="none"/>
                      <w:lang w:val="en-US" w:eastAsia="zh-CN"/>
                    </w:rPr>
                  </w:pPr>
                  <w:r>
                    <w:rPr>
                      <w:rFonts w:hint="eastAsia" w:cs="宋体"/>
                      <w:color w:val="auto"/>
                      <w:kern w:val="2"/>
                      <w:sz w:val="21"/>
                      <w:szCs w:val="21"/>
                      <w:highlight w:val="none"/>
                      <w:lang w:val="en-US" w:eastAsia="zh-CN" w:bidi="ar-SA"/>
                    </w:rPr>
                    <w:t>项目依托库尔勒市第一人民医院现有污水处理站和废气处理设施，</w:t>
                  </w:r>
                  <w:r>
                    <w:rPr>
                      <w:rFonts w:hint="eastAsia"/>
                      <w:sz w:val="21"/>
                      <w:szCs w:val="21"/>
                      <w:highlight w:val="none"/>
                      <w:lang w:val="en-US" w:eastAsia="zh-CN"/>
                    </w:rPr>
                    <w:t>污染物均可达标排放。</w:t>
                  </w:r>
                </w:p>
                <w:p>
                  <w:pPr>
                    <w:pStyle w:val="60"/>
                    <w:keepNext w:val="0"/>
                    <w:keepLines w:val="0"/>
                    <w:pageBreakBefore w:val="0"/>
                    <w:kinsoku/>
                    <w:wordWrap/>
                    <w:overflowPunct/>
                    <w:topLinePunct w:val="0"/>
                    <w:autoSpaceDE/>
                    <w:autoSpaceDN/>
                    <w:bidi w:val="0"/>
                    <w:ind w:firstLine="420" w:firstLineChars="200"/>
                    <w:jc w:val="both"/>
                    <w:textAlignment w:val="auto"/>
                    <w:rPr>
                      <w:rFonts w:hint="default" w:ascii="Times New Roman" w:hAnsi="Times New Roman" w:eastAsia="宋体" w:cs="宋体"/>
                      <w:color w:val="auto"/>
                      <w:kern w:val="2"/>
                      <w:sz w:val="21"/>
                      <w:szCs w:val="21"/>
                      <w:highlight w:val="none"/>
                      <w:lang w:val="en-US" w:eastAsia="zh-CN" w:bidi="ar-SA"/>
                    </w:rPr>
                  </w:pPr>
                  <w:r>
                    <w:rPr>
                      <w:rFonts w:hint="eastAsia"/>
                      <w:sz w:val="21"/>
                      <w:szCs w:val="21"/>
                      <w:highlight w:val="none"/>
                      <w:lang w:val="en-US" w:eastAsia="zh-CN"/>
                    </w:rPr>
                    <w:t>污水处理设施产生的</w:t>
                  </w:r>
                  <w:r>
                    <w:rPr>
                      <w:rFonts w:hint="eastAsia"/>
                      <w:sz w:val="21"/>
                      <w:szCs w:val="21"/>
                      <w:lang w:val="en-US" w:eastAsia="zh-CN"/>
                    </w:rPr>
                    <w:t>栅渣和污泥委托新疆狮岭能源环保集团有限公司（原名为新疆贝肯能源环保有限公司）清运处置。</w:t>
                  </w:r>
                </w:p>
              </w:tc>
              <w:tc>
                <w:tcPr>
                  <w:tcW w:w="353" w:type="pct"/>
                  <w:vAlign w:val="center"/>
                </w:tcPr>
                <w:p>
                  <w:pPr>
                    <w:keepNext w:val="0"/>
                    <w:keepLines w:val="0"/>
                    <w:pageBreakBefore w:val="0"/>
                    <w:kinsoku/>
                    <w:wordWrap/>
                    <w:overflowPunct/>
                    <w:topLinePunct w:val="0"/>
                    <w:autoSpaceDE/>
                    <w:autoSpaceDN/>
                    <w:bidi w:val="0"/>
                    <w:adjustRightInd w:val="0"/>
                    <w:ind w:firstLine="0" w:firstLineChars="0"/>
                    <w:jc w:val="center"/>
                    <w:textAlignment w:val="auto"/>
                    <w:rPr>
                      <w:spacing w:val="-10"/>
                      <w:sz w:val="21"/>
                      <w:szCs w:val="21"/>
                      <w:highlight w:val="none"/>
                    </w:rPr>
                  </w:pPr>
                  <w:r>
                    <w:rPr>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42" w:type="pct"/>
                  <w:vMerge w:val="continue"/>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spacing w:val="-10"/>
                      <w:sz w:val="21"/>
                      <w:szCs w:val="21"/>
                      <w:highlight w:val="none"/>
                    </w:rPr>
                  </w:pPr>
                </w:p>
              </w:tc>
              <w:tc>
                <w:tcPr>
                  <w:tcW w:w="228" w:type="pct"/>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spacing w:val="-10"/>
                      <w:sz w:val="21"/>
                      <w:szCs w:val="21"/>
                      <w:highlight w:val="none"/>
                    </w:rPr>
                  </w:pPr>
                  <w:r>
                    <w:rPr>
                      <w:spacing w:val="-10"/>
                      <w:sz w:val="21"/>
                      <w:szCs w:val="21"/>
                      <w:highlight w:val="none"/>
                    </w:rPr>
                    <w:t>环境风险防控</w:t>
                  </w:r>
                </w:p>
              </w:tc>
              <w:tc>
                <w:tcPr>
                  <w:tcW w:w="2125" w:type="pct"/>
                  <w:tcBorders>
                    <w:top w:val="single" w:color="auto" w:sz="4" w:space="0"/>
                    <w:bottom w:val="single" w:color="auto" w:sz="4" w:space="0"/>
                  </w:tcBorders>
                  <w:vAlign w:val="center"/>
                </w:tcPr>
                <w:p>
                  <w:pPr>
                    <w:pStyle w:val="42"/>
                    <w:keepNext w:val="0"/>
                    <w:keepLines w:val="0"/>
                    <w:pageBreakBefore w:val="0"/>
                    <w:kinsoku/>
                    <w:wordWrap/>
                    <w:overflowPunct/>
                    <w:topLinePunct w:val="0"/>
                    <w:autoSpaceDE/>
                    <w:autoSpaceDN/>
                    <w:bidi w:val="0"/>
                    <w:adjustRightInd/>
                    <w:snapToGrid/>
                    <w:spacing w:beforeLines="0" w:afterLines="0" w:line="240" w:lineRule="auto"/>
                    <w:ind w:firstLine="420" w:firstLineChars="200"/>
                    <w:jc w:val="both"/>
                    <w:textAlignment w:val="auto"/>
                    <w:rPr>
                      <w:rFonts w:ascii="Times New Roman"/>
                      <w:sz w:val="21"/>
                      <w:szCs w:val="21"/>
                      <w:highlight w:val="none"/>
                    </w:rPr>
                  </w:pPr>
                  <w:r>
                    <w:rPr>
                      <w:rFonts w:ascii="Times New Roman"/>
                      <w:sz w:val="21"/>
                      <w:szCs w:val="21"/>
                      <w:highlight w:val="none"/>
                    </w:rPr>
                    <w:t>3.</w:t>
                  </w:r>
                  <w:r>
                    <w:rPr>
                      <w:rFonts w:hint="eastAsia" w:ascii="Times New Roman"/>
                      <w:sz w:val="21"/>
                      <w:szCs w:val="21"/>
                      <w:highlight w:val="none"/>
                      <w:lang w:val="en-US" w:eastAsia="zh-CN"/>
                    </w:rPr>
                    <w:t>8</w:t>
                  </w:r>
                  <w:r>
                    <w:rPr>
                      <w:rFonts w:ascii="Times New Roman"/>
                      <w:sz w:val="21"/>
                      <w:szCs w:val="21"/>
                      <w:highlight w:val="none"/>
                    </w:rPr>
                    <w:t>严格环境风险控制。防范环境风险。</w:t>
                  </w:r>
                </w:p>
              </w:tc>
              <w:tc>
                <w:tcPr>
                  <w:tcW w:w="1550" w:type="pct"/>
                  <w:vAlign w:val="center"/>
                </w:tcPr>
                <w:p>
                  <w:pPr>
                    <w:pStyle w:val="60"/>
                    <w:keepNext w:val="0"/>
                    <w:keepLines w:val="0"/>
                    <w:pageBreakBefore w:val="0"/>
                    <w:kinsoku/>
                    <w:wordWrap/>
                    <w:overflowPunct/>
                    <w:topLinePunct w:val="0"/>
                    <w:autoSpaceDE/>
                    <w:autoSpaceDN/>
                    <w:bidi w:val="0"/>
                    <w:ind w:firstLine="420" w:firstLineChars="200"/>
                    <w:jc w:val="both"/>
                    <w:textAlignment w:val="auto"/>
                    <w:rPr>
                      <w:rFonts w:hint="default" w:ascii="Times New Roman" w:hAnsi="Times New Roman" w:eastAsia="宋体" w:cs="宋体"/>
                      <w:color w:val="auto"/>
                      <w:kern w:val="2"/>
                      <w:sz w:val="21"/>
                      <w:szCs w:val="21"/>
                      <w:highlight w:val="none"/>
                      <w:lang w:val="en-US" w:eastAsia="zh-CN" w:bidi="ar-SA"/>
                    </w:rPr>
                  </w:pPr>
                  <w:r>
                    <w:rPr>
                      <w:rFonts w:hint="eastAsia"/>
                      <w:sz w:val="21"/>
                      <w:szCs w:val="21"/>
                      <w:highlight w:val="none"/>
                      <w:lang w:val="en-US" w:eastAsia="zh-CN"/>
                    </w:rPr>
                    <w:t>项目建成后</w:t>
                  </w:r>
                  <w:r>
                    <w:rPr>
                      <w:rFonts w:hint="eastAsia" w:cs="宋体"/>
                      <w:color w:val="auto"/>
                      <w:kern w:val="2"/>
                      <w:sz w:val="21"/>
                      <w:szCs w:val="21"/>
                      <w:highlight w:val="none"/>
                      <w:lang w:val="en-US" w:eastAsia="zh-CN" w:bidi="ar-SA"/>
                    </w:rPr>
                    <w:t>库尔勒市第一人民医院</w:t>
                  </w:r>
                  <w:r>
                    <w:rPr>
                      <w:rFonts w:hint="eastAsia"/>
                      <w:sz w:val="21"/>
                      <w:szCs w:val="21"/>
                      <w:highlight w:val="none"/>
                      <w:lang w:val="en-US" w:eastAsia="zh-CN"/>
                    </w:rPr>
                    <w:t>应根据项目运营现状修编应急预案，防范环境风险。</w:t>
                  </w:r>
                </w:p>
              </w:tc>
              <w:tc>
                <w:tcPr>
                  <w:tcW w:w="353" w:type="pct"/>
                  <w:vAlign w:val="center"/>
                </w:tcPr>
                <w:p>
                  <w:pPr>
                    <w:keepNext w:val="0"/>
                    <w:keepLines w:val="0"/>
                    <w:pageBreakBefore w:val="0"/>
                    <w:kinsoku/>
                    <w:wordWrap/>
                    <w:overflowPunct/>
                    <w:topLinePunct w:val="0"/>
                    <w:autoSpaceDE/>
                    <w:autoSpaceDN/>
                    <w:bidi w:val="0"/>
                    <w:adjustRightInd w:val="0"/>
                    <w:ind w:firstLine="0" w:firstLineChars="0"/>
                    <w:jc w:val="center"/>
                    <w:textAlignment w:val="auto"/>
                    <w:rPr>
                      <w:spacing w:val="-10"/>
                      <w:sz w:val="21"/>
                      <w:szCs w:val="21"/>
                      <w:highlight w:val="none"/>
                    </w:rPr>
                  </w:pPr>
                  <w:r>
                    <w:rPr>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42" w:type="pct"/>
                  <w:vMerge w:val="continue"/>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b/>
                      <w:spacing w:val="-10"/>
                      <w:sz w:val="21"/>
                      <w:szCs w:val="21"/>
                      <w:highlight w:val="none"/>
                    </w:rPr>
                  </w:pPr>
                </w:p>
              </w:tc>
              <w:tc>
                <w:tcPr>
                  <w:tcW w:w="228" w:type="pct"/>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spacing w:val="-10"/>
                      <w:sz w:val="21"/>
                      <w:szCs w:val="21"/>
                      <w:highlight w:val="none"/>
                    </w:rPr>
                  </w:pPr>
                  <w:r>
                    <w:rPr>
                      <w:spacing w:val="-10"/>
                      <w:sz w:val="21"/>
                      <w:szCs w:val="21"/>
                      <w:highlight w:val="none"/>
                    </w:rPr>
                    <w:t>资源利用效率</w:t>
                  </w:r>
                </w:p>
              </w:tc>
              <w:tc>
                <w:tcPr>
                  <w:tcW w:w="2125"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ind w:firstLine="420" w:firstLineChars="200"/>
                    <w:jc w:val="both"/>
                    <w:textAlignment w:val="auto"/>
                    <w:rPr>
                      <w:sz w:val="21"/>
                      <w:szCs w:val="21"/>
                      <w:highlight w:val="none"/>
                    </w:rPr>
                  </w:pPr>
                  <w:r>
                    <w:rPr>
                      <w:color w:val="000000"/>
                      <w:kern w:val="0"/>
                      <w:sz w:val="21"/>
                      <w:szCs w:val="21"/>
                      <w:highlight w:val="none"/>
                      <w:lang w:bidi="ar"/>
                    </w:rPr>
                    <w:t>4.</w:t>
                  </w:r>
                  <w:r>
                    <w:rPr>
                      <w:rFonts w:hint="eastAsia"/>
                      <w:color w:val="000000"/>
                      <w:kern w:val="0"/>
                      <w:sz w:val="21"/>
                      <w:szCs w:val="21"/>
                      <w:highlight w:val="none"/>
                      <w:lang w:val="en-US" w:eastAsia="zh-CN" w:bidi="ar"/>
                    </w:rPr>
                    <w:t>1促进再生水利用。制定促进再生水利用的政策，以城市及产业集聚区为重点，实施再生水利用工程，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单体建筑面积超过2万平方米的新建公共建筑应安装建筑中水设施。积极推动其他新建住房安装建筑中水设施。</w:t>
                  </w:r>
                  <w:r>
                    <w:rPr>
                      <w:rFonts w:hint="eastAsia" w:ascii="宋体" w:hAnsi="宋体" w:cs="宋体"/>
                      <w:color w:val="000000"/>
                      <w:kern w:val="0"/>
                      <w:sz w:val="21"/>
                      <w:szCs w:val="21"/>
                      <w:highlight w:val="none"/>
                      <w:lang w:bidi="ar"/>
                    </w:rPr>
                    <w:t>耗水企业废水深度处理回用。</w:t>
                  </w:r>
                </w:p>
                <w:p>
                  <w:pPr>
                    <w:keepNext w:val="0"/>
                    <w:keepLines w:val="0"/>
                    <w:pageBreakBefore w:val="0"/>
                    <w:widowControl/>
                    <w:suppressLineNumbers w:val="0"/>
                    <w:kinsoku/>
                    <w:wordWrap/>
                    <w:overflowPunct/>
                    <w:topLinePunct w:val="0"/>
                    <w:autoSpaceDE/>
                    <w:autoSpaceDN/>
                    <w:bidi w:val="0"/>
                    <w:ind w:firstLine="420" w:firstLineChars="200"/>
                    <w:jc w:val="both"/>
                    <w:textAlignment w:val="auto"/>
                    <w:rPr>
                      <w:rFonts w:ascii="Times New Roman"/>
                      <w:spacing w:val="-1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4.17</w:t>
                  </w:r>
                  <w:r>
                    <w:rPr>
                      <w:rFonts w:hint="eastAsia" w:ascii="宋体" w:hAnsi="宋体" w:eastAsia="宋体" w:cs="宋体"/>
                      <w:color w:val="000000"/>
                      <w:kern w:val="0"/>
                      <w:sz w:val="21"/>
                      <w:szCs w:val="21"/>
                      <w:highlight w:val="none"/>
                      <w:lang w:val="en-US" w:eastAsia="zh-CN" w:bidi="ar"/>
                    </w:rPr>
                    <w:t>加强城镇节水。禁止生产、销售不符合节水标准的产品</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公共建筑必须采用节水器具，限期淘汰公共建筑中不符合节水标准的水嘴、便器水箱等生活用水器具。鼓励居民家庭选用节水器具，推动旅馆饭店、学校等用水单位用水器具的更新改造。加快城镇老旧供水管网更新改造。</w:t>
                  </w:r>
                </w:p>
              </w:tc>
              <w:tc>
                <w:tcPr>
                  <w:tcW w:w="1550" w:type="pct"/>
                  <w:vAlign w:val="center"/>
                </w:tcPr>
                <w:p>
                  <w:pPr>
                    <w:pStyle w:val="60"/>
                    <w:keepNext w:val="0"/>
                    <w:keepLines w:val="0"/>
                    <w:pageBreakBefore w:val="0"/>
                    <w:kinsoku/>
                    <w:wordWrap/>
                    <w:overflowPunct/>
                    <w:topLinePunct w:val="0"/>
                    <w:autoSpaceDE/>
                    <w:autoSpaceDN/>
                    <w:bidi w:val="0"/>
                    <w:ind w:firstLine="420" w:firstLineChars="200"/>
                    <w:jc w:val="both"/>
                    <w:textAlignment w:val="auto"/>
                    <w:rPr>
                      <w:rFonts w:hint="default" w:ascii="Times New Roman" w:hAnsi="Times New Roman" w:eastAsia="宋体" w:cs="宋体"/>
                      <w:color w:val="auto"/>
                      <w:kern w:val="2"/>
                      <w:sz w:val="21"/>
                      <w:szCs w:val="21"/>
                      <w:highlight w:val="none"/>
                      <w:lang w:val="en-US" w:eastAsia="zh-CN" w:bidi="ar-SA"/>
                    </w:rPr>
                  </w:pPr>
                  <w:r>
                    <w:rPr>
                      <w:rFonts w:hint="eastAsia"/>
                      <w:sz w:val="21"/>
                      <w:szCs w:val="21"/>
                      <w:highlight w:val="none"/>
                      <w:lang w:val="en-US" w:eastAsia="zh-CN"/>
                    </w:rPr>
                    <w:t>本项目职工生活污水和医疗废水经医院内现有污水处理站预处理后，通过市政污水管网排入库尔勒市老城区污水处理厂进行集中处理，项目使用的水具均为购置的符合国家标准的用水器具。</w:t>
                  </w:r>
                </w:p>
              </w:tc>
              <w:tc>
                <w:tcPr>
                  <w:tcW w:w="353" w:type="pct"/>
                  <w:vAlign w:val="center"/>
                </w:tcPr>
                <w:p>
                  <w:pPr>
                    <w:keepNext w:val="0"/>
                    <w:keepLines w:val="0"/>
                    <w:pageBreakBefore w:val="0"/>
                    <w:kinsoku/>
                    <w:wordWrap/>
                    <w:overflowPunct/>
                    <w:topLinePunct w:val="0"/>
                    <w:autoSpaceDE/>
                    <w:autoSpaceDN/>
                    <w:bidi w:val="0"/>
                    <w:adjustRightInd w:val="0"/>
                    <w:ind w:firstLine="0" w:firstLineChars="0"/>
                    <w:jc w:val="center"/>
                    <w:textAlignment w:val="auto"/>
                    <w:rPr>
                      <w:spacing w:val="-10"/>
                      <w:sz w:val="21"/>
                      <w:szCs w:val="21"/>
                      <w:highlight w:val="none"/>
                    </w:rPr>
                  </w:pPr>
                  <w:r>
                    <w:rPr>
                      <w:spacing w:val="-10"/>
                      <w:sz w:val="21"/>
                      <w:szCs w:val="21"/>
                      <w:highlight w:val="none"/>
                    </w:rPr>
                    <w:t>符合</w:t>
                  </w:r>
                </w:p>
              </w:tc>
            </w:tr>
          </w:tbl>
          <w:p>
            <w:pPr>
              <w:pStyle w:val="59"/>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hint="default"/>
                <w:lang w:val="en-US" w:eastAsia="zh-CN"/>
              </w:rPr>
            </w:pPr>
            <w:r>
              <w:rPr>
                <w:rFonts w:hint="eastAsia"/>
                <w:sz w:val="24"/>
                <w:szCs w:val="24"/>
                <w:lang w:val="en-US" w:eastAsia="zh-CN"/>
              </w:rPr>
              <w:t>表1-2  本项目与所在管控单元管控要求符合性分析</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51"/>
              <w:gridCol w:w="3069"/>
              <w:gridCol w:w="2638"/>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4" w:type="pct"/>
                  <w:gridSpan w:val="2"/>
                  <w:noWrap w:val="0"/>
                  <w:vAlign w:val="center"/>
                </w:tcPr>
                <w:p>
                  <w:pPr>
                    <w:pStyle w:val="60"/>
                    <w:bidi w:val="0"/>
                    <w:jc w:val="center"/>
                    <w:rPr>
                      <w:rFonts w:hint="default"/>
                      <w:lang w:val="en-US" w:eastAsia="zh-CN"/>
                    </w:rPr>
                  </w:pPr>
                  <w:r>
                    <w:rPr>
                      <w:rFonts w:hint="default"/>
                      <w:lang w:val="en-US" w:eastAsia="zh-CN"/>
                    </w:rPr>
                    <w:t>环境管控单元编码</w:t>
                  </w:r>
                </w:p>
              </w:tc>
              <w:tc>
                <w:tcPr>
                  <w:tcW w:w="2028" w:type="pct"/>
                  <w:noWrap w:val="0"/>
                  <w:vAlign w:val="center"/>
                </w:tcPr>
                <w:p>
                  <w:pPr>
                    <w:pStyle w:val="60"/>
                    <w:bidi w:val="0"/>
                    <w:jc w:val="center"/>
                    <w:rPr>
                      <w:rFonts w:hint="default"/>
                      <w:lang w:val="en-US" w:eastAsia="zh-CN"/>
                    </w:rPr>
                  </w:pPr>
                  <w:r>
                    <w:rPr>
                      <w:rFonts w:hint="eastAsia"/>
                      <w:lang w:val="en-US" w:eastAsia="zh-CN"/>
                    </w:rPr>
                    <w:t>ZH65280120011</w:t>
                  </w:r>
                </w:p>
              </w:tc>
              <w:tc>
                <w:tcPr>
                  <w:tcW w:w="1743" w:type="pct"/>
                  <w:vMerge w:val="restart"/>
                  <w:noWrap w:val="0"/>
                  <w:vAlign w:val="center"/>
                </w:tcPr>
                <w:p>
                  <w:pPr>
                    <w:pStyle w:val="60"/>
                    <w:bidi w:val="0"/>
                    <w:jc w:val="center"/>
                    <w:rPr>
                      <w:rFonts w:hint="default"/>
                      <w:lang w:val="en-US" w:eastAsia="zh-CN"/>
                    </w:rPr>
                  </w:pPr>
                  <w:r>
                    <w:rPr>
                      <w:rFonts w:hint="eastAsia"/>
                      <w:lang w:val="en-US" w:eastAsia="zh-CN"/>
                    </w:rPr>
                    <w:t>本工程情况</w:t>
                  </w:r>
                </w:p>
              </w:tc>
              <w:tc>
                <w:tcPr>
                  <w:tcW w:w="344" w:type="pct"/>
                  <w:vMerge w:val="restart"/>
                  <w:noWrap w:val="0"/>
                  <w:vAlign w:val="center"/>
                </w:tcPr>
                <w:p>
                  <w:pPr>
                    <w:pStyle w:val="60"/>
                    <w:bidi w:val="0"/>
                    <w:jc w:val="center"/>
                    <w:rPr>
                      <w:rFonts w:hint="default"/>
                      <w:lang w:val="en-US" w:eastAsia="zh-CN"/>
                    </w:rPr>
                  </w:pPr>
                  <w:r>
                    <w:rPr>
                      <w:rFonts w:hint="eastAsia"/>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4" w:type="pct"/>
                  <w:gridSpan w:val="2"/>
                  <w:noWrap w:val="0"/>
                  <w:vAlign w:val="center"/>
                </w:tcPr>
                <w:p>
                  <w:pPr>
                    <w:pStyle w:val="60"/>
                    <w:bidi w:val="0"/>
                    <w:jc w:val="center"/>
                    <w:rPr>
                      <w:rFonts w:hint="default"/>
                      <w:lang w:val="en-US" w:eastAsia="zh-CN"/>
                    </w:rPr>
                  </w:pPr>
                  <w:r>
                    <w:rPr>
                      <w:rFonts w:hint="eastAsia"/>
                      <w:lang w:val="en-US" w:eastAsia="zh-CN"/>
                    </w:rPr>
                    <w:t>环境管控单元名称</w:t>
                  </w:r>
                </w:p>
              </w:tc>
              <w:tc>
                <w:tcPr>
                  <w:tcW w:w="2028" w:type="pct"/>
                  <w:noWrap w:val="0"/>
                  <w:vAlign w:val="center"/>
                </w:tcPr>
                <w:p>
                  <w:pPr>
                    <w:pStyle w:val="60"/>
                    <w:bidi w:val="0"/>
                    <w:jc w:val="center"/>
                    <w:rPr>
                      <w:rFonts w:hint="default"/>
                      <w:lang w:val="en-US" w:eastAsia="zh-CN"/>
                    </w:rPr>
                  </w:pPr>
                  <w:r>
                    <w:rPr>
                      <w:rFonts w:hint="eastAsia"/>
                      <w:lang w:val="en-US" w:eastAsia="zh-CN"/>
                    </w:rPr>
                    <w:t>库尔勒市城区地下水禁采区</w:t>
                  </w:r>
                </w:p>
              </w:tc>
              <w:tc>
                <w:tcPr>
                  <w:tcW w:w="1743" w:type="pct"/>
                  <w:vMerge w:val="continue"/>
                  <w:noWrap w:val="0"/>
                  <w:vAlign w:val="center"/>
                </w:tcPr>
                <w:p>
                  <w:pPr>
                    <w:pStyle w:val="60"/>
                    <w:bidi w:val="0"/>
                    <w:jc w:val="center"/>
                    <w:rPr>
                      <w:rFonts w:hint="default"/>
                      <w:lang w:val="en-US" w:eastAsia="zh-CN"/>
                    </w:rPr>
                  </w:pPr>
                </w:p>
              </w:tc>
              <w:tc>
                <w:tcPr>
                  <w:tcW w:w="344" w:type="pct"/>
                  <w:vMerge w:val="continue"/>
                  <w:noWrap w:val="0"/>
                  <w:vAlign w:val="center"/>
                </w:tcPr>
                <w:p>
                  <w:pPr>
                    <w:pStyle w:val="60"/>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4" w:type="pct"/>
                  <w:gridSpan w:val="2"/>
                  <w:noWrap w:val="0"/>
                  <w:vAlign w:val="center"/>
                </w:tcPr>
                <w:p>
                  <w:pPr>
                    <w:pStyle w:val="60"/>
                    <w:bidi w:val="0"/>
                    <w:jc w:val="center"/>
                    <w:rPr>
                      <w:rFonts w:hint="default"/>
                      <w:lang w:val="en-US" w:eastAsia="zh-CN"/>
                    </w:rPr>
                  </w:pPr>
                  <w:r>
                    <w:t>环境管控单元类别</w:t>
                  </w:r>
                </w:p>
              </w:tc>
              <w:tc>
                <w:tcPr>
                  <w:tcW w:w="2028" w:type="pct"/>
                  <w:noWrap w:val="0"/>
                  <w:vAlign w:val="center"/>
                </w:tcPr>
                <w:p>
                  <w:pPr>
                    <w:pStyle w:val="60"/>
                    <w:bidi w:val="0"/>
                    <w:jc w:val="center"/>
                    <w:rPr>
                      <w:rFonts w:hint="default"/>
                      <w:lang w:val="en-US" w:eastAsia="zh-CN"/>
                    </w:rPr>
                  </w:pPr>
                  <w:r>
                    <w:rPr>
                      <w:rFonts w:hint="eastAsia"/>
                      <w:lang w:val="en-US" w:eastAsia="zh-CN"/>
                    </w:rPr>
                    <w:t>重点</w:t>
                  </w:r>
                  <w:r>
                    <w:rPr>
                      <w:rFonts w:hint="default"/>
                      <w:lang w:val="en-US" w:eastAsia="zh-CN"/>
                    </w:rPr>
                    <w:t>管控单元</w:t>
                  </w:r>
                </w:p>
              </w:tc>
              <w:tc>
                <w:tcPr>
                  <w:tcW w:w="1743" w:type="pct"/>
                  <w:vMerge w:val="continue"/>
                  <w:noWrap w:val="0"/>
                  <w:vAlign w:val="center"/>
                </w:tcPr>
                <w:p>
                  <w:pPr>
                    <w:pStyle w:val="60"/>
                    <w:bidi w:val="0"/>
                    <w:jc w:val="center"/>
                    <w:rPr>
                      <w:rFonts w:hint="default"/>
                      <w:lang w:val="en-US" w:eastAsia="zh-CN"/>
                    </w:rPr>
                  </w:pPr>
                </w:p>
              </w:tc>
              <w:tc>
                <w:tcPr>
                  <w:tcW w:w="344" w:type="pct"/>
                  <w:vMerge w:val="continue"/>
                  <w:noWrap w:val="0"/>
                  <w:vAlign w:val="center"/>
                </w:tcPr>
                <w:p>
                  <w:pPr>
                    <w:pStyle w:val="60"/>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7" w:type="pct"/>
                  <w:vMerge w:val="restart"/>
                  <w:noWrap w:val="0"/>
                  <w:vAlign w:val="center"/>
                </w:tcPr>
                <w:p>
                  <w:pPr>
                    <w:pStyle w:val="60"/>
                    <w:bidi w:val="0"/>
                    <w:jc w:val="center"/>
                    <w:rPr>
                      <w:rFonts w:hint="default"/>
                      <w:lang w:val="en-US" w:eastAsia="zh-CN"/>
                    </w:rPr>
                  </w:pPr>
                  <w:r>
                    <w:rPr>
                      <w:rFonts w:hint="eastAsia"/>
                      <w:lang w:val="en-US" w:eastAsia="zh-CN"/>
                    </w:rPr>
                    <w:t>管控要求</w:t>
                  </w:r>
                </w:p>
              </w:tc>
              <w:tc>
                <w:tcPr>
                  <w:tcW w:w="497" w:type="pct"/>
                  <w:noWrap w:val="0"/>
                  <w:vAlign w:val="center"/>
                </w:tcPr>
                <w:p>
                  <w:pPr>
                    <w:pStyle w:val="60"/>
                    <w:bidi w:val="0"/>
                    <w:jc w:val="center"/>
                    <w:rPr>
                      <w:rFonts w:hint="default"/>
                      <w:lang w:val="en-US" w:eastAsia="zh-CN"/>
                    </w:rPr>
                  </w:pPr>
                  <w:r>
                    <w:rPr>
                      <w:rFonts w:hint="default"/>
                      <w:lang w:val="en-US" w:eastAsia="zh-CN"/>
                    </w:rPr>
                    <w:t>空间布局约束</w:t>
                  </w:r>
                </w:p>
              </w:tc>
              <w:tc>
                <w:tcPr>
                  <w:tcW w:w="202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1.</w:t>
                  </w:r>
                  <w:r>
                    <w:rPr>
                      <w:rFonts w:hint="eastAsia" w:ascii="Times New Roman" w:hAnsi="Times New Roman" w:eastAsiaTheme="minorEastAsia" w:cstheme="minorEastAsia"/>
                      <w:color w:val="auto"/>
                      <w:kern w:val="2"/>
                      <w:sz w:val="21"/>
                      <w:szCs w:val="21"/>
                      <w:lang w:val="en-US" w:eastAsia="zh-CN" w:bidi="ar-SA"/>
                    </w:rPr>
                    <w:t>除城乡生活饮用水或者战略储备、旱灾、火灾、地震等应急需要取水外，原有的地下水取水工程全部限期封停。</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2.</w:t>
                  </w:r>
                  <w:r>
                    <w:rPr>
                      <w:rFonts w:hint="eastAsia" w:ascii="Times New Roman" w:hAnsi="Times New Roman" w:eastAsiaTheme="minorEastAsia" w:cstheme="minorEastAsia"/>
                      <w:color w:val="auto"/>
                      <w:kern w:val="2"/>
                      <w:sz w:val="21"/>
                      <w:szCs w:val="21"/>
                      <w:lang w:val="en-US" w:eastAsia="zh-CN" w:bidi="ar-SA"/>
                    </w:rPr>
                    <w:t>县级以上人民政府水行政主管部门应当会同有关部门制定封停方案，经本级人民政府批准后实施。</w:t>
                  </w:r>
                </w:p>
              </w:tc>
              <w:tc>
                <w:tcPr>
                  <w:tcW w:w="1743" w:type="pct"/>
                  <w:noWrap w:val="0"/>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default"/>
                      <w:lang w:val="en-US" w:eastAsia="zh-CN"/>
                    </w:rPr>
                    <w:t>本项目</w:t>
                  </w:r>
                  <w:r>
                    <w:rPr>
                      <w:rFonts w:hint="eastAsia"/>
                      <w:lang w:val="en-US" w:eastAsia="zh-CN"/>
                    </w:rPr>
                    <w:t>用水来自市政供水管网，不涉及地下水取水。</w:t>
                  </w:r>
                </w:p>
              </w:tc>
              <w:tc>
                <w:tcPr>
                  <w:tcW w:w="344" w:type="pct"/>
                  <w:noWrap w:val="0"/>
                  <w:vAlign w:val="center"/>
                </w:tcPr>
                <w:p>
                  <w:pPr>
                    <w:pStyle w:val="60"/>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7" w:type="pct"/>
                  <w:vMerge w:val="continue"/>
                  <w:noWrap w:val="0"/>
                  <w:vAlign w:val="center"/>
                </w:tcPr>
                <w:p>
                  <w:pPr>
                    <w:pStyle w:val="60"/>
                    <w:bidi w:val="0"/>
                    <w:jc w:val="center"/>
                    <w:rPr>
                      <w:rFonts w:hint="default"/>
                      <w:lang w:val="en-US" w:eastAsia="zh-CN"/>
                    </w:rPr>
                  </w:pPr>
                </w:p>
              </w:tc>
              <w:tc>
                <w:tcPr>
                  <w:tcW w:w="497" w:type="pct"/>
                  <w:noWrap w:val="0"/>
                  <w:vAlign w:val="center"/>
                </w:tcPr>
                <w:p>
                  <w:pPr>
                    <w:pStyle w:val="60"/>
                    <w:bidi w:val="0"/>
                    <w:jc w:val="center"/>
                    <w:rPr>
                      <w:rFonts w:hint="default"/>
                      <w:lang w:val="en-US" w:eastAsia="zh-CN"/>
                    </w:rPr>
                  </w:pPr>
                  <w:r>
                    <w:rPr>
                      <w:rFonts w:hint="default"/>
                      <w:lang w:val="en-US" w:eastAsia="zh-CN"/>
                    </w:rPr>
                    <w:t>污染物排放管控</w:t>
                  </w:r>
                </w:p>
              </w:tc>
              <w:tc>
                <w:tcPr>
                  <w:tcW w:w="202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1.</w:t>
                  </w:r>
                  <w:r>
                    <w:rPr>
                      <w:rFonts w:hint="eastAsia" w:ascii="Times New Roman" w:hAnsi="Times New Roman" w:eastAsiaTheme="minorEastAsia" w:cstheme="minorEastAsia"/>
                      <w:color w:val="auto"/>
                      <w:kern w:val="2"/>
                      <w:sz w:val="21"/>
                      <w:szCs w:val="21"/>
                      <w:lang w:val="en-US" w:eastAsia="zh-CN" w:bidi="ar-SA"/>
                    </w:rPr>
                    <w:t>禁止私设暗管或者利用渗井、渗坑和裂隙排放、倾倒含有毒污染物的废水、含病原体的污水和其他废弃物。禁止利用无防渗漏措施的沟渠、坑塘等输送或者存贮含有毒污染物的废水、含病原体的污水和其他废弃物。</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2.</w:t>
                  </w:r>
                  <w:r>
                    <w:rPr>
                      <w:rFonts w:hint="eastAsia" w:ascii="Times New Roman" w:hAnsi="Times New Roman" w:eastAsiaTheme="minorEastAsia" w:cstheme="minorEastAsia"/>
                      <w:color w:val="auto"/>
                      <w:kern w:val="2"/>
                      <w:sz w:val="21"/>
                      <w:szCs w:val="21"/>
                      <w:lang w:val="en-US" w:eastAsia="zh-CN" w:bidi="ar-SA"/>
                    </w:rPr>
                    <w:t>禁止向地表及水体排放、倾倒下列物质：（一）油类、酸液、碱液或者剧毒废液及未达标的工业及生活废水；（二）放射性固体废物或者含有高放射性和中放射性物质的废水；（三）工业废渣、城镇垃圾和其他废弃物。</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3.</w:t>
                  </w:r>
                  <w:r>
                    <w:rPr>
                      <w:rFonts w:hint="eastAsia" w:ascii="Times New Roman" w:hAnsi="Times New Roman" w:eastAsiaTheme="minorEastAsia" w:cstheme="minorEastAsia"/>
                      <w:color w:val="auto"/>
                      <w:kern w:val="2"/>
                      <w:sz w:val="21"/>
                      <w:szCs w:val="21"/>
                      <w:lang w:val="en-US" w:eastAsia="zh-CN" w:bidi="ar-SA"/>
                    </w:rPr>
                    <w:t>建设单位建设危险废物堆存场、垃圾填埋场、矿山渣场（含尾矿）、储灰场、加油站、贮存有毒有害物质的场所应当按照有关规定落实有关水污染防治措施，制定防渗处理方案，并按照规定定时向环境保护主管部门和水行政主管部门报告水质监测数据。禁止将含有汞、镉、砷、铬、铅、氰化物、黄磷等可溶性剧毒废渣及难降解有机物或者含油废弃物直接埋入地下。</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4.</w:t>
                  </w:r>
                  <w:r>
                    <w:rPr>
                      <w:rFonts w:hint="eastAsia" w:ascii="Times New Roman" w:hAnsi="Times New Roman" w:eastAsiaTheme="minorEastAsia" w:cstheme="minorEastAsia"/>
                      <w:color w:val="auto"/>
                      <w:kern w:val="2"/>
                      <w:sz w:val="21"/>
                      <w:szCs w:val="21"/>
                      <w:lang w:val="en-US" w:eastAsia="zh-CN" w:bidi="ar-SA"/>
                    </w:rPr>
                    <w:t>工矿企业应当优先利用基坑水、矿坑水和疏干水。无法全部利用的，应当处理达标后排放。</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5.</w:t>
                  </w:r>
                  <w:r>
                    <w:rPr>
                      <w:rFonts w:hint="eastAsia" w:ascii="Times New Roman" w:hAnsi="Times New Roman" w:eastAsiaTheme="minorEastAsia" w:cstheme="minorEastAsia"/>
                      <w:color w:val="auto"/>
                      <w:kern w:val="2"/>
                      <w:sz w:val="21"/>
                      <w:szCs w:val="21"/>
                      <w:lang w:val="en-US" w:eastAsia="zh-CN" w:bidi="ar-SA"/>
                    </w:rPr>
                    <w:t>人工回灌补给地下水，不得恶化地下水水质。</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6.</w:t>
                  </w:r>
                  <w:r>
                    <w:rPr>
                      <w:rFonts w:hint="eastAsia" w:ascii="Times New Roman" w:hAnsi="Times New Roman" w:eastAsiaTheme="minorEastAsia" w:cstheme="minorEastAsia"/>
                      <w:color w:val="auto"/>
                      <w:kern w:val="2"/>
                      <w:sz w:val="21"/>
                      <w:szCs w:val="21"/>
                      <w:lang w:val="en-US" w:eastAsia="zh-CN" w:bidi="ar-SA"/>
                    </w:rPr>
                    <w:t>定期调查评估集中式地下水型饮用水水源补给区等区域环境状况，严格控制地下水富集区污染物排放。组织实施地下水监测工程建设，建立较完整的地下水监测网。定期评估地下水环境安全隐患，检查重点工业企业周边地下水污染状况，并定期公布污染地下水的企业名单。</w:t>
                  </w:r>
                </w:p>
              </w:tc>
              <w:tc>
                <w:tcPr>
                  <w:tcW w:w="1743" w:type="pct"/>
                  <w:noWrap w:val="0"/>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产生的职工生活污水和医疗废水排入污水处理站进行预处理后，通过市政污水管网排入库尔勒市老城区污水处理厂进行集中处理；生活垃圾集中收集后暂存于现有生活垃圾房中，定期委托环卫部门统一处理；</w:t>
                  </w:r>
                  <w:r>
                    <w:rPr>
                      <w:rFonts w:hint="eastAsia"/>
                      <w:shd w:val="clear"/>
                      <w:lang w:val="en-US" w:eastAsia="zh-CN"/>
                    </w:rPr>
                    <w:t>各种药盒、药箱等包装材料及使用说明材料等外售至物资回收单位进行处理</w:t>
                  </w:r>
                  <w:r>
                    <w:rPr>
                      <w:rFonts w:hint="eastAsia"/>
                      <w:lang w:val="en-US" w:eastAsia="zh-CN"/>
                    </w:rPr>
                    <w:t>；医疗废物分类收集后暂存于现有医疗废物贮存库并定期委托库尔勒天达环卫有限责任公司进行处置。项目废水、固废均采取了相应的处置措施，不会对所在区域地下水造成影响，符合该管控单元污染物排放管控要求。</w:t>
                  </w:r>
                </w:p>
              </w:tc>
              <w:tc>
                <w:tcPr>
                  <w:tcW w:w="344" w:type="pct"/>
                  <w:noWrap w:val="0"/>
                  <w:vAlign w:val="center"/>
                </w:tcPr>
                <w:p>
                  <w:pPr>
                    <w:pStyle w:val="60"/>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7" w:type="pct"/>
                  <w:vMerge w:val="continue"/>
                  <w:noWrap w:val="0"/>
                  <w:vAlign w:val="center"/>
                </w:tcPr>
                <w:p>
                  <w:pPr>
                    <w:pStyle w:val="60"/>
                    <w:bidi w:val="0"/>
                    <w:jc w:val="center"/>
                    <w:rPr>
                      <w:rFonts w:hint="default"/>
                      <w:lang w:val="en-US" w:eastAsia="zh-CN"/>
                    </w:rPr>
                  </w:pPr>
                </w:p>
              </w:tc>
              <w:tc>
                <w:tcPr>
                  <w:tcW w:w="497" w:type="pct"/>
                  <w:noWrap w:val="0"/>
                  <w:vAlign w:val="center"/>
                </w:tcPr>
                <w:p>
                  <w:pPr>
                    <w:pStyle w:val="60"/>
                    <w:bidi w:val="0"/>
                    <w:jc w:val="center"/>
                    <w:rPr>
                      <w:rFonts w:hint="default"/>
                      <w:lang w:val="en-US" w:eastAsia="zh-CN"/>
                    </w:rPr>
                  </w:pPr>
                  <w:r>
                    <w:rPr>
                      <w:rFonts w:hint="default"/>
                      <w:lang w:val="en-US" w:eastAsia="zh-CN"/>
                    </w:rPr>
                    <w:t>环境风险防控</w:t>
                  </w:r>
                </w:p>
              </w:tc>
              <w:tc>
                <w:tcPr>
                  <w:tcW w:w="202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eastAsia" w:ascii="Times New Roman" w:hAnsi="Times New Roman" w:eastAsiaTheme="minorEastAsia" w:cstheme="minorEastAsia"/>
                      <w:color w:val="auto"/>
                      <w:kern w:val="2"/>
                      <w:sz w:val="21"/>
                      <w:szCs w:val="21"/>
                      <w:lang w:val="en-US" w:eastAsia="zh-CN" w:bidi="ar-SA"/>
                    </w:rPr>
                    <w:t>应当统筹规划、合理布局地下水监测站网，加强地下水监测能力建设，组织做好地下水水位、水量、水质、水温等地下水动态监测工作，及时采集、传输、处理、储存监测数据，定期向社会公布监测结果。建成常规监测、移动监测、动态预警监测三位一体的水环境质量监测网络。</w:t>
                  </w:r>
                </w:p>
              </w:tc>
              <w:tc>
                <w:tcPr>
                  <w:tcW w:w="1743" w:type="pct"/>
                  <w:noWrap w:val="0"/>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本项目不涉及地下水取水。</w:t>
                  </w:r>
                </w:p>
              </w:tc>
              <w:tc>
                <w:tcPr>
                  <w:tcW w:w="344" w:type="pct"/>
                  <w:noWrap w:val="0"/>
                  <w:vAlign w:val="center"/>
                </w:tcPr>
                <w:p>
                  <w:pPr>
                    <w:pStyle w:val="60"/>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7" w:type="pct"/>
                  <w:vMerge w:val="continue"/>
                  <w:noWrap w:val="0"/>
                  <w:vAlign w:val="center"/>
                </w:tcPr>
                <w:p>
                  <w:pPr>
                    <w:pStyle w:val="60"/>
                    <w:bidi w:val="0"/>
                    <w:jc w:val="center"/>
                    <w:rPr>
                      <w:rFonts w:hint="default"/>
                      <w:lang w:val="en-US" w:eastAsia="zh-CN"/>
                    </w:rPr>
                  </w:pPr>
                </w:p>
              </w:tc>
              <w:tc>
                <w:tcPr>
                  <w:tcW w:w="497" w:type="pct"/>
                  <w:noWrap w:val="0"/>
                  <w:vAlign w:val="center"/>
                </w:tcPr>
                <w:p>
                  <w:pPr>
                    <w:pStyle w:val="60"/>
                    <w:bidi w:val="0"/>
                    <w:jc w:val="center"/>
                    <w:rPr>
                      <w:rFonts w:hint="default"/>
                      <w:lang w:val="en-US" w:eastAsia="zh-CN"/>
                    </w:rPr>
                  </w:pPr>
                  <w:r>
                    <w:rPr>
                      <w:rFonts w:hint="default"/>
                      <w:lang w:val="en-US" w:eastAsia="zh-CN"/>
                    </w:rPr>
                    <w:t>资源利用效率</w:t>
                  </w:r>
                </w:p>
              </w:tc>
              <w:tc>
                <w:tcPr>
                  <w:tcW w:w="2028" w:type="pct"/>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1.</w:t>
                  </w:r>
                  <w:r>
                    <w:rPr>
                      <w:rFonts w:hint="eastAsia" w:ascii="Times New Roman" w:hAnsi="Times New Roman" w:eastAsiaTheme="minorEastAsia" w:cstheme="minorEastAsia"/>
                      <w:color w:val="auto"/>
                      <w:kern w:val="2"/>
                      <w:sz w:val="21"/>
                      <w:szCs w:val="21"/>
                      <w:lang w:val="en-US" w:eastAsia="zh-CN" w:bidi="ar-SA"/>
                    </w:rPr>
                    <w:t>编制重点超采区域地下水压采方案，禁止工农业生产及服务业新增取用地下水。</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Theme="minorEastAsia" w:cstheme="minorEastAsia"/>
                      <w:color w:val="auto"/>
                      <w:kern w:val="2"/>
                      <w:sz w:val="21"/>
                      <w:szCs w:val="21"/>
                      <w:lang w:val="en-US" w:eastAsia="zh-CN" w:bidi="ar-SA"/>
                    </w:rPr>
                  </w:pPr>
                  <w:r>
                    <w:rPr>
                      <w:rFonts w:hint="default" w:ascii="Times New Roman" w:hAnsi="Times New Roman" w:eastAsiaTheme="minorEastAsia" w:cstheme="minorEastAsia"/>
                      <w:color w:val="auto"/>
                      <w:kern w:val="2"/>
                      <w:sz w:val="21"/>
                      <w:szCs w:val="21"/>
                      <w:lang w:val="en-US" w:eastAsia="zh-CN" w:bidi="ar-SA"/>
                    </w:rPr>
                    <w:t>2.</w:t>
                  </w:r>
                  <w:r>
                    <w:rPr>
                      <w:rFonts w:hint="eastAsia" w:ascii="Times New Roman" w:hAnsi="Times New Roman" w:eastAsiaTheme="minorEastAsia" w:cstheme="minorEastAsia"/>
                      <w:color w:val="auto"/>
                      <w:kern w:val="2"/>
                      <w:sz w:val="21"/>
                      <w:szCs w:val="21"/>
                      <w:lang w:val="en-US" w:eastAsia="zh-CN" w:bidi="ar-SA"/>
                    </w:rPr>
                    <w:t>大力发展高效节水，加强水源置换。</w:t>
                  </w:r>
                </w:p>
              </w:tc>
              <w:tc>
                <w:tcPr>
                  <w:tcW w:w="1743" w:type="pct"/>
                  <w:noWrap w:val="0"/>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本项目不涉及地下水取水；产生的职工生活污水和医疗废水排入污水处理站进行预处理后，通过市政污水管网排入库尔勒市老城区水处理厂进行集中处理。</w:t>
                  </w:r>
                </w:p>
              </w:tc>
              <w:tc>
                <w:tcPr>
                  <w:tcW w:w="344" w:type="pct"/>
                  <w:noWrap w:val="0"/>
                  <w:vAlign w:val="center"/>
                </w:tcPr>
                <w:p>
                  <w:pPr>
                    <w:pStyle w:val="60"/>
                    <w:bidi w:val="0"/>
                    <w:jc w:val="center"/>
                    <w:rPr>
                      <w:rFonts w:hint="default"/>
                      <w:lang w:val="en-US" w:eastAsia="zh-CN"/>
                    </w:rPr>
                  </w:pPr>
                  <w:r>
                    <w:rPr>
                      <w:rFonts w:hint="eastAsia"/>
                      <w:lang w:val="en-US" w:eastAsia="zh-CN"/>
                    </w:rPr>
                    <w:t>符合</w:t>
                  </w:r>
                </w:p>
              </w:tc>
            </w:tr>
          </w:tbl>
          <w:p>
            <w:pPr>
              <w:pStyle w:val="64"/>
              <w:bidi w:val="0"/>
              <w:rPr>
                <w:rFonts w:hint="eastAsia"/>
                <w:lang w:val="en-US" w:eastAsia="zh-CN"/>
              </w:rPr>
            </w:pPr>
            <w:r>
              <w:rPr>
                <w:rFonts w:hint="eastAsia"/>
                <w:lang w:val="en-US" w:eastAsia="zh-CN"/>
              </w:rPr>
              <w:t>4《“十四五”全民医疗保障规划》（国办发〔2021〕36号）</w:t>
            </w:r>
          </w:p>
          <w:p>
            <w:pPr>
              <w:pStyle w:val="58"/>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lang w:val="en-US" w:eastAsia="zh-CN"/>
              </w:rPr>
              <w:t>本项目与《“十四五”全民医疗保障规划》（国办发〔2021〕36号）符合性分析见表1-3。</w:t>
            </w:r>
          </w:p>
          <w:p>
            <w:pPr>
              <w:pStyle w:val="56"/>
              <w:keepNext w:val="0"/>
              <w:keepLines w:val="0"/>
              <w:pageBreakBefore w:val="0"/>
              <w:widowControl w:val="0"/>
              <w:kinsoku/>
              <w:overflowPunct/>
              <w:topLinePunct w:val="0"/>
              <w:autoSpaceDE/>
              <w:autoSpaceDN/>
              <w:bidi w:val="0"/>
              <w:spacing w:line="520" w:lineRule="exact"/>
              <w:textAlignment w:val="auto"/>
              <w:rPr>
                <w:rFonts w:hint="default"/>
                <w:sz w:val="24"/>
                <w:szCs w:val="24"/>
                <w:lang w:val="en-US" w:eastAsia="zh-CN"/>
              </w:rPr>
            </w:pPr>
            <w:r>
              <w:rPr>
                <w:rFonts w:hint="eastAsia"/>
                <w:sz w:val="24"/>
                <w:szCs w:val="24"/>
                <w:lang w:val="en-US" w:eastAsia="zh-CN"/>
              </w:rPr>
              <w:t>表1-3   《“十四五”全民医疗保障规划》（国办发〔2021〕36号）符合性分析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1"/>
              <w:gridCol w:w="303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pct"/>
                  <w:vAlign w:val="center"/>
                </w:tcPr>
                <w:p>
                  <w:pPr>
                    <w:pStyle w:val="60"/>
                    <w:bidi w:val="0"/>
                    <w:jc w:val="center"/>
                    <w:rPr>
                      <w:rFonts w:hint="default"/>
                      <w:lang w:val="en-US" w:eastAsia="zh-CN"/>
                    </w:rPr>
                  </w:pPr>
                  <w:r>
                    <w:rPr>
                      <w:rFonts w:hint="default"/>
                      <w:lang w:val="en-US" w:eastAsia="zh-CN"/>
                    </w:rPr>
                    <w:t>规划要求</w:t>
                  </w:r>
                </w:p>
              </w:tc>
              <w:tc>
                <w:tcPr>
                  <w:tcW w:w="2009" w:type="pct"/>
                  <w:vAlign w:val="center"/>
                </w:tcPr>
                <w:p>
                  <w:pPr>
                    <w:pStyle w:val="60"/>
                    <w:bidi w:val="0"/>
                    <w:jc w:val="center"/>
                    <w:rPr>
                      <w:rFonts w:hint="default"/>
                      <w:lang w:val="en-US" w:eastAsia="zh-CN"/>
                    </w:rPr>
                  </w:pPr>
                  <w:r>
                    <w:rPr>
                      <w:rFonts w:hint="eastAsia"/>
                      <w:lang w:val="en-US" w:eastAsia="zh-CN"/>
                    </w:rPr>
                    <w:t>本项目情况</w:t>
                  </w:r>
                </w:p>
              </w:tc>
              <w:tc>
                <w:tcPr>
                  <w:tcW w:w="602" w:type="pct"/>
                  <w:vAlign w:val="center"/>
                </w:tcPr>
                <w:p>
                  <w:pPr>
                    <w:pStyle w:val="60"/>
                    <w:bidi w:val="0"/>
                    <w:jc w:val="center"/>
                    <w:rPr>
                      <w:rFonts w:hint="default"/>
                      <w:lang w:val="en-US" w:eastAsia="zh-CN"/>
                    </w:rPr>
                  </w:pPr>
                  <w:r>
                    <w:rPr>
                      <w:rFonts w:hint="eastAsia"/>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十四五”全民医疗保障规划发展目标为建设公平医保、建设法治医保、建设安全医保、建设智慧医保、建设协同医保，展望2035年，基本医疗保障制度更加规范统一，多层次医疗保障体系更加完善，医疗保障公共服务体系更加健全，医保、医疗、医药协同治理格局总体形成，中国特色医疗保障制度优越性充分显现，全民医疗保障向全民健康保障积极迈进。</w:t>
                  </w:r>
                </w:p>
              </w:tc>
              <w:tc>
                <w:tcPr>
                  <w:tcW w:w="2009"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建设使医疗保障公平普惠，各方责任均衡，公共服务可及，制度间、人群间、区域间差距逐步缩小。定点医药机构管理透明高效，基金监管制度体系完善，为医疗保障信息化水平的提升和全国统一医疗保障信息平台全面建成奠定了一定的基础。</w:t>
                  </w:r>
                </w:p>
              </w:tc>
              <w:tc>
                <w:tcPr>
                  <w:tcW w:w="602" w:type="pct"/>
                  <w:vAlign w:val="center"/>
                </w:tcPr>
                <w:p>
                  <w:pPr>
                    <w:pStyle w:val="60"/>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w:t>
                  </w:r>
                  <w:r>
                    <w:rPr>
                      <w:rFonts w:hint="default"/>
                      <w:lang w:val="en-US" w:eastAsia="zh-CN"/>
                    </w:rPr>
                    <w:t>十四五</w:t>
                  </w:r>
                  <w:r>
                    <w:rPr>
                      <w:rFonts w:hint="eastAsia"/>
                      <w:lang w:val="en-US" w:eastAsia="zh-CN"/>
                    </w:rPr>
                    <w:t>”</w:t>
                  </w:r>
                  <w:r>
                    <w:rPr>
                      <w:rFonts w:hint="default"/>
                      <w:lang w:val="en-US" w:eastAsia="zh-CN"/>
                    </w:rPr>
                    <w:t>全民医疗保障规划</w:t>
                  </w:r>
                  <w:r>
                    <w:rPr>
                      <w:rFonts w:hint="eastAsia"/>
                      <w:lang w:val="en-US" w:eastAsia="zh-CN"/>
                    </w:rPr>
                    <w:t>重点任务，一是健全多层次医疗保障制度体系，提升基本医疗保险参保质量，优化完善基本医保待遇保障和筹资机制，鼓励商业健康保险和医疗互助发展，稳步建立长期护理保险制度。二是优化医疗保障协同治理体系，完善医疗保障支付机制和医药价格形成机制，加快健全基金监管体制机制，协同建设高效的医药服务供给体系。三是构筑坚实的医疗保障服务支撑体系，健全医疗保障公共服务体系，强化法治支撑，推动安全发展，加快医保信息化建设，健全标准化体系。</w:t>
                  </w:r>
                </w:p>
              </w:tc>
              <w:tc>
                <w:tcPr>
                  <w:tcW w:w="2009"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加强医疗互助与职工基本医疗保险的衔接，更好发挥医疗互助低成本、低缴费、广覆盖、广受益的优势。建立科学、公正、透明的医疗服务项目准入和动态调整机制，促进医疗服务新技术有序发展。加强分级诊疗体系的建设，推进医疗卫生机构发展，促进医疗卫生服务有效利用和患者有序就医。促进定点医药机构行业行为规范、成本控制和行业自律。</w:t>
                  </w:r>
                </w:p>
              </w:tc>
              <w:tc>
                <w:tcPr>
                  <w:tcW w:w="602" w:type="pct"/>
                  <w:vAlign w:val="center"/>
                </w:tcPr>
                <w:p>
                  <w:pPr>
                    <w:pStyle w:val="60"/>
                    <w:bidi w:val="0"/>
                    <w:jc w:val="cente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eastAsia"/>
                      <w:lang w:val="en-US" w:eastAsia="zh-CN"/>
                    </w:rPr>
                  </w:pPr>
                  <w:r>
                    <w:rPr>
                      <w:rFonts w:hint="eastAsia"/>
                      <w:lang w:val="en-US" w:eastAsia="zh-CN"/>
                    </w:rPr>
                    <w:t>“</w:t>
                  </w:r>
                  <w:r>
                    <w:rPr>
                      <w:rFonts w:hint="default"/>
                      <w:lang w:val="en-US" w:eastAsia="zh-CN"/>
                    </w:rPr>
                    <w:t>十四五</w:t>
                  </w:r>
                  <w:r>
                    <w:rPr>
                      <w:rFonts w:hint="eastAsia"/>
                      <w:lang w:val="en-US" w:eastAsia="zh-CN"/>
                    </w:rPr>
                    <w:t>”</w:t>
                  </w:r>
                  <w:r>
                    <w:rPr>
                      <w:rFonts w:hint="default"/>
                      <w:lang w:val="en-US" w:eastAsia="zh-CN"/>
                    </w:rPr>
                    <w:t>全民医疗保障规划从三方面做好实施，一是健全实施机制，做好重点任务分解，提升实施效能。二是强化能力建设，加强医疗保障人才队伍建设。三是营造良好氛围，增进各方共识，为深化医疗保障制度改革创造良好舆论环境。</w:t>
                  </w:r>
                </w:p>
              </w:tc>
              <w:tc>
                <w:tcPr>
                  <w:tcW w:w="2009" w:type="pct"/>
                  <w:vAlign w:val="center"/>
                </w:tcPr>
                <w:p>
                  <w:pPr>
                    <w:pStyle w:val="60"/>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lang w:val="en-US" w:eastAsia="zh-CN"/>
                    </w:rPr>
                  </w:pPr>
                  <w:r>
                    <w:rPr>
                      <w:rFonts w:hint="eastAsia"/>
                      <w:lang w:val="en-US" w:eastAsia="zh-CN"/>
                    </w:rPr>
                    <w:t>本项目建设加强了医疗保障人才队伍的建设，培养了高素质专业化人才，实施了医疗保障干部全员培训，开展多种形式挂职交流，加大对先进单位和个人的表彰力度。开展了多种形式的医保普法宣传活动，增强全社会医保法治意识，提高政策知晓度，营造医保、医疗、医药协同改革的良好氛围，为深化医疗保障制度改革创造良好舆论环境。</w:t>
                  </w:r>
                </w:p>
              </w:tc>
              <w:tc>
                <w:tcPr>
                  <w:tcW w:w="602" w:type="pct"/>
                  <w:vAlign w:val="center"/>
                </w:tcPr>
                <w:p>
                  <w:pPr>
                    <w:pStyle w:val="60"/>
                    <w:bidi w:val="0"/>
                    <w:jc w:val="center"/>
                    <w:rPr>
                      <w:rFonts w:hint="default"/>
                      <w:lang w:val="en-US" w:eastAsia="zh-CN"/>
                    </w:rPr>
                  </w:pPr>
                  <w:r>
                    <w:rPr>
                      <w:rFonts w:hint="eastAsia"/>
                      <w:lang w:val="en-US" w:eastAsia="zh-CN"/>
                    </w:rPr>
                    <w:t>符合</w:t>
                  </w:r>
                </w:p>
              </w:tc>
            </w:tr>
          </w:tbl>
          <w:p>
            <w:pPr>
              <w:pStyle w:val="64"/>
              <w:bidi w:val="0"/>
              <w:rPr>
                <w:rFonts w:hint="eastAsia"/>
                <w:lang w:val="en-US" w:eastAsia="zh-CN"/>
              </w:rPr>
            </w:pPr>
            <w:r>
              <w:rPr>
                <w:rFonts w:hint="eastAsia"/>
                <w:lang w:val="en-US" w:eastAsia="zh-CN"/>
              </w:rPr>
              <w:t>5《巴音郭楞蒙古自治州生态环境“十四五”规划》符合性分析</w:t>
            </w:r>
          </w:p>
          <w:p>
            <w:pPr>
              <w:pStyle w:val="58"/>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lang w:val="en-US" w:eastAsia="zh-CN"/>
              </w:rPr>
              <w:t>本项目与《巴音郭楞蒙古自治州生态环境“十四五”规划》符合性分析</w:t>
            </w:r>
            <w:r>
              <w:rPr>
                <w:rFonts w:hint="eastAsia"/>
                <w:sz w:val="24"/>
                <w:szCs w:val="24"/>
                <w:lang w:val="en-US" w:eastAsia="zh-CN"/>
              </w:rPr>
              <w:t>见表1-4。</w:t>
            </w:r>
          </w:p>
          <w:p>
            <w:pPr>
              <w:pStyle w:val="56"/>
              <w:keepNext w:val="0"/>
              <w:keepLines w:val="0"/>
              <w:pageBreakBefore w:val="0"/>
              <w:widowControl w:val="0"/>
              <w:kinsoku/>
              <w:overflowPunct/>
              <w:topLinePunct w:val="0"/>
              <w:autoSpaceDE/>
              <w:autoSpaceDN/>
              <w:bidi w:val="0"/>
              <w:spacing w:line="520" w:lineRule="exact"/>
              <w:textAlignment w:val="auto"/>
              <w:rPr>
                <w:rFonts w:hint="default"/>
                <w:lang w:val="en-US" w:eastAsia="zh-CN"/>
              </w:rPr>
            </w:pPr>
            <w:r>
              <w:rPr>
                <w:rFonts w:hint="eastAsia"/>
                <w:sz w:val="24"/>
                <w:szCs w:val="24"/>
                <w:lang w:val="en-US" w:eastAsia="zh-CN"/>
              </w:rPr>
              <w:t>表1-4    《巴音郭楞蒙古自治州生态环境“十四五”规划》符合性分析</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2"/>
              <w:gridCol w:w="282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pct"/>
                  <w:noWrap w:val="0"/>
                  <w:vAlign w:val="center"/>
                </w:tcPr>
                <w:p>
                  <w:pPr>
                    <w:pStyle w:val="65"/>
                    <w:bidi w:val="0"/>
                    <w:rPr>
                      <w:rFonts w:hint="default"/>
                      <w:highlight w:val="none"/>
                      <w:lang w:val="en-US" w:eastAsia="zh-CN"/>
                    </w:rPr>
                  </w:pPr>
                  <w:r>
                    <w:rPr>
                      <w:rFonts w:hint="default"/>
                      <w:highlight w:val="none"/>
                      <w:lang w:val="en-US" w:eastAsia="zh-CN"/>
                    </w:rPr>
                    <w:t>规划</w:t>
                  </w:r>
                  <w:r>
                    <w:rPr>
                      <w:rFonts w:hint="eastAsia"/>
                      <w:highlight w:val="none"/>
                      <w:lang w:val="en-US" w:eastAsia="zh-CN"/>
                    </w:rPr>
                    <w:t>要求</w:t>
                  </w:r>
                </w:p>
              </w:tc>
              <w:tc>
                <w:tcPr>
                  <w:tcW w:w="1866" w:type="pct"/>
                  <w:noWrap w:val="0"/>
                  <w:vAlign w:val="center"/>
                </w:tcPr>
                <w:p>
                  <w:pPr>
                    <w:pStyle w:val="65"/>
                    <w:bidi w:val="0"/>
                    <w:rPr>
                      <w:rFonts w:hint="default"/>
                      <w:highlight w:val="none"/>
                      <w:lang w:val="en-US" w:eastAsia="zh-CN"/>
                    </w:rPr>
                  </w:pPr>
                  <w:r>
                    <w:rPr>
                      <w:rFonts w:hint="eastAsia"/>
                      <w:highlight w:val="none"/>
                      <w:lang w:val="en-US" w:eastAsia="zh-CN"/>
                    </w:rPr>
                    <w:t>本项目情况</w:t>
                  </w:r>
                </w:p>
              </w:tc>
              <w:tc>
                <w:tcPr>
                  <w:tcW w:w="507" w:type="pct"/>
                  <w:noWrap w:val="0"/>
                  <w:vAlign w:val="center"/>
                </w:tcPr>
                <w:p>
                  <w:pPr>
                    <w:pStyle w:val="65"/>
                    <w:bidi w:val="0"/>
                    <w:rPr>
                      <w:rFonts w:hint="default"/>
                      <w:highlight w:val="none"/>
                      <w:lang w:val="en-US" w:eastAsia="zh-CN"/>
                    </w:rPr>
                  </w:pPr>
                  <w:r>
                    <w:rPr>
                      <w:rFonts w:hint="eastAsia"/>
                      <w:highlight w:val="no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default"/>
                      <w:highlight w:val="none"/>
                      <w:lang w:val="en-US" w:eastAsia="zh-CN"/>
                    </w:rPr>
                    <w:t>强化大气污染分区控制和分类管理，加强污染源解析，实行差异化控制要求，制定有针对性的污染防治措施。库尔勒等大气复合型污染区域，重点针对不同时段PM</w:t>
                  </w:r>
                  <w:r>
                    <w:rPr>
                      <w:rFonts w:hint="default"/>
                      <w:highlight w:val="none"/>
                      <w:vertAlign w:val="subscript"/>
                      <w:lang w:val="en-US" w:eastAsia="zh-CN"/>
                    </w:rPr>
                    <w:t>10</w:t>
                  </w:r>
                  <w:r>
                    <w:rPr>
                      <w:rFonts w:hint="default"/>
                      <w:highlight w:val="none"/>
                      <w:lang w:val="en-US" w:eastAsia="zh-CN"/>
                    </w:rPr>
                    <w:t>、PM</w:t>
                  </w:r>
                  <w:r>
                    <w:rPr>
                      <w:rFonts w:hint="default"/>
                      <w:highlight w:val="none"/>
                      <w:vertAlign w:val="subscript"/>
                      <w:lang w:val="en-US" w:eastAsia="zh-CN"/>
                    </w:rPr>
                    <w:t>2.5</w:t>
                  </w:r>
                  <w:r>
                    <w:rPr>
                      <w:rFonts w:hint="default"/>
                      <w:highlight w:val="none"/>
                      <w:lang w:val="en-US" w:eastAsia="zh-CN"/>
                    </w:rPr>
                    <w:t>、O</w:t>
                  </w:r>
                  <w:r>
                    <w:rPr>
                      <w:rFonts w:hint="default"/>
                      <w:highlight w:val="none"/>
                      <w:vertAlign w:val="subscript"/>
                      <w:lang w:val="en-US" w:eastAsia="zh-CN"/>
                    </w:rPr>
                    <w:t>3</w:t>
                  </w:r>
                  <w:r>
                    <w:rPr>
                      <w:rFonts w:hint="default"/>
                      <w:highlight w:val="none"/>
                      <w:lang w:val="en-US" w:eastAsia="zh-CN"/>
                    </w:rPr>
                    <w:t>等突出问题，加强采暖季燃煤污染控制，以及机动车、VOCs（挥发性有机物）污染防治；库尉轮地区及且若区域沙尘污染严重区，重点做好防风固沙、生态环境保护修复等工作，同时持续加强传统煤烟型、扬尘污染的控制，实现空气质量持续改善</w:t>
                  </w:r>
                  <w:r>
                    <w:rPr>
                      <w:rFonts w:hint="eastAsia"/>
                      <w:highlight w:val="none"/>
                      <w:lang w:val="en-US" w:eastAsia="zh-CN"/>
                    </w:rPr>
                    <w:t>。</w:t>
                  </w:r>
                </w:p>
              </w:tc>
              <w:tc>
                <w:tcPr>
                  <w:tcW w:w="1866" w:type="pct"/>
                  <w:noWrap w:val="0"/>
                  <w:vAlign w:val="center"/>
                </w:tcPr>
                <w:p>
                  <w:pPr>
                    <w:pStyle w:val="65"/>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eastAsia"/>
                      <w:highlight w:val="none"/>
                      <w:lang w:val="en-US" w:eastAsia="zh-CN"/>
                    </w:rPr>
                    <w:t>本项目属于Q8411综合医院，是国家鼓励发展项目，本项目污染物均可达标排放对环境空气质量影响较小，不会降低区域环境空气质量。</w:t>
                  </w:r>
                </w:p>
              </w:tc>
              <w:tc>
                <w:tcPr>
                  <w:tcW w:w="507" w:type="pct"/>
                  <w:noWrap w:val="0"/>
                  <w:vAlign w:val="center"/>
                </w:tcPr>
                <w:p>
                  <w:pPr>
                    <w:pStyle w:val="65"/>
                    <w:bidi w:val="0"/>
                    <w:rPr>
                      <w:rFonts w:hint="default"/>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default"/>
                      <w:highlight w:val="none"/>
                      <w:lang w:val="en-US" w:eastAsia="zh-CN"/>
                    </w:rPr>
                    <w:t>加强环境噪声污染防控。加强噪声污染源监管，继续强化和深入推进交通运输、建筑施工、社会生活、工业企业、机场周边噪声污染防治，推进工业企业噪声纳入排污许可管理。优化重点</w:t>
                  </w:r>
                  <w:r>
                    <w:rPr>
                      <w:rFonts w:hint="eastAsia"/>
                      <w:highlight w:val="none"/>
                      <w:lang w:val="en-US" w:eastAsia="zh-CN"/>
                    </w:rPr>
                    <w:t>区域</w:t>
                  </w:r>
                  <w:r>
                    <w:rPr>
                      <w:rFonts w:hint="default"/>
                      <w:highlight w:val="none"/>
                      <w:lang w:val="en-US" w:eastAsia="zh-CN"/>
                    </w:rPr>
                    <w:t>声环境质量监测点位，加强城市环境、道路交通、功能区噪声例行监测与评价，推动库尔勒市功能区声环境质量自动监测，强化声环境功能区管理，适时调整完善声环境功能区</w:t>
                  </w:r>
                  <w:r>
                    <w:rPr>
                      <w:rFonts w:hint="eastAsia"/>
                      <w:highlight w:val="none"/>
                      <w:lang w:val="en-US" w:eastAsia="zh-CN"/>
                    </w:rPr>
                    <w:t>。</w:t>
                  </w:r>
                </w:p>
              </w:tc>
              <w:tc>
                <w:tcPr>
                  <w:tcW w:w="1866"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eastAsia"/>
                      <w:highlight w:val="none"/>
                      <w:lang w:val="en-US" w:eastAsia="zh-CN"/>
                    </w:rPr>
                    <w:t>本项目噪声主要来源于空调主机、人员活动、风机等。采用低噪声设备、合理布置设备位置，基础减震等措施，噪声可以达标排放；项目建设完成后，建设单位将按照排污许可管理办法，在排污行为发生之前，完成排污许可</w:t>
                  </w:r>
                  <w:r>
                    <w:rPr>
                      <w:rFonts w:hint="eastAsia"/>
                      <w:lang w:val="en-US" w:eastAsia="zh-CN"/>
                    </w:rPr>
                    <w:t>变更</w:t>
                  </w:r>
                  <w:r>
                    <w:rPr>
                      <w:rFonts w:hint="eastAsia"/>
                      <w:highlight w:val="none"/>
                      <w:lang w:val="en-US" w:eastAsia="zh-CN"/>
                    </w:rPr>
                    <w:t>。</w:t>
                  </w:r>
                </w:p>
              </w:tc>
              <w:tc>
                <w:tcPr>
                  <w:tcW w:w="507" w:type="pct"/>
                  <w:noWrap w:val="0"/>
                  <w:vAlign w:val="center"/>
                </w:tcPr>
                <w:p>
                  <w:pPr>
                    <w:pStyle w:val="65"/>
                    <w:bidi w:val="0"/>
                    <w:rPr>
                      <w:rFonts w:hint="default"/>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default"/>
                      <w:highlight w:val="none"/>
                      <w:lang w:val="en-US" w:eastAsia="zh-CN"/>
                    </w:rPr>
                    <w:t>加强固体废物处置。加强固体废物源头减量和资源化利用，最大限度减少填埋量。持续开展固体废物非法转移和倾倒排查整治，推动开展塑料行业专项清理，持续推进废塑料加工利用行业整治，加强废塑料回收、利用、处置等环节的环境监管，降低污染风险。加强工业固体废物堆存场所环境整治。持续推进工业固体废物综合利用和环境整治，不断提高大宗工业固体废物资源化利用水平</w:t>
                  </w:r>
                  <w:r>
                    <w:rPr>
                      <w:rFonts w:hint="eastAsia"/>
                      <w:highlight w:val="none"/>
                      <w:lang w:val="en-US" w:eastAsia="zh-CN"/>
                    </w:rPr>
                    <w:t>。</w:t>
                  </w:r>
                </w:p>
              </w:tc>
              <w:tc>
                <w:tcPr>
                  <w:tcW w:w="1866"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eastAsia" w:cs="Times New Roman"/>
                      <w:highlight w:val="none"/>
                      <w:lang w:val="en-US" w:eastAsia="zh-CN"/>
                    </w:rPr>
                    <w:t>生活垃圾分类收集至垃圾箱内，定期交由环卫部门处理；</w:t>
                  </w:r>
                  <w:r>
                    <w:rPr>
                      <w:rFonts w:hint="eastAsia" w:cs="Times New Roman"/>
                      <w:highlight w:val="none"/>
                      <w:shd w:val="clear"/>
                      <w:lang w:val="en-US" w:eastAsia="zh-CN"/>
                    </w:rPr>
                    <w:t>各种药盒、药箱等包装材料及使用说明材料等外售至物资回收单位进行处理</w:t>
                  </w:r>
                  <w:r>
                    <w:rPr>
                      <w:rFonts w:hint="eastAsia" w:cs="Times New Roman"/>
                      <w:highlight w:val="none"/>
                      <w:lang w:val="en-US" w:eastAsia="zh-CN"/>
                    </w:rPr>
                    <w:t>；医疗废物暂存于2#医疗废物贮存间内，定期交由库尔勒天达环卫有限公司进行处理；</w:t>
                  </w:r>
                  <w:r>
                    <w:rPr>
                      <w:rFonts w:hint="eastAsia"/>
                      <w:sz w:val="21"/>
                      <w:szCs w:val="21"/>
                      <w:highlight w:val="none"/>
                      <w:lang w:val="en-US" w:eastAsia="zh-CN"/>
                    </w:rPr>
                    <w:t>污水处理设施产生的</w:t>
                  </w:r>
                  <w:r>
                    <w:rPr>
                      <w:rFonts w:hint="eastAsia"/>
                      <w:sz w:val="21"/>
                      <w:szCs w:val="21"/>
                      <w:lang w:val="en-US" w:eastAsia="zh-CN"/>
                    </w:rPr>
                    <w:t>栅渣和污泥清委托新疆狮岭能源环保集团有限公司（原名为新疆贝肯能源环保有限公司）清运处置。</w:t>
                  </w:r>
                </w:p>
              </w:tc>
              <w:tc>
                <w:tcPr>
                  <w:tcW w:w="507" w:type="pct"/>
                  <w:noWrap w:val="0"/>
                  <w:vAlign w:val="center"/>
                </w:tcPr>
                <w:p>
                  <w:pPr>
                    <w:pStyle w:val="65"/>
                    <w:bidi w:val="0"/>
                    <w:rPr>
                      <w:rFonts w:hint="default"/>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25"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default"/>
                      <w:highlight w:val="none"/>
                      <w:lang w:val="en-US" w:eastAsia="zh-CN"/>
                    </w:rPr>
                    <w:t>严格落实突发环境事件应急预案制度，提升涉危险废物突发环境事件应急处置水平</w:t>
                  </w:r>
                  <w:r>
                    <w:rPr>
                      <w:rFonts w:hint="eastAsia"/>
                      <w:highlight w:val="none"/>
                      <w:lang w:val="en-US" w:eastAsia="zh-CN"/>
                    </w:rPr>
                    <w:t>。</w:t>
                  </w:r>
                </w:p>
              </w:tc>
              <w:tc>
                <w:tcPr>
                  <w:tcW w:w="1866" w:type="pct"/>
                  <w:noWrap w:val="0"/>
                  <w:vAlign w:val="center"/>
                </w:tcPr>
                <w:p>
                  <w:pPr>
                    <w:pStyle w:val="65"/>
                    <w:keepNext w:val="0"/>
                    <w:keepLines w:val="0"/>
                    <w:pageBreakBefore w:val="0"/>
                    <w:widowControl w:val="0"/>
                    <w:kinsoku/>
                    <w:overflowPunct/>
                    <w:topLinePunct w:val="0"/>
                    <w:autoSpaceDE/>
                    <w:autoSpaceDN/>
                    <w:bidi w:val="0"/>
                    <w:adjustRightInd/>
                    <w:snapToGrid/>
                    <w:ind w:firstLine="420" w:firstLineChars="200"/>
                    <w:jc w:val="both"/>
                    <w:textAlignment w:val="auto"/>
                    <w:rPr>
                      <w:rFonts w:hint="default"/>
                      <w:highlight w:val="none"/>
                      <w:lang w:val="en-US" w:eastAsia="zh-CN"/>
                    </w:rPr>
                  </w:pPr>
                  <w:r>
                    <w:rPr>
                      <w:rFonts w:hint="default"/>
                      <w:highlight w:val="none"/>
                      <w:lang w:val="en-US" w:eastAsia="zh-CN"/>
                    </w:rPr>
                    <w:t>本</w:t>
                  </w:r>
                  <w:r>
                    <w:rPr>
                      <w:rFonts w:hint="eastAsia"/>
                      <w:highlight w:val="none"/>
                      <w:lang w:val="en-US" w:eastAsia="zh-CN"/>
                    </w:rPr>
                    <w:t>环评</w:t>
                  </w:r>
                  <w:r>
                    <w:rPr>
                      <w:rFonts w:hint="default"/>
                      <w:highlight w:val="none"/>
                      <w:lang w:val="en-US" w:eastAsia="zh-CN"/>
                    </w:rPr>
                    <w:t>要求建设单位编制突发环境事件应急预案，并上报生态环境</w:t>
                  </w:r>
                  <w:r>
                    <w:rPr>
                      <w:rFonts w:hint="eastAsia"/>
                      <w:highlight w:val="none"/>
                      <w:lang w:val="en-US" w:eastAsia="zh-CN"/>
                    </w:rPr>
                    <w:t>主管部门进行</w:t>
                  </w:r>
                  <w:r>
                    <w:rPr>
                      <w:rFonts w:hint="default"/>
                      <w:highlight w:val="none"/>
                      <w:lang w:val="en-US" w:eastAsia="zh-CN"/>
                    </w:rPr>
                    <w:t>备案，同时配备必要的应急措施和物资，并定期组织应急演练</w:t>
                  </w:r>
                  <w:r>
                    <w:rPr>
                      <w:rFonts w:hint="eastAsia"/>
                      <w:highlight w:val="none"/>
                      <w:lang w:val="en-US" w:eastAsia="zh-CN"/>
                    </w:rPr>
                    <w:t>。</w:t>
                  </w:r>
                </w:p>
              </w:tc>
              <w:tc>
                <w:tcPr>
                  <w:tcW w:w="507" w:type="pct"/>
                  <w:noWrap w:val="0"/>
                  <w:vAlign w:val="center"/>
                </w:tcPr>
                <w:p>
                  <w:pPr>
                    <w:pStyle w:val="65"/>
                    <w:bidi w:val="0"/>
                    <w:rPr>
                      <w:rFonts w:hint="default"/>
                      <w:highlight w:val="none"/>
                      <w:lang w:val="en-US" w:eastAsia="zh-CN"/>
                    </w:rPr>
                  </w:pPr>
                  <w:r>
                    <w:rPr>
                      <w:rFonts w:hint="eastAsia"/>
                      <w:highlight w:val="none"/>
                      <w:lang w:val="en-US" w:eastAsia="zh-CN"/>
                    </w:rPr>
                    <w:t>符合</w:t>
                  </w:r>
                </w:p>
              </w:tc>
            </w:tr>
          </w:tbl>
          <w:p>
            <w:pPr>
              <w:pStyle w:val="58"/>
              <w:bidi w:val="0"/>
              <w:ind w:left="0" w:leftChars="0" w:firstLine="0" w:firstLineChars="0"/>
              <w:rPr>
                <w:rFonts w:hint="eastAsia"/>
                <w:b/>
                <w:bCs w:val="0"/>
                <w:highlight w:val="none"/>
                <w:lang w:val="en-US" w:eastAsia="zh-CN"/>
              </w:rPr>
            </w:pPr>
            <w:r>
              <w:rPr>
                <w:rFonts w:hint="eastAsia"/>
                <w:b/>
                <w:bCs w:val="0"/>
                <w:highlight w:val="none"/>
                <w:lang w:val="en-US" w:eastAsia="zh-CN"/>
              </w:rPr>
              <w:t>6《医疗废物管理条例》符合性分析</w:t>
            </w:r>
          </w:p>
          <w:p>
            <w:pPr>
              <w:pStyle w:val="58"/>
              <w:bidi w:val="0"/>
              <w:ind w:left="0" w:leftChars="0" w:firstLine="0" w:firstLineChars="0"/>
              <w:jc w:val="center"/>
              <w:rPr>
                <w:rFonts w:hint="default"/>
                <w:b/>
                <w:bCs w:val="0"/>
                <w:highlight w:val="none"/>
                <w:lang w:val="en-US" w:eastAsia="zh-CN"/>
              </w:rPr>
            </w:pPr>
            <w:r>
              <w:rPr>
                <w:rFonts w:hint="eastAsia"/>
                <w:b/>
                <w:bCs w:val="0"/>
                <w:highlight w:val="none"/>
                <w:lang w:val="en-US" w:eastAsia="zh-CN"/>
              </w:rPr>
              <w:t>表1-5   《医疗废物管理条例》符合性分析</w:t>
            </w:r>
          </w:p>
          <w:tbl>
            <w:tblPr>
              <w:tblStyle w:val="26"/>
              <w:tblW w:w="7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313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管理要求</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本项目情况</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医疗卫生机构应当及时收集本单位产生的医疗废物，并按照类别分置于防渗漏、防锐器穿透的专用包装物或者密闭的容器内。</w:t>
                  </w:r>
                </w:p>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医疗废物专用包装物、容器，应当有明显的警示标识和警示说明。</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本项目定期收集单位内部产生的医疗废物，使用贴有警示标志和警示说明的袋盖容器盛装后暂存在医疗废物贮存库内的医疗废物暂存区。</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医疗卫生机构应当建立医疗废物的暂时贮存设施、设备，不得露天存放医疗废物；医疗废物暂时贮存的时间不得超过2天。</w:t>
                  </w:r>
                </w:p>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医疗废物的暂时贮存设施、设备，应当远离医疗区、食品加工区和人员活动区以及生活垃圾存放场所，并设置明显的警示标识和防渗漏、防鼠、防蚊蝇、防蟑螂、防盗以及预防儿童接触等安全措施。</w:t>
                  </w:r>
                </w:p>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医疗废物的暂时贮存设施、设备应当定期消毒和清洁。</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本项目建成后委托有资质的处置单位定期上门清运医疗废物，周期为1~2d；医院现有2#医疗废物暂存设施位于院内南侧，远离院内食堂、生活垃圾房，已按照相关环保要求进行防渗处理、设置警示标识，并上锁，由专人进行管理，定期消毒、清洁。</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医疗卫生机构应当使用防渗漏、防遗撒的专用运送工具，按照本单位确定的内部医疗废物运送时间、路线，将医疗废物收集、运送至暂时贮存地点。</w:t>
                  </w:r>
                </w:p>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运送工具使用后应当在医疗卫生机构内指定的地点及时消毒和清洁。</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项目建成后，应制定内部医疗废物管理办法，定期、定点对医疗废物进行收集，并单独设置了医疗废物内部运输路线，避开人员密集的区域进行运输，运输工具使用后应在指定的地点及时消毒和清洁。</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医疗卫生机构应当根据就近集中处置的原则，及时将医疗废物交由医疗废物集中处置单位处置。</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项目建成后，委托离项目区最近的库尔勒天达环卫有限公司对医疗废物进行处置。</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7"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医疗卫生机构产生的污水、传染病病人或者疑似传染病病人的排泄物，应当按照国家规定严格消毒；达到国家规定的排放标准后，方可排入污水处理系统。</w:t>
                  </w:r>
                </w:p>
              </w:tc>
              <w:tc>
                <w:tcPr>
                  <w:tcW w:w="3135"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jc w:val="left"/>
                    <w:textAlignment w:val="auto"/>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本项目不设传染科，不接收传染病人，无传染废水产生；废水经现有污水处理站预处理后，满足《医疗机构水污染物排放标准》（GB18466-2005）表2预处理标准限值后排放至市政管网。</w:t>
                  </w:r>
                </w:p>
              </w:tc>
              <w:tc>
                <w:tcPr>
                  <w:tcW w:w="834" w:type="dxa"/>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符合</w:t>
                  </w:r>
                </w:p>
              </w:tc>
            </w:tr>
          </w:tbl>
          <w:p>
            <w:pPr>
              <w:pStyle w:val="58"/>
              <w:bidi w:val="0"/>
              <w:rPr>
                <w:rFonts w:hint="default"/>
                <w:lang w:val="en-US" w:eastAsia="zh-CN"/>
              </w:rPr>
            </w:pPr>
          </w:p>
          <w:p>
            <w:pPr>
              <w:pStyle w:val="58"/>
              <w:bidi w:val="0"/>
              <w:ind w:left="0" w:leftChars="0" w:firstLine="0" w:firstLineChars="0"/>
              <w:rPr>
                <w:rFonts w:hint="default"/>
                <w:lang w:val="en-US" w:eastAsia="zh-C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1"/>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83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79" w:type="dxa"/>
            <w:noWrap w:val="0"/>
            <w:vAlign w:val="center"/>
          </w:tcPr>
          <w:p>
            <w:pPr>
              <w:pStyle w:val="21"/>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381" w:type="dxa"/>
            <w:noWrap w:val="0"/>
            <w:vAlign w:val="top"/>
          </w:tcPr>
          <w:p>
            <w:pPr>
              <w:pStyle w:val="47"/>
              <w:bidi w:val="0"/>
              <w:rPr>
                <w:rFonts w:hint="default"/>
                <w:lang w:val="en-US" w:eastAsia="zh-CN"/>
              </w:rPr>
            </w:pPr>
            <w:r>
              <w:rPr>
                <w:rFonts w:hint="eastAsia"/>
                <w:lang w:val="en-US" w:eastAsia="zh-CN"/>
              </w:rPr>
              <w:t>1项目由来</w:t>
            </w:r>
          </w:p>
          <w:p>
            <w:pPr>
              <w:pStyle w:val="48"/>
              <w:bidi w:val="0"/>
              <w:rPr>
                <w:rFonts w:hint="eastAsia" w:eastAsia="宋体" w:cs="宋体"/>
                <w:lang w:val="en-US" w:eastAsia="zh-CN"/>
              </w:rPr>
            </w:pPr>
            <w:r>
              <w:rPr>
                <w:rFonts w:hint="eastAsia" w:eastAsia="宋体" w:cs="宋体"/>
                <w:lang w:val="en-US" w:eastAsia="zh-CN"/>
              </w:rPr>
              <w:t>库尔勒市第一人民医院始建于1954年，前身为库尔勒县人民医院，历经69年发展，从仅有20张床位的简易卫生院，逐步成长为集医疗、教学、科研、预防、保健、康复于一体的国家二级甲等综合医院。目前，医院编制床位700张，实际开放床位1000张，长期处于超负荷运转状态，患者平均住院等待时间长达5天；现有医技科室与重症医学科空间狭小、设备陈旧，难以满足日益增长的诊疗需求，部分高端检查设备短缺导致患者转诊率居高不下。</w:t>
            </w:r>
          </w:p>
          <w:p>
            <w:pPr>
              <w:pStyle w:val="48"/>
              <w:bidi w:val="0"/>
              <w:rPr>
                <w:rFonts w:hint="eastAsia" w:eastAsia="宋体" w:cs="宋体"/>
                <w:lang w:val="en-US" w:eastAsia="zh-CN"/>
              </w:rPr>
            </w:pPr>
            <w:r>
              <w:rPr>
                <w:rFonts w:hint="eastAsia" w:eastAsia="宋体" w:cs="宋体"/>
                <w:lang w:val="en-US" w:eastAsia="zh-CN"/>
              </w:rPr>
              <w:t>为满足区域人口增长、疾病谱变化、群众对高端医疗服务的需求等，库尔勒市第一人民医院计划投资12500万元，在院内</w:t>
            </w:r>
            <w:r>
              <w:rPr>
                <w:rFonts w:hint="eastAsia" w:cs="宋体"/>
                <w:lang w:val="en-US" w:eastAsia="zh-CN"/>
              </w:rPr>
              <w:t>建设</w:t>
            </w:r>
            <w:r>
              <w:rPr>
                <w:rFonts w:hint="eastAsia" w:eastAsia="宋体" w:cs="宋体"/>
                <w:lang w:val="en-US" w:eastAsia="zh-CN"/>
              </w:rPr>
              <w:t>库尔勒市第一人民医院医技及重症医学楼项目，通过新建</w:t>
            </w:r>
            <w:r>
              <w:rPr>
                <w:rFonts w:hint="default" w:eastAsia="宋体" w:cs="宋体"/>
                <w:lang w:val="en-US" w:eastAsia="zh-CN"/>
              </w:rPr>
              <w:t>8240</w:t>
            </w:r>
            <w:r>
              <w:rPr>
                <w:rFonts w:hint="eastAsia" w:eastAsia="宋体" w:cs="宋体"/>
                <w:lang w:val="en-US" w:eastAsia="zh-CN"/>
              </w:rPr>
              <w:t>平方米医技和重症医学楼及</w:t>
            </w:r>
            <w:r>
              <w:rPr>
                <w:rFonts w:hint="default" w:eastAsia="宋体" w:cs="宋体"/>
                <w:lang w:val="en-US" w:eastAsia="zh-CN"/>
              </w:rPr>
              <w:t>98</w:t>
            </w:r>
            <w:r>
              <w:rPr>
                <w:rFonts w:hint="eastAsia" w:eastAsia="宋体" w:cs="宋体"/>
                <w:lang w:val="en-US" w:eastAsia="zh-CN"/>
              </w:rPr>
              <w:t>平方米连廊，购置核磁共振、高端心脏超声诊断仪等</w:t>
            </w:r>
            <w:r>
              <w:rPr>
                <w:rFonts w:hint="default" w:eastAsia="宋体" w:cs="宋体"/>
                <w:lang w:val="en-US" w:eastAsia="zh-CN"/>
              </w:rPr>
              <w:t>91</w:t>
            </w:r>
            <w:r>
              <w:rPr>
                <w:rFonts w:hint="eastAsia" w:eastAsia="宋体" w:cs="宋体"/>
                <w:lang w:val="en-US" w:eastAsia="zh-CN"/>
              </w:rPr>
              <w:t>台先进医疗设备，改善医院硬件设施条件，提升重症医学、先进医技诊断等领域服务能力。</w:t>
            </w:r>
          </w:p>
          <w:p>
            <w:pPr>
              <w:pStyle w:val="48"/>
              <w:bidi w:val="0"/>
              <w:rPr>
                <w:rFonts w:hint="eastAsia"/>
                <w:lang w:val="en-US" w:eastAsia="zh-CN"/>
              </w:rPr>
            </w:pPr>
            <w:r>
              <w:rPr>
                <w:rFonts w:hint="eastAsia"/>
                <w:lang w:val="en-US" w:eastAsia="zh-CN"/>
              </w:rPr>
              <w:t>本项目</w:t>
            </w:r>
            <w:r>
              <w:rPr>
                <w:rFonts w:hint="eastAsia"/>
                <w:vertAlign w:val="baseline"/>
                <w:lang w:val="en-US" w:eastAsia="zh-CN"/>
              </w:rPr>
              <w:t>新增床位64张，</w:t>
            </w:r>
            <w:r>
              <w:rPr>
                <w:rFonts w:hint="default"/>
                <w:lang w:val="en-US" w:eastAsia="zh-CN"/>
              </w:rPr>
              <w:t>根据《中华人民共和国环境保护法</w:t>
            </w:r>
            <w:r>
              <w:rPr>
                <w:rFonts w:hint="eastAsia"/>
                <w:lang w:val="en-US" w:eastAsia="zh-CN"/>
              </w:rPr>
              <w:t>》《</w:t>
            </w:r>
            <w:r>
              <w:rPr>
                <w:rFonts w:hint="default"/>
                <w:lang w:val="en-US" w:eastAsia="zh-CN"/>
              </w:rPr>
              <w:t>中华人民共和国环境影响评价法</w:t>
            </w:r>
            <w:r>
              <w:rPr>
                <w:rFonts w:hint="eastAsia"/>
                <w:lang w:val="en-US" w:eastAsia="zh-CN"/>
              </w:rPr>
              <w:t>》《</w:t>
            </w:r>
            <w:r>
              <w:rPr>
                <w:rFonts w:hint="default"/>
                <w:lang w:val="en-US" w:eastAsia="zh-CN"/>
              </w:rPr>
              <w:t>建设项目环境保护管理条例</w:t>
            </w:r>
            <w:r>
              <w:rPr>
                <w:rFonts w:hint="eastAsia"/>
                <w:lang w:val="en-US" w:eastAsia="zh-CN"/>
              </w:rPr>
              <w:t>》《建设项目环境影响评价分类管理名录》（</w:t>
            </w:r>
            <w:r>
              <w:rPr>
                <w:rFonts w:hint="default"/>
                <w:lang w:val="en-US" w:eastAsia="zh-CN"/>
              </w:rPr>
              <w:t>2021</w:t>
            </w:r>
            <w:r>
              <w:rPr>
                <w:rFonts w:hint="eastAsia"/>
                <w:lang w:val="en-US" w:eastAsia="zh-CN"/>
              </w:rPr>
              <w:t>年版）</w:t>
            </w:r>
            <w:r>
              <w:rPr>
                <w:rFonts w:hint="default"/>
                <w:lang w:val="en-US" w:eastAsia="zh-CN"/>
              </w:rPr>
              <w:t>等有关</w:t>
            </w:r>
            <w:r>
              <w:rPr>
                <w:rFonts w:hint="eastAsia"/>
                <w:lang w:val="en-US" w:eastAsia="zh-CN"/>
              </w:rPr>
              <w:t>法律法规</w:t>
            </w:r>
            <w:r>
              <w:rPr>
                <w:rFonts w:hint="default"/>
                <w:lang w:val="en-US" w:eastAsia="zh-CN"/>
              </w:rPr>
              <w:t>规定，</w:t>
            </w:r>
            <w:r>
              <w:rPr>
                <w:rFonts w:hint="eastAsia"/>
                <w:lang w:val="en-US" w:eastAsia="zh-CN"/>
              </w:rPr>
              <w:t>本项目属于《名录》所列“四十九、卫生84-108医院841-其他（住院床位20张以下的除外）”，本项目应编制环境影响报告表。受建设单位委托，新疆领畅环保科技有限公司承担了本项目的环境影响评价工作。接受委托后，环评单位在现场踏勘和资料收集的基础上，编制完成了《</w:t>
            </w:r>
            <w:r>
              <w:rPr>
                <w:rFonts w:hint="eastAsia" w:eastAsia="宋体" w:cs="宋体"/>
                <w:lang w:val="en-US" w:eastAsia="zh-CN"/>
              </w:rPr>
              <w:t>库尔勒市第一人民医院医技及重症医学楼项目</w:t>
            </w:r>
            <w:r>
              <w:rPr>
                <w:rFonts w:hint="eastAsia"/>
                <w:lang w:val="en-US" w:eastAsia="zh-CN"/>
              </w:rPr>
              <w:t>环境影响报告表》，审批后作为生态环境主管部门和该企业进行环境管理的依据。</w:t>
            </w:r>
          </w:p>
          <w:p>
            <w:pPr>
              <w:pStyle w:val="48"/>
              <w:bidi w:val="0"/>
              <w:rPr>
                <w:rFonts w:hint="eastAsia" w:eastAsia="宋体" w:cs="宋体"/>
                <w:lang w:val="en-US" w:eastAsia="zh-CN"/>
              </w:rPr>
            </w:pPr>
            <w:r>
              <w:rPr>
                <w:rFonts w:hint="eastAsia" w:eastAsia="宋体" w:cs="宋体"/>
                <w:lang w:val="en-US" w:eastAsia="zh-CN"/>
              </w:rPr>
              <w:t>库尔勒市第一人民医院现有项目环保手续齐全，详见表2-1。</w:t>
            </w:r>
          </w:p>
          <w:p>
            <w:pPr>
              <w:pStyle w:val="48"/>
              <w:bidi w:val="0"/>
              <w:ind w:left="0" w:leftChars="0" w:firstLine="0" w:firstLineChars="0"/>
              <w:jc w:val="center"/>
              <w:rPr>
                <w:rFonts w:hint="eastAsia" w:eastAsia="宋体" w:cs="宋体"/>
                <w:b/>
                <w:bCs/>
                <w:lang w:val="en-US" w:eastAsia="zh-CN"/>
              </w:rPr>
            </w:pPr>
            <w:r>
              <w:rPr>
                <w:rFonts w:hint="eastAsia" w:eastAsia="宋体" w:cs="宋体"/>
                <w:b/>
                <w:bCs/>
                <w:lang w:val="en-US" w:eastAsia="zh-CN"/>
              </w:rPr>
              <w:t>表2-1    现有工程环保手续履行情况一览表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640"/>
              <w:gridCol w:w="2209"/>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9" w:type="dxa"/>
                  <w:vAlign w:val="center"/>
                </w:tcPr>
                <w:p>
                  <w:pPr>
                    <w:pStyle w:val="49"/>
                    <w:bidi w:val="0"/>
                    <w:jc w:val="center"/>
                    <w:rPr>
                      <w:rFonts w:hint="default"/>
                      <w:lang w:val="en-US" w:eastAsia="zh-CN"/>
                    </w:rPr>
                  </w:pPr>
                  <w:r>
                    <w:rPr>
                      <w:rFonts w:hint="eastAsia"/>
                      <w:lang w:val="en-US" w:eastAsia="zh-CN"/>
                    </w:rPr>
                    <w:t>项目名称</w:t>
                  </w:r>
                </w:p>
              </w:tc>
              <w:tc>
                <w:tcPr>
                  <w:tcW w:w="2640" w:type="dxa"/>
                  <w:vAlign w:val="center"/>
                </w:tcPr>
                <w:p>
                  <w:pPr>
                    <w:pStyle w:val="49"/>
                    <w:bidi w:val="0"/>
                    <w:jc w:val="center"/>
                    <w:rPr>
                      <w:rFonts w:hint="default"/>
                      <w:lang w:val="en-US" w:eastAsia="zh-CN"/>
                    </w:rPr>
                  </w:pPr>
                  <w:r>
                    <w:rPr>
                      <w:rFonts w:hint="eastAsia"/>
                      <w:lang w:val="en-US" w:eastAsia="zh-CN"/>
                    </w:rPr>
                    <w:t>建设内容</w:t>
                  </w:r>
                </w:p>
              </w:tc>
              <w:tc>
                <w:tcPr>
                  <w:tcW w:w="2209" w:type="dxa"/>
                  <w:vAlign w:val="center"/>
                </w:tcPr>
                <w:p>
                  <w:pPr>
                    <w:pStyle w:val="49"/>
                    <w:bidi w:val="0"/>
                    <w:jc w:val="center"/>
                    <w:rPr>
                      <w:rFonts w:hint="default"/>
                      <w:lang w:val="en-US" w:eastAsia="zh-CN"/>
                    </w:rPr>
                  </w:pPr>
                  <w:r>
                    <w:rPr>
                      <w:rFonts w:hint="eastAsia"/>
                      <w:lang w:val="en-US" w:eastAsia="zh-CN"/>
                    </w:rPr>
                    <w:t>环境影响评价</w:t>
                  </w:r>
                </w:p>
              </w:tc>
              <w:tc>
                <w:tcPr>
                  <w:tcW w:w="2074" w:type="dxa"/>
                  <w:vAlign w:val="center"/>
                </w:tcPr>
                <w:p>
                  <w:pPr>
                    <w:pStyle w:val="49"/>
                    <w:bidi w:val="0"/>
                    <w:jc w:val="center"/>
                    <w:rPr>
                      <w:rFonts w:hint="default"/>
                      <w:lang w:val="en-US" w:eastAsia="zh-CN"/>
                    </w:rPr>
                  </w:pPr>
                  <w:r>
                    <w:rPr>
                      <w:rFonts w:hint="eastAsia"/>
                      <w:lang w:val="en-US" w:eastAsia="zh-CN"/>
                    </w:rPr>
                    <w:t>竣工环境保护验收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Align w:val="center"/>
                </w:tcPr>
                <w:p>
                  <w:pPr>
                    <w:pStyle w:val="49"/>
                    <w:bidi w:val="0"/>
                    <w:jc w:val="center"/>
                    <w:rPr>
                      <w:rFonts w:hint="default"/>
                      <w:lang w:val="en-US" w:eastAsia="zh-CN"/>
                    </w:rPr>
                  </w:pPr>
                  <w:r>
                    <w:rPr>
                      <w:rFonts w:hint="eastAsia"/>
                      <w:lang w:val="en-US" w:eastAsia="zh-CN"/>
                    </w:rPr>
                    <w:t>库尔勒第一人民医院门诊综合楼建设项目</w:t>
                  </w:r>
                </w:p>
              </w:tc>
              <w:tc>
                <w:tcPr>
                  <w:tcW w:w="2640" w:type="dxa"/>
                  <w:vAlign w:val="center"/>
                </w:tcPr>
                <w:p>
                  <w:pPr>
                    <w:pStyle w:val="49"/>
                    <w:bidi w:val="0"/>
                    <w:jc w:val="center"/>
                    <w:rPr>
                      <w:rFonts w:hint="default"/>
                      <w:lang w:val="en-US" w:eastAsia="zh-CN"/>
                    </w:rPr>
                  </w:pPr>
                  <w:r>
                    <w:rPr>
                      <w:rFonts w:hint="eastAsia"/>
                      <w:lang w:val="en-US" w:eastAsia="zh-CN"/>
                    </w:rPr>
                    <w:t>项目1-5层（含地下一层）为门诊楼，6-17层为住院部，门诊楼内设门诊、急诊、医技科、检验科、手术室、医生办公室、护士办公室、康复病房等</w:t>
                  </w:r>
                </w:p>
              </w:tc>
              <w:tc>
                <w:tcPr>
                  <w:tcW w:w="2209" w:type="dxa"/>
                  <w:vAlign w:val="center"/>
                </w:tcPr>
                <w:p>
                  <w:pPr>
                    <w:pStyle w:val="49"/>
                    <w:bidi w:val="0"/>
                    <w:jc w:val="center"/>
                    <w:rPr>
                      <w:rFonts w:hint="default"/>
                      <w:lang w:val="en-US" w:eastAsia="zh-CN"/>
                    </w:rPr>
                  </w:pPr>
                  <w:r>
                    <w:rPr>
                      <w:rFonts w:hint="eastAsia"/>
                      <w:lang w:val="en-US" w:eastAsia="zh-CN"/>
                    </w:rPr>
                    <w:t>2010年8月30日取得巴州生态环境局批复《库尔勒第一人民医院门诊综合楼建设项目环境影响报告书的批复》（巴环控函</w:t>
                  </w:r>
                  <w:r>
                    <w:rPr>
                      <w:rFonts w:hint="eastAsia"/>
                      <w:highlight w:val="none"/>
                      <w:lang w:val="en-US" w:eastAsia="zh-CN"/>
                    </w:rPr>
                    <w:t>〔2010〕558号</w:t>
                  </w:r>
                  <w:r>
                    <w:rPr>
                      <w:rFonts w:hint="eastAsia"/>
                      <w:lang w:val="en-US" w:eastAsia="zh-CN"/>
                    </w:rPr>
                    <w:t>）</w:t>
                  </w:r>
                </w:p>
              </w:tc>
              <w:tc>
                <w:tcPr>
                  <w:tcW w:w="2074" w:type="dxa"/>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vAlign w:val="center"/>
                </w:tcPr>
                <w:p>
                  <w:pPr>
                    <w:pStyle w:val="49"/>
                    <w:bidi w:val="0"/>
                    <w:jc w:val="center"/>
                    <w:rPr>
                      <w:rFonts w:hint="default"/>
                      <w:lang w:val="en-US" w:eastAsia="zh-CN"/>
                    </w:rPr>
                  </w:pPr>
                  <w:r>
                    <w:rPr>
                      <w:rFonts w:hint="eastAsia"/>
                      <w:lang w:val="en-US" w:eastAsia="zh-CN"/>
                    </w:rPr>
                    <w:t>库尔勒市第一人民医院门诊综合大楼建设项目</w:t>
                  </w:r>
                </w:p>
              </w:tc>
              <w:tc>
                <w:tcPr>
                  <w:tcW w:w="2640" w:type="dxa"/>
                  <w:vAlign w:val="center"/>
                </w:tcPr>
                <w:p>
                  <w:pPr>
                    <w:pStyle w:val="49"/>
                    <w:bidi w:val="0"/>
                    <w:jc w:val="center"/>
                    <w:rPr>
                      <w:rFonts w:hint="default"/>
                      <w:lang w:val="en-US" w:eastAsia="zh-CN"/>
                    </w:rPr>
                  </w:pPr>
                  <w:r>
                    <w:rPr>
                      <w:rFonts w:hint="eastAsia"/>
                      <w:lang w:val="en-US" w:eastAsia="zh-CN"/>
                    </w:rPr>
                    <w:t>库尔勒市第一人民医院门诊综合大楼主体为17层，本项目前期建设地下一层至地上五层作为门诊部，后期在现有基础上增加到十七层。新增病床数300张</w:t>
                  </w:r>
                </w:p>
              </w:tc>
              <w:tc>
                <w:tcPr>
                  <w:tcW w:w="2209" w:type="dxa"/>
                  <w:vAlign w:val="center"/>
                </w:tcPr>
                <w:p>
                  <w:pPr>
                    <w:pStyle w:val="49"/>
                    <w:bidi w:val="0"/>
                    <w:jc w:val="center"/>
                    <w:rPr>
                      <w:rFonts w:hint="default"/>
                      <w:lang w:val="en-US" w:eastAsia="zh-CN"/>
                    </w:rPr>
                  </w:pPr>
                  <w:r>
                    <w:rPr>
                      <w:rFonts w:hint="eastAsia"/>
                      <w:lang w:val="en-US" w:eastAsia="zh-CN"/>
                    </w:rPr>
                    <w:t>2010年8月30日取得巴州生态环境局批复《库尔勒市第一人民医院门诊综合大楼建设项目环境影响报告表的批复》（巴环控函</w:t>
                  </w:r>
                  <w:r>
                    <w:rPr>
                      <w:rFonts w:hint="eastAsia"/>
                      <w:highlight w:val="none"/>
                      <w:lang w:val="en-US" w:eastAsia="zh-CN"/>
                    </w:rPr>
                    <w:t>〔2010〕559号</w:t>
                  </w:r>
                  <w:r>
                    <w:rPr>
                      <w:rFonts w:hint="eastAsia"/>
                      <w:lang w:val="en-US" w:eastAsia="zh-CN"/>
                    </w:rPr>
                    <w:t>）</w:t>
                  </w:r>
                </w:p>
              </w:tc>
              <w:tc>
                <w:tcPr>
                  <w:tcW w:w="2074" w:type="dxa"/>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vAlign w:val="center"/>
                </w:tcPr>
                <w:p>
                  <w:pPr>
                    <w:pStyle w:val="49"/>
                    <w:bidi w:val="0"/>
                    <w:jc w:val="center"/>
                    <w:rPr>
                      <w:rFonts w:hint="default"/>
                      <w:lang w:val="en-US" w:eastAsia="zh-CN"/>
                    </w:rPr>
                  </w:pPr>
                  <w:r>
                    <w:rPr>
                      <w:rFonts w:hint="eastAsia"/>
                      <w:lang w:val="en-US" w:eastAsia="zh-CN"/>
                    </w:rPr>
                    <w:t>巴州库尔勒市第一人民医院污水处理站改扩建项目</w:t>
                  </w:r>
                </w:p>
              </w:tc>
              <w:tc>
                <w:tcPr>
                  <w:tcW w:w="2640" w:type="dxa"/>
                  <w:vAlign w:val="center"/>
                </w:tcPr>
                <w:p>
                  <w:pPr>
                    <w:pStyle w:val="49"/>
                    <w:bidi w:val="0"/>
                    <w:jc w:val="center"/>
                    <w:rPr>
                      <w:rFonts w:hint="default"/>
                      <w:lang w:val="en-US" w:eastAsia="zh-CN"/>
                    </w:rPr>
                  </w:pPr>
                  <w:r>
                    <w:rPr>
                      <w:rFonts w:hint="eastAsia"/>
                      <w:lang w:val="en-US" w:eastAsia="zh-CN"/>
                    </w:rPr>
                    <w:t>本项目对原有污水处理站进行改扩建，处理水量由400m</w:t>
                  </w:r>
                  <w:r>
                    <w:rPr>
                      <w:rFonts w:hint="eastAsia"/>
                      <w:vertAlign w:val="superscript"/>
                      <w:lang w:val="en-US" w:eastAsia="zh-CN"/>
                    </w:rPr>
                    <w:t>3</w:t>
                  </w:r>
                  <w:r>
                    <w:rPr>
                      <w:rFonts w:hint="eastAsia"/>
                      <w:lang w:val="en-US" w:eastAsia="zh-CN"/>
                    </w:rPr>
                    <w:t>/d扩建至1000m</w:t>
                  </w:r>
                  <w:r>
                    <w:rPr>
                      <w:rFonts w:hint="eastAsia"/>
                      <w:vertAlign w:val="superscript"/>
                      <w:lang w:val="en-US" w:eastAsia="zh-CN"/>
                    </w:rPr>
                    <w:t>3</w:t>
                  </w:r>
                  <w:r>
                    <w:rPr>
                      <w:rFonts w:hint="eastAsia"/>
                      <w:lang w:val="en-US" w:eastAsia="zh-CN"/>
                    </w:rPr>
                    <w:t>/d</w:t>
                  </w:r>
                </w:p>
              </w:tc>
              <w:tc>
                <w:tcPr>
                  <w:tcW w:w="2209" w:type="dxa"/>
                  <w:vAlign w:val="center"/>
                </w:tcPr>
                <w:p>
                  <w:pPr>
                    <w:pStyle w:val="49"/>
                    <w:bidi w:val="0"/>
                    <w:jc w:val="center"/>
                    <w:rPr>
                      <w:rFonts w:hint="default"/>
                      <w:lang w:val="en-US" w:eastAsia="zh-CN"/>
                    </w:rPr>
                  </w:pPr>
                  <w:r>
                    <w:rPr>
                      <w:rFonts w:hint="default"/>
                      <w:lang w:val="en-US" w:eastAsia="zh-CN"/>
                    </w:rPr>
                    <w:t>2013年12月10日取得《关于巴州库尔勒市第一人民医院污水处理站改扩建项目环境影响报告表的审批意见》（巴环评价函</w:t>
                  </w:r>
                  <w:r>
                    <w:rPr>
                      <w:rFonts w:hint="eastAsia"/>
                      <w:highlight w:val="none"/>
                      <w:lang w:val="en-US" w:eastAsia="zh-CN"/>
                    </w:rPr>
                    <w:t>〔2013〕</w:t>
                  </w:r>
                  <w:r>
                    <w:rPr>
                      <w:rFonts w:hint="default"/>
                      <w:lang w:val="en-US" w:eastAsia="zh-CN"/>
                    </w:rPr>
                    <w:t>814号）</w:t>
                  </w:r>
                </w:p>
              </w:tc>
              <w:tc>
                <w:tcPr>
                  <w:tcW w:w="2074" w:type="dxa"/>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vAlign w:val="center"/>
                </w:tcPr>
                <w:p>
                  <w:pPr>
                    <w:pStyle w:val="49"/>
                    <w:bidi w:val="0"/>
                    <w:jc w:val="center"/>
                    <w:rPr>
                      <w:rFonts w:hint="default"/>
                      <w:lang w:val="en-US" w:eastAsia="zh-CN"/>
                    </w:rPr>
                  </w:pPr>
                  <w:r>
                    <w:rPr>
                      <w:rFonts w:hint="eastAsia"/>
                      <w:lang w:val="en-US" w:eastAsia="zh-CN"/>
                    </w:rPr>
                    <w:t>库尔勒市第一人民医院改扩建项目</w:t>
                  </w:r>
                </w:p>
              </w:tc>
              <w:tc>
                <w:tcPr>
                  <w:tcW w:w="2640" w:type="dxa"/>
                  <w:vAlign w:val="center"/>
                </w:tcPr>
                <w:p>
                  <w:pPr>
                    <w:pStyle w:val="49"/>
                    <w:bidi w:val="0"/>
                    <w:jc w:val="center"/>
                    <w:rPr>
                      <w:rFonts w:hint="default"/>
                      <w:lang w:val="en-US" w:eastAsia="zh-CN"/>
                    </w:rPr>
                  </w:pPr>
                  <w:r>
                    <w:rPr>
                      <w:rFonts w:hint="eastAsia"/>
                      <w:lang w:val="en-US" w:eastAsia="zh-CN"/>
                    </w:rPr>
                    <w:t>主体工程：急救综合楼26850.35m</w:t>
                  </w:r>
                  <w:r>
                    <w:rPr>
                      <w:rFonts w:hint="eastAsia"/>
                      <w:vertAlign w:val="superscript"/>
                      <w:lang w:val="en-US" w:eastAsia="zh-CN"/>
                    </w:rPr>
                    <w:t>2</w:t>
                  </w:r>
                  <w:r>
                    <w:rPr>
                      <w:rFonts w:hint="eastAsia"/>
                      <w:lang w:val="en-US" w:eastAsia="zh-CN"/>
                    </w:rPr>
                    <w:t>，传染病综合楼6207.63m</w:t>
                  </w:r>
                  <w:r>
                    <w:rPr>
                      <w:rFonts w:hint="eastAsia"/>
                      <w:vertAlign w:val="superscript"/>
                      <w:lang w:val="en-US" w:eastAsia="zh-CN"/>
                    </w:rPr>
                    <w:t>2</w:t>
                  </w:r>
                  <w:r>
                    <w:rPr>
                      <w:rFonts w:hint="eastAsia"/>
                      <w:lang w:val="en-US" w:eastAsia="zh-CN"/>
                    </w:rPr>
                    <w:t>；辅助工程：100m</w:t>
                  </w:r>
                  <w:r>
                    <w:rPr>
                      <w:rFonts w:hint="eastAsia"/>
                      <w:vertAlign w:val="superscript"/>
                      <w:lang w:val="en-US" w:eastAsia="zh-CN"/>
                    </w:rPr>
                    <w:t>3</w:t>
                  </w:r>
                  <w:r>
                    <w:rPr>
                      <w:rFonts w:hint="eastAsia"/>
                      <w:lang w:val="en-US" w:eastAsia="zh-CN"/>
                    </w:rPr>
                    <w:t>污水消毒池、1座污水处理站及配套180m</w:t>
                  </w:r>
                  <w:r>
                    <w:rPr>
                      <w:rFonts w:hint="eastAsia"/>
                      <w:vertAlign w:val="superscript"/>
                      <w:lang w:val="en-US" w:eastAsia="zh-CN"/>
                    </w:rPr>
                    <w:t>2</w:t>
                  </w:r>
                  <w:r>
                    <w:rPr>
                      <w:rFonts w:hint="eastAsia"/>
                      <w:lang w:val="en-US" w:eastAsia="zh-CN"/>
                    </w:rPr>
                    <w:t>站房，停车场设计停车位620个；公用工程：供电、供水、排水均依托市政管网，冬季采用2台6t/h燃气热水锅炉供暖</w:t>
                  </w:r>
                </w:p>
              </w:tc>
              <w:tc>
                <w:tcPr>
                  <w:tcW w:w="2209" w:type="dxa"/>
                  <w:vAlign w:val="center"/>
                </w:tcPr>
                <w:p>
                  <w:pPr>
                    <w:pStyle w:val="49"/>
                    <w:bidi w:val="0"/>
                    <w:jc w:val="center"/>
                    <w:rPr>
                      <w:rFonts w:hint="default"/>
                      <w:lang w:val="en-US" w:eastAsia="zh-CN"/>
                    </w:rPr>
                  </w:pPr>
                  <w:r>
                    <w:rPr>
                      <w:rFonts w:hint="eastAsia"/>
                      <w:lang w:val="en-US" w:eastAsia="zh-CN"/>
                    </w:rPr>
                    <w:t>2021年2月1日</w:t>
                  </w:r>
                  <w:r>
                    <w:rPr>
                      <w:rFonts w:hint="default"/>
                      <w:lang w:val="en-US" w:eastAsia="zh-CN"/>
                    </w:rPr>
                    <w:t>取得</w:t>
                  </w:r>
                  <w:r>
                    <w:rPr>
                      <w:rFonts w:hint="eastAsia"/>
                      <w:lang w:val="en-US" w:eastAsia="zh-CN"/>
                    </w:rPr>
                    <w:t>《库尔勒市第一人民医院改扩建项目环境影响报告表的批复》（巴环评价函</w:t>
                  </w:r>
                  <w:r>
                    <w:rPr>
                      <w:rFonts w:hint="eastAsia"/>
                      <w:highlight w:val="none"/>
                      <w:lang w:val="en-US" w:eastAsia="zh-CN"/>
                    </w:rPr>
                    <w:t>〔2021〕43号</w:t>
                  </w:r>
                  <w:r>
                    <w:rPr>
                      <w:rFonts w:hint="eastAsia"/>
                      <w:lang w:val="en-US" w:eastAsia="zh-CN"/>
                    </w:rPr>
                    <w:t>），</w:t>
                  </w:r>
                  <w:r>
                    <w:rPr>
                      <w:rFonts w:hint="eastAsia"/>
                      <w:shd w:val="clear"/>
                      <w:lang w:val="en-US" w:eastAsia="zh-CN"/>
                    </w:rPr>
                    <w:t>《库尔勒市第一人民医院改扩建项目主要污染物排放总量控制指标的核定》（巴环总量函〔2020〕56号）</w:t>
                  </w:r>
                </w:p>
              </w:tc>
              <w:tc>
                <w:tcPr>
                  <w:tcW w:w="2074" w:type="dxa"/>
                  <w:vAlign w:val="center"/>
                </w:tcPr>
                <w:p>
                  <w:pPr>
                    <w:pStyle w:val="49"/>
                    <w:bidi w:val="0"/>
                    <w:jc w:val="center"/>
                    <w:rPr>
                      <w:rFonts w:hint="default"/>
                      <w:lang w:val="en-US" w:eastAsia="zh-CN"/>
                    </w:rPr>
                  </w:pPr>
                  <w:r>
                    <w:rPr>
                      <w:rFonts w:hint="eastAsia"/>
                      <w:shd w:val="clear"/>
                      <w:lang w:val="en-US" w:eastAsia="zh-CN"/>
                    </w:rPr>
                    <w:t>2024年8月5日通过竣工环境保护验收工作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vAlign w:val="center"/>
                </w:tcPr>
                <w:p>
                  <w:pPr>
                    <w:pStyle w:val="49"/>
                    <w:bidi w:val="0"/>
                    <w:jc w:val="center"/>
                    <w:rPr>
                      <w:rFonts w:hint="eastAsia"/>
                      <w:lang w:val="en-US" w:eastAsia="zh-CN"/>
                    </w:rPr>
                  </w:pPr>
                  <w:r>
                    <w:rPr>
                      <w:rFonts w:hint="eastAsia"/>
                      <w:lang w:val="en-US" w:eastAsia="zh-CN"/>
                    </w:rPr>
                    <w:t>巴州库尔勒市第一人民医院救治能力提升项目</w:t>
                  </w:r>
                </w:p>
              </w:tc>
              <w:tc>
                <w:tcPr>
                  <w:tcW w:w="2640" w:type="dxa"/>
                  <w:vAlign w:val="center"/>
                </w:tcPr>
                <w:p>
                  <w:pPr>
                    <w:pStyle w:val="49"/>
                    <w:bidi w:val="0"/>
                    <w:jc w:val="center"/>
                    <w:rPr>
                      <w:rFonts w:hint="default"/>
                      <w:lang w:val="en-US" w:eastAsia="zh-CN"/>
                    </w:rPr>
                  </w:pPr>
                  <w:r>
                    <w:rPr>
                      <w:rFonts w:hint="eastAsia"/>
                      <w:lang w:val="en-US" w:eastAsia="zh-CN"/>
                    </w:rPr>
                    <w:t>主体工程：在传染病综合楼扩建1层建设负压病房，建筑面积为2503.84m</w:t>
                  </w:r>
                  <w:r>
                    <w:rPr>
                      <w:rFonts w:hint="eastAsia"/>
                      <w:vertAlign w:val="superscript"/>
                      <w:lang w:val="en-US" w:eastAsia="zh-CN"/>
                    </w:rPr>
                    <w:t>2</w:t>
                  </w:r>
                  <w:r>
                    <w:rPr>
                      <w:rFonts w:hint="eastAsia"/>
                      <w:lang w:val="en-US" w:eastAsia="zh-CN"/>
                    </w:rPr>
                    <w:t>，辅助工程：设备间建筑面积为968.53m</w:t>
                  </w:r>
                  <w:r>
                    <w:rPr>
                      <w:rFonts w:hint="eastAsia"/>
                      <w:vertAlign w:val="superscript"/>
                      <w:lang w:val="en-US" w:eastAsia="zh-CN"/>
                    </w:rPr>
                    <w:t>2</w:t>
                  </w:r>
                </w:p>
              </w:tc>
              <w:tc>
                <w:tcPr>
                  <w:tcW w:w="2209" w:type="dxa"/>
                  <w:vAlign w:val="center"/>
                </w:tcPr>
                <w:p>
                  <w:pPr>
                    <w:pStyle w:val="49"/>
                    <w:bidi w:val="0"/>
                    <w:jc w:val="center"/>
                    <w:rPr>
                      <w:rFonts w:hint="default"/>
                      <w:lang w:val="en-US" w:eastAsia="zh-CN"/>
                    </w:rPr>
                  </w:pPr>
                  <w:r>
                    <w:rPr>
                      <w:rFonts w:hint="eastAsia"/>
                      <w:lang w:val="en-US" w:eastAsia="zh-CN"/>
                    </w:rPr>
                    <w:t>2021年2月1日</w:t>
                  </w:r>
                  <w:r>
                    <w:rPr>
                      <w:rFonts w:hint="default"/>
                      <w:lang w:val="en-US" w:eastAsia="zh-CN"/>
                    </w:rPr>
                    <w:t>取得</w:t>
                  </w:r>
                  <w:r>
                    <w:rPr>
                      <w:rFonts w:hint="eastAsia"/>
                      <w:lang w:val="en-US" w:eastAsia="zh-CN"/>
                    </w:rPr>
                    <w:t>《巴州库尔勒市第一人民医院救治能力提升项目环境影响报告表的批复》（</w:t>
                  </w:r>
                  <w:r>
                    <w:rPr>
                      <w:rFonts w:hint="eastAsia"/>
                      <w:shd w:val="clear"/>
                      <w:lang w:val="en-US" w:eastAsia="zh-CN"/>
                    </w:rPr>
                    <w:t>巴环评价函</w:t>
                  </w:r>
                  <w:r>
                    <w:rPr>
                      <w:rFonts w:hint="eastAsia"/>
                      <w:highlight w:val="none"/>
                      <w:shd w:val="clear"/>
                      <w:lang w:val="en-US" w:eastAsia="zh-CN"/>
                    </w:rPr>
                    <w:t>〔2021〕42号</w:t>
                  </w:r>
                  <w:r>
                    <w:rPr>
                      <w:rFonts w:hint="eastAsia"/>
                      <w:lang w:val="en-US" w:eastAsia="zh-CN"/>
                    </w:rPr>
                    <w:t>）</w:t>
                  </w:r>
                </w:p>
              </w:tc>
              <w:tc>
                <w:tcPr>
                  <w:tcW w:w="2074" w:type="dxa"/>
                  <w:vAlign w:val="center"/>
                </w:tcPr>
                <w:p>
                  <w:pPr>
                    <w:pStyle w:val="49"/>
                    <w:bidi w:val="0"/>
                    <w:jc w:val="center"/>
                    <w:rPr>
                      <w:rFonts w:hint="default"/>
                      <w:lang w:val="en-US" w:eastAsia="zh-CN"/>
                    </w:rPr>
                  </w:pPr>
                  <w:r>
                    <w:rPr>
                      <w:rFonts w:hint="eastAsia"/>
                      <w:shd w:val="clear"/>
                      <w:lang w:val="en-US" w:eastAsia="zh-CN"/>
                    </w:rPr>
                    <w:t>2024年8月5日通过竣工环境保护验收工作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vAlign w:val="center"/>
                </w:tcPr>
                <w:p>
                  <w:pPr>
                    <w:pStyle w:val="49"/>
                    <w:bidi w:val="0"/>
                    <w:jc w:val="center"/>
                    <w:rPr>
                      <w:rFonts w:hint="eastAsia"/>
                      <w:lang w:val="en-US" w:eastAsia="zh-CN"/>
                    </w:rPr>
                  </w:pPr>
                  <w:r>
                    <w:rPr>
                      <w:rFonts w:hint="eastAsia"/>
                      <w:lang w:val="en-US" w:eastAsia="zh-CN"/>
                    </w:rPr>
                    <w:t>库尔勒市第一人民医院3号综合楼项目</w:t>
                  </w:r>
                </w:p>
              </w:tc>
              <w:tc>
                <w:tcPr>
                  <w:tcW w:w="2640" w:type="dxa"/>
                  <w:vAlign w:val="center"/>
                </w:tcPr>
                <w:p>
                  <w:pPr>
                    <w:pStyle w:val="49"/>
                    <w:bidi w:val="0"/>
                    <w:jc w:val="center"/>
                    <w:rPr>
                      <w:rFonts w:hint="eastAsia"/>
                      <w:lang w:val="en-US" w:eastAsia="zh-CN"/>
                    </w:rPr>
                  </w:pPr>
                  <w:r>
                    <w:rPr>
                      <w:rFonts w:hint="eastAsia"/>
                      <w:lang w:val="en-US" w:eastAsia="zh-CN"/>
                    </w:rPr>
                    <w:t>主体工程：新建3号综合楼，占地面积为3066.7m</w:t>
                  </w:r>
                  <w:r>
                    <w:rPr>
                      <w:rFonts w:hint="eastAsia"/>
                      <w:vertAlign w:val="superscript"/>
                      <w:lang w:val="en-US" w:eastAsia="zh-CN"/>
                    </w:rPr>
                    <w:t>2</w:t>
                  </w:r>
                  <w:r>
                    <w:rPr>
                      <w:rFonts w:hint="eastAsia"/>
                      <w:vertAlign w:val="baseline"/>
                      <w:lang w:val="en-US" w:eastAsia="zh-CN"/>
                    </w:rPr>
                    <w:t>，</w:t>
                  </w:r>
                  <w:r>
                    <w:rPr>
                      <w:rFonts w:hint="eastAsia"/>
                      <w:lang w:val="en-US" w:eastAsia="zh-CN"/>
                    </w:rPr>
                    <w:t>建筑面积为</w:t>
                  </w:r>
                  <w:r>
                    <w:rPr>
                      <w:rFonts w:hint="eastAsia"/>
                      <w:bCs/>
                      <w:szCs w:val="21"/>
                      <w:lang w:val="en-US" w:eastAsia="zh-CN"/>
                    </w:rPr>
                    <w:t>12723.01m</w:t>
                  </w:r>
                  <w:r>
                    <w:rPr>
                      <w:rFonts w:hint="eastAsia"/>
                      <w:bCs/>
                      <w:szCs w:val="21"/>
                      <w:vertAlign w:val="superscript"/>
                      <w:lang w:val="en-US" w:eastAsia="zh-CN"/>
                    </w:rPr>
                    <w:t>2</w:t>
                  </w:r>
                  <w:r>
                    <w:rPr>
                      <w:rFonts w:hint="eastAsia"/>
                      <w:bCs/>
                      <w:szCs w:val="21"/>
                      <w:vertAlign w:val="baseline"/>
                      <w:lang w:val="en-US" w:eastAsia="zh-CN"/>
                    </w:rPr>
                    <w:t>，设置床位360张，内设包括</w:t>
                  </w:r>
                  <w:r>
                    <w:rPr>
                      <w:rFonts w:hint="eastAsia"/>
                      <w:bCs/>
                      <w:szCs w:val="21"/>
                    </w:rPr>
                    <w:t>康复医学科</w:t>
                  </w:r>
                  <w:r>
                    <w:rPr>
                      <w:rFonts w:hint="eastAsia"/>
                      <w:bCs/>
                      <w:szCs w:val="21"/>
                      <w:lang w:eastAsia="zh-CN"/>
                    </w:rPr>
                    <w:t>、</w:t>
                  </w:r>
                  <w:r>
                    <w:rPr>
                      <w:rFonts w:hint="eastAsia"/>
                      <w:bCs/>
                      <w:szCs w:val="21"/>
                    </w:rPr>
                    <w:t>精神卫生科</w:t>
                  </w:r>
                  <w:r>
                    <w:rPr>
                      <w:rFonts w:hint="eastAsia"/>
                      <w:bCs/>
                      <w:szCs w:val="21"/>
                      <w:lang w:eastAsia="zh-CN"/>
                    </w:rPr>
                    <w:t>、</w:t>
                  </w:r>
                  <w:r>
                    <w:rPr>
                      <w:rFonts w:hint="eastAsia"/>
                      <w:bCs/>
                      <w:szCs w:val="21"/>
                    </w:rPr>
                    <w:t>疼痛科康复医学科</w:t>
                  </w:r>
                  <w:r>
                    <w:rPr>
                      <w:rFonts w:hint="eastAsia"/>
                      <w:bCs/>
                      <w:szCs w:val="21"/>
                      <w:lang w:eastAsia="zh-CN"/>
                    </w:rPr>
                    <w:t>、</w:t>
                  </w:r>
                  <w:r>
                    <w:rPr>
                      <w:rFonts w:hint="eastAsia"/>
                      <w:bCs/>
                      <w:szCs w:val="21"/>
                    </w:rPr>
                    <w:t>呼吸</w:t>
                  </w:r>
                  <w:r>
                    <w:rPr>
                      <w:rFonts w:hint="eastAsia"/>
                      <w:bCs/>
                      <w:szCs w:val="21"/>
                      <w:lang w:val="en-US" w:eastAsia="zh-CN"/>
                    </w:rPr>
                    <w:t>与危重症医学科、</w:t>
                  </w:r>
                  <w:r>
                    <w:rPr>
                      <w:rFonts w:hint="eastAsia"/>
                      <w:bCs/>
                      <w:szCs w:val="21"/>
                    </w:rPr>
                    <w:t>呼吸</w:t>
                  </w:r>
                  <w:r>
                    <w:rPr>
                      <w:rFonts w:hint="eastAsia"/>
                      <w:bCs/>
                      <w:szCs w:val="21"/>
                      <w:lang w:val="en-US" w:eastAsia="zh-CN"/>
                    </w:rPr>
                    <w:t>二</w:t>
                  </w:r>
                  <w:r>
                    <w:rPr>
                      <w:rFonts w:hint="eastAsia"/>
                      <w:bCs/>
                      <w:szCs w:val="21"/>
                    </w:rPr>
                    <w:t>科</w:t>
                  </w:r>
                  <w:r>
                    <w:rPr>
                      <w:rFonts w:hint="eastAsia"/>
                      <w:bCs/>
                      <w:szCs w:val="21"/>
                      <w:lang w:eastAsia="zh-CN"/>
                    </w:rPr>
                    <w:t>、</w:t>
                  </w:r>
                  <w:r>
                    <w:rPr>
                      <w:rFonts w:hint="eastAsia"/>
                      <w:bCs/>
                      <w:szCs w:val="21"/>
                    </w:rPr>
                    <w:t>介入中心、碎石中心、病理科</w:t>
                  </w:r>
                  <w:r>
                    <w:rPr>
                      <w:rFonts w:hint="eastAsia"/>
                      <w:bCs/>
                      <w:szCs w:val="21"/>
                      <w:lang w:eastAsia="zh-CN"/>
                    </w:rPr>
                    <w:t>、</w:t>
                  </w:r>
                  <w:r>
                    <w:rPr>
                      <w:rFonts w:hint="eastAsia"/>
                      <w:bCs/>
                      <w:color w:val="000000" w:themeColor="text1"/>
                      <w:szCs w:val="21"/>
                      <w:lang w:val="en-US" w:eastAsia="zh-CN"/>
                      <w14:textFill>
                        <w14:solidFill>
                          <w14:schemeClr w14:val="tx1"/>
                        </w14:solidFill>
                      </w14:textFill>
                    </w:rPr>
                    <w:t>信息科、</w:t>
                  </w:r>
                  <w:r>
                    <w:rPr>
                      <w:rFonts w:hint="eastAsia"/>
                      <w:bCs/>
                      <w:szCs w:val="21"/>
                      <w:lang w:val="en-US" w:eastAsia="zh-CN"/>
                    </w:rPr>
                    <w:t>体检中心（只在该楼进行体检，不进行化验，不产生化验废液）等。</w:t>
                  </w:r>
                </w:p>
              </w:tc>
              <w:tc>
                <w:tcPr>
                  <w:tcW w:w="2209" w:type="dxa"/>
                  <w:vAlign w:val="center"/>
                </w:tcPr>
                <w:p>
                  <w:pPr>
                    <w:pStyle w:val="49"/>
                    <w:bidi w:val="0"/>
                    <w:jc w:val="center"/>
                    <w:rPr>
                      <w:rFonts w:hint="eastAsia"/>
                      <w:lang w:val="en-US" w:eastAsia="zh-CN"/>
                    </w:rPr>
                  </w:pPr>
                  <w:r>
                    <w:rPr>
                      <w:rFonts w:hint="eastAsia"/>
                      <w:lang w:val="en-US" w:eastAsia="zh-CN"/>
                    </w:rPr>
                    <w:t>2024年10月29日</w:t>
                  </w:r>
                  <w:r>
                    <w:rPr>
                      <w:rFonts w:hint="default"/>
                      <w:lang w:val="en-US" w:eastAsia="zh-CN"/>
                    </w:rPr>
                    <w:t>取得</w:t>
                  </w:r>
                  <w:r>
                    <w:rPr>
                      <w:rFonts w:hint="eastAsia"/>
                      <w:lang w:val="en-US" w:eastAsia="zh-CN"/>
                    </w:rPr>
                    <w:t>《库尔勒市第一人民医院3号综合楼项目环境影响报告表的批复》（</w:t>
                  </w:r>
                  <w:r>
                    <w:rPr>
                      <w:rFonts w:hint="eastAsia"/>
                      <w:shd w:val="clear"/>
                      <w:lang w:val="en-US" w:eastAsia="zh-CN"/>
                    </w:rPr>
                    <w:t>巴环评价函</w:t>
                  </w:r>
                  <w:r>
                    <w:rPr>
                      <w:rFonts w:hint="eastAsia"/>
                      <w:highlight w:val="none"/>
                      <w:shd w:val="clear"/>
                      <w:lang w:val="en-US" w:eastAsia="zh-CN"/>
                    </w:rPr>
                    <w:t>〔2024〕267号</w:t>
                  </w:r>
                  <w:r>
                    <w:rPr>
                      <w:rFonts w:hint="eastAsia"/>
                      <w:lang w:val="en-US" w:eastAsia="zh-CN"/>
                    </w:rPr>
                    <w:t>）</w:t>
                  </w:r>
                </w:p>
              </w:tc>
              <w:tc>
                <w:tcPr>
                  <w:tcW w:w="2074" w:type="dxa"/>
                  <w:vAlign w:val="center"/>
                </w:tcPr>
                <w:p>
                  <w:pPr>
                    <w:pStyle w:val="49"/>
                    <w:bidi w:val="0"/>
                    <w:jc w:val="center"/>
                    <w:rPr>
                      <w:rFonts w:hint="default"/>
                      <w:shd w:val="clear"/>
                      <w:lang w:val="en-US" w:eastAsia="zh-CN"/>
                    </w:rPr>
                  </w:pPr>
                  <w:r>
                    <w:rPr>
                      <w:rFonts w:hint="eastAsia"/>
                      <w:shd w:val="clear"/>
                      <w:lang w:val="en-US" w:eastAsia="zh-CN"/>
                    </w:rPr>
                    <w:t>2025年4月1日通过竣工环境保护验收工作</w:t>
                  </w:r>
                </w:p>
              </w:tc>
            </w:tr>
          </w:tbl>
          <w:p>
            <w:pPr>
              <w:pStyle w:val="51"/>
              <w:bidi w:val="0"/>
              <w:rPr>
                <w:rFonts w:hint="eastAsia"/>
                <w:lang w:val="en-US" w:eastAsia="zh-CN"/>
              </w:rPr>
            </w:pPr>
            <w:r>
              <w:rPr>
                <w:rFonts w:hint="eastAsia"/>
                <w:lang w:val="en-US" w:eastAsia="zh-CN"/>
              </w:rPr>
              <w:t>2项目位置</w:t>
            </w:r>
            <w:r>
              <w:rPr>
                <w:rFonts w:hint="eastAsia" w:ascii="Times New Roman" w:hAnsi="Times New Roman" w:eastAsia="宋体" w:cs="Times New Roman"/>
                <w:b/>
                <w:bCs/>
                <w:kern w:val="2"/>
                <w:sz w:val="24"/>
                <w:szCs w:val="24"/>
                <w:lang w:val="en-US" w:eastAsia="zh-CN" w:bidi="ar-SA"/>
              </w:rPr>
              <w:t>周边环境关系</w:t>
            </w:r>
          </w:p>
          <w:p>
            <w:pPr>
              <w:pStyle w:val="48"/>
              <w:bidi w:val="0"/>
              <w:rPr>
                <w:rFonts w:hint="eastAsia" w:ascii="Times New Roman" w:hAnsi="Times New Roman" w:cs="Times New Roman"/>
                <w:szCs w:val="21"/>
                <w:highlight w:val="none"/>
                <w:lang w:val="en-US" w:eastAsia="zh-CN"/>
              </w:rPr>
            </w:pPr>
            <w:r>
              <w:rPr>
                <w:rFonts w:hint="eastAsia"/>
                <w:lang w:val="en-US" w:eastAsia="zh-CN"/>
              </w:rPr>
              <w:t>本项目位于</w:t>
            </w:r>
            <w:r>
              <w:rPr>
                <w:rFonts w:hint="eastAsia"/>
              </w:rPr>
              <w:t>新疆维吾尔自治区巴音郭楞蒙古自治州库尔勒市团结北路108</w:t>
            </w:r>
            <w:r>
              <w:rPr>
                <w:rFonts w:hint="eastAsia"/>
                <w:lang w:val="en-US" w:eastAsia="zh-CN"/>
              </w:rPr>
              <w:t>号</w:t>
            </w:r>
            <w:r>
              <w:rPr>
                <w:rFonts w:hint="eastAsia"/>
              </w:rPr>
              <w:t>库尔勒市第一人民</w:t>
            </w:r>
            <w:r>
              <w:rPr>
                <w:rFonts w:hint="eastAsia"/>
                <w:highlight w:val="none"/>
              </w:rPr>
              <w:t>医院</w:t>
            </w:r>
            <w:r>
              <w:rPr>
                <w:rFonts w:hint="eastAsia"/>
                <w:highlight w:val="none"/>
                <w:lang w:val="en-US" w:eastAsia="zh-CN"/>
              </w:rPr>
              <w:t>院内，本项目中心地理坐标为：东经</w:t>
            </w:r>
            <w:r>
              <w:rPr>
                <w:rFonts w:hint="default"/>
                <w:highlight w:val="none"/>
                <w:lang w:val="en-US" w:eastAsia="zh-CN"/>
              </w:rPr>
              <w:t>86°8′25.786″</w:t>
            </w:r>
            <w:r>
              <w:rPr>
                <w:rFonts w:hint="eastAsia"/>
                <w:highlight w:val="none"/>
                <w:lang w:val="en-US" w:eastAsia="zh-CN"/>
              </w:rPr>
              <w:t>，北纬</w:t>
            </w:r>
            <w:r>
              <w:rPr>
                <w:rFonts w:hint="default"/>
                <w:highlight w:val="none"/>
                <w:lang w:val="en-US" w:eastAsia="zh-CN"/>
              </w:rPr>
              <w:t>41°44′23.288″</w:t>
            </w:r>
            <w:r>
              <w:rPr>
                <w:rFonts w:hint="eastAsia"/>
                <w:highlight w:val="none"/>
                <w:lang w:eastAsia="zh-CN"/>
              </w:rPr>
              <w:t>。</w:t>
            </w:r>
            <w:r>
              <w:rPr>
                <w:rFonts w:hint="eastAsia" w:ascii="Times New Roman" w:hAnsi="Times New Roman" w:cs="Times New Roman"/>
                <w:szCs w:val="21"/>
                <w:highlight w:val="none"/>
                <w:lang w:val="en-US" w:eastAsia="zh-CN"/>
              </w:rPr>
              <w:t>地理位置见图</w:t>
            </w:r>
            <w:r>
              <w:rPr>
                <w:rFonts w:hint="eastAsia" w:cs="Times New Roman"/>
                <w:szCs w:val="21"/>
                <w:highlight w:val="none"/>
                <w:lang w:val="en-US" w:eastAsia="zh-CN"/>
              </w:rPr>
              <w:t>1</w:t>
            </w:r>
            <w:r>
              <w:rPr>
                <w:rFonts w:hint="eastAsia" w:ascii="Times New Roman" w:hAnsi="Times New Roman" w:cs="Times New Roman"/>
                <w:szCs w:val="21"/>
                <w:highlight w:val="none"/>
                <w:lang w:val="en-US" w:eastAsia="zh-CN"/>
              </w:rPr>
              <w:t>。</w:t>
            </w:r>
          </w:p>
          <w:p>
            <w:pPr>
              <w:pStyle w:val="48"/>
              <w:bidi w:val="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项目区</w:t>
            </w:r>
            <w:r>
              <w:rPr>
                <w:rFonts w:hint="eastAsia" w:cs="Times New Roman"/>
                <w:szCs w:val="21"/>
                <w:lang w:val="en-US" w:eastAsia="zh-CN"/>
              </w:rPr>
              <w:t>南侧</w:t>
            </w:r>
            <w:r>
              <w:rPr>
                <w:rFonts w:hint="eastAsia" w:ascii="Times New Roman" w:hAnsi="Times New Roman" w:cs="Times New Roman"/>
                <w:szCs w:val="21"/>
                <w:lang w:val="en-US" w:eastAsia="zh-CN"/>
              </w:rPr>
              <w:t>为库尔勒市第一人民医院2号楼，2号楼东侧</w:t>
            </w:r>
            <w:r>
              <w:rPr>
                <w:rFonts w:hint="eastAsia" w:cs="Times New Roman"/>
                <w:szCs w:val="21"/>
                <w:lang w:val="en-US" w:eastAsia="zh-CN"/>
              </w:rPr>
              <w:t>为院内停车区，院外</w:t>
            </w:r>
            <w:r>
              <w:rPr>
                <w:rFonts w:hint="eastAsia" w:ascii="Times New Roman" w:hAnsi="Times New Roman" w:cs="Times New Roman"/>
                <w:szCs w:val="21"/>
                <w:lang w:val="en-US" w:eastAsia="zh-CN"/>
              </w:rPr>
              <w:t>邻团结北路，隔路为库尔勒市第一中学；北侧</w:t>
            </w:r>
            <w:r>
              <w:rPr>
                <w:rFonts w:hint="eastAsia" w:cs="Times New Roman"/>
                <w:szCs w:val="21"/>
                <w:lang w:val="en-US" w:eastAsia="zh-CN"/>
              </w:rPr>
              <w:t>为医院停车区，东北侧为畜牧局家属楼，院外紧</w:t>
            </w:r>
            <w:r>
              <w:rPr>
                <w:rFonts w:hint="eastAsia" w:ascii="Times New Roman" w:hAnsi="Times New Roman" w:cs="Times New Roman"/>
                <w:szCs w:val="21"/>
                <w:lang w:val="en-US" w:eastAsia="zh-CN"/>
              </w:rPr>
              <w:t>邻英下路，隔路为阳光花园小区；</w:t>
            </w:r>
            <w:r>
              <w:rPr>
                <w:rFonts w:hint="eastAsia" w:cs="Times New Roman"/>
                <w:szCs w:val="21"/>
                <w:lang w:val="en-US" w:eastAsia="zh-CN"/>
              </w:rPr>
              <w:t>东</w:t>
            </w:r>
            <w:r>
              <w:rPr>
                <w:rFonts w:hint="eastAsia" w:ascii="Times New Roman" w:hAnsi="Times New Roman" w:cs="Times New Roman"/>
                <w:szCs w:val="21"/>
                <w:lang w:val="en-US" w:eastAsia="zh-CN"/>
              </w:rPr>
              <w:t>侧</w:t>
            </w:r>
            <w:r>
              <w:rPr>
                <w:rFonts w:hint="eastAsia" w:cs="Times New Roman"/>
                <w:szCs w:val="21"/>
                <w:lang w:val="en-US" w:eastAsia="zh-CN"/>
              </w:rPr>
              <w:t>为</w:t>
            </w:r>
            <w:r>
              <w:rPr>
                <w:rFonts w:hint="eastAsia" w:ascii="Times New Roman" w:hAnsi="Times New Roman" w:cs="Times New Roman"/>
                <w:szCs w:val="21"/>
                <w:lang w:val="en-US" w:eastAsia="zh-CN"/>
              </w:rPr>
              <w:t>库尔勒市第一人民医院</w:t>
            </w:r>
            <w:r>
              <w:rPr>
                <w:rFonts w:hint="eastAsia" w:cs="Times New Roman"/>
                <w:szCs w:val="21"/>
                <w:lang w:val="en-US" w:eastAsia="zh-CN"/>
              </w:rPr>
              <w:t>1号楼</w:t>
            </w:r>
            <w:r>
              <w:rPr>
                <w:rFonts w:hint="eastAsia" w:ascii="Times New Roman" w:hAnsi="Times New Roman" w:cs="Times New Roman"/>
                <w:szCs w:val="21"/>
                <w:lang w:val="en-US" w:eastAsia="zh-CN"/>
              </w:rPr>
              <w:t>；西侧</w:t>
            </w:r>
            <w:r>
              <w:rPr>
                <w:rFonts w:hint="eastAsia" w:cs="Times New Roman"/>
                <w:szCs w:val="21"/>
                <w:lang w:val="en-US" w:eastAsia="zh-CN"/>
              </w:rPr>
              <w:t>为</w:t>
            </w:r>
            <w:r>
              <w:rPr>
                <w:rFonts w:hint="eastAsia" w:ascii="Times New Roman" w:hAnsi="Times New Roman" w:cs="Times New Roman"/>
                <w:szCs w:val="21"/>
                <w:lang w:val="en-US" w:eastAsia="zh-CN"/>
              </w:rPr>
              <w:t>库尔勒市第一人民医院</w:t>
            </w:r>
            <w:r>
              <w:rPr>
                <w:rFonts w:hint="eastAsia" w:cs="Times New Roman"/>
                <w:szCs w:val="21"/>
                <w:lang w:val="en-US" w:eastAsia="zh-CN"/>
              </w:rPr>
              <w:t>急救综合楼；</w:t>
            </w:r>
            <w:r>
              <w:rPr>
                <w:rFonts w:hint="eastAsia" w:ascii="Times New Roman" w:hAnsi="Times New Roman" w:cs="Times New Roman"/>
                <w:szCs w:val="21"/>
                <w:lang w:val="en-US" w:eastAsia="zh-CN"/>
              </w:rPr>
              <w:t>项目周边关系见</w:t>
            </w:r>
            <w:r>
              <w:rPr>
                <w:rFonts w:hint="eastAsia" w:cs="Times New Roman"/>
                <w:szCs w:val="21"/>
                <w:lang w:val="en-US" w:eastAsia="zh-CN"/>
              </w:rPr>
              <w:t>图2</w:t>
            </w:r>
            <w:r>
              <w:rPr>
                <w:rFonts w:hint="eastAsia" w:ascii="Times New Roman" w:hAnsi="Times New Roman" w:cs="Times New Roman"/>
                <w:szCs w:val="21"/>
                <w:lang w:val="en-US" w:eastAsia="zh-CN"/>
              </w:rPr>
              <w:t>。</w:t>
            </w:r>
          </w:p>
          <w:p>
            <w:pPr>
              <w:pStyle w:val="51"/>
              <w:bidi w:val="0"/>
              <w:rPr>
                <w:rFonts w:hint="eastAsia"/>
                <w:lang w:val="en-US" w:eastAsia="zh-CN"/>
              </w:rPr>
            </w:pPr>
            <w:r>
              <w:rPr>
                <w:rFonts w:hint="eastAsia"/>
                <w:lang w:val="en-US" w:eastAsia="zh-CN"/>
              </w:rPr>
              <w:t>4.建设内容与规模</w:t>
            </w:r>
          </w:p>
          <w:p>
            <w:pPr>
              <w:pStyle w:val="48"/>
              <w:bidi w:val="0"/>
              <w:rPr>
                <w:rFonts w:hint="eastAsia"/>
                <w:bCs/>
                <w:szCs w:val="21"/>
                <w:lang w:val="en-US" w:eastAsia="zh-CN"/>
              </w:rPr>
            </w:pPr>
            <w:r>
              <w:rPr>
                <w:rFonts w:hint="eastAsia"/>
                <w:lang w:val="en-US" w:eastAsia="zh-CN"/>
              </w:rPr>
              <w:t>本项目在</w:t>
            </w:r>
            <w:r>
              <w:rPr>
                <w:rFonts w:hint="eastAsia" w:ascii="Times New Roman" w:hAnsi="Times New Roman" w:cs="Times New Roman"/>
                <w:szCs w:val="21"/>
                <w:lang w:val="en-US" w:eastAsia="zh-CN"/>
              </w:rPr>
              <w:t>库尔勒市第一人民医院</w:t>
            </w:r>
            <w:r>
              <w:rPr>
                <w:rFonts w:hint="eastAsia" w:cs="Times New Roman"/>
                <w:szCs w:val="21"/>
                <w:lang w:val="en-US" w:eastAsia="zh-CN"/>
              </w:rPr>
              <w:t>院内</w:t>
            </w:r>
            <w:r>
              <w:rPr>
                <w:rFonts w:hint="eastAsia"/>
                <w:lang w:val="en-US" w:eastAsia="zh-CN"/>
              </w:rPr>
              <w:t>新建8240m</w:t>
            </w:r>
            <w:r>
              <w:rPr>
                <w:rFonts w:hint="eastAsia"/>
                <w:vertAlign w:val="superscript"/>
                <w:lang w:val="en-US" w:eastAsia="zh-CN"/>
              </w:rPr>
              <w:t>2</w:t>
            </w:r>
            <w:r>
              <w:rPr>
                <w:rFonts w:hint="eastAsia"/>
                <w:lang w:val="en-US" w:eastAsia="zh-CN"/>
              </w:rPr>
              <w:t>医技和重症医学楼及连廊98m</w:t>
            </w:r>
            <w:r>
              <w:rPr>
                <w:rFonts w:hint="eastAsia"/>
                <w:vertAlign w:val="superscript"/>
                <w:lang w:val="en-US" w:eastAsia="zh-CN"/>
              </w:rPr>
              <w:t>2</w:t>
            </w:r>
            <w:r>
              <w:rPr>
                <w:rFonts w:hint="eastAsia"/>
                <w:lang w:val="en-US" w:eastAsia="zh-CN"/>
              </w:rPr>
              <w:t>，其中医技和重症医学楼</w:t>
            </w:r>
            <w:r>
              <w:rPr>
                <w:rFonts w:hint="eastAsia"/>
                <w:vertAlign w:val="baseline"/>
                <w:lang w:val="en-US" w:eastAsia="zh-CN"/>
              </w:rPr>
              <w:t>地上5层，地下1层；封闭式连廊位于</w:t>
            </w:r>
            <w:r>
              <w:rPr>
                <w:rFonts w:hint="eastAsia"/>
                <w:lang w:val="en-US" w:eastAsia="zh-CN"/>
              </w:rPr>
              <w:t>医技和重症医学楼2层，连接至现有2号综合楼和急救综合楼</w:t>
            </w:r>
            <w:r>
              <w:rPr>
                <w:rFonts w:hint="eastAsia"/>
                <w:vertAlign w:val="baseline"/>
                <w:lang w:val="en-US" w:eastAsia="zh-CN"/>
              </w:rPr>
              <w:t>。共</w:t>
            </w:r>
            <w:r>
              <w:rPr>
                <w:rFonts w:hint="eastAsia"/>
                <w:lang w:val="en-US" w:eastAsia="zh-CN"/>
              </w:rPr>
              <w:t>设置床位64张，</w:t>
            </w:r>
            <w:r>
              <w:rPr>
                <w:rFonts w:hint="eastAsia"/>
                <w:bCs/>
                <w:szCs w:val="21"/>
                <w:vertAlign w:val="baseline"/>
                <w:lang w:val="en-US" w:eastAsia="zh-CN"/>
              </w:rPr>
              <w:t>项目主要建设医技科、重症医学科（ICU）及住院病房，</w:t>
            </w:r>
            <w:r>
              <w:rPr>
                <w:rFonts w:hint="eastAsia"/>
                <w:bCs/>
                <w:szCs w:val="21"/>
                <w:lang w:val="en-US" w:eastAsia="zh-CN"/>
              </w:rPr>
              <w:t>为病人提供检查、诊治、住院、康复重症监护等医疗服务，项目不设传染科、不接收传染病人。</w:t>
            </w:r>
          </w:p>
          <w:p>
            <w:pPr>
              <w:pStyle w:val="48"/>
              <w:bidi w:val="0"/>
              <w:rPr>
                <w:rFonts w:hint="eastAsia"/>
                <w:lang w:val="en-US" w:eastAsia="zh-CN"/>
              </w:rPr>
            </w:pPr>
            <w:r>
              <w:rPr>
                <w:rFonts w:hint="eastAsia"/>
                <w:lang w:val="en-US" w:eastAsia="zh-CN"/>
              </w:rPr>
              <w:t>本项目放射科涉及辐射的设备会对周边环境产生辐射危害，建设单位应采取相关措施进行辐射防护，使之满足相关的辐射防护要求。本项目涉及辐射的放射性设备的环评由建设单位委托有资质的单位另做评价，不在本次评价范围内。</w:t>
            </w:r>
          </w:p>
          <w:p>
            <w:pPr>
              <w:pStyle w:val="48"/>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lang w:val="en-US" w:eastAsia="zh-CN"/>
              </w:rPr>
              <w:t>项目主要</w:t>
            </w:r>
            <w:r>
              <w:rPr>
                <w:rFonts w:hint="eastAsia"/>
                <w:sz w:val="24"/>
                <w:szCs w:val="24"/>
                <w:lang w:val="en-US" w:eastAsia="zh-CN"/>
              </w:rPr>
              <w:t>建设情况见表2-2。</w:t>
            </w:r>
          </w:p>
          <w:p>
            <w:pPr>
              <w:pStyle w:val="50"/>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rPr>
            </w:pPr>
            <w:r>
              <w:rPr>
                <w:rFonts w:hint="eastAsia"/>
                <w:sz w:val="24"/>
                <w:szCs w:val="24"/>
                <w:lang w:val="en-US" w:eastAsia="zh-CN"/>
              </w:rPr>
              <w:t>表2-2    建设项目组成一览表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306"/>
              <w:gridCol w:w="811"/>
              <w:gridCol w:w="4503"/>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Align w:val="center"/>
                </w:tcPr>
                <w:p>
                  <w:pPr>
                    <w:pStyle w:val="49"/>
                    <w:bidi w:val="0"/>
                    <w:jc w:val="center"/>
                    <w:rPr>
                      <w:rFonts w:hint="default"/>
                      <w:lang w:val="en-US" w:eastAsia="zh-CN"/>
                    </w:rPr>
                  </w:pPr>
                  <w:r>
                    <w:rPr>
                      <w:rFonts w:hint="eastAsia"/>
                      <w:lang w:val="en-US" w:eastAsia="zh-CN"/>
                    </w:rPr>
                    <w:t>工程类别</w:t>
                  </w:r>
                </w:p>
              </w:tc>
              <w:tc>
                <w:tcPr>
                  <w:tcW w:w="1298" w:type="pct"/>
                  <w:gridSpan w:val="2"/>
                  <w:vAlign w:val="center"/>
                </w:tcPr>
                <w:p>
                  <w:pPr>
                    <w:pStyle w:val="49"/>
                    <w:bidi w:val="0"/>
                    <w:jc w:val="center"/>
                    <w:rPr>
                      <w:rFonts w:hint="default"/>
                      <w:lang w:val="en-US" w:eastAsia="zh-CN"/>
                    </w:rPr>
                  </w:pPr>
                  <w:r>
                    <w:rPr>
                      <w:rFonts w:hint="eastAsia"/>
                      <w:lang w:val="en-US" w:eastAsia="zh-CN"/>
                    </w:rPr>
                    <w:t>工程内容</w:t>
                  </w:r>
                </w:p>
              </w:tc>
              <w:tc>
                <w:tcPr>
                  <w:tcW w:w="2761" w:type="pct"/>
                  <w:vAlign w:val="center"/>
                </w:tcPr>
                <w:p>
                  <w:pPr>
                    <w:pStyle w:val="49"/>
                    <w:bidi w:val="0"/>
                    <w:jc w:val="center"/>
                    <w:rPr>
                      <w:rFonts w:hint="eastAsia"/>
                      <w:lang w:val="en-US" w:eastAsia="zh-CN"/>
                    </w:rPr>
                  </w:pPr>
                  <w:r>
                    <w:rPr>
                      <w:rFonts w:hint="eastAsia"/>
                      <w:lang w:val="en-US" w:eastAsia="zh-CN"/>
                    </w:rPr>
                    <w:t>建设内容</w:t>
                  </w:r>
                </w:p>
              </w:tc>
              <w:tc>
                <w:tcPr>
                  <w:tcW w:w="461" w:type="pct"/>
                  <w:vAlign w:val="center"/>
                </w:tcPr>
                <w:p>
                  <w:pPr>
                    <w:pStyle w:val="49"/>
                    <w:bidi w:val="0"/>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restart"/>
                  <w:vAlign w:val="center"/>
                </w:tcPr>
                <w:p>
                  <w:pPr>
                    <w:pStyle w:val="49"/>
                    <w:bidi w:val="0"/>
                    <w:jc w:val="center"/>
                    <w:rPr>
                      <w:rFonts w:hint="default"/>
                      <w:lang w:val="en-US" w:eastAsia="zh-CN"/>
                    </w:rPr>
                  </w:pPr>
                  <w:r>
                    <w:rPr>
                      <w:rFonts w:hint="eastAsia"/>
                      <w:lang w:val="en-US" w:eastAsia="zh-CN"/>
                    </w:rPr>
                    <w:t>主体工程</w:t>
                  </w:r>
                </w:p>
              </w:tc>
              <w:tc>
                <w:tcPr>
                  <w:tcW w:w="801" w:type="pct"/>
                  <w:vMerge w:val="restart"/>
                  <w:vAlign w:val="center"/>
                </w:tcPr>
                <w:p>
                  <w:pPr>
                    <w:pStyle w:val="49"/>
                    <w:bidi w:val="0"/>
                    <w:jc w:val="center"/>
                    <w:rPr>
                      <w:rFonts w:hint="default"/>
                      <w:lang w:val="en-US" w:eastAsia="zh-CN"/>
                    </w:rPr>
                  </w:pPr>
                  <w:r>
                    <w:rPr>
                      <w:rFonts w:hint="eastAsia"/>
                      <w:lang w:val="en-US" w:eastAsia="zh-CN"/>
                    </w:rPr>
                    <w:t>医技和重症医学楼</w:t>
                  </w:r>
                </w:p>
              </w:tc>
              <w:tc>
                <w:tcPr>
                  <w:tcW w:w="497" w:type="pct"/>
                  <w:vAlign w:val="center"/>
                </w:tcPr>
                <w:p>
                  <w:pPr>
                    <w:pStyle w:val="49"/>
                    <w:bidi w:val="0"/>
                    <w:jc w:val="center"/>
                    <w:rPr>
                      <w:rFonts w:hint="default"/>
                      <w:lang w:val="en-US" w:eastAsia="zh-CN"/>
                    </w:rPr>
                  </w:pPr>
                  <w:r>
                    <w:rPr>
                      <w:rFonts w:hint="eastAsia"/>
                    </w:rPr>
                    <w:t>1F</w:t>
                  </w:r>
                </w:p>
              </w:tc>
              <w:tc>
                <w:tcPr>
                  <w:tcW w:w="2761" w:type="pct"/>
                  <w:vAlign w:val="center"/>
                </w:tcPr>
                <w:p>
                  <w:pPr>
                    <w:pStyle w:val="49"/>
                    <w:bidi w:val="0"/>
                    <w:jc w:val="center"/>
                    <w:rPr>
                      <w:rFonts w:hint="default"/>
                      <w:lang w:val="en-US" w:eastAsia="zh-CN"/>
                    </w:rPr>
                  </w:pPr>
                  <w:r>
                    <w:rPr>
                      <w:rFonts w:hint="eastAsia"/>
                    </w:rPr>
                    <w:t>建筑面积</w:t>
                  </w:r>
                  <w:r>
                    <w:rPr>
                      <w:rFonts w:hint="eastAsia"/>
                      <w:lang w:val="en-US" w:eastAsia="zh-CN"/>
                    </w:rPr>
                    <w:t>1340</w:t>
                  </w:r>
                  <w:r>
                    <w:t>m</w:t>
                  </w:r>
                  <w:r>
                    <w:rPr>
                      <w:vertAlign w:val="superscript"/>
                    </w:rPr>
                    <w:t>2</w:t>
                  </w:r>
                  <w:r>
                    <w:rPr>
                      <w:rFonts w:hint="eastAsia"/>
                      <w:lang w:eastAsia="zh-CN"/>
                    </w:rPr>
                    <w:t>，</w:t>
                  </w:r>
                  <w:r>
                    <w:rPr>
                      <w:rFonts w:hint="eastAsia"/>
                      <w:lang w:val="en-US" w:eastAsia="zh-CN"/>
                    </w:rPr>
                    <w:t>内设放射科（包含MR室、MRI室、DR室、胃肠镜室）</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lang w:val="en-US" w:eastAsia="zh-CN"/>
                    </w:rPr>
                  </w:pPr>
                  <w:r>
                    <w:rPr>
                      <w:rFonts w:hint="eastAsia"/>
                    </w:rPr>
                    <w:t>2F</w:t>
                  </w:r>
                </w:p>
              </w:tc>
              <w:tc>
                <w:tcPr>
                  <w:tcW w:w="2761" w:type="pct"/>
                  <w:vAlign w:val="center"/>
                </w:tcPr>
                <w:p>
                  <w:pPr>
                    <w:pStyle w:val="49"/>
                    <w:bidi w:val="0"/>
                    <w:jc w:val="center"/>
                    <w:rPr>
                      <w:rFonts w:hint="eastAsia" w:eastAsia="宋体"/>
                      <w:lang w:val="en-US" w:eastAsia="zh-CN"/>
                    </w:rPr>
                  </w:pPr>
                  <w:r>
                    <w:rPr>
                      <w:rFonts w:hint="eastAsia"/>
                    </w:rPr>
                    <w:t>建筑面积</w:t>
                  </w:r>
                  <w:r>
                    <w:rPr>
                      <w:rFonts w:hint="eastAsia"/>
                      <w:lang w:val="en-US" w:eastAsia="zh-CN"/>
                    </w:rPr>
                    <w:t>1460</w:t>
                  </w:r>
                  <w:r>
                    <w:t>m</w:t>
                  </w:r>
                  <w:r>
                    <w:rPr>
                      <w:vertAlign w:val="superscript"/>
                    </w:rPr>
                    <w:t>2</w:t>
                  </w:r>
                  <w:r>
                    <w:rPr>
                      <w:rFonts w:hint="eastAsia"/>
                      <w:lang w:eastAsia="zh-CN"/>
                    </w:rPr>
                    <w:t>，</w:t>
                  </w:r>
                  <w:r>
                    <w:rPr>
                      <w:rFonts w:hint="eastAsia"/>
                      <w:lang w:val="en-US" w:eastAsia="zh-CN"/>
                    </w:rPr>
                    <w:t>内设心电室、超声室</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lang w:val="en-US" w:eastAsia="zh-CN"/>
                    </w:rPr>
                  </w:pPr>
                  <w:r>
                    <w:rPr>
                      <w:rFonts w:hint="eastAsia"/>
                    </w:rPr>
                    <w:t>3F</w:t>
                  </w:r>
                </w:p>
              </w:tc>
              <w:tc>
                <w:tcPr>
                  <w:tcW w:w="2761" w:type="pct"/>
                  <w:vAlign w:val="center"/>
                </w:tcPr>
                <w:p>
                  <w:pPr>
                    <w:pStyle w:val="49"/>
                    <w:bidi w:val="0"/>
                    <w:jc w:val="center"/>
                    <w:rPr>
                      <w:rFonts w:hint="default"/>
                      <w:lang w:val="en-US" w:eastAsia="zh-CN"/>
                    </w:rPr>
                  </w:pPr>
                  <w:r>
                    <w:rPr>
                      <w:rFonts w:hint="eastAsia"/>
                    </w:rPr>
                    <w:t>建筑面积</w:t>
                  </w:r>
                  <w:r>
                    <w:rPr>
                      <w:rFonts w:hint="eastAsia"/>
                      <w:lang w:val="en-US" w:eastAsia="zh-CN"/>
                    </w:rPr>
                    <w:t>1320</w:t>
                  </w:r>
                  <w:r>
                    <w:t>m</w:t>
                  </w:r>
                  <w:r>
                    <w:rPr>
                      <w:vertAlign w:val="superscript"/>
                    </w:rPr>
                    <w:t>2</w:t>
                  </w:r>
                  <w:r>
                    <w:rPr>
                      <w:rFonts w:hint="eastAsia"/>
                      <w:lang w:eastAsia="zh-CN"/>
                    </w:rPr>
                    <w:t>，</w:t>
                  </w:r>
                  <w:r>
                    <w:rPr>
                      <w:rFonts w:hint="eastAsia"/>
                      <w:lang w:val="en-US" w:eastAsia="zh-CN"/>
                    </w:rPr>
                    <w:t>内设ICU重症区，共20床位</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lang w:val="en-US" w:eastAsia="zh-CN"/>
                    </w:rPr>
                  </w:pPr>
                  <w:r>
                    <w:rPr>
                      <w:rFonts w:hint="eastAsia"/>
                    </w:rPr>
                    <w:t>4F</w:t>
                  </w:r>
                </w:p>
              </w:tc>
              <w:tc>
                <w:tcPr>
                  <w:tcW w:w="2761" w:type="pct"/>
                  <w:vAlign w:val="center"/>
                </w:tcPr>
                <w:p>
                  <w:pPr>
                    <w:pStyle w:val="49"/>
                    <w:bidi w:val="0"/>
                    <w:jc w:val="center"/>
                    <w:rPr>
                      <w:rFonts w:hint="eastAsia" w:eastAsia="宋体"/>
                      <w:lang w:val="en-US" w:eastAsia="zh-CN"/>
                    </w:rPr>
                  </w:pPr>
                  <w:r>
                    <w:rPr>
                      <w:rFonts w:hint="eastAsia"/>
                    </w:rPr>
                    <w:t>建筑面积</w:t>
                  </w:r>
                  <w:r>
                    <w:rPr>
                      <w:rFonts w:hint="eastAsia"/>
                      <w:lang w:val="en-US" w:eastAsia="zh-CN"/>
                    </w:rPr>
                    <w:t>1160</w:t>
                  </w:r>
                  <w:r>
                    <w:t>m</w:t>
                  </w:r>
                  <w:r>
                    <w:rPr>
                      <w:vertAlign w:val="superscript"/>
                    </w:rPr>
                    <w:t>2</w:t>
                  </w:r>
                  <w:r>
                    <w:rPr>
                      <w:rFonts w:hint="eastAsia"/>
                      <w:lang w:eastAsia="zh-CN"/>
                    </w:rPr>
                    <w:t>，</w:t>
                  </w:r>
                  <w:r>
                    <w:rPr>
                      <w:rFonts w:hint="eastAsia"/>
                      <w:lang w:val="en-US" w:eastAsia="zh-CN"/>
                    </w:rPr>
                    <w:t>内设住院病房，共22床位</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lang w:val="en-US" w:eastAsia="zh-CN"/>
                    </w:rPr>
                  </w:pPr>
                  <w:r>
                    <w:rPr>
                      <w:rFonts w:hint="eastAsia"/>
                    </w:rPr>
                    <w:t>5F</w:t>
                  </w:r>
                </w:p>
              </w:tc>
              <w:tc>
                <w:tcPr>
                  <w:tcW w:w="2761" w:type="pct"/>
                  <w:vAlign w:val="center"/>
                </w:tcPr>
                <w:p>
                  <w:pPr>
                    <w:pStyle w:val="49"/>
                    <w:bidi w:val="0"/>
                    <w:jc w:val="center"/>
                    <w:rPr>
                      <w:rFonts w:hint="eastAsia" w:eastAsia="宋体"/>
                      <w:lang w:val="en-US" w:eastAsia="zh-CN"/>
                    </w:rPr>
                  </w:pPr>
                  <w:r>
                    <w:rPr>
                      <w:rFonts w:hint="eastAsia"/>
                    </w:rPr>
                    <w:t>建筑面积</w:t>
                  </w:r>
                  <w:r>
                    <w:rPr>
                      <w:rFonts w:hint="eastAsia"/>
                      <w:lang w:val="en-US" w:eastAsia="zh-CN"/>
                    </w:rPr>
                    <w:t>1160</w:t>
                  </w:r>
                  <w:r>
                    <w:t>m</w:t>
                  </w:r>
                  <w:r>
                    <w:rPr>
                      <w:vertAlign w:val="superscript"/>
                    </w:rPr>
                    <w:t>2</w:t>
                  </w:r>
                  <w:r>
                    <w:rPr>
                      <w:rFonts w:hint="eastAsia"/>
                      <w:lang w:eastAsia="zh-CN"/>
                    </w:rPr>
                    <w:t>，</w:t>
                  </w:r>
                  <w:r>
                    <w:rPr>
                      <w:rFonts w:hint="eastAsia"/>
                      <w:lang w:val="en-US" w:eastAsia="zh-CN"/>
                    </w:rPr>
                    <w:t>内设住院病房，共22床位</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eastAsia="宋体"/>
                      <w:lang w:val="en-US" w:eastAsia="zh-CN"/>
                    </w:rPr>
                  </w:pPr>
                  <w:r>
                    <w:rPr>
                      <w:rFonts w:hint="eastAsia"/>
                      <w:lang w:val="en-US" w:eastAsia="zh-CN"/>
                    </w:rPr>
                    <w:t>地下一层</w:t>
                  </w:r>
                </w:p>
              </w:tc>
              <w:tc>
                <w:tcPr>
                  <w:tcW w:w="2761" w:type="pct"/>
                  <w:vAlign w:val="center"/>
                </w:tcPr>
                <w:p>
                  <w:pPr>
                    <w:pStyle w:val="49"/>
                    <w:bidi w:val="0"/>
                    <w:jc w:val="center"/>
                    <w:rPr>
                      <w:rFonts w:hint="eastAsia" w:eastAsia="宋体"/>
                      <w:vertAlign w:val="baseline"/>
                      <w:lang w:val="en-US" w:eastAsia="zh-CN"/>
                    </w:rPr>
                  </w:pPr>
                  <w:r>
                    <w:rPr>
                      <w:rFonts w:hint="eastAsia"/>
                    </w:rPr>
                    <w:t>建筑面积</w:t>
                  </w:r>
                  <w:r>
                    <w:rPr>
                      <w:rFonts w:hint="eastAsia"/>
                      <w:lang w:val="en-US" w:eastAsia="zh-CN"/>
                    </w:rPr>
                    <w:t>1800</w:t>
                  </w:r>
                  <w:r>
                    <w:t>m</w:t>
                  </w:r>
                  <w:r>
                    <w:rPr>
                      <w:vertAlign w:val="superscript"/>
                    </w:rPr>
                    <w:t>2</w:t>
                  </w:r>
                  <w:r>
                    <w:rPr>
                      <w:rFonts w:hint="eastAsia"/>
                      <w:vertAlign w:val="baseline"/>
                      <w:lang w:eastAsia="zh-CN"/>
                    </w:rPr>
                    <w:t>，</w:t>
                  </w:r>
                  <w:r>
                    <w:rPr>
                      <w:rFonts w:hint="eastAsia"/>
                      <w:highlight w:val="none"/>
                      <w:lang w:val="en-US" w:eastAsia="zh-CN"/>
                    </w:rPr>
                    <w:t>设置太平间、设备机房及其他附属设施</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801" w:type="pct"/>
                  <w:vMerge w:val="continue"/>
                  <w:vAlign w:val="center"/>
                </w:tcPr>
                <w:p>
                  <w:pPr>
                    <w:pStyle w:val="49"/>
                    <w:bidi w:val="0"/>
                    <w:jc w:val="center"/>
                    <w:rPr>
                      <w:rFonts w:hint="default"/>
                      <w:lang w:val="en-US" w:eastAsia="zh-CN"/>
                    </w:rPr>
                  </w:pPr>
                </w:p>
              </w:tc>
              <w:tc>
                <w:tcPr>
                  <w:tcW w:w="497" w:type="pct"/>
                  <w:vAlign w:val="center"/>
                </w:tcPr>
                <w:p>
                  <w:pPr>
                    <w:pStyle w:val="49"/>
                    <w:bidi w:val="0"/>
                    <w:jc w:val="center"/>
                    <w:rPr>
                      <w:rFonts w:hint="default" w:eastAsia="宋体"/>
                      <w:lang w:val="en-US" w:eastAsia="zh-CN"/>
                    </w:rPr>
                  </w:pPr>
                  <w:r>
                    <w:rPr>
                      <w:rFonts w:hint="eastAsia"/>
                      <w:lang w:val="en-US" w:eastAsia="zh-CN"/>
                    </w:rPr>
                    <w:t>封闭式连廊</w:t>
                  </w:r>
                </w:p>
              </w:tc>
              <w:tc>
                <w:tcPr>
                  <w:tcW w:w="2761" w:type="pct"/>
                  <w:vAlign w:val="center"/>
                </w:tcPr>
                <w:p>
                  <w:pPr>
                    <w:pStyle w:val="49"/>
                    <w:bidi w:val="0"/>
                    <w:jc w:val="center"/>
                    <w:rPr>
                      <w:rFonts w:hint="eastAsia" w:eastAsia="宋体"/>
                      <w:vertAlign w:val="baseline"/>
                      <w:lang w:val="en-US" w:eastAsia="zh-CN"/>
                    </w:rPr>
                  </w:pPr>
                  <w:r>
                    <w:rPr>
                      <w:rFonts w:hint="eastAsia"/>
                    </w:rPr>
                    <w:t>建筑面积</w:t>
                  </w:r>
                  <w:r>
                    <w:rPr>
                      <w:rFonts w:hint="eastAsia"/>
                      <w:lang w:val="en-US" w:eastAsia="zh-CN"/>
                    </w:rPr>
                    <w:t>98</w:t>
                  </w:r>
                  <w:r>
                    <w:t>m</w:t>
                  </w:r>
                  <w:r>
                    <w:rPr>
                      <w:vertAlign w:val="superscript"/>
                    </w:rPr>
                    <w:t>2</w:t>
                  </w:r>
                  <w:r>
                    <w:rPr>
                      <w:rFonts w:hint="eastAsia"/>
                      <w:vertAlign w:val="baseline"/>
                      <w:lang w:eastAsia="zh-CN"/>
                    </w:rPr>
                    <w:t>，</w:t>
                  </w:r>
                  <w:r>
                    <w:rPr>
                      <w:rFonts w:hint="eastAsia"/>
                      <w:vertAlign w:val="baseline"/>
                      <w:lang w:val="en-US" w:eastAsia="zh-CN"/>
                    </w:rPr>
                    <w:t>位于2层西北侧和东南侧，</w:t>
                  </w:r>
                  <w:r>
                    <w:rPr>
                      <w:rFonts w:hint="eastAsia"/>
                      <w:lang w:val="en-US" w:eastAsia="zh-CN"/>
                    </w:rPr>
                    <w:t>分别连接至现有急救综合楼和2号综合楼</w:t>
                  </w:r>
                </w:p>
              </w:tc>
              <w:tc>
                <w:tcPr>
                  <w:tcW w:w="461" w:type="pct"/>
                  <w:vAlign w:val="center"/>
                </w:tcPr>
                <w:p>
                  <w:pPr>
                    <w:pStyle w:val="49"/>
                    <w:bidi w:val="0"/>
                    <w:jc w:val="center"/>
                    <w:rPr>
                      <w:rFonts w:hint="default"/>
                      <w:lang w:val="en-US" w:eastAsia="zh-CN"/>
                    </w:rPr>
                  </w:pPr>
                  <w:r>
                    <w:rPr>
                      <w:rFonts w:hint="eastAsia"/>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restart"/>
                  <w:vAlign w:val="center"/>
                </w:tcPr>
                <w:p>
                  <w:pPr>
                    <w:pStyle w:val="49"/>
                    <w:bidi w:val="0"/>
                    <w:jc w:val="center"/>
                    <w:rPr>
                      <w:rFonts w:hint="default"/>
                      <w:lang w:val="en-US" w:eastAsia="zh-CN"/>
                    </w:rPr>
                  </w:pPr>
                  <w:r>
                    <w:rPr>
                      <w:rFonts w:hint="eastAsia"/>
                      <w:lang w:val="en-US" w:eastAsia="zh-CN"/>
                    </w:rPr>
                    <w:t>公用工程</w:t>
                  </w:r>
                </w:p>
              </w:tc>
              <w:tc>
                <w:tcPr>
                  <w:tcW w:w="1298" w:type="pct"/>
                  <w:gridSpan w:val="2"/>
                  <w:vAlign w:val="center"/>
                </w:tcPr>
                <w:p>
                  <w:pPr>
                    <w:pStyle w:val="49"/>
                    <w:bidi w:val="0"/>
                    <w:jc w:val="center"/>
                    <w:rPr>
                      <w:rFonts w:hint="eastAsia"/>
                    </w:rPr>
                  </w:pPr>
                  <w:r>
                    <w:rPr>
                      <w:rFonts w:hint="eastAsia"/>
                      <w:lang w:val="en-US" w:eastAsia="zh-CN"/>
                    </w:rPr>
                    <w:t>给水</w:t>
                  </w:r>
                </w:p>
              </w:tc>
              <w:tc>
                <w:tcPr>
                  <w:tcW w:w="2761" w:type="pct"/>
                  <w:vAlign w:val="center"/>
                </w:tcPr>
                <w:p>
                  <w:pPr>
                    <w:pStyle w:val="49"/>
                    <w:bidi w:val="0"/>
                    <w:jc w:val="center"/>
                    <w:rPr>
                      <w:rFonts w:hint="eastAsia" w:eastAsia="宋体"/>
                      <w:lang w:eastAsia="zh-CN"/>
                    </w:rPr>
                  </w:pPr>
                  <w:r>
                    <w:rPr>
                      <w:rFonts w:hint="eastAsia"/>
                    </w:rPr>
                    <w:t>市政供水管网供水</w:t>
                  </w:r>
                </w:p>
              </w:tc>
              <w:tc>
                <w:tcPr>
                  <w:tcW w:w="461" w:type="pct"/>
                  <w:vAlign w:val="center"/>
                </w:tcPr>
                <w:p>
                  <w:pPr>
                    <w:pStyle w:val="49"/>
                    <w:bidi w:val="0"/>
                    <w:jc w:val="center"/>
                    <w:rPr>
                      <w:rFonts w:hint="default"/>
                      <w:lang w:val="en-US" w:eastAsia="zh-CN"/>
                    </w:rPr>
                  </w:pPr>
                  <w:r>
                    <w:rPr>
                      <w:rFonts w:hint="eastAsia"/>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lang w:val="en-US" w:eastAsia="zh-CN"/>
                    </w:rPr>
                  </w:pPr>
                  <w:r>
                    <w:rPr>
                      <w:rFonts w:hint="eastAsia"/>
                      <w:lang w:val="en-US" w:eastAsia="zh-CN"/>
                    </w:rPr>
                    <w:t>供电</w:t>
                  </w:r>
                </w:p>
              </w:tc>
              <w:tc>
                <w:tcPr>
                  <w:tcW w:w="2761" w:type="pct"/>
                  <w:vAlign w:val="center"/>
                </w:tcPr>
                <w:p>
                  <w:pPr>
                    <w:pStyle w:val="49"/>
                    <w:bidi w:val="0"/>
                    <w:jc w:val="center"/>
                    <w:rPr>
                      <w:rFonts w:hint="eastAsia" w:eastAsia="宋体"/>
                      <w:lang w:eastAsia="zh-CN"/>
                    </w:rPr>
                  </w:pPr>
                  <w:r>
                    <w:rPr>
                      <w:rFonts w:hint="eastAsia"/>
                    </w:rPr>
                    <w:t>市政电网供电</w:t>
                  </w:r>
                </w:p>
              </w:tc>
              <w:tc>
                <w:tcPr>
                  <w:tcW w:w="461" w:type="pct"/>
                  <w:vAlign w:val="center"/>
                </w:tcPr>
                <w:p>
                  <w:pPr>
                    <w:bidi w:val="0"/>
                    <w:jc w:val="center"/>
                    <w:rPr>
                      <w:rFonts w:hint="default"/>
                      <w:lang w:val="en-US" w:eastAsia="zh-CN"/>
                    </w:rPr>
                  </w:pPr>
                  <w:r>
                    <w:rPr>
                      <w:rFonts w:hint="eastAsia"/>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lang w:val="en-US" w:eastAsia="zh-CN"/>
                    </w:rPr>
                  </w:pPr>
                  <w:r>
                    <w:rPr>
                      <w:rFonts w:hint="eastAsia"/>
                      <w:lang w:val="en-US" w:eastAsia="zh-CN"/>
                    </w:rPr>
                    <w:t>供暖</w:t>
                  </w:r>
                </w:p>
              </w:tc>
              <w:tc>
                <w:tcPr>
                  <w:tcW w:w="2761" w:type="pct"/>
                  <w:vAlign w:val="center"/>
                </w:tcPr>
                <w:p>
                  <w:pPr>
                    <w:pStyle w:val="49"/>
                    <w:bidi w:val="0"/>
                    <w:jc w:val="center"/>
                    <w:rPr>
                      <w:rFonts w:hint="default"/>
                      <w:lang w:val="en-US"/>
                    </w:rPr>
                  </w:pPr>
                  <w:r>
                    <w:rPr>
                      <w:rFonts w:hint="eastAsia"/>
                      <w:lang w:val="en-US" w:eastAsia="zh-CN"/>
                    </w:rPr>
                    <w:t>依托市政供暖管网</w:t>
                  </w:r>
                </w:p>
              </w:tc>
              <w:tc>
                <w:tcPr>
                  <w:tcW w:w="461" w:type="pct"/>
                  <w:vAlign w:val="center"/>
                </w:tcPr>
                <w:p>
                  <w:pPr>
                    <w:bidi w:val="0"/>
                    <w:jc w:val="center"/>
                    <w:rPr>
                      <w:rFonts w:hint="default"/>
                      <w:lang w:val="en-US" w:eastAsia="zh-CN"/>
                    </w:rPr>
                  </w:pPr>
                  <w:r>
                    <w:rPr>
                      <w:rFonts w:hint="eastAsia"/>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lang w:val="en-US" w:eastAsia="zh-CN"/>
                    </w:rPr>
                  </w:pPr>
                  <w:r>
                    <w:rPr>
                      <w:rFonts w:hint="eastAsia"/>
                      <w:lang w:val="en-US" w:eastAsia="zh-CN"/>
                    </w:rPr>
                    <w:t>排水</w:t>
                  </w:r>
                </w:p>
              </w:tc>
              <w:tc>
                <w:tcPr>
                  <w:tcW w:w="2761" w:type="pct"/>
                  <w:vAlign w:val="center"/>
                </w:tcPr>
                <w:p>
                  <w:pPr>
                    <w:pStyle w:val="49"/>
                    <w:bidi w:val="0"/>
                    <w:jc w:val="center"/>
                    <w:rPr>
                      <w:rFonts w:hint="eastAsia" w:eastAsia="宋体"/>
                      <w:lang w:eastAsia="zh-CN"/>
                    </w:rPr>
                  </w:pPr>
                  <w:r>
                    <w:rPr>
                      <w:rFonts w:hint="eastAsia"/>
                      <w:lang w:val="en-US" w:eastAsia="zh-CN"/>
                    </w:rPr>
                    <w:t>依托院内现有2号污水处理站处理</w:t>
                  </w:r>
                </w:p>
              </w:tc>
              <w:tc>
                <w:tcPr>
                  <w:tcW w:w="461" w:type="pct"/>
                  <w:vAlign w:val="center"/>
                </w:tcPr>
                <w:p>
                  <w:pPr>
                    <w:bidi w:val="0"/>
                    <w:jc w:val="center"/>
                    <w:rPr>
                      <w:rFonts w:hint="default"/>
                      <w:lang w:val="en-US" w:eastAsia="zh-CN"/>
                    </w:rPr>
                  </w:pPr>
                  <w:r>
                    <w:rPr>
                      <w:rFonts w:hint="eastAsia"/>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Merge w:val="restart"/>
                  <w:vAlign w:val="center"/>
                </w:tcPr>
                <w:p>
                  <w:pPr>
                    <w:pStyle w:val="49"/>
                    <w:bidi w:val="0"/>
                    <w:jc w:val="center"/>
                    <w:rPr>
                      <w:rFonts w:hint="default"/>
                      <w:lang w:val="en-US" w:eastAsia="zh-CN"/>
                    </w:rPr>
                  </w:pPr>
                  <w:r>
                    <w:rPr>
                      <w:rFonts w:hint="eastAsia"/>
                      <w:lang w:val="en-US" w:eastAsia="zh-CN"/>
                    </w:rPr>
                    <w:t>依托工程</w:t>
                  </w:r>
                </w:p>
              </w:tc>
              <w:tc>
                <w:tcPr>
                  <w:tcW w:w="1298" w:type="pct"/>
                  <w:gridSpan w:val="2"/>
                  <w:vAlign w:val="center"/>
                </w:tcPr>
                <w:p>
                  <w:pPr>
                    <w:pStyle w:val="49"/>
                    <w:bidi w:val="0"/>
                    <w:jc w:val="center"/>
                    <w:rPr>
                      <w:rFonts w:hint="eastAsia"/>
                    </w:rPr>
                  </w:pPr>
                  <w:r>
                    <w:rPr>
                      <w:rFonts w:hint="eastAsia"/>
                    </w:rPr>
                    <w:t>生活垃圾房</w:t>
                  </w:r>
                </w:p>
              </w:tc>
              <w:tc>
                <w:tcPr>
                  <w:tcW w:w="2761" w:type="pct"/>
                  <w:vAlign w:val="center"/>
                </w:tcPr>
                <w:p>
                  <w:pPr>
                    <w:pStyle w:val="49"/>
                    <w:bidi w:val="0"/>
                    <w:jc w:val="center"/>
                    <w:rPr>
                      <w:rFonts w:hint="eastAsia"/>
                    </w:rPr>
                  </w:pPr>
                  <w:r>
                    <w:rPr>
                      <w:rFonts w:hint="eastAsia"/>
                      <w:lang w:val="en-US" w:eastAsia="zh-CN"/>
                    </w:rPr>
                    <w:t>现有生活垃圾房</w:t>
                  </w:r>
                  <w:r>
                    <w:rPr>
                      <w:rFonts w:hint="default"/>
                      <w:lang w:val="en-US" w:eastAsia="zh-CN"/>
                    </w:rPr>
                    <w:t>1</w:t>
                  </w:r>
                  <w:r>
                    <w:rPr>
                      <w:rFonts w:hint="eastAsia"/>
                      <w:lang w:val="en-US" w:eastAsia="zh-CN"/>
                    </w:rPr>
                    <w:t>间，建筑面积</w:t>
                  </w:r>
                  <w:r>
                    <w:rPr>
                      <w:rFonts w:hint="default"/>
                      <w:lang w:val="en-US" w:eastAsia="zh-CN"/>
                    </w:rPr>
                    <w:t>75m</w:t>
                  </w:r>
                  <w:r>
                    <w:rPr>
                      <w:rFonts w:hint="default"/>
                      <w:vertAlign w:val="superscript"/>
                      <w:lang w:val="en-US" w:eastAsia="zh-CN"/>
                    </w:rPr>
                    <w:t>2</w:t>
                  </w:r>
                  <w:r>
                    <w:rPr>
                      <w:rFonts w:hint="eastAsia"/>
                      <w:lang w:val="en-US" w:eastAsia="zh-CN"/>
                    </w:rPr>
                    <w:t>，委托环卫部门每日清运处理</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lang w:val="en-US" w:eastAsia="zh-CN"/>
                    </w:rPr>
                  </w:pPr>
                  <w:r>
                    <w:rPr>
                      <w:rFonts w:hint="eastAsia"/>
                      <w:lang w:val="en-US" w:eastAsia="zh-CN"/>
                    </w:rPr>
                    <w:t>医疗废物贮存间</w:t>
                  </w:r>
                </w:p>
              </w:tc>
              <w:tc>
                <w:tcPr>
                  <w:tcW w:w="2761" w:type="pct"/>
                  <w:vAlign w:val="center"/>
                </w:tcPr>
                <w:p>
                  <w:pPr>
                    <w:pStyle w:val="49"/>
                    <w:bidi w:val="0"/>
                    <w:jc w:val="center"/>
                    <w:rPr>
                      <w:rFonts w:hint="eastAsia"/>
                    </w:rPr>
                  </w:pPr>
                  <w:r>
                    <w:rPr>
                      <w:rFonts w:hint="eastAsia"/>
                      <w:lang w:val="en-US" w:eastAsia="zh-CN"/>
                    </w:rPr>
                    <w:t>本项目医疗废物依托2#医疗废物贮存间进行处理，建筑面积</w:t>
                  </w:r>
                  <w:r>
                    <w:rPr>
                      <w:rFonts w:hint="default"/>
                      <w:lang w:val="en-US" w:eastAsia="zh-CN"/>
                    </w:rPr>
                    <w:t>75m</w:t>
                  </w:r>
                  <w:r>
                    <w:rPr>
                      <w:rFonts w:hint="default"/>
                      <w:vertAlign w:val="superscript"/>
                      <w:lang w:val="en-US" w:eastAsia="zh-CN"/>
                    </w:rPr>
                    <w:t>2</w:t>
                  </w:r>
                  <w:r>
                    <w:rPr>
                      <w:rFonts w:hint="eastAsia"/>
                      <w:lang w:val="en-US" w:eastAsia="zh-CN"/>
                    </w:rPr>
                    <w:t>，委托库尔勒天达环卫有限责任公司每日清运处理</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rPr>
                  </w:pPr>
                  <w:r>
                    <w:rPr>
                      <w:rFonts w:hint="eastAsia"/>
                      <w:lang w:val="en-US" w:eastAsia="zh-CN"/>
                    </w:rPr>
                    <w:t>食堂</w:t>
                  </w:r>
                </w:p>
              </w:tc>
              <w:tc>
                <w:tcPr>
                  <w:tcW w:w="2761" w:type="pct"/>
                  <w:vAlign w:val="center"/>
                </w:tcPr>
                <w:p>
                  <w:pPr>
                    <w:pStyle w:val="49"/>
                    <w:bidi w:val="0"/>
                    <w:jc w:val="center"/>
                    <w:rPr>
                      <w:rFonts w:hint="eastAsia"/>
                    </w:rPr>
                  </w:pPr>
                  <w:r>
                    <w:rPr>
                      <w:rFonts w:hint="eastAsia"/>
                      <w:lang w:val="en-US" w:eastAsia="zh-CN"/>
                    </w:rPr>
                    <w:t>依托现有</w:t>
                  </w:r>
                  <w:r>
                    <w:rPr>
                      <w:rFonts w:hint="default"/>
                      <w:lang w:val="en-US" w:eastAsia="zh-CN"/>
                    </w:rPr>
                    <w:t>2</w:t>
                  </w:r>
                  <w:r>
                    <w:rPr>
                      <w:rFonts w:hint="eastAsia"/>
                      <w:lang w:val="en-US" w:eastAsia="zh-CN"/>
                    </w:rPr>
                    <w:t>座食堂</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eastAsia"/>
                      <w:lang w:val="en-US" w:eastAsia="zh-CN"/>
                    </w:rPr>
                  </w:pPr>
                  <w:r>
                    <w:rPr>
                      <w:rFonts w:hint="eastAsia"/>
                      <w:lang w:val="en-US" w:eastAsia="zh-CN"/>
                    </w:rPr>
                    <w:t>污水处理站</w:t>
                  </w:r>
                </w:p>
              </w:tc>
              <w:tc>
                <w:tcPr>
                  <w:tcW w:w="2761" w:type="pct"/>
                  <w:vAlign w:val="center"/>
                </w:tcPr>
                <w:p>
                  <w:pPr>
                    <w:pStyle w:val="49"/>
                    <w:bidi w:val="0"/>
                    <w:jc w:val="center"/>
                    <w:rPr>
                      <w:rFonts w:hint="eastAsia"/>
                      <w:lang w:val="en-US" w:eastAsia="zh-CN"/>
                    </w:rPr>
                  </w:pPr>
                  <w:r>
                    <w:rPr>
                      <w:rFonts w:hint="eastAsia"/>
                      <w:lang w:val="en-US" w:eastAsia="zh-CN"/>
                    </w:rPr>
                    <w:t>本项目综合废水依托2号污水处理站处理，污水处理站采用地埋式一体化污水处理设施，使用“格栅→调节池→A</w:t>
                  </w:r>
                  <w:r>
                    <w:rPr>
                      <w:rFonts w:hint="eastAsia"/>
                      <w:vertAlign w:val="superscript"/>
                      <w:lang w:val="en-US" w:eastAsia="zh-CN"/>
                    </w:rPr>
                    <w:t>2</w:t>
                  </w:r>
                  <w:r>
                    <w:rPr>
                      <w:rFonts w:hint="eastAsia"/>
                      <w:lang w:val="en-US" w:eastAsia="zh-CN"/>
                    </w:rPr>
                    <w:t>O生化池→沉淀池→消毒池”的处理工艺，设计处理规模为500m</w:t>
                  </w:r>
                  <w:r>
                    <w:rPr>
                      <w:rFonts w:hint="eastAsia"/>
                      <w:vertAlign w:val="superscript"/>
                      <w:lang w:val="en-US" w:eastAsia="zh-CN"/>
                    </w:rPr>
                    <w:t>3</w:t>
                  </w:r>
                  <w:r>
                    <w:rPr>
                      <w:rFonts w:hint="eastAsia"/>
                      <w:lang w:val="en-US" w:eastAsia="zh-CN"/>
                    </w:rPr>
                    <w:t>/d</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restart"/>
                  <w:vAlign w:val="center"/>
                </w:tcPr>
                <w:p>
                  <w:pPr>
                    <w:pStyle w:val="49"/>
                    <w:bidi w:val="0"/>
                    <w:jc w:val="center"/>
                    <w:rPr>
                      <w:rFonts w:hint="default"/>
                      <w:lang w:val="en-US" w:eastAsia="zh-CN"/>
                    </w:rPr>
                  </w:pPr>
                  <w:r>
                    <w:rPr>
                      <w:rFonts w:hint="eastAsia"/>
                      <w:lang w:val="en-US" w:eastAsia="zh-CN"/>
                    </w:rPr>
                    <w:t>环保工程</w:t>
                  </w:r>
                </w:p>
              </w:tc>
              <w:tc>
                <w:tcPr>
                  <w:tcW w:w="1298" w:type="pct"/>
                  <w:gridSpan w:val="2"/>
                  <w:vAlign w:val="center"/>
                </w:tcPr>
                <w:p>
                  <w:pPr>
                    <w:pStyle w:val="49"/>
                    <w:bidi w:val="0"/>
                    <w:jc w:val="center"/>
                    <w:rPr>
                      <w:rFonts w:hint="eastAsia"/>
                      <w:lang w:val="en-US" w:eastAsia="zh-CN"/>
                    </w:rPr>
                  </w:pPr>
                  <w:r>
                    <w:rPr>
                      <w:rFonts w:hint="eastAsia"/>
                      <w:lang w:val="en-US" w:eastAsia="zh-CN"/>
                    </w:rPr>
                    <w:t>废气治理</w:t>
                  </w:r>
                </w:p>
              </w:tc>
              <w:tc>
                <w:tcPr>
                  <w:tcW w:w="2761" w:type="pct"/>
                  <w:vAlign w:val="center"/>
                </w:tcPr>
                <w:p>
                  <w:pPr>
                    <w:pStyle w:val="49"/>
                    <w:bidi w:val="0"/>
                    <w:jc w:val="center"/>
                    <w:rPr>
                      <w:rFonts w:hint="default"/>
                      <w:lang w:val="en-US" w:eastAsia="zh-CN"/>
                    </w:rPr>
                  </w:pPr>
                  <w:r>
                    <w:rPr>
                      <w:rFonts w:hint="eastAsia"/>
                      <w:shd w:val="clear"/>
                      <w:lang w:val="en-US" w:eastAsia="zh-CN"/>
                    </w:rPr>
                    <w:t>废水依托院内现有2号污水处理站，产生的废气经管道收集，通入等离子除臭装置+紫外线消毒设备处理后经1根15m高的排气筒进行排放</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Merge w:val="continue"/>
                  <w:vAlign w:val="center"/>
                </w:tcPr>
                <w:p>
                  <w:pPr>
                    <w:pStyle w:val="49"/>
                    <w:bidi w:val="0"/>
                    <w:jc w:val="center"/>
                    <w:rPr>
                      <w:rFonts w:hint="eastAsia"/>
                      <w:lang w:val="en-US" w:eastAsia="zh-CN"/>
                    </w:rPr>
                  </w:pPr>
                </w:p>
              </w:tc>
              <w:tc>
                <w:tcPr>
                  <w:tcW w:w="1298" w:type="pct"/>
                  <w:gridSpan w:val="2"/>
                  <w:vAlign w:val="center"/>
                </w:tcPr>
                <w:p>
                  <w:pPr>
                    <w:pStyle w:val="49"/>
                    <w:bidi w:val="0"/>
                    <w:jc w:val="center"/>
                    <w:rPr>
                      <w:rFonts w:hint="default"/>
                      <w:lang w:val="en-US" w:eastAsia="zh-CN"/>
                    </w:rPr>
                  </w:pPr>
                  <w:r>
                    <w:rPr>
                      <w:rFonts w:hint="eastAsia"/>
                      <w:lang w:val="en-US" w:eastAsia="zh-CN"/>
                    </w:rPr>
                    <w:t>噪声治理</w:t>
                  </w:r>
                </w:p>
              </w:tc>
              <w:tc>
                <w:tcPr>
                  <w:tcW w:w="2761" w:type="pct"/>
                  <w:vAlign w:val="center"/>
                </w:tcPr>
                <w:p>
                  <w:pPr>
                    <w:pStyle w:val="49"/>
                    <w:bidi w:val="0"/>
                    <w:jc w:val="center"/>
                    <w:rPr>
                      <w:rFonts w:hint="eastAsia"/>
                      <w:lang w:val="en-US" w:eastAsia="zh-CN"/>
                    </w:rPr>
                  </w:pPr>
                  <w:r>
                    <w:rPr>
                      <w:rFonts w:hint="eastAsia"/>
                      <w:lang w:val="en-US" w:eastAsia="zh-CN"/>
                    </w:rPr>
                    <w:t>采取设备基础减振、隔声和合理布置等降噪措施后厂界噪声将能够达标排放，同时加强绿化和隔音，减少周围交通噪声对本项目的影响。</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default"/>
                      <w:lang w:val="en-US" w:eastAsia="zh-CN"/>
                    </w:rPr>
                  </w:pPr>
                  <w:r>
                    <w:rPr>
                      <w:rFonts w:hint="eastAsia"/>
                      <w:lang w:val="en-US" w:eastAsia="zh-CN"/>
                    </w:rPr>
                    <w:t>废水治理</w:t>
                  </w:r>
                </w:p>
              </w:tc>
              <w:tc>
                <w:tcPr>
                  <w:tcW w:w="2761" w:type="pct"/>
                  <w:vAlign w:val="center"/>
                </w:tcPr>
                <w:p>
                  <w:pPr>
                    <w:pStyle w:val="49"/>
                    <w:bidi w:val="0"/>
                    <w:jc w:val="center"/>
                    <w:rPr>
                      <w:rFonts w:hint="eastAsia"/>
                      <w:lang w:val="en-US" w:eastAsia="zh-CN"/>
                    </w:rPr>
                  </w:pPr>
                  <w:r>
                    <w:rPr>
                      <w:rFonts w:hint="eastAsia"/>
                      <w:lang w:val="en-US" w:eastAsia="zh-CN"/>
                    </w:rPr>
                    <w:t>本项目产生的职工生活污水，门诊废水和医疗废水排入库尔勒市第一人民医院2号污水处理站进行处理，经处理后的外排废水达到《医疗机构水污染物排放标准》（GB18466－2005）表2预处理标准限值后通过市政污水管网排入库尔勒市老城区污水处理厂处理</w:t>
                  </w:r>
                </w:p>
              </w:tc>
              <w:tc>
                <w:tcPr>
                  <w:tcW w:w="461" w:type="pct"/>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 w:type="pct"/>
                  <w:vMerge w:val="continue"/>
                  <w:vAlign w:val="center"/>
                </w:tcPr>
                <w:p>
                  <w:pPr>
                    <w:pStyle w:val="49"/>
                    <w:bidi w:val="0"/>
                    <w:jc w:val="center"/>
                    <w:rPr>
                      <w:rFonts w:hint="default"/>
                      <w:lang w:val="en-US" w:eastAsia="zh-CN"/>
                    </w:rPr>
                  </w:pPr>
                </w:p>
              </w:tc>
              <w:tc>
                <w:tcPr>
                  <w:tcW w:w="1298" w:type="pct"/>
                  <w:gridSpan w:val="2"/>
                  <w:vAlign w:val="center"/>
                </w:tcPr>
                <w:p>
                  <w:pPr>
                    <w:pStyle w:val="49"/>
                    <w:bidi w:val="0"/>
                    <w:jc w:val="center"/>
                    <w:rPr>
                      <w:rFonts w:hint="default"/>
                      <w:lang w:val="en-US" w:eastAsia="zh-CN"/>
                    </w:rPr>
                  </w:pPr>
                  <w:r>
                    <w:rPr>
                      <w:rFonts w:hint="eastAsia"/>
                      <w:lang w:val="en-US" w:eastAsia="zh-CN"/>
                    </w:rPr>
                    <w:t>固废处置</w:t>
                  </w:r>
                </w:p>
              </w:tc>
              <w:tc>
                <w:tcPr>
                  <w:tcW w:w="2761" w:type="pct"/>
                  <w:vAlign w:val="center"/>
                </w:tcPr>
                <w:p>
                  <w:pPr>
                    <w:pStyle w:val="49"/>
                    <w:bidi w:val="0"/>
                    <w:jc w:val="center"/>
                    <w:rPr>
                      <w:rFonts w:hint="default" w:eastAsia="宋体"/>
                      <w:lang w:val="en-US" w:eastAsia="zh-CN"/>
                    </w:rPr>
                  </w:pPr>
                  <w:r>
                    <w:rPr>
                      <w:rFonts w:hint="eastAsia"/>
                      <w:lang w:val="en-US" w:eastAsia="zh-CN"/>
                    </w:rPr>
                    <w:t>生活垃圾集中收集后暂存于现有生活垃圾房中，定期委托环卫部门统一处</w:t>
                  </w:r>
                  <w:r>
                    <w:rPr>
                      <w:rFonts w:hint="eastAsia"/>
                      <w:shd w:val="clear"/>
                      <w:lang w:val="en-US" w:eastAsia="zh-CN"/>
                    </w:rPr>
                    <w:t>理；各种药盒、药箱等包装材料及使用说明材料等外售至物资回收单位进行处理；医疗废物分类收</w:t>
                  </w:r>
                  <w:r>
                    <w:rPr>
                      <w:rFonts w:hint="eastAsia"/>
                      <w:lang w:val="en-US" w:eastAsia="zh-CN"/>
                    </w:rPr>
                    <w:t>集后暂存于现有医疗废物贮存间并定期委托库尔勒天达环卫有限责</w:t>
                  </w:r>
                  <w:r>
                    <w:rPr>
                      <w:rFonts w:hint="eastAsia"/>
                      <w:sz w:val="21"/>
                      <w:szCs w:val="21"/>
                      <w:lang w:val="en-US" w:eastAsia="zh-CN"/>
                    </w:rPr>
                    <w:t>任公司进行处置；栅渣和污水处理站污泥委托新疆狮岭能源环保集团有限公司（原名为新疆贝肯能源环保有限公司）清运处置</w:t>
                  </w:r>
                  <w:r>
                    <w:rPr>
                      <w:rFonts w:hint="eastAsia"/>
                      <w:sz w:val="21"/>
                      <w:szCs w:val="21"/>
                      <w:lang w:eastAsia="zh-CN"/>
                    </w:rPr>
                    <w:t>，</w:t>
                  </w:r>
                  <w:r>
                    <w:rPr>
                      <w:rFonts w:hint="eastAsia"/>
                      <w:sz w:val="21"/>
                      <w:szCs w:val="21"/>
                      <w:lang w:val="en-US" w:eastAsia="zh-CN"/>
                    </w:rPr>
                    <w:t>不在院内暂存</w:t>
                  </w:r>
                </w:p>
              </w:tc>
              <w:tc>
                <w:tcPr>
                  <w:tcW w:w="461" w:type="pct"/>
                  <w:vAlign w:val="center"/>
                </w:tcPr>
                <w:p>
                  <w:pPr>
                    <w:pStyle w:val="49"/>
                    <w:bidi w:val="0"/>
                    <w:jc w:val="center"/>
                    <w:rPr>
                      <w:rFonts w:hint="default"/>
                      <w:lang w:val="en-US" w:eastAsia="zh-CN"/>
                    </w:rPr>
                  </w:pPr>
                  <w:r>
                    <w:rPr>
                      <w:rFonts w:hint="eastAsia"/>
                      <w:lang w:val="en-US" w:eastAsia="zh-CN"/>
                    </w:rPr>
                    <w:t>/</w:t>
                  </w:r>
                </w:p>
              </w:tc>
            </w:tr>
          </w:tbl>
          <w:p>
            <w:pPr>
              <w:pStyle w:val="58"/>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rPr>
              <w:t>库尔勒市第一人民医院</w:t>
            </w:r>
            <w:r>
              <w:rPr>
                <w:rFonts w:hint="eastAsia"/>
                <w:sz w:val="24"/>
                <w:szCs w:val="24"/>
                <w:lang w:val="en-US" w:eastAsia="zh-CN"/>
              </w:rPr>
              <w:t>床位数情况见表2-3。</w:t>
            </w:r>
          </w:p>
          <w:p>
            <w:pPr>
              <w:pStyle w:val="56"/>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lang w:val="en-US" w:eastAsia="zh-CN"/>
              </w:rPr>
              <w:t>表2-3    库尔勒市第一人民医院床位数一览表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7"/>
              <w:gridCol w:w="2717"/>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6" w:type="pct"/>
                  <w:vAlign w:val="center"/>
                </w:tcPr>
                <w:p>
                  <w:pPr>
                    <w:pStyle w:val="65"/>
                    <w:bidi w:val="0"/>
                    <w:jc w:val="center"/>
                    <w:rPr>
                      <w:rFonts w:hint="default"/>
                      <w:lang w:val="en-US" w:eastAsia="zh-CN"/>
                    </w:rPr>
                  </w:pPr>
                  <w:r>
                    <w:rPr>
                      <w:rFonts w:hint="eastAsia"/>
                      <w:lang w:val="en-US" w:eastAsia="zh-CN"/>
                    </w:rPr>
                    <w:t>现有工程床位数</w:t>
                  </w:r>
                </w:p>
              </w:tc>
              <w:tc>
                <w:tcPr>
                  <w:tcW w:w="1666" w:type="pct"/>
                  <w:vAlign w:val="center"/>
                </w:tcPr>
                <w:p>
                  <w:pPr>
                    <w:pStyle w:val="65"/>
                    <w:bidi w:val="0"/>
                    <w:jc w:val="center"/>
                    <w:rPr>
                      <w:rFonts w:hint="default"/>
                      <w:lang w:val="en-US" w:eastAsia="zh-CN"/>
                    </w:rPr>
                  </w:pPr>
                  <w:r>
                    <w:rPr>
                      <w:rFonts w:hint="eastAsia"/>
                      <w:lang w:val="en-US" w:eastAsia="zh-CN"/>
                    </w:rPr>
                    <w:t>本项目床位数</w:t>
                  </w:r>
                </w:p>
              </w:tc>
              <w:tc>
                <w:tcPr>
                  <w:tcW w:w="1666" w:type="pct"/>
                  <w:vAlign w:val="center"/>
                </w:tcPr>
                <w:p>
                  <w:pPr>
                    <w:pStyle w:val="65"/>
                    <w:bidi w:val="0"/>
                    <w:jc w:val="center"/>
                    <w:rPr>
                      <w:rFonts w:hint="default"/>
                      <w:lang w:val="en-US" w:eastAsia="zh-CN"/>
                    </w:rPr>
                  </w:pPr>
                  <w:r>
                    <w:rPr>
                      <w:rFonts w:hint="eastAsia"/>
                      <w:lang w:val="en-US" w:eastAsia="zh-CN"/>
                    </w:rPr>
                    <w:t>医院床位总数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66" w:type="pct"/>
                  <w:vAlign w:val="center"/>
                </w:tcPr>
                <w:p>
                  <w:pPr>
                    <w:pStyle w:val="65"/>
                    <w:bidi w:val="0"/>
                    <w:jc w:val="center"/>
                    <w:rPr>
                      <w:rFonts w:hint="default"/>
                      <w:lang w:val="en-US" w:eastAsia="zh-CN"/>
                    </w:rPr>
                  </w:pPr>
                  <w:r>
                    <w:rPr>
                      <w:rFonts w:hint="eastAsia"/>
                      <w:lang w:val="en-US" w:eastAsia="zh-CN"/>
                    </w:rPr>
                    <w:t>1005张</w:t>
                  </w:r>
                </w:p>
              </w:tc>
              <w:tc>
                <w:tcPr>
                  <w:tcW w:w="1666" w:type="pct"/>
                  <w:vAlign w:val="center"/>
                </w:tcPr>
                <w:p>
                  <w:pPr>
                    <w:pStyle w:val="65"/>
                    <w:bidi w:val="0"/>
                    <w:jc w:val="center"/>
                    <w:rPr>
                      <w:rFonts w:hint="default"/>
                      <w:lang w:val="en-US" w:eastAsia="zh-CN"/>
                    </w:rPr>
                  </w:pPr>
                  <w:r>
                    <w:rPr>
                      <w:rFonts w:hint="eastAsia"/>
                      <w:lang w:val="en-US" w:eastAsia="zh-CN"/>
                    </w:rPr>
                    <w:t>64张</w:t>
                  </w:r>
                </w:p>
              </w:tc>
              <w:tc>
                <w:tcPr>
                  <w:tcW w:w="1666" w:type="pct"/>
                  <w:vAlign w:val="center"/>
                </w:tcPr>
                <w:p>
                  <w:pPr>
                    <w:pStyle w:val="65"/>
                    <w:bidi w:val="0"/>
                    <w:jc w:val="center"/>
                    <w:rPr>
                      <w:rFonts w:hint="default"/>
                      <w:lang w:val="en-US" w:eastAsia="zh-CN"/>
                    </w:rPr>
                  </w:pPr>
                  <w:r>
                    <w:rPr>
                      <w:rFonts w:hint="eastAsia"/>
                      <w:lang w:val="en-US" w:eastAsia="zh-CN"/>
                    </w:rPr>
                    <w:t>1069张</w:t>
                  </w:r>
                </w:p>
              </w:tc>
            </w:tr>
          </w:tbl>
          <w:p>
            <w:pPr>
              <w:pStyle w:val="51"/>
              <w:bidi w:val="0"/>
              <w:rPr>
                <w:rFonts w:hint="eastAsia"/>
                <w:lang w:val="en-US" w:eastAsia="zh-CN"/>
              </w:rPr>
            </w:pPr>
            <w:r>
              <w:rPr>
                <w:rFonts w:hint="eastAsia"/>
                <w:lang w:val="en-US" w:eastAsia="zh-CN"/>
              </w:rPr>
              <w:t>5主要生产设备</w:t>
            </w:r>
          </w:p>
          <w:p>
            <w:pPr>
              <w:pStyle w:val="58"/>
              <w:keepNext w:val="0"/>
              <w:keepLines w:val="0"/>
              <w:pageBreakBefore w:val="0"/>
              <w:widowControl w:val="0"/>
              <w:kinsoku/>
              <w:wordWrap w:val="0"/>
              <w:overflowPunct/>
              <w:topLinePunct w:val="0"/>
              <w:autoSpaceDE/>
              <w:autoSpaceDN/>
              <w:bidi w:val="0"/>
              <w:adjustRightInd w:val="0"/>
              <w:snapToGrid w:val="0"/>
              <w:spacing w:line="520" w:lineRule="exact"/>
              <w:textAlignment w:val="auto"/>
              <w:rPr>
                <w:rFonts w:hint="default"/>
                <w:lang w:val="en-US" w:eastAsia="zh-CN"/>
              </w:rPr>
            </w:pPr>
            <w:r>
              <w:rPr>
                <w:rFonts w:hint="eastAsia"/>
                <w:lang w:val="en-US" w:eastAsia="zh-CN"/>
              </w:rPr>
              <w:t>本项目主要生产设备规格和数量详情见下表。</w:t>
            </w:r>
          </w:p>
          <w:p>
            <w:pPr>
              <w:pStyle w:val="50"/>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表2-4    项目主要设备一览表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955"/>
              <w:gridCol w:w="2084"/>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1" w:type="pct"/>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序号</w:t>
                  </w:r>
                </w:p>
              </w:tc>
              <w:tc>
                <w:tcPr>
                  <w:tcW w:w="2424" w:type="pct"/>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设备</w:t>
                  </w:r>
                </w:p>
              </w:tc>
              <w:tc>
                <w:tcPr>
                  <w:tcW w:w="1277" w:type="pct"/>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规格</w:t>
                  </w:r>
                </w:p>
              </w:tc>
              <w:tc>
                <w:tcPr>
                  <w:tcW w:w="776" w:type="pct"/>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pct"/>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lang w:val="en-US" w:eastAsia="zh-CN"/>
                    </w:rPr>
                  </w:pPr>
                </w:p>
              </w:tc>
              <w:tc>
                <w:tcPr>
                  <w:tcW w:w="2424" w:type="pct"/>
                  <w:vAlign w:val="center"/>
                </w:tcPr>
                <w:p>
                  <w:pPr>
                    <w:pStyle w:val="49"/>
                    <w:bidi w:val="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核磁共振</w:t>
                  </w:r>
                </w:p>
              </w:tc>
              <w:tc>
                <w:tcPr>
                  <w:tcW w:w="1277" w:type="pct"/>
                  <w:vAlign w:val="center"/>
                </w:tcPr>
                <w:p>
                  <w:pPr>
                    <w:pStyle w:val="49"/>
                    <w:bidi w:val="0"/>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266" w:type="dxa"/>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1" w:type="pct"/>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vAlign w:val="center"/>
                </w:tcPr>
                <w:p>
                  <w:pPr>
                    <w:pStyle w:val="49"/>
                    <w:bidi w:val="0"/>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DR</w:t>
                  </w:r>
                </w:p>
              </w:tc>
              <w:tc>
                <w:tcPr>
                  <w:tcW w:w="1277" w:type="pct"/>
                  <w:vAlign w:val="center"/>
                </w:tcPr>
                <w:p>
                  <w:pPr>
                    <w:pStyle w:val="49"/>
                    <w:bidi w:val="0"/>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266" w:type="dxa"/>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1" w:type="pct"/>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钼靶</w:t>
                  </w:r>
                </w:p>
              </w:tc>
              <w:tc>
                <w:tcPr>
                  <w:tcW w:w="1277" w:type="pct"/>
                  <w:vAlign w:val="center"/>
                </w:tcPr>
                <w:p>
                  <w:pPr>
                    <w:pStyle w:val="49"/>
                    <w:bidi w:val="0"/>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266" w:type="dxa"/>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shd w:val="clear" w:color="auto" w:fill="auto"/>
                  <w:noWrap/>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高端心脏超声诊断仪</w:t>
                  </w:r>
                </w:p>
              </w:tc>
              <w:tc>
                <w:tcPr>
                  <w:tcW w:w="1277" w:type="pct"/>
                  <w:shd w:val="clear" w:color="auto" w:fill="auto"/>
                  <w:noWrap/>
                  <w:vAlign w:val="center"/>
                </w:tcPr>
                <w:p>
                  <w:pPr>
                    <w:pStyle w:val="49"/>
                    <w:bidi w:val="0"/>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四维</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shd w:val="clear" w:color="auto" w:fill="auto"/>
                  <w:noWrap/>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产科彩色多普勒超声诊断仪</w:t>
                  </w:r>
                </w:p>
              </w:tc>
              <w:tc>
                <w:tcPr>
                  <w:tcW w:w="1277" w:type="pct"/>
                  <w:shd w:val="clear" w:color="auto" w:fill="auto"/>
                  <w:noWrap/>
                  <w:vAlign w:val="center"/>
                </w:tcPr>
                <w:p>
                  <w:pPr>
                    <w:pStyle w:val="49"/>
                    <w:bidi w:val="0"/>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四维</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shd w:val="clear" w:color="auto" w:fill="auto"/>
                  <w:noWrap/>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便携式彩色多普勒</w:t>
                  </w:r>
                </w:p>
              </w:tc>
              <w:tc>
                <w:tcPr>
                  <w:tcW w:w="1277" w:type="pct"/>
                  <w:shd w:val="clear" w:color="auto" w:fill="auto"/>
                  <w:noWrap/>
                  <w:vAlign w:val="center"/>
                </w:tcPr>
                <w:p>
                  <w:pPr>
                    <w:pStyle w:val="49"/>
                    <w:bidi w:val="0"/>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highlight w:val="none"/>
                    </w:rPr>
                  </w:pPr>
                </w:p>
              </w:tc>
              <w:tc>
                <w:tcPr>
                  <w:tcW w:w="2424" w:type="pct"/>
                  <w:shd w:val="clear" w:color="auto" w:fill="auto"/>
                  <w:noWrap/>
                  <w:vAlign w:val="center"/>
                </w:tcPr>
                <w:p>
                  <w:pPr>
                    <w:pStyle w:val="49"/>
                    <w:bidi w:val="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吊塔</w:t>
                  </w:r>
                </w:p>
              </w:tc>
              <w:tc>
                <w:tcPr>
                  <w:tcW w:w="1277" w:type="pct"/>
                  <w:shd w:val="clear" w:color="auto" w:fill="auto"/>
                  <w:noWrap/>
                  <w:vAlign w:val="center"/>
                </w:tcPr>
                <w:p>
                  <w:pPr>
                    <w:pStyle w:val="49"/>
                    <w:bidi w:val="0"/>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有创呼吸机</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cs="Times New Roman"/>
                      <w:sz w:val="21"/>
                      <w:szCs w:val="21"/>
                    </w:rPr>
                  </w:pPr>
                  <w:r>
                    <w:rPr>
                      <w:rFonts w:hint="default" w:ascii="Times New Roman" w:hAnsi="Times New Roman" w:cs="Times New Roman"/>
                      <w:sz w:val="21"/>
                      <w:szCs w:val="21"/>
                      <w:lang w:val="en-US" w:eastAsia="zh-CN"/>
                    </w:rPr>
                    <w:t>中央监护系统</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监护仪（带有创血压模块）</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亚低温治疗仪</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lang w:val="en-US"/>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肠内营养泵</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输液泵</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lang w:val="en-US"/>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微量泵（双泵）</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电动床</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21" w:type="pct"/>
                  <w:shd w:val="clear" w:color="auto" w:fill="auto"/>
                  <w:noWrap/>
                  <w:vAlign w:val="center"/>
                </w:tcPr>
                <w:p>
                  <w:pPr>
                    <w:pStyle w:val="49"/>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cs="Times New Roman"/>
                      <w:sz w:val="21"/>
                      <w:szCs w:val="21"/>
                    </w:rPr>
                  </w:pPr>
                </w:p>
              </w:tc>
              <w:tc>
                <w:tcPr>
                  <w:tcW w:w="2424" w:type="pct"/>
                  <w:shd w:val="clear" w:color="auto" w:fill="auto"/>
                  <w:noWrap/>
                  <w:vAlign w:val="center"/>
                </w:tcPr>
                <w:p>
                  <w:pPr>
                    <w:pStyle w:val="49"/>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静态床垫</w:t>
                  </w:r>
                </w:p>
              </w:tc>
              <w:tc>
                <w:tcPr>
                  <w:tcW w:w="1277" w:type="pct"/>
                  <w:shd w:val="clear" w:color="auto" w:fill="auto"/>
                  <w:noWrap/>
                  <w:vAlign w:val="center"/>
                </w:tcPr>
                <w:p>
                  <w:pPr>
                    <w:pStyle w:val="49"/>
                    <w:bidi w:val="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266" w:type="dxa"/>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w:t>
                  </w:r>
                </w:p>
              </w:tc>
            </w:tr>
          </w:tbl>
          <w:p>
            <w:pPr>
              <w:pStyle w:val="51"/>
              <w:bidi w:val="0"/>
              <w:rPr>
                <w:rFonts w:hint="default"/>
                <w:lang w:val="en-US" w:eastAsia="zh-CN"/>
              </w:rPr>
            </w:pPr>
            <w:r>
              <w:rPr>
                <w:rFonts w:hint="eastAsia"/>
                <w:lang w:val="en-US" w:eastAsia="zh-CN"/>
              </w:rPr>
              <w:t>6主要原辅材料</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本项目使用的原辅材料</w:t>
            </w:r>
            <w:r>
              <w:rPr>
                <w:rFonts w:hint="eastAsia"/>
                <w:sz w:val="24"/>
                <w:szCs w:val="24"/>
              </w:rPr>
              <w:t>消耗及来源见下表</w:t>
            </w:r>
            <w:r>
              <w:rPr>
                <w:rFonts w:hint="eastAsia"/>
                <w:sz w:val="24"/>
                <w:szCs w:val="24"/>
                <w:lang w:val="en-US" w:eastAsia="zh-CN"/>
              </w:rPr>
              <w:t>2-5，原辅材料理化性质见表2-6。</w:t>
            </w:r>
          </w:p>
          <w:p>
            <w:pPr>
              <w:pStyle w:val="50"/>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表2-5   本项目原辅材料消耗一览表</w:t>
            </w:r>
          </w:p>
          <w:tbl>
            <w:tblPr>
              <w:tblStyle w:val="2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275"/>
              <w:gridCol w:w="1182"/>
              <w:gridCol w:w="1308"/>
              <w:gridCol w:w="1266"/>
              <w:gridCol w:w="133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cs="Times New Roman"/>
                    </w:rPr>
                  </w:pPr>
                  <w:r>
                    <w:rPr>
                      <w:rFonts w:hint="default" w:ascii="Times New Roman" w:hAnsi="Times New Roman" w:cs="Times New Roman"/>
                    </w:rPr>
                    <w:t>序号</w:t>
                  </w:r>
                </w:p>
              </w:tc>
              <w:tc>
                <w:tcPr>
                  <w:tcW w:w="782" w:type="pct"/>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材料</w:t>
                  </w:r>
                  <w:r>
                    <w:rPr>
                      <w:rFonts w:hint="default" w:ascii="Times New Roman" w:hAnsi="Times New Roman" w:cs="Times New Roman"/>
                    </w:rPr>
                    <w:t>名称</w:t>
                  </w:r>
                </w:p>
              </w:tc>
              <w:tc>
                <w:tcPr>
                  <w:tcW w:w="725" w:type="pct"/>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rPr>
                    <w:t>规格</w:t>
                  </w:r>
                </w:p>
              </w:tc>
              <w:tc>
                <w:tcPr>
                  <w:tcW w:w="802" w:type="pct"/>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现有年消耗数量</w:t>
                  </w:r>
                </w:p>
              </w:tc>
              <w:tc>
                <w:tcPr>
                  <w:tcW w:w="776" w:type="pct"/>
                  <w:vAlign w:val="center"/>
                </w:tcPr>
                <w:p>
                  <w:pPr>
                    <w:pStyle w:val="42"/>
                    <w:bidi w:val="0"/>
                    <w:rPr>
                      <w:rFonts w:hint="default" w:ascii="Times New Roman" w:hAnsi="Times New Roman" w:cs="Times New Roman"/>
                    </w:rPr>
                  </w:pPr>
                  <w:r>
                    <w:rPr>
                      <w:rFonts w:hint="default" w:ascii="Times New Roman" w:hAnsi="Times New Roman" w:cs="Times New Roman"/>
                      <w:lang w:val="en-US" w:eastAsia="zh-CN"/>
                    </w:rPr>
                    <w:t>本项目年消耗</w:t>
                  </w:r>
                  <w:r>
                    <w:rPr>
                      <w:rFonts w:hint="default" w:ascii="Times New Roman" w:hAnsi="Times New Roman" w:cs="Times New Roman"/>
                    </w:rPr>
                    <w:t>数量</w:t>
                  </w:r>
                </w:p>
              </w:tc>
              <w:tc>
                <w:tcPr>
                  <w:tcW w:w="819" w:type="pct"/>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医院总消耗总量</w:t>
                  </w:r>
                </w:p>
              </w:tc>
              <w:tc>
                <w:tcPr>
                  <w:tcW w:w="676" w:type="pct"/>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1</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医用棉签</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10cm*20</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27000包</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1800包</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28800包</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2</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医用手套</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6.5号/7.0号/7.5号</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160675副</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13135副</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173810副</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3</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一次性口罩</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88329个</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6112个</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94441个</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4</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一次性鞋套</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17600副</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1000副</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18600副</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5</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一次性尿杯</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36000</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7200只</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43200只</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6</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一次性采血器</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83000只</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7200只</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90200只</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7</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一次性橡胶手套</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12000只/年</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1000只</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13000只</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8</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输液器</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各种规格</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330369只</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22759支</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353128支</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eastAsia" w:ascii="Times New Roman" w:hAnsi="Times New Roman" w:eastAsia="宋体" w:cs="Times New Roman"/>
                      <w:lang w:val="en-US" w:eastAsia="zh-CN"/>
                    </w:rPr>
                  </w:pPr>
                  <w:r>
                    <w:rPr>
                      <w:rFonts w:hint="eastAsia" w:ascii="Times New Roman" w:cs="Times New Roman"/>
                      <w:lang w:val="en-US" w:eastAsia="zh-CN"/>
                    </w:rPr>
                    <w:t>9</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注射器</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各种规格</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1000盒</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80盒</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1080盒</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10</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采血管</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各种规格</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209800只</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18980只</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228780只</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11</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医用输液贴</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368559支</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22759支</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391318支</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12</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胶片</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各种规格</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149154片</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11880片</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161034片</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13</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甲醛</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800瓶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68瓶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868瓶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14</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医用酒精</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1540瓶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130瓶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1670瓶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15</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eastAsia" w:ascii="Times New Roman" w:cs="Times New Roman"/>
                      <w:lang w:val="en-US" w:eastAsia="zh-CN"/>
                    </w:rPr>
                    <w:t>碘伏</w:t>
                  </w:r>
                  <w:r>
                    <w:rPr>
                      <w:rFonts w:hint="default" w:ascii="Times New Roman" w:hAnsi="Times New Roman" w:cs="Times New Roman"/>
                      <w:lang w:val="en-US" w:eastAsia="zh-CN"/>
                    </w:rPr>
                    <w:t>消毒液</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600瓶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40瓶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640瓶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16</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84消毒液</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75%，500mL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950瓶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70瓶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1020瓶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17</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葡萄糖</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9950瓶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770瓶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10720瓶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6" w:type="pct"/>
                  <w:vAlign w:val="center"/>
                </w:tcPr>
                <w:p>
                  <w:pPr>
                    <w:pStyle w:val="42"/>
                    <w:bidi w:val="0"/>
                    <w:rPr>
                      <w:rFonts w:hint="default" w:ascii="Times New Roman" w:hAnsi="Times New Roman" w:eastAsia="宋体" w:cs="Times New Roman"/>
                      <w:lang w:val="en-US" w:eastAsia="zh-CN"/>
                    </w:rPr>
                  </w:pPr>
                  <w:r>
                    <w:rPr>
                      <w:rFonts w:hint="eastAsia" w:ascii="Times New Roman" w:cs="Times New Roman"/>
                      <w:lang w:val="en-US" w:eastAsia="zh-CN"/>
                    </w:rPr>
                    <w:t>18</w:t>
                  </w:r>
                </w:p>
              </w:tc>
              <w:tc>
                <w:tcPr>
                  <w:tcW w:w="78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生理盐水</w:t>
                  </w:r>
                </w:p>
              </w:tc>
              <w:tc>
                <w:tcPr>
                  <w:tcW w:w="725"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500mL</w:t>
                  </w:r>
                </w:p>
              </w:tc>
              <w:tc>
                <w:tcPr>
                  <w:tcW w:w="802"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6200瓶</w:t>
                  </w:r>
                </w:p>
              </w:tc>
              <w:tc>
                <w:tcPr>
                  <w:tcW w:w="7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440瓶</w:t>
                  </w:r>
                </w:p>
              </w:tc>
              <w:tc>
                <w:tcPr>
                  <w:tcW w:w="819"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6640瓶</w:t>
                  </w:r>
                </w:p>
              </w:tc>
              <w:tc>
                <w:tcPr>
                  <w:tcW w:w="676" w:type="pct"/>
                  <w:shd w:val="clear" w:color="auto" w:fill="auto"/>
                  <w:vAlign w:val="center"/>
                </w:tcPr>
                <w:p>
                  <w:pPr>
                    <w:pStyle w:val="42"/>
                    <w:bidi w:val="0"/>
                    <w:rPr>
                      <w:rFonts w:hint="default" w:ascii="Times New Roman" w:hAnsi="Times New Roman" w:cs="Times New Roman"/>
                      <w:lang w:val="en-US" w:eastAsia="zh-CN"/>
                    </w:rPr>
                  </w:pPr>
                  <w:r>
                    <w:rPr>
                      <w:rFonts w:hint="default" w:ascii="Times New Roman" w:hAnsi="Times New Roman" w:cs="Times New Roman"/>
                      <w:lang w:val="en-US" w:eastAsia="zh-CN"/>
                    </w:rPr>
                    <w:t>外购</w:t>
                  </w:r>
                </w:p>
              </w:tc>
            </w:tr>
          </w:tbl>
          <w:p>
            <w:pPr>
              <w:pStyle w:val="50"/>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表2-6   本项目原辅材料理化性质一览表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66"/>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 w:type="pct"/>
                  <w:vAlign w:val="center"/>
                </w:tcPr>
                <w:p>
                  <w:pPr>
                    <w:pStyle w:val="49"/>
                    <w:bidi w:val="0"/>
                    <w:jc w:val="center"/>
                    <w:rPr>
                      <w:rFonts w:hint="default"/>
                      <w:color w:val="auto"/>
                      <w:lang w:val="en-US" w:eastAsia="zh-CN"/>
                    </w:rPr>
                  </w:pPr>
                  <w:r>
                    <w:rPr>
                      <w:rFonts w:hint="eastAsia"/>
                      <w:color w:val="auto"/>
                      <w:lang w:val="en-US" w:eastAsia="zh-CN"/>
                    </w:rPr>
                    <w:t>序号</w:t>
                  </w:r>
                </w:p>
              </w:tc>
              <w:tc>
                <w:tcPr>
                  <w:tcW w:w="531" w:type="pct"/>
                  <w:vAlign w:val="center"/>
                </w:tcPr>
                <w:p>
                  <w:pPr>
                    <w:pStyle w:val="49"/>
                    <w:bidi w:val="0"/>
                    <w:jc w:val="center"/>
                    <w:rPr>
                      <w:rFonts w:hint="default"/>
                      <w:color w:val="auto"/>
                      <w:lang w:val="en-US" w:eastAsia="zh-CN"/>
                    </w:rPr>
                  </w:pPr>
                  <w:r>
                    <w:rPr>
                      <w:rFonts w:hint="eastAsia"/>
                      <w:color w:val="auto"/>
                      <w:lang w:val="en-US" w:eastAsia="zh-CN"/>
                    </w:rPr>
                    <w:t>名称</w:t>
                  </w:r>
                </w:p>
              </w:tc>
              <w:tc>
                <w:tcPr>
                  <w:tcW w:w="4183" w:type="pct"/>
                  <w:vAlign w:val="center"/>
                </w:tcPr>
                <w:p>
                  <w:pPr>
                    <w:pStyle w:val="49"/>
                    <w:bidi w:val="0"/>
                    <w:jc w:val="center"/>
                    <w:rPr>
                      <w:rFonts w:hint="default"/>
                      <w:color w:val="auto"/>
                      <w:lang w:val="en-US" w:eastAsia="zh-CN"/>
                    </w:rPr>
                  </w:pPr>
                  <w:r>
                    <w:rPr>
                      <w:rFonts w:hint="eastAsia"/>
                      <w:color w:val="auto"/>
                      <w:lang w:val="en-US" w:eastAsia="zh-CN"/>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 w:type="pct"/>
                  <w:vAlign w:val="center"/>
                </w:tcPr>
                <w:p>
                  <w:pPr>
                    <w:pStyle w:val="49"/>
                    <w:bidi w:val="0"/>
                    <w:jc w:val="center"/>
                    <w:rPr>
                      <w:rFonts w:hint="default"/>
                      <w:color w:val="auto"/>
                      <w:lang w:val="en-US" w:eastAsia="zh-CN"/>
                    </w:rPr>
                  </w:pPr>
                  <w:r>
                    <w:rPr>
                      <w:rFonts w:hint="eastAsia"/>
                      <w:color w:val="auto"/>
                      <w:lang w:val="en-US" w:eastAsia="zh-CN"/>
                    </w:rPr>
                    <w:t>1</w:t>
                  </w:r>
                </w:p>
              </w:tc>
              <w:tc>
                <w:tcPr>
                  <w:tcW w:w="531" w:type="pct"/>
                  <w:vAlign w:val="center"/>
                </w:tcPr>
                <w:p>
                  <w:pPr>
                    <w:pStyle w:val="49"/>
                    <w:bidi w:val="0"/>
                    <w:jc w:val="center"/>
                    <w:rPr>
                      <w:rFonts w:hint="eastAsia"/>
                      <w:color w:val="auto"/>
                      <w:lang w:val="en-US" w:eastAsia="zh-CN"/>
                    </w:rPr>
                  </w:pPr>
                  <w:r>
                    <w:rPr>
                      <w:rFonts w:hint="eastAsia"/>
                      <w:color w:val="auto"/>
                      <w:lang w:val="en-US" w:eastAsia="zh-CN"/>
                    </w:rPr>
                    <w:t>医用酒精</w:t>
                  </w:r>
                </w:p>
              </w:tc>
              <w:tc>
                <w:tcPr>
                  <w:tcW w:w="4183" w:type="pct"/>
                  <w:vAlign w:val="center"/>
                </w:tcPr>
                <w:p>
                  <w:pPr>
                    <w:pStyle w:val="49"/>
                    <w:bidi w:val="0"/>
                    <w:jc w:val="center"/>
                    <w:rPr>
                      <w:rFonts w:hint="eastAsia"/>
                      <w:color w:val="auto"/>
                      <w:lang w:val="en-US" w:eastAsia="zh-CN"/>
                    </w:rPr>
                  </w:pPr>
                  <w:r>
                    <w:rPr>
                      <w:rFonts w:hint="default"/>
                      <w:color w:val="auto"/>
                      <w:lang w:eastAsia="zh-CN"/>
                    </w:rPr>
                    <w:fldChar w:fldCharType="begin"/>
                  </w:r>
                  <w:r>
                    <w:rPr>
                      <w:rFonts w:hint="default"/>
                      <w:color w:val="auto"/>
                      <w:lang w:eastAsia="zh-CN"/>
                    </w:rPr>
                    <w:instrText xml:space="preserve"> HYPERLINK "https://baike.so.com/doc/804239-850746.html" \t "https://baike.so.com/doc/_blank" </w:instrText>
                  </w:r>
                  <w:r>
                    <w:rPr>
                      <w:rFonts w:hint="default"/>
                      <w:color w:val="auto"/>
                      <w:lang w:eastAsia="zh-CN"/>
                    </w:rPr>
                    <w:fldChar w:fldCharType="separate"/>
                  </w:r>
                  <w:r>
                    <w:rPr>
                      <w:rFonts w:hint="default"/>
                      <w:color w:val="auto"/>
                      <w:lang w:eastAsia="zh-CN"/>
                    </w:rPr>
                    <w:t>化学式</w:t>
                  </w:r>
                  <w:r>
                    <w:rPr>
                      <w:rFonts w:hint="default"/>
                      <w:color w:val="auto"/>
                      <w:lang w:eastAsia="zh-CN"/>
                    </w:rPr>
                    <w:fldChar w:fldCharType="end"/>
                  </w:r>
                  <w:r>
                    <w:rPr>
                      <w:rFonts w:hint="default"/>
                      <w:color w:val="auto"/>
                      <w:lang w:eastAsia="zh-CN"/>
                    </w:rPr>
                    <w:t>为CH</w:t>
                  </w:r>
                  <w:r>
                    <w:rPr>
                      <w:rFonts w:hint="default"/>
                      <w:color w:val="auto"/>
                      <w:vertAlign w:val="subscript"/>
                      <w:lang w:eastAsia="zh-CN"/>
                    </w:rPr>
                    <w:t>3</w:t>
                  </w:r>
                  <w:r>
                    <w:rPr>
                      <w:rFonts w:hint="default"/>
                      <w:color w:val="auto"/>
                      <w:lang w:eastAsia="zh-CN"/>
                    </w:rPr>
                    <w:t>CH</w:t>
                  </w:r>
                  <w:r>
                    <w:rPr>
                      <w:rFonts w:hint="default"/>
                      <w:color w:val="auto"/>
                      <w:vertAlign w:val="subscript"/>
                      <w:lang w:eastAsia="zh-CN"/>
                    </w:rPr>
                    <w:t>2</w:t>
                  </w:r>
                  <w:r>
                    <w:rPr>
                      <w:rFonts w:hint="default"/>
                      <w:color w:val="auto"/>
                      <w:lang w:eastAsia="zh-CN"/>
                    </w:rPr>
                    <w:t>OH</w:t>
                  </w:r>
                  <w:r>
                    <w:rPr>
                      <w:rFonts w:hint="eastAsia"/>
                      <w:color w:val="auto"/>
                      <w:lang w:eastAsia="zh-CN"/>
                    </w:rPr>
                    <w:t>（</w:t>
                  </w:r>
                  <w:r>
                    <w:rPr>
                      <w:rFonts w:hint="default"/>
                      <w:color w:val="auto"/>
                      <w:lang w:eastAsia="zh-CN"/>
                    </w:rPr>
                    <w:t>C</w:t>
                  </w:r>
                  <w:r>
                    <w:rPr>
                      <w:rFonts w:hint="default"/>
                      <w:color w:val="auto"/>
                      <w:vertAlign w:val="subscript"/>
                      <w:lang w:eastAsia="zh-CN"/>
                    </w:rPr>
                    <w:t>2</w:t>
                  </w:r>
                  <w:r>
                    <w:rPr>
                      <w:rFonts w:hint="default"/>
                      <w:color w:val="auto"/>
                      <w:lang w:eastAsia="zh-CN"/>
                    </w:rPr>
                    <w:t>H</w:t>
                  </w:r>
                  <w:r>
                    <w:rPr>
                      <w:rFonts w:hint="default"/>
                      <w:color w:val="auto"/>
                      <w:vertAlign w:val="subscript"/>
                      <w:lang w:eastAsia="zh-CN"/>
                    </w:rPr>
                    <w:t>6</w:t>
                  </w:r>
                  <w:r>
                    <w:rPr>
                      <w:rFonts w:hint="default"/>
                      <w:color w:val="auto"/>
                      <w:lang w:eastAsia="zh-CN"/>
                    </w:rPr>
                    <w:t>O或C</w:t>
                  </w:r>
                  <w:r>
                    <w:rPr>
                      <w:rFonts w:hint="default"/>
                      <w:color w:val="auto"/>
                      <w:vertAlign w:val="subscript"/>
                      <w:lang w:eastAsia="zh-CN"/>
                    </w:rPr>
                    <w:t>2</w:t>
                  </w:r>
                  <w:r>
                    <w:rPr>
                      <w:rFonts w:hint="default"/>
                      <w:color w:val="auto"/>
                      <w:lang w:eastAsia="zh-CN"/>
                    </w:rPr>
                    <w:t>H</w:t>
                  </w:r>
                  <w:r>
                    <w:rPr>
                      <w:rFonts w:hint="default"/>
                      <w:color w:val="auto"/>
                      <w:vertAlign w:val="subscript"/>
                      <w:lang w:eastAsia="zh-CN"/>
                    </w:rPr>
                    <w:t>5</w:t>
                  </w:r>
                  <w:r>
                    <w:rPr>
                      <w:rFonts w:hint="default"/>
                      <w:color w:val="auto"/>
                      <w:lang w:eastAsia="zh-CN"/>
                    </w:rPr>
                    <w:t>OH</w:t>
                  </w:r>
                  <w:r>
                    <w:rPr>
                      <w:rFonts w:hint="eastAsia"/>
                      <w:color w:val="auto"/>
                      <w:lang w:eastAsia="zh-CN"/>
                    </w:rPr>
                    <w:t>）</w:t>
                  </w:r>
                  <w:r>
                    <w:rPr>
                      <w:rFonts w:hint="default"/>
                      <w:color w:val="auto"/>
                      <w:lang w:eastAsia="zh-CN"/>
                    </w:rPr>
                    <w:t>或EtOH，是带有一个羟基的饱和一元醇，在</w:t>
                  </w:r>
                  <w:r>
                    <w:rPr>
                      <w:rFonts w:hint="default"/>
                      <w:color w:val="auto"/>
                      <w:lang w:eastAsia="zh-CN"/>
                    </w:rPr>
                    <w:fldChar w:fldCharType="begin"/>
                  </w:r>
                  <w:r>
                    <w:rPr>
                      <w:rFonts w:hint="default"/>
                      <w:color w:val="auto"/>
                      <w:lang w:eastAsia="zh-CN"/>
                    </w:rPr>
                    <w:instrText xml:space="preserve"> HYPERLINK "https://baike.so.com/doc/1418085-1499028.html" \t "https://baike.so.com/doc/_blank" </w:instrText>
                  </w:r>
                  <w:r>
                    <w:rPr>
                      <w:rFonts w:hint="default"/>
                      <w:color w:val="auto"/>
                      <w:lang w:eastAsia="zh-CN"/>
                    </w:rPr>
                    <w:fldChar w:fldCharType="separate"/>
                  </w:r>
                  <w:r>
                    <w:rPr>
                      <w:rFonts w:hint="default"/>
                      <w:color w:val="auto"/>
                      <w:lang w:eastAsia="zh-CN"/>
                    </w:rPr>
                    <w:t>常温</w:t>
                  </w:r>
                  <w:r>
                    <w:rPr>
                      <w:rFonts w:hint="default"/>
                      <w:color w:val="auto"/>
                      <w:lang w:eastAsia="zh-CN"/>
                    </w:rPr>
                    <w:fldChar w:fldCharType="end"/>
                  </w:r>
                  <w:r>
                    <w:rPr>
                      <w:rFonts w:hint="default"/>
                      <w:color w:val="auto"/>
                      <w:lang w:eastAsia="zh-CN"/>
                    </w:rPr>
                    <w:t>、</w:t>
                  </w:r>
                  <w:r>
                    <w:rPr>
                      <w:rFonts w:hint="default"/>
                      <w:color w:val="auto"/>
                      <w:lang w:eastAsia="zh-CN"/>
                    </w:rPr>
                    <w:fldChar w:fldCharType="begin"/>
                  </w:r>
                  <w:r>
                    <w:rPr>
                      <w:rFonts w:hint="default"/>
                      <w:color w:val="auto"/>
                      <w:lang w:eastAsia="zh-CN"/>
                    </w:rPr>
                    <w:instrText xml:space="preserve"> HYPERLINK "https://baike.so.com/doc/221095-233877.html" \t "https://baike.so.com/doc/_blank" </w:instrText>
                  </w:r>
                  <w:r>
                    <w:rPr>
                      <w:rFonts w:hint="default"/>
                      <w:color w:val="auto"/>
                      <w:lang w:eastAsia="zh-CN"/>
                    </w:rPr>
                    <w:fldChar w:fldCharType="separate"/>
                  </w:r>
                  <w:r>
                    <w:rPr>
                      <w:rFonts w:hint="default"/>
                      <w:color w:val="auto"/>
                      <w:lang w:eastAsia="zh-CN"/>
                    </w:rPr>
                    <w:t>常压</w:t>
                  </w:r>
                  <w:r>
                    <w:rPr>
                      <w:rFonts w:hint="default"/>
                      <w:color w:val="auto"/>
                      <w:lang w:eastAsia="zh-CN"/>
                    </w:rPr>
                    <w:fldChar w:fldCharType="end"/>
                  </w:r>
                  <w:r>
                    <w:rPr>
                      <w:rFonts w:hint="default"/>
                      <w:color w:val="auto"/>
                      <w:lang w:eastAsia="zh-CN"/>
                    </w:rPr>
                    <w:t>下是一种易燃、易挥发的无色透明液体，它的水溶液具有酒香的气味，并略带刺激。有</w:t>
                  </w:r>
                  <w:r>
                    <w:rPr>
                      <w:rFonts w:hint="default"/>
                      <w:color w:val="auto"/>
                      <w:lang w:eastAsia="zh-CN"/>
                    </w:rPr>
                    <w:fldChar w:fldCharType="begin"/>
                  </w:r>
                  <w:r>
                    <w:rPr>
                      <w:rFonts w:hint="default"/>
                      <w:color w:val="auto"/>
                      <w:lang w:eastAsia="zh-CN"/>
                    </w:rPr>
                    <w:instrText xml:space="preserve"> HYPERLINK "https://baike.so.com/doc/2358857-2494473.html" \t "https://baike.so.com/doc/_blank" </w:instrText>
                  </w:r>
                  <w:r>
                    <w:rPr>
                      <w:rFonts w:hint="default"/>
                      <w:color w:val="auto"/>
                      <w:lang w:eastAsia="zh-CN"/>
                    </w:rPr>
                    <w:fldChar w:fldCharType="separate"/>
                  </w:r>
                  <w:r>
                    <w:rPr>
                      <w:rFonts w:hint="default"/>
                      <w:color w:val="auto"/>
                      <w:lang w:eastAsia="zh-CN"/>
                    </w:rPr>
                    <w:t>酒</w:t>
                  </w:r>
                  <w:r>
                    <w:rPr>
                      <w:rFonts w:hint="default"/>
                      <w:color w:val="auto"/>
                      <w:lang w:eastAsia="zh-CN"/>
                    </w:rPr>
                    <w:fldChar w:fldCharType="end"/>
                  </w:r>
                  <w:r>
                    <w:rPr>
                      <w:rFonts w:hint="default"/>
                      <w:color w:val="auto"/>
                      <w:lang w:eastAsia="zh-CN"/>
                    </w:rPr>
                    <w:t>的气味和刺激的辛辣滋味，微甘。液体密度是0.789g/cm</w:t>
                  </w:r>
                  <w:r>
                    <w:rPr>
                      <w:rFonts w:hint="default"/>
                      <w:color w:val="auto"/>
                      <w:vertAlign w:val="superscript"/>
                      <w:lang w:eastAsia="zh-CN"/>
                    </w:rPr>
                    <w:t>3</w:t>
                  </w:r>
                  <w:r>
                    <w:rPr>
                      <w:rFonts w:hint="eastAsia"/>
                      <w:color w:val="auto"/>
                      <w:lang w:eastAsia="zh-CN"/>
                    </w:rPr>
                    <w:t>（</w:t>
                  </w:r>
                  <w:r>
                    <w:rPr>
                      <w:rFonts w:hint="default"/>
                      <w:color w:val="auto"/>
                      <w:lang w:eastAsia="zh-CN"/>
                    </w:rPr>
                    <w:t>20</w:t>
                  </w:r>
                  <w:r>
                    <w:rPr>
                      <w:rFonts w:hint="default" w:ascii="Times New Roman" w:hAnsi="Times New Roman" w:cs="Times New Roman"/>
                      <w:color w:val="auto"/>
                      <w:lang w:val="en-US" w:eastAsia="zh-CN"/>
                    </w:rPr>
                    <w:t>℃</w:t>
                  </w:r>
                  <w:r>
                    <w:rPr>
                      <w:rFonts w:hint="eastAsia"/>
                      <w:color w:val="auto"/>
                      <w:lang w:eastAsia="zh-CN"/>
                    </w:rPr>
                    <w:t>）</w:t>
                  </w:r>
                  <w:r>
                    <w:rPr>
                      <w:rFonts w:hint="default"/>
                      <w:color w:val="auto"/>
                      <w:lang w:eastAsia="zh-CN"/>
                    </w:rPr>
                    <w:t>，气体密度为1.59kg/m</w:t>
                  </w:r>
                  <w:r>
                    <w:rPr>
                      <w:rFonts w:hint="default"/>
                      <w:color w:val="auto"/>
                      <w:vertAlign w:val="superscript"/>
                      <w:lang w:eastAsia="zh-CN"/>
                    </w:rPr>
                    <w:t>3</w:t>
                  </w:r>
                  <w:r>
                    <w:rPr>
                      <w:rFonts w:hint="default"/>
                      <w:color w:val="auto"/>
                      <w:lang w:eastAsia="zh-CN"/>
                    </w:rPr>
                    <w:t>，沸点是78.3℃，熔点是-114.1℃，易燃，其蒸气能与空气形成爆炸性混合物，能与水以任意比互溶。能与氯仿、乙醚、甲醇、</w:t>
                  </w:r>
                  <w:r>
                    <w:rPr>
                      <w:rFonts w:hint="default"/>
                      <w:color w:val="auto"/>
                      <w:lang w:eastAsia="zh-CN"/>
                    </w:rPr>
                    <w:fldChar w:fldCharType="begin"/>
                  </w:r>
                  <w:r>
                    <w:rPr>
                      <w:rFonts w:hint="default"/>
                      <w:color w:val="auto"/>
                      <w:lang w:eastAsia="zh-CN"/>
                    </w:rPr>
                    <w:instrText xml:space="preserve"> HYPERLINK "https://baike.so.com/doc/252057-266820.html" \t "https://baike.so.com/doc/_blank" </w:instrText>
                  </w:r>
                  <w:r>
                    <w:rPr>
                      <w:rFonts w:hint="default"/>
                      <w:color w:val="auto"/>
                      <w:lang w:eastAsia="zh-CN"/>
                    </w:rPr>
                    <w:fldChar w:fldCharType="separate"/>
                  </w:r>
                  <w:r>
                    <w:rPr>
                      <w:rFonts w:hint="default"/>
                      <w:color w:val="auto"/>
                      <w:lang w:eastAsia="zh-CN"/>
                    </w:rPr>
                    <w:t>丙酮</w:t>
                  </w:r>
                  <w:r>
                    <w:rPr>
                      <w:rFonts w:hint="default"/>
                      <w:color w:val="auto"/>
                      <w:lang w:eastAsia="zh-CN"/>
                    </w:rPr>
                    <w:fldChar w:fldCharType="end"/>
                  </w:r>
                  <w:r>
                    <w:rPr>
                      <w:rFonts w:hint="default"/>
                      <w:color w:val="auto"/>
                      <w:lang w:eastAsia="zh-CN"/>
                    </w:rPr>
                    <w:t>和其他多数</w:t>
                  </w:r>
                  <w:r>
                    <w:rPr>
                      <w:rFonts w:hint="default"/>
                      <w:color w:val="auto"/>
                      <w:lang w:eastAsia="zh-CN"/>
                    </w:rPr>
                    <w:fldChar w:fldCharType="begin"/>
                  </w:r>
                  <w:r>
                    <w:rPr>
                      <w:rFonts w:hint="default"/>
                      <w:color w:val="auto"/>
                      <w:lang w:eastAsia="zh-CN"/>
                    </w:rPr>
                    <w:instrText xml:space="preserve"> HYPERLINK "https://baike.so.com/doc/4792021-5008084.html" \t "https://baike.so.com/doc/_blank" </w:instrText>
                  </w:r>
                  <w:r>
                    <w:rPr>
                      <w:rFonts w:hint="default"/>
                      <w:color w:val="auto"/>
                      <w:lang w:eastAsia="zh-CN"/>
                    </w:rPr>
                    <w:fldChar w:fldCharType="separate"/>
                  </w:r>
                  <w:r>
                    <w:rPr>
                      <w:rFonts w:hint="default"/>
                      <w:color w:val="auto"/>
                      <w:lang w:eastAsia="zh-CN"/>
                    </w:rPr>
                    <w:t>有机溶剂</w:t>
                  </w:r>
                  <w:r>
                    <w:rPr>
                      <w:rFonts w:hint="default"/>
                      <w:color w:val="auto"/>
                      <w:lang w:eastAsia="zh-CN"/>
                    </w:rPr>
                    <w:fldChar w:fldCharType="end"/>
                  </w:r>
                  <w:r>
                    <w:rPr>
                      <w:rFonts w:hint="default"/>
                      <w:color w:val="auto"/>
                      <w:lang w:eastAsia="zh-CN"/>
                    </w:rPr>
                    <w:t>混溶，相对密度</w:t>
                  </w:r>
                  <w:r>
                    <w:rPr>
                      <w:rFonts w:hint="eastAsia"/>
                      <w:color w:val="auto"/>
                      <w:lang w:eastAsia="zh-CN"/>
                    </w:rPr>
                    <w:t>（</w:t>
                  </w:r>
                  <w:r>
                    <w:rPr>
                      <w:rFonts w:hint="default"/>
                      <w:color w:val="auto"/>
                      <w:lang w:eastAsia="zh-CN"/>
                    </w:rPr>
                    <w:t>d15.56</w:t>
                  </w:r>
                  <w:r>
                    <w:rPr>
                      <w:rFonts w:hint="eastAsia"/>
                      <w:color w:val="auto"/>
                      <w:lang w:eastAsia="zh-CN"/>
                    </w:rPr>
                    <w:t>）</w:t>
                  </w:r>
                  <w:r>
                    <w:rPr>
                      <w:rFonts w:hint="default"/>
                      <w:color w:val="auto"/>
                      <w:lang w:eastAsia="zh-CN"/>
                    </w:rPr>
                    <w:t>0.816。用途很广，可用乙醇制造醋酸、饮料、</w:t>
                  </w:r>
                  <w:r>
                    <w:rPr>
                      <w:rFonts w:hint="default"/>
                      <w:color w:val="auto"/>
                      <w:lang w:eastAsia="zh-CN"/>
                    </w:rPr>
                    <w:fldChar w:fldCharType="begin"/>
                  </w:r>
                  <w:r>
                    <w:rPr>
                      <w:rFonts w:hint="default"/>
                      <w:color w:val="auto"/>
                      <w:lang w:eastAsia="zh-CN"/>
                    </w:rPr>
                    <w:instrText xml:space="preserve"> HYPERLINK "https://baike.so.com/doc/1815888-1920476.html" \t "https://baike.so.com/doc/_blank" </w:instrText>
                  </w:r>
                  <w:r>
                    <w:rPr>
                      <w:rFonts w:hint="default"/>
                      <w:color w:val="auto"/>
                      <w:lang w:eastAsia="zh-CN"/>
                    </w:rPr>
                    <w:fldChar w:fldCharType="separate"/>
                  </w:r>
                  <w:r>
                    <w:rPr>
                      <w:rFonts w:hint="default"/>
                      <w:color w:val="auto"/>
                      <w:lang w:eastAsia="zh-CN"/>
                    </w:rPr>
                    <w:t>香精</w:t>
                  </w:r>
                  <w:r>
                    <w:rPr>
                      <w:rFonts w:hint="default"/>
                      <w:color w:val="auto"/>
                      <w:lang w:eastAsia="zh-CN"/>
                    </w:rPr>
                    <w:fldChar w:fldCharType="end"/>
                  </w:r>
                  <w:r>
                    <w:rPr>
                      <w:rFonts w:hint="default"/>
                      <w:color w:val="auto"/>
                      <w:lang w:eastAsia="zh-CN"/>
                    </w:rPr>
                    <w:t>、染料、燃料等。医疗上也常用体积分数为70%-75%的乙醇作消毒剂等，在国防工业、医疗卫生、有机合成、</w:t>
                  </w:r>
                  <w:r>
                    <w:rPr>
                      <w:rFonts w:hint="default"/>
                      <w:color w:val="auto"/>
                      <w:lang w:eastAsia="zh-CN"/>
                    </w:rPr>
                    <w:fldChar w:fldCharType="begin"/>
                  </w:r>
                  <w:r>
                    <w:rPr>
                      <w:rFonts w:hint="default"/>
                      <w:color w:val="auto"/>
                      <w:lang w:eastAsia="zh-CN"/>
                    </w:rPr>
                    <w:instrText xml:space="preserve"> HYPERLINK "https://baike.so.com/doc/5667566-5880228.html" \t "https://baike.so.com/doc/_blank" </w:instrText>
                  </w:r>
                  <w:r>
                    <w:rPr>
                      <w:rFonts w:hint="default"/>
                      <w:color w:val="auto"/>
                      <w:lang w:eastAsia="zh-CN"/>
                    </w:rPr>
                    <w:fldChar w:fldCharType="separate"/>
                  </w:r>
                  <w:r>
                    <w:rPr>
                      <w:rFonts w:hint="default"/>
                      <w:color w:val="auto"/>
                      <w:lang w:eastAsia="zh-CN"/>
                    </w:rPr>
                    <w:t>食品工业</w:t>
                  </w:r>
                  <w:r>
                    <w:rPr>
                      <w:rFonts w:hint="default"/>
                      <w:color w:val="auto"/>
                      <w:lang w:eastAsia="zh-CN"/>
                    </w:rPr>
                    <w:fldChar w:fldCharType="end"/>
                  </w:r>
                  <w:r>
                    <w:rPr>
                      <w:rFonts w:hint="default"/>
                      <w:color w:val="auto"/>
                      <w:lang w:eastAsia="zh-CN"/>
                    </w:rPr>
                    <w:t>、工农业生产中都有广泛的用途。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Align w:val="center"/>
                </w:tcPr>
                <w:p>
                  <w:pPr>
                    <w:pStyle w:val="49"/>
                    <w:bidi w:val="0"/>
                    <w:jc w:val="center"/>
                    <w:rPr>
                      <w:rFonts w:hint="default"/>
                      <w:color w:val="auto"/>
                      <w:lang w:val="en-US" w:eastAsia="zh-CN"/>
                    </w:rPr>
                  </w:pPr>
                  <w:r>
                    <w:rPr>
                      <w:rFonts w:hint="eastAsia"/>
                      <w:color w:val="auto"/>
                      <w:lang w:val="en-US" w:eastAsia="zh-CN"/>
                    </w:rPr>
                    <w:t>2</w:t>
                  </w:r>
                </w:p>
              </w:tc>
              <w:tc>
                <w:tcPr>
                  <w:tcW w:w="531" w:type="pct"/>
                  <w:vAlign w:val="center"/>
                </w:tcPr>
                <w:p>
                  <w:pPr>
                    <w:pStyle w:val="49"/>
                    <w:bidi w:val="0"/>
                    <w:jc w:val="center"/>
                    <w:rPr>
                      <w:rFonts w:hint="eastAsia"/>
                      <w:color w:val="auto"/>
                      <w:lang w:val="en-US" w:eastAsia="zh-CN"/>
                    </w:rPr>
                  </w:pPr>
                  <w:r>
                    <w:rPr>
                      <w:rFonts w:hint="eastAsia"/>
                      <w:color w:val="auto"/>
                      <w:lang w:val="en-US" w:eastAsia="zh-CN"/>
                    </w:rPr>
                    <w:t>甲醛</w:t>
                  </w:r>
                </w:p>
              </w:tc>
              <w:tc>
                <w:tcPr>
                  <w:tcW w:w="4183" w:type="pct"/>
                  <w:vAlign w:val="center"/>
                </w:tcPr>
                <w:p>
                  <w:pPr>
                    <w:pStyle w:val="49"/>
                    <w:bidi w:val="0"/>
                    <w:jc w:val="center"/>
                    <w:rPr>
                      <w:rFonts w:hint="eastAsia"/>
                      <w:color w:val="auto"/>
                      <w:lang w:val="en-US" w:eastAsia="zh-CN"/>
                    </w:rPr>
                  </w:pPr>
                  <w:r>
                    <w:rPr>
                      <w:color w:val="auto"/>
                    </w:rPr>
                    <w:t>甲醛，又名蚁醛，是一种</w:t>
                  </w:r>
                  <w:r>
                    <w:rPr>
                      <w:rFonts w:hint="default"/>
                      <w:color w:val="auto"/>
                    </w:rPr>
                    <w:fldChar w:fldCharType="begin"/>
                  </w:r>
                  <w:r>
                    <w:rPr>
                      <w:rFonts w:hint="default"/>
                      <w:color w:val="auto"/>
                    </w:rPr>
                    <w:instrText xml:space="preserve"> HYPERLINK "https://baike.baidu.com/item/%E6%9C%89%E6%9C%BA%E5%8C%96%E5%90%88%E7%89%A9/2950156?fromModule=lemma_inlink" \t "https://baike.baidu.com/item/%E7%94%B2%E9%86%9B/_blank" </w:instrText>
                  </w:r>
                  <w:r>
                    <w:rPr>
                      <w:rFonts w:hint="default"/>
                      <w:color w:val="auto"/>
                    </w:rPr>
                    <w:fldChar w:fldCharType="separate"/>
                  </w:r>
                  <w:r>
                    <w:rPr>
                      <w:rFonts w:hint="default" w:ascii="Helvetica" w:hAnsi="Helvetica" w:eastAsia="Helvetica" w:cs="Helvetica"/>
                      <w:i w:val="0"/>
                      <w:iCs w:val="0"/>
                      <w:caps w:val="0"/>
                      <w:color w:val="auto"/>
                      <w:spacing w:val="0"/>
                      <w:szCs w:val="21"/>
                      <w:u w:val="none"/>
                      <w:shd w:val="clear" w:fill="FFFFFF"/>
                    </w:rPr>
                    <w:t>有机化合物</w:t>
                  </w:r>
                  <w:r>
                    <w:rPr>
                      <w:rFonts w:hint="default"/>
                      <w:color w:val="auto"/>
                    </w:rPr>
                    <w:fldChar w:fldCharType="end"/>
                  </w:r>
                  <w:r>
                    <w:rPr>
                      <w:rFonts w:hint="default"/>
                      <w:color w:val="auto"/>
                    </w:rPr>
                    <w:t>，化学式CH</w:t>
                  </w:r>
                  <w:r>
                    <w:rPr>
                      <w:rFonts w:hint="default"/>
                      <w:color w:val="auto"/>
                      <w:vertAlign w:val="subscript"/>
                    </w:rPr>
                    <w:t>2</w:t>
                  </w:r>
                  <w:r>
                    <w:rPr>
                      <w:rFonts w:hint="default"/>
                      <w:color w:val="auto"/>
                    </w:rPr>
                    <w:t>O，相对分子质量30.03，熔点-92℃，沸点-19.5℃，相对密度0.815g/cm³。35～40%的甲醛水溶液即为人们所熟知的福尔马林溶液。</w:t>
                  </w:r>
                  <w:r>
                    <w:rPr>
                      <w:color w:val="auto"/>
                    </w:rPr>
                    <w:t>甲醛具有还原性，尤其在碱性溶液中，还原能力更强，能燃烧，蒸气与空气形成爆炸性混合物，爆炸极限7%—73%（体积百分比），燃点约300℃</w:t>
                  </w:r>
                  <w:r>
                    <w:rPr>
                      <w:rFonts w:hint="default"/>
                      <w:color w:val="auto"/>
                    </w:rPr>
                    <w:t>。</w:t>
                  </w:r>
                  <w:r>
                    <w:rPr>
                      <w:color w:val="auto"/>
                    </w:rPr>
                    <w:t>甲醛在石油化工、医药、轻纺、生物化工以及能源、交通运输等行业均有广泛用途</w:t>
                  </w:r>
                  <w:r>
                    <w:rPr>
                      <w:rFonts w:hint="default"/>
                      <w:color w:val="auto"/>
                    </w:rPr>
                    <w:t>，可用作消毒剂和防腐剂，也可用于制备酚醛树脂、脲醛树脂、三聚氰胺树脂、乌洛托品、季戊四醇等多种产品。甲醛对黏膜有强烈的刺激性并有催泪作用，能使蛋白质凝固，触及皮肤易使皮肤发硬甚至局部组织坏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85" w:type="pct"/>
                  <w:vAlign w:val="center"/>
                </w:tcPr>
                <w:p>
                  <w:pPr>
                    <w:pStyle w:val="49"/>
                    <w:bidi w:val="0"/>
                    <w:jc w:val="center"/>
                    <w:rPr>
                      <w:rFonts w:hint="default"/>
                      <w:color w:val="auto"/>
                      <w:lang w:val="en-US" w:eastAsia="zh-CN"/>
                    </w:rPr>
                  </w:pPr>
                  <w:r>
                    <w:rPr>
                      <w:rFonts w:hint="eastAsia"/>
                      <w:color w:val="auto"/>
                      <w:lang w:val="en-US" w:eastAsia="zh-CN"/>
                    </w:rPr>
                    <w:t>3</w:t>
                  </w:r>
                </w:p>
              </w:tc>
              <w:tc>
                <w:tcPr>
                  <w:tcW w:w="531" w:type="pct"/>
                  <w:vAlign w:val="center"/>
                </w:tcPr>
                <w:p>
                  <w:pPr>
                    <w:pStyle w:val="49"/>
                    <w:bidi w:val="0"/>
                    <w:jc w:val="center"/>
                    <w:rPr>
                      <w:rFonts w:hint="eastAsia"/>
                      <w:color w:val="auto"/>
                      <w:lang w:val="en-US" w:eastAsia="zh-CN"/>
                    </w:rPr>
                  </w:pPr>
                  <w:r>
                    <w:rPr>
                      <w:rFonts w:hint="eastAsia"/>
                      <w:color w:val="auto"/>
                      <w:lang w:val="en-US" w:eastAsia="zh-CN"/>
                    </w:rPr>
                    <w:t>碘伏消毒液</w:t>
                  </w:r>
                </w:p>
              </w:tc>
              <w:tc>
                <w:tcPr>
                  <w:tcW w:w="4183" w:type="pct"/>
                  <w:vAlign w:val="center"/>
                </w:tcPr>
                <w:p>
                  <w:pPr>
                    <w:pStyle w:val="49"/>
                    <w:bidi w:val="0"/>
                    <w:jc w:val="center"/>
                    <w:rPr>
                      <w:color w:val="auto"/>
                    </w:rPr>
                  </w:pPr>
                  <w:r>
                    <w:rPr>
                      <w:rFonts w:hint="eastAsia"/>
                      <w:color w:val="auto"/>
                    </w:rPr>
                    <w:t>碘伏是单质碘与聚乙烯吡咯烷酮（Povidone）的不定型结合物。聚乙烯吡咯烷酮可溶解分散9%~12%的碘，此时呈现紫黑色液体。但医用碘伏通常浓度较低（1%或以下），呈现浅棕色。碘伏具有广谱杀菌作用，可杀灭细菌繁殖体、真菌、原虫和部分病毒。在医疗上用作杀菌消毒剂，可用于皮肤、</w:t>
                  </w:r>
                  <w:r>
                    <w:rPr>
                      <w:rFonts w:hint="eastAsia"/>
                      <w:color w:val="auto"/>
                      <w:lang w:eastAsia="zh-CN"/>
                    </w:rPr>
                    <w:t>黏膜</w:t>
                  </w:r>
                  <w:r>
                    <w:rPr>
                      <w:rFonts w:hint="eastAsia"/>
                      <w:color w:val="auto"/>
                    </w:rPr>
                    <w:t>的消毒，也可处理烫伤、治疗滴虫性阴道炎、霉菌性阴道炎、皮肤霉菌感染等。也可用于手术前和</w:t>
                  </w:r>
                  <w:r>
                    <w:rPr>
                      <w:rFonts w:hint="eastAsia"/>
                      <w:color w:val="auto"/>
                      <w:lang w:eastAsia="zh-CN"/>
                    </w:rPr>
                    <w:t>其他</w:t>
                  </w:r>
                  <w:r>
                    <w:rPr>
                      <w:rFonts w:hint="eastAsia"/>
                      <w:color w:val="auto"/>
                    </w:rPr>
                    <w:t>皮肤的消毒、各种注射部位皮肤消毒、器械浸泡消毒以及阴道手术前消毒等。碘伏稀溶液毒性低，无腐蚀性。但稀溶液不稳定，需要在使用前配制，避免接触银、铝和二价合金，因为对金属有腐蚀力。禁止与红汞等拮抗药物同用。碘伏原液应</w:t>
                  </w:r>
                  <w:r>
                    <w:rPr>
                      <w:rFonts w:hint="eastAsia"/>
                      <w:color w:val="auto"/>
                      <w:lang w:eastAsia="zh-CN"/>
                    </w:rPr>
                    <w:t>该在</w:t>
                  </w:r>
                  <w:r>
                    <w:rPr>
                      <w:rFonts w:hint="eastAsia"/>
                      <w:color w:val="auto"/>
                    </w:rPr>
                    <w:t>室温下避光保存。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 w:type="pct"/>
                  <w:vAlign w:val="center"/>
                </w:tcPr>
                <w:p>
                  <w:pPr>
                    <w:pStyle w:val="49"/>
                    <w:bidi w:val="0"/>
                    <w:jc w:val="center"/>
                    <w:rPr>
                      <w:rFonts w:hint="default"/>
                      <w:color w:val="auto"/>
                      <w:lang w:val="en-US" w:eastAsia="zh-CN"/>
                    </w:rPr>
                  </w:pPr>
                  <w:r>
                    <w:rPr>
                      <w:rFonts w:hint="eastAsia"/>
                      <w:color w:val="auto"/>
                      <w:lang w:val="en-US" w:eastAsia="zh-CN"/>
                    </w:rPr>
                    <w:t>4</w:t>
                  </w:r>
                </w:p>
              </w:tc>
              <w:tc>
                <w:tcPr>
                  <w:tcW w:w="531" w:type="pct"/>
                  <w:vAlign w:val="center"/>
                </w:tcPr>
                <w:p>
                  <w:pPr>
                    <w:pStyle w:val="49"/>
                    <w:bidi w:val="0"/>
                    <w:jc w:val="center"/>
                    <w:rPr>
                      <w:rFonts w:hint="eastAsia"/>
                      <w:color w:val="auto"/>
                      <w:lang w:val="en-US" w:eastAsia="zh-CN"/>
                    </w:rPr>
                  </w:pPr>
                  <w:r>
                    <w:rPr>
                      <w:rFonts w:hint="eastAsia"/>
                      <w:color w:val="auto"/>
                      <w:lang w:val="en-US" w:eastAsia="zh-CN"/>
                    </w:rPr>
                    <w:t>葡萄糖</w:t>
                  </w:r>
                </w:p>
              </w:tc>
              <w:tc>
                <w:tcPr>
                  <w:tcW w:w="4183" w:type="pct"/>
                  <w:vAlign w:val="center"/>
                </w:tcPr>
                <w:p>
                  <w:pPr>
                    <w:pStyle w:val="49"/>
                    <w:bidi w:val="0"/>
                    <w:jc w:val="center"/>
                    <w:rPr>
                      <w:color w:val="auto"/>
                    </w:rPr>
                  </w:pPr>
                  <w:r>
                    <w:rPr>
                      <w:rFonts w:hint="eastAsia"/>
                      <w:color w:val="auto"/>
                    </w:rPr>
                    <w:t>葡萄糖（glucose），有机化合物，分子式C</w:t>
                  </w:r>
                  <w:r>
                    <w:rPr>
                      <w:rFonts w:hint="eastAsia"/>
                      <w:color w:val="auto"/>
                      <w:vertAlign w:val="subscript"/>
                    </w:rPr>
                    <w:t>6</w:t>
                  </w:r>
                  <w:r>
                    <w:rPr>
                      <w:rFonts w:hint="eastAsia"/>
                      <w:color w:val="auto"/>
                    </w:rPr>
                    <w:t>H</w:t>
                  </w:r>
                  <w:r>
                    <w:rPr>
                      <w:rFonts w:hint="eastAsia"/>
                      <w:color w:val="auto"/>
                      <w:vertAlign w:val="subscript"/>
                    </w:rPr>
                    <w:t>12</w:t>
                  </w:r>
                  <w:r>
                    <w:rPr>
                      <w:rFonts w:hint="eastAsia"/>
                      <w:color w:val="auto"/>
                    </w:rPr>
                    <w:t>O</w:t>
                  </w:r>
                  <w:r>
                    <w:rPr>
                      <w:rFonts w:hint="eastAsia"/>
                      <w:color w:val="auto"/>
                      <w:vertAlign w:val="subscript"/>
                    </w:rPr>
                    <w:t>6</w:t>
                  </w:r>
                  <w:r>
                    <w:rPr>
                      <w:rFonts w:hint="eastAsia"/>
                      <w:color w:val="auto"/>
                    </w:rPr>
                    <w:t>。是自然界分布最广且最为重要的一种单糖，它是一种多羟基醛。纯净的葡萄糖为无色晶体，有甜味但甜味不如蔗糖，易溶于水，微溶于乙醇，不溶于乙醚。天然葡萄糖水溶液旋光向右，故属于“右旋糖”。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 w:type="pct"/>
                  <w:vAlign w:val="center"/>
                </w:tcPr>
                <w:p>
                  <w:pPr>
                    <w:pStyle w:val="49"/>
                    <w:bidi w:val="0"/>
                    <w:jc w:val="center"/>
                    <w:rPr>
                      <w:rFonts w:hint="default"/>
                      <w:lang w:val="en-US" w:eastAsia="zh-CN"/>
                    </w:rPr>
                  </w:pPr>
                  <w:r>
                    <w:rPr>
                      <w:rFonts w:hint="eastAsia"/>
                      <w:lang w:val="en-US" w:eastAsia="zh-CN"/>
                    </w:rPr>
                    <w:t>5</w:t>
                  </w:r>
                </w:p>
              </w:tc>
              <w:tc>
                <w:tcPr>
                  <w:tcW w:w="531" w:type="pct"/>
                  <w:vAlign w:val="center"/>
                </w:tcPr>
                <w:p>
                  <w:pPr>
                    <w:pStyle w:val="49"/>
                    <w:bidi w:val="0"/>
                    <w:jc w:val="center"/>
                    <w:rPr>
                      <w:rFonts w:hint="eastAsia"/>
                      <w:color w:val="auto"/>
                      <w:lang w:val="en-US" w:eastAsia="zh-CN"/>
                    </w:rPr>
                  </w:pPr>
                  <w:r>
                    <w:rPr>
                      <w:rFonts w:hint="eastAsia"/>
                      <w:lang w:val="en-US" w:eastAsia="zh-CN"/>
                    </w:rPr>
                    <w:t>生理盐水</w:t>
                  </w:r>
                </w:p>
              </w:tc>
              <w:tc>
                <w:tcPr>
                  <w:tcW w:w="4183" w:type="pct"/>
                  <w:vAlign w:val="center"/>
                </w:tcPr>
                <w:p>
                  <w:pPr>
                    <w:pStyle w:val="49"/>
                    <w:bidi w:val="0"/>
                    <w:jc w:val="center"/>
                    <w:rPr>
                      <w:rFonts w:hint="eastAsia"/>
                      <w:color w:val="auto"/>
                    </w:rPr>
                  </w:pPr>
                  <w:r>
                    <w:rPr>
                      <w:rFonts w:hint="eastAsia"/>
                      <w:color w:val="auto"/>
                    </w:rPr>
                    <w:t>生理盐水就是0.9%的氯化钠水溶液</w:t>
                  </w:r>
                  <w:r>
                    <w:rPr>
                      <w:rFonts w:hint="eastAsia"/>
                      <w:color w:val="auto"/>
                      <w:lang w:eastAsia="zh-CN"/>
                    </w:rPr>
                    <w:t>，</w:t>
                  </w:r>
                  <w:r>
                    <w:rPr>
                      <w:rFonts w:hint="eastAsia"/>
                      <w:color w:val="auto"/>
                    </w:rPr>
                    <w:t>因为它的渗透压值和正常人的血浆、组织液都是大致一样的，所以可以用作补液（不会降低和增加正常人体内钠离子浓度）以及其他医疗用途，也常用作体外培养活组织、细胞。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 w:type="pct"/>
                  <w:vAlign w:val="center"/>
                </w:tcPr>
                <w:p>
                  <w:pPr>
                    <w:pStyle w:val="49"/>
                    <w:bidi w:val="0"/>
                    <w:jc w:val="center"/>
                    <w:rPr>
                      <w:rFonts w:hint="default"/>
                      <w:lang w:val="en-US" w:eastAsia="zh-CN"/>
                    </w:rPr>
                  </w:pPr>
                  <w:r>
                    <w:rPr>
                      <w:rFonts w:hint="eastAsia"/>
                      <w:lang w:val="en-US" w:eastAsia="zh-CN"/>
                    </w:rPr>
                    <w:t>6</w:t>
                  </w:r>
                </w:p>
              </w:tc>
              <w:tc>
                <w:tcPr>
                  <w:tcW w:w="531" w:type="pct"/>
                  <w:vAlign w:val="center"/>
                </w:tcPr>
                <w:p>
                  <w:pPr>
                    <w:pStyle w:val="49"/>
                    <w:bidi w:val="0"/>
                    <w:jc w:val="center"/>
                    <w:rPr>
                      <w:rFonts w:hint="eastAsia"/>
                      <w:lang w:val="en-US" w:eastAsia="zh-CN"/>
                    </w:rPr>
                  </w:pPr>
                  <w:r>
                    <w:rPr>
                      <w:rFonts w:hint="eastAsia"/>
                      <w:lang w:val="en-US" w:eastAsia="zh-CN"/>
                    </w:rPr>
                    <w:t>84消毒液</w:t>
                  </w:r>
                </w:p>
              </w:tc>
              <w:tc>
                <w:tcPr>
                  <w:tcW w:w="4183" w:type="pct"/>
                  <w:vAlign w:val="center"/>
                </w:tcPr>
                <w:p>
                  <w:pPr>
                    <w:pStyle w:val="49"/>
                    <w:bidi w:val="0"/>
                    <w:jc w:val="center"/>
                    <w:rPr>
                      <w:rFonts w:hint="eastAsia"/>
                      <w:color w:val="auto"/>
                    </w:rPr>
                  </w:pPr>
                  <w:r>
                    <w:rPr>
                      <w:rFonts w:hint="eastAsia"/>
                      <w:color w:val="auto"/>
                    </w:rPr>
                    <w:t>84消毒液是一种以次氯酸钠为主要成分的含氯消毒剂，主要用于物体表面和环境等的消毒。次氯酸钠具有强氧化性，可水解生成具有强氧化性的次氯酸，能够将具有还原性的物质氧化，使微生物最终丧失机能，无法繁殖或感染。84消毒液为无色或淡黄色液体，且具有刺激性气味，有效氯含量5.5%～6.5%，现被广泛用于宾馆、旅游、医院、食品加工行业、家庭等的卫生消毒。</w:t>
                  </w:r>
                </w:p>
              </w:tc>
            </w:tr>
          </w:tbl>
          <w:p>
            <w:pPr>
              <w:pStyle w:val="51"/>
              <w:bidi w:val="0"/>
              <w:rPr>
                <w:rFonts w:hint="eastAsia"/>
                <w:lang w:val="en-US" w:eastAsia="zh-CN"/>
              </w:rPr>
            </w:pPr>
            <w:r>
              <w:rPr>
                <w:rFonts w:hint="eastAsia"/>
                <w:lang w:val="en-US" w:eastAsia="zh-CN"/>
              </w:rPr>
              <w:t>7劳动定员及工作制度</w:t>
            </w:r>
          </w:p>
          <w:p>
            <w:pPr>
              <w:pStyle w:val="48"/>
              <w:bidi w:val="0"/>
              <w:rPr>
                <w:rFonts w:hint="eastAsia"/>
                <w:lang w:val="en-US" w:eastAsia="zh-CN"/>
              </w:rPr>
            </w:pPr>
            <w:r>
              <w:rPr>
                <w:rFonts w:hint="eastAsia"/>
                <w:lang w:val="en-US" w:eastAsia="zh-CN"/>
              </w:rPr>
              <w:t>本项目设置64张床位，配备职工人数72人，其中医技卫生人员33人，医疗护工39人。年工作天数365天，医技卫生人员实行单班工作制，医疗护工实行轮班工作制，单班工作8小时。</w:t>
            </w:r>
          </w:p>
          <w:p>
            <w:pPr>
              <w:pStyle w:val="47"/>
              <w:bidi w:val="0"/>
              <w:rPr>
                <w:rFonts w:hint="default"/>
                <w:lang w:val="en-US" w:eastAsia="zh-CN"/>
              </w:rPr>
            </w:pPr>
            <w:r>
              <w:rPr>
                <w:rFonts w:hint="eastAsia"/>
                <w:lang w:val="en-US" w:eastAsia="zh-CN"/>
              </w:rPr>
              <w:t>8水平衡</w:t>
            </w:r>
          </w:p>
          <w:p>
            <w:pPr>
              <w:pStyle w:val="48"/>
              <w:bidi w:val="0"/>
              <w:rPr>
                <w:rFonts w:hint="default"/>
                <w:b/>
                <w:bCs/>
                <w:lang w:val="en-US" w:eastAsia="zh-CN"/>
              </w:rPr>
            </w:pPr>
            <w:r>
              <w:rPr>
                <w:rFonts w:hint="eastAsia"/>
                <w:b/>
                <w:bCs/>
                <w:lang w:val="en-US" w:eastAsia="zh-CN"/>
              </w:rPr>
              <w:t>8.1用水</w:t>
            </w:r>
          </w:p>
          <w:p>
            <w:pPr>
              <w:pStyle w:val="48"/>
              <w:bidi w:val="0"/>
              <w:rPr>
                <w:rFonts w:hint="eastAsia"/>
                <w:lang w:val="en-US" w:eastAsia="zh-CN"/>
              </w:rPr>
            </w:pPr>
            <w:r>
              <w:rPr>
                <w:rFonts w:hint="default"/>
                <w:lang w:val="en-US" w:eastAsia="zh-CN"/>
              </w:rPr>
              <w:t>项目用水由市政供水管网直接供水，主要为病房用水</w:t>
            </w:r>
            <w:r>
              <w:rPr>
                <w:rFonts w:hint="eastAsia"/>
                <w:lang w:val="en-US" w:eastAsia="zh-CN"/>
              </w:rPr>
              <w:t>，门诊用水和</w:t>
            </w:r>
            <w:r>
              <w:rPr>
                <w:rFonts w:hint="default"/>
                <w:lang w:val="en-US" w:eastAsia="zh-CN"/>
              </w:rPr>
              <w:t>职工生活用水</w:t>
            </w:r>
            <w:r>
              <w:rPr>
                <w:rFonts w:hint="eastAsia"/>
                <w:lang w:val="en-US" w:eastAsia="zh-CN"/>
              </w:rPr>
              <w:t>等。</w:t>
            </w:r>
          </w:p>
          <w:p>
            <w:pPr>
              <w:pStyle w:val="48"/>
              <w:keepNext w:val="0"/>
              <w:keepLines w:val="0"/>
              <w:pageBreakBefore w:val="0"/>
              <w:kinsoku/>
              <w:overflowPunct/>
              <w:topLinePunct w:val="0"/>
              <w:autoSpaceDE/>
              <w:autoSpaceDN/>
              <w:bidi w:val="0"/>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（1）住院人员用水</w:t>
            </w:r>
          </w:p>
          <w:p>
            <w:pPr>
              <w:pStyle w:val="48"/>
              <w:keepNext w:val="0"/>
              <w:keepLines w:val="0"/>
              <w:pageBreakBefore w:val="0"/>
              <w:kinsoku/>
              <w:overflowPunct/>
              <w:topLinePunct w:val="0"/>
              <w:autoSpaceDE/>
              <w:autoSpaceDN/>
              <w:bidi w:val="0"/>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本项目共设病床</w:t>
            </w:r>
            <w:r>
              <w:rPr>
                <w:rFonts w:hint="eastAsia" w:ascii="Times New Roman" w:hAnsi="Times New Roman" w:eastAsia="宋体" w:cs="Times New Roman"/>
                <w:b w:val="0"/>
                <w:bCs w:val="0"/>
                <w:sz w:val="24"/>
                <w:szCs w:val="24"/>
                <w:lang w:val="en-US" w:eastAsia="zh-CN"/>
              </w:rPr>
              <w:t>64</w:t>
            </w:r>
            <w:r>
              <w:rPr>
                <w:rFonts w:hint="default" w:ascii="Times New Roman" w:hAnsi="Times New Roman" w:eastAsia="宋体" w:cs="Times New Roman"/>
                <w:b w:val="0"/>
                <w:bCs w:val="0"/>
                <w:sz w:val="24"/>
                <w:szCs w:val="24"/>
                <w:lang w:val="en-US" w:eastAsia="zh-CN"/>
              </w:rPr>
              <w:t>张，</w:t>
            </w:r>
            <w:r>
              <w:rPr>
                <w:rFonts w:hint="eastAsia" w:ascii="Times New Roman" w:hAnsi="Times New Roman" w:eastAsia="宋体" w:cs="Times New Roman"/>
                <w:b w:val="0"/>
                <w:bCs w:val="0"/>
                <w:sz w:val="24"/>
                <w:szCs w:val="24"/>
                <w:lang w:val="en-US" w:eastAsia="zh-CN"/>
              </w:rPr>
              <w:t>参照</w:t>
            </w:r>
            <w:r>
              <w:rPr>
                <w:rFonts w:hint="default" w:ascii="Times New Roman" w:hAnsi="Times New Roman" w:cs="Times New Roman"/>
                <w:sz w:val="24"/>
                <w:szCs w:val="24"/>
                <w:highlight w:val="none"/>
                <w:lang w:val="en-US" w:eastAsia="zh-CN"/>
              </w:rPr>
              <w:t>《新疆维吾尔自治区生活用水定额》（新政办发</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2007</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105号）</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市级医院</w:t>
            </w:r>
            <w:r>
              <w:rPr>
                <w:rFonts w:hint="default" w:ascii="Times New Roman" w:hAnsi="Times New Roman" w:eastAsia="宋体" w:cs="Times New Roman"/>
                <w:b w:val="0"/>
                <w:bCs w:val="0"/>
                <w:sz w:val="24"/>
                <w:szCs w:val="24"/>
                <w:lang w:val="en-US" w:eastAsia="zh-CN"/>
              </w:rPr>
              <w:t>住院用水按</w:t>
            </w:r>
            <w:r>
              <w:rPr>
                <w:rFonts w:hint="eastAsia" w:ascii="Times New Roman" w:hAnsi="Times New Roman" w:eastAsia="宋体" w:cs="Times New Roman"/>
                <w:b w:val="0"/>
                <w:bCs w:val="0"/>
                <w:sz w:val="24"/>
                <w:szCs w:val="24"/>
                <w:lang w:val="en-US" w:eastAsia="zh-CN"/>
              </w:rPr>
              <w:t>85</w:t>
            </w:r>
            <w:r>
              <w:rPr>
                <w:rFonts w:hint="default" w:ascii="Times New Roman" w:hAnsi="Times New Roman" w:eastAsia="宋体" w:cs="Times New Roman"/>
                <w:b w:val="0"/>
                <w:bCs w:val="0"/>
                <w:sz w:val="24"/>
                <w:szCs w:val="24"/>
                <w:lang w:val="en-US" w:eastAsia="zh-CN"/>
              </w:rPr>
              <w:t>L/床·日计，则住院人员用水量为</w:t>
            </w:r>
            <w:r>
              <w:rPr>
                <w:rFonts w:hint="eastAsia" w:cs="Times New Roman"/>
                <w:b w:val="0"/>
                <w:bCs w:val="0"/>
                <w:sz w:val="24"/>
                <w:szCs w:val="24"/>
                <w:lang w:val="en-US" w:eastAsia="zh-CN"/>
              </w:rPr>
              <w:t>5.44</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1985.6</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2</w:t>
            </w:r>
            <w:r>
              <w:rPr>
                <w:rFonts w:hint="eastAsia" w:ascii="Times New Roman" w:hAnsi="Times New Roman" w:eastAsia="宋体" w:cs="Times New Roman"/>
                <w:b w:val="0"/>
                <w:bCs w:val="0"/>
                <w:sz w:val="24"/>
                <w:szCs w:val="24"/>
                <w:lang w:val="en-US" w:eastAsia="zh-CN"/>
              </w:rPr>
              <w:t>）陪护人员用水</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eastAsia"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本次环评</w:t>
            </w:r>
            <w:r>
              <w:rPr>
                <w:rFonts w:hint="default" w:ascii="Times New Roman" w:hAnsi="Times New Roman" w:eastAsia="宋体" w:cs="Times New Roman"/>
                <w:b w:val="0"/>
                <w:bCs w:val="0"/>
                <w:sz w:val="24"/>
                <w:szCs w:val="24"/>
                <w:lang w:val="en-US" w:eastAsia="zh-CN"/>
              </w:rPr>
              <w:t>按照每床1名陪护</w:t>
            </w:r>
            <w:r>
              <w:rPr>
                <w:rFonts w:hint="eastAsia" w:ascii="Times New Roman" w:hAnsi="Times New Roman" w:eastAsia="宋体" w:cs="Times New Roman"/>
                <w:b w:val="0"/>
                <w:bCs w:val="0"/>
                <w:sz w:val="24"/>
                <w:szCs w:val="24"/>
                <w:lang w:val="en-US" w:eastAsia="zh-CN"/>
              </w:rPr>
              <w:t>进行预测</w:t>
            </w:r>
            <w:r>
              <w:rPr>
                <w:rFonts w:hint="default" w:ascii="Times New Roman" w:hAnsi="Times New Roman" w:eastAsia="宋体" w:cs="Times New Roman"/>
                <w:b w:val="0"/>
                <w:bCs w:val="0"/>
                <w:sz w:val="24"/>
                <w:szCs w:val="24"/>
                <w:lang w:val="en-US" w:eastAsia="zh-CN"/>
              </w:rPr>
              <w:t>，陪护人员用水量</w:t>
            </w:r>
            <w:r>
              <w:rPr>
                <w:rFonts w:hint="eastAsia" w:ascii="Times New Roman" w:hAnsi="Times New Roman" w:eastAsia="宋体" w:cs="Times New Roman"/>
                <w:b w:val="0"/>
                <w:bCs w:val="0"/>
                <w:sz w:val="24"/>
                <w:szCs w:val="24"/>
                <w:lang w:val="en-US" w:eastAsia="zh-CN"/>
              </w:rPr>
              <w:t>参照</w:t>
            </w:r>
            <w:r>
              <w:rPr>
                <w:rFonts w:hint="default" w:ascii="Times New Roman" w:hAnsi="Times New Roman" w:eastAsia="宋体" w:cs="Times New Roman"/>
                <w:b w:val="0"/>
                <w:bCs w:val="0"/>
                <w:sz w:val="24"/>
                <w:szCs w:val="24"/>
                <w:lang w:val="en-US" w:eastAsia="zh-CN"/>
              </w:rPr>
              <w:t>《行业用水定额》</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DB15/T385-2020</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，生活用水取值</w:t>
            </w:r>
            <w:r>
              <w:rPr>
                <w:rFonts w:hint="eastAsia" w:cs="Times New Roman"/>
                <w:b w:val="0"/>
                <w:bCs w:val="0"/>
                <w:sz w:val="24"/>
                <w:szCs w:val="24"/>
                <w:lang w:val="en-US" w:eastAsia="zh-CN"/>
              </w:rPr>
              <w:t>8</w:t>
            </w:r>
            <w:r>
              <w:rPr>
                <w:rFonts w:hint="default" w:ascii="Times New Roman" w:hAnsi="Times New Roman" w:eastAsia="宋体" w:cs="Times New Roman"/>
                <w:b w:val="0"/>
                <w:bCs w:val="0"/>
                <w:sz w:val="24"/>
                <w:szCs w:val="24"/>
                <w:lang w:val="en-US" w:eastAsia="zh-CN"/>
              </w:rPr>
              <w:t>0L/</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人·d</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，则陪护人员用水量为</w:t>
            </w:r>
            <w:r>
              <w:rPr>
                <w:rFonts w:hint="eastAsia" w:cs="Times New Roman"/>
                <w:b w:val="0"/>
                <w:bCs w:val="0"/>
                <w:sz w:val="24"/>
                <w:szCs w:val="24"/>
                <w:lang w:val="en-US" w:eastAsia="zh-CN"/>
              </w:rPr>
              <w:t>5.12</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cs="Times New Roman"/>
                <w:b w:val="0"/>
                <w:bCs w:val="0"/>
                <w:sz w:val="24"/>
                <w:szCs w:val="24"/>
                <w:lang w:val="en-US" w:eastAsia="zh-CN"/>
              </w:rPr>
              <w:t>（1868.8</w:t>
            </w:r>
            <w:r>
              <w:rPr>
                <w:rFonts w:hint="default" w:ascii="Times New Roman" w:hAnsi="Times New Roman" w:eastAsia="宋体" w:cs="Times New Roman"/>
                <w:b w:val="0"/>
                <w:bCs w:val="0"/>
                <w:sz w:val="24"/>
                <w:szCs w:val="24"/>
                <w:lang w:val="en-US" w:eastAsia="zh-CN"/>
              </w:rPr>
              <w:t>m³/a</w:t>
            </w:r>
            <w:r>
              <w:rPr>
                <w:rFonts w:hint="eastAsia" w:cs="Times New Roman"/>
                <w:b w:val="0"/>
                <w:bCs w:val="0"/>
                <w:sz w:val="24"/>
                <w:szCs w:val="24"/>
                <w:lang w:val="en-US" w:eastAsia="zh-CN"/>
              </w:rPr>
              <w:t>）</w:t>
            </w:r>
            <w:r>
              <w:rPr>
                <w:rFonts w:hint="eastAsia"/>
                <w:b w:val="0"/>
                <w:bCs/>
                <w:lang w:eastAsia="zh-CN"/>
              </w:rPr>
              <w:t>。</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lang w:val="en-US" w:eastAsia="zh-CN"/>
              </w:rPr>
              <w:t>门诊病人用水</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本项目预计平均日接诊量为</w:t>
            </w:r>
            <w:r>
              <w:rPr>
                <w:rFonts w:hint="eastAsia" w:ascii="Times New Roman" w:hAnsi="Times New Roman" w:eastAsia="宋体" w:cs="Times New Roman"/>
                <w:b w:val="0"/>
                <w:bCs w:val="0"/>
                <w:sz w:val="24"/>
                <w:szCs w:val="24"/>
                <w:lang w:val="en-US" w:eastAsia="zh-CN"/>
              </w:rPr>
              <w:t>132人次~154</w:t>
            </w:r>
            <w:r>
              <w:rPr>
                <w:rFonts w:hint="default" w:ascii="Times New Roman" w:hAnsi="Times New Roman" w:eastAsia="宋体" w:cs="Times New Roman"/>
                <w:b w:val="0"/>
                <w:bCs w:val="0"/>
                <w:sz w:val="24"/>
                <w:szCs w:val="24"/>
                <w:lang w:val="en-US" w:eastAsia="zh-CN"/>
              </w:rPr>
              <w:t>人次/天，</w:t>
            </w:r>
            <w:r>
              <w:rPr>
                <w:rFonts w:hint="eastAsia" w:ascii="Times New Roman" w:hAnsi="Times New Roman" w:eastAsia="宋体" w:cs="Times New Roman"/>
                <w:b w:val="0"/>
                <w:bCs w:val="0"/>
                <w:sz w:val="24"/>
                <w:szCs w:val="24"/>
                <w:lang w:val="en-US" w:eastAsia="zh-CN"/>
              </w:rPr>
              <w:t>本次环评按最大量进行计算，除去住院人员为90</w:t>
            </w:r>
            <w:r>
              <w:rPr>
                <w:rFonts w:hint="default" w:ascii="Times New Roman" w:hAnsi="Times New Roman" w:eastAsia="宋体" w:cs="Times New Roman"/>
                <w:b w:val="0"/>
                <w:bCs w:val="0"/>
                <w:sz w:val="24"/>
                <w:szCs w:val="24"/>
                <w:lang w:val="en-US" w:eastAsia="zh-CN"/>
              </w:rPr>
              <w:t>人次/天</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根据《新疆维吾尔自治区生活用水定额》（新政办发〔2007〕105号），门诊人员</w:t>
            </w:r>
            <w:r>
              <w:rPr>
                <w:rFonts w:hint="eastAsia" w:ascii="Times New Roman" w:hAnsi="Times New Roman" w:eastAsia="宋体" w:cs="Times New Roman"/>
                <w:b w:val="0"/>
                <w:bCs w:val="0"/>
                <w:sz w:val="24"/>
                <w:szCs w:val="24"/>
                <w:lang w:val="en-US" w:eastAsia="zh-CN"/>
              </w:rPr>
              <w:t>用水量按20L/（</w:t>
            </w:r>
            <w:r>
              <w:rPr>
                <w:rFonts w:hint="default" w:ascii="Times New Roman" w:hAnsi="Times New Roman" w:eastAsia="宋体" w:cs="Times New Roman"/>
                <w:b w:val="0"/>
                <w:bCs w:val="0"/>
                <w:sz w:val="24"/>
                <w:szCs w:val="24"/>
                <w:lang w:val="en-US" w:eastAsia="zh-CN"/>
              </w:rPr>
              <w:t>人</w:t>
            </w:r>
            <w:r>
              <w:rPr>
                <w:rFonts w:hint="eastAsia" w:ascii="Times New Roman" w:hAnsi="Times New Roman" w:eastAsia="宋体" w:cs="Times New Roman"/>
                <w:b w:val="0"/>
                <w:bCs w:val="0"/>
                <w:sz w:val="24"/>
                <w:szCs w:val="24"/>
                <w:lang w:val="en-US" w:eastAsia="zh-CN"/>
              </w:rPr>
              <w:t>次</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日）计</w:t>
            </w:r>
            <w:r>
              <w:rPr>
                <w:rFonts w:hint="default" w:ascii="Times New Roman" w:hAnsi="Times New Roman" w:eastAsia="宋体" w:cs="Times New Roman"/>
                <w:b w:val="0"/>
                <w:bCs w:val="0"/>
                <w:sz w:val="24"/>
                <w:szCs w:val="24"/>
                <w:lang w:val="en-US" w:eastAsia="zh-CN"/>
              </w:rPr>
              <w:t>，则门诊病人用水量为</w:t>
            </w:r>
            <w:r>
              <w:rPr>
                <w:rFonts w:hint="eastAsia" w:ascii="Times New Roman" w:hAnsi="Times New Roman" w:eastAsia="宋体" w:cs="Times New Roman"/>
                <w:b w:val="0"/>
                <w:bCs w:val="0"/>
                <w:sz w:val="24"/>
                <w:szCs w:val="24"/>
                <w:lang w:val="en-US" w:eastAsia="zh-CN"/>
              </w:rPr>
              <w:t>1.8</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（657</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4</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医护人员用水</w:t>
            </w:r>
          </w:p>
          <w:p>
            <w:pPr>
              <w:pStyle w:val="51"/>
              <w:keepNext w:val="0"/>
              <w:keepLines w:val="0"/>
              <w:pageBreakBefore w:val="0"/>
              <w:widowControl/>
              <w:kinsoku/>
              <w:wordWrap w:val="0"/>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本项目医护人员以及职工</w:t>
            </w:r>
            <w:r>
              <w:rPr>
                <w:rFonts w:hint="eastAsia" w:cs="Times New Roman"/>
                <w:b w:val="0"/>
                <w:bCs w:val="0"/>
                <w:sz w:val="24"/>
                <w:szCs w:val="24"/>
                <w:lang w:val="en-US" w:eastAsia="zh-CN"/>
              </w:rPr>
              <w:t>约</w:t>
            </w:r>
            <w:r>
              <w:rPr>
                <w:rFonts w:hint="eastAsia" w:ascii="Times New Roman" w:hAnsi="Times New Roman" w:eastAsia="宋体" w:cs="Times New Roman"/>
                <w:b w:val="0"/>
                <w:bCs w:val="0"/>
                <w:sz w:val="24"/>
                <w:szCs w:val="24"/>
                <w:lang w:val="en-US" w:eastAsia="zh-CN"/>
              </w:rPr>
              <w:t>72</w:t>
            </w:r>
            <w:r>
              <w:rPr>
                <w:rFonts w:hint="default" w:ascii="Times New Roman" w:hAnsi="Times New Roman" w:eastAsia="宋体" w:cs="Times New Roman"/>
                <w:b w:val="0"/>
                <w:bCs w:val="0"/>
                <w:sz w:val="24"/>
                <w:szCs w:val="24"/>
                <w:lang w:val="en-US" w:eastAsia="zh-CN"/>
              </w:rPr>
              <w:t>人，根据《新疆维吾尔自治区生活用水定额》（新政办发〔2007〕105号）</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生活用水取值</w:t>
            </w:r>
            <w:r>
              <w:rPr>
                <w:rFonts w:hint="eastAsia" w:ascii="Times New Roman" w:hAnsi="Times New Roman" w:eastAsia="宋体" w:cs="Times New Roman"/>
                <w:b w:val="0"/>
                <w:bCs w:val="0"/>
                <w:sz w:val="24"/>
                <w:szCs w:val="24"/>
                <w:lang w:val="en-US" w:eastAsia="zh-CN"/>
              </w:rPr>
              <w:t>60</w:t>
            </w:r>
            <w:r>
              <w:rPr>
                <w:rFonts w:hint="default" w:ascii="Times New Roman" w:hAnsi="Times New Roman" w:eastAsia="宋体" w:cs="Times New Roman"/>
                <w:b w:val="0"/>
                <w:bCs w:val="0"/>
                <w:sz w:val="24"/>
                <w:szCs w:val="24"/>
                <w:lang w:val="en-US" w:eastAsia="zh-CN"/>
              </w:rPr>
              <w:t>L/</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人</w:t>
            </w:r>
            <w:r>
              <w:rPr>
                <w:rFonts w:hint="eastAsia" w:ascii="Times New Roman" w:hAnsi="Times New Roman" w:eastAsia="宋体" w:cs="Times New Roman"/>
                <w:b w:val="0"/>
                <w:bCs w:val="0"/>
                <w:sz w:val="24"/>
                <w:szCs w:val="24"/>
                <w:lang w:val="en-US" w:eastAsia="zh-CN"/>
              </w:rPr>
              <w:t>·日），</w:t>
            </w:r>
            <w:r>
              <w:rPr>
                <w:rFonts w:hint="default" w:ascii="Times New Roman" w:hAnsi="Times New Roman" w:eastAsia="宋体" w:cs="Times New Roman"/>
                <w:b w:val="0"/>
                <w:bCs w:val="0"/>
                <w:sz w:val="24"/>
                <w:szCs w:val="24"/>
                <w:lang w:val="en-US" w:eastAsia="zh-CN"/>
              </w:rPr>
              <w:t>则医护人员用水量为</w:t>
            </w:r>
            <w:r>
              <w:rPr>
                <w:rFonts w:hint="eastAsia" w:ascii="Times New Roman" w:hAnsi="Times New Roman" w:eastAsia="宋体" w:cs="Times New Roman"/>
                <w:b w:val="0"/>
                <w:bCs w:val="0"/>
                <w:sz w:val="24"/>
                <w:szCs w:val="24"/>
                <w:lang w:val="en-US" w:eastAsia="zh-CN"/>
              </w:rPr>
              <w:t>4.32</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（1576.8</w:t>
            </w:r>
            <w:r>
              <w:rPr>
                <w:rFonts w:hint="default" w:ascii="Times New Roman" w:hAnsi="Times New Roman" w:eastAsia="宋体" w:cs="Times New Roman"/>
                <w:b w:val="0"/>
                <w:bCs w:val="0"/>
                <w:sz w:val="24"/>
                <w:szCs w:val="24"/>
                <w:lang w:val="en-US" w:eastAsia="zh-CN"/>
              </w:rPr>
              <w:t>m</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w:t>
            </w:r>
          </w:p>
          <w:p>
            <w:pPr>
              <w:pStyle w:val="48"/>
              <w:numPr>
                <w:ilvl w:val="0"/>
                <w:numId w:val="0"/>
              </w:numPr>
              <w:bidi w:val="0"/>
              <w:ind w:firstLine="482" w:firstLineChars="200"/>
              <w:rPr>
                <w:rFonts w:hint="eastAsia"/>
                <w:b/>
                <w:bCs/>
                <w:lang w:val="en-US" w:eastAsia="zh-CN"/>
              </w:rPr>
            </w:pPr>
            <w:r>
              <w:rPr>
                <w:rFonts w:hint="eastAsia" w:cs="宋体"/>
                <w:b/>
                <w:bCs/>
                <w:kern w:val="2"/>
                <w:sz w:val="24"/>
                <w:szCs w:val="24"/>
                <w:lang w:val="en-US" w:eastAsia="zh-CN" w:bidi="ar-SA"/>
              </w:rPr>
              <w:t>8.2</w:t>
            </w:r>
            <w:r>
              <w:rPr>
                <w:rFonts w:hint="eastAsia"/>
                <w:b/>
                <w:bCs/>
                <w:lang w:val="en-US" w:eastAsia="zh-CN"/>
              </w:rPr>
              <w:t>排水</w:t>
            </w:r>
          </w:p>
          <w:p>
            <w:pPr>
              <w:keepNext w:val="0"/>
              <w:keepLines w:val="0"/>
              <w:pageBreakBefore w:val="0"/>
              <w:kinsoku/>
              <w:overflowPunct/>
              <w:topLinePunct w:val="0"/>
              <w:autoSpaceDE/>
              <w:autoSpaceDN/>
              <w:bidi w:val="0"/>
              <w:adjustRightInd w:val="0"/>
              <w:snapToGrid w:val="0"/>
              <w:spacing w:line="480" w:lineRule="exact"/>
              <w:ind w:firstLine="480" w:firstLineChars="200"/>
              <w:jc w:val="both"/>
              <w:textAlignment w:val="auto"/>
              <w:rPr>
                <w:rFonts w:hint="eastAsia"/>
                <w:sz w:val="24"/>
                <w:szCs w:val="24"/>
                <w:lang w:val="en-US" w:eastAsia="zh-CN"/>
              </w:rPr>
            </w:pPr>
            <w:r>
              <w:rPr>
                <w:rFonts w:hint="default" w:ascii="Times New Roman" w:hAnsi="Times New Roman" w:eastAsia="宋体" w:cs="Times New Roman"/>
                <w:b w:val="0"/>
                <w:bCs w:val="0"/>
                <w:sz w:val="24"/>
                <w:szCs w:val="24"/>
                <w:lang w:val="en-US" w:eastAsia="zh-CN"/>
              </w:rPr>
              <w:t>本项目不设传染科、不</w:t>
            </w:r>
            <w:r>
              <w:rPr>
                <w:rFonts w:hint="eastAsia" w:cs="Times New Roman"/>
                <w:b w:val="0"/>
                <w:bCs w:val="0"/>
                <w:sz w:val="24"/>
                <w:szCs w:val="24"/>
                <w:lang w:val="en-US" w:eastAsia="zh-CN"/>
              </w:rPr>
              <w:t>接收</w:t>
            </w:r>
            <w:r>
              <w:rPr>
                <w:rFonts w:hint="default" w:ascii="Times New Roman" w:hAnsi="Times New Roman" w:eastAsia="宋体" w:cs="Times New Roman"/>
                <w:b w:val="0"/>
                <w:bCs w:val="0"/>
                <w:sz w:val="24"/>
                <w:szCs w:val="24"/>
                <w:lang w:val="en-US" w:eastAsia="zh-CN"/>
              </w:rPr>
              <w:t>传染病人。</w:t>
            </w:r>
            <w:r>
              <w:rPr>
                <w:rFonts w:hint="eastAsia"/>
                <w:sz w:val="24"/>
                <w:szCs w:val="24"/>
                <w:lang w:val="en-US" w:eastAsia="zh-CN"/>
              </w:rPr>
              <w:t>本</w:t>
            </w:r>
            <w:r>
              <w:rPr>
                <w:rFonts w:hint="default"/>
                <w:sz w:val="24"/>
                <w:szCs w:val="24"/>
                <w:lang w:val="en-US" w:eastAsia="zh-CN"/>
              </w:rPr>
              <w:t>项目职工生活污水</w:t>
            </w:r>
            <w:r>
              <w:rPr>
                <w:rFonts w:hint="eastAsia"/>
                <w:sz w:val="24"/>
                <w:szCs w:val="24"/>
                <w:lang w:val="en-US" w:eastAsia="zh-CN"/>
              </w:rPr>
              <w:t>、</w:t>
            </w:r>
            <w:r>
              <w:rPr>
                <w:rFonts w:hint="default"/>
                <w:sz w:val="24"/>
                <w:szCs w:val="24"/>
                <w:lang w:val="en-US" w:eastAsia="zh-CN"/>
              </w:rPr>
              <w:t>病房废水</w:t>
            </w:r>
            <w:r>
              <w:rPr>
                <w:rFonts w:hint="eastAsia"/>
                <w:sz w:val="24"/>
                <w:szCs w:val="24"/>
                <w:lang w:val="en-US" w:eastAsia="zh-CN"/>
              </w:rPr>
              <w:t>和门诊废水</w:t>
            </w:r>
            <w:r>
              <w:rPr>
                <w:rFonts w:hint="default"/>
                <w:sz w:val="24"/>
                <w:szCs w:val="24"/>
                <w:lang w:val="en-US" w:eastAsia="zh-CN"/>
              </w:rPr>
              <w:t>排入</w:t>
            </w:r>
            <w:r>
              <w:rPr>
                <w:rFonts w:hint="eastAsia"/>
                <w:sz w:val="24"/>
                <w:szCs w:val="24"/>
                <w:lang w:val="en-US" w:eastAsia="zh-CN"/>
              </w:rPr>
              <w:t>院内现有</w:t>
            </w:r>
            <w:r>
              <w:rPr>
                <w:rFonts w:hint="default"/>
                <w:sz w:val="24"/>
                <w:szCs w:val="24"/>
                <w:lang w:val="en-US" w:eastAsia="zh-CN"/>
              </w:rPr>
              <w:t>2号污水处理站进行处理，</w:t>
            </w:r>
            <w:r>
              <w:rPr>
                <w:rFonts w:hint="default" w:ascii="Times New Roman" w:hAnsi="Times New Roman" w:eastAsia="宋体" w:cs="Times New Roman"/>
                <w:b w:val="0"/>
                <w:bCs w:val="0"/>
                <w:sz w:val="24"/>
                <w:szCs w:val="24"/>
                <w:lang w:val="en-US" w:eastAsia="zh-CN"/>
              </w:rPr>
              <w:t>废水按照排污系数80%计算</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则住院人员废水产生量为</w:t>
            </w:r>
            <w:r>
              <w:rPr>
                <w:rFonts w:hint="eastAsia" w:cs="Times New Roman"/>
                <w:b w:val="0"/>
                <w:bCs w:val="0"/>
                <w:sz w:val="24"/>
                <w:szCs w:val="24"/>
                <w:lang w:val="en-US" w:eastAsia="zh-CN"/>
              </w:rPr>
              <w:t>4.35</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1587.75</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门诊病人废水产生量为</w:t>
            </w:r>
            <w:r>
              <w:rPr>
                <w:rFonts w:hint="eastAsia" w:cs="Times New Roman"/>
                <w:b w:val="0"/>
                <w:bCs w:val="0"/>
                <w:sz w:val="24"/>
                <w:szCs w:val="24"/>
                <w:lang w:val="en-US" w:eastAsia="zh-CN"/>
              </w:rPr>
              <w:t>1.44</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525.6</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医护人员废水产生量约为</w:t>
            </w:r>
            <w:r>
              <w:rPr>
                <w:rFonts w:hint="eastAsia" w:cs="Times New Roman"/>
                <w:b w:val="0"/>
                <w:bCs w:val="0"/>
                <w:sz w:val="24"/>
                <w:szCs w:val="24"/>
                <w:lang w:val="en-US" w:eastAsia="zh-CN"/>
              </w:rPr>
              <w:t>3.46</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1262.9</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陪护用水</w:t>
            </w:r>
            <w:r>
              <w:rPr>
                <w:rFonts w:hint="default" w:ascii="Times New Roman" w:hAnsi="Times New Roman" w:eastAsia="宋体" w:cs="Times New Roman"/>
                <w:b w:val="0"/>
                <w:bCs w:val="0"/>
                <w:sz w:val="24"/>
                <w:szCs w:val="24"/>
                <w:lang w:val="en-US" w:eastAsia="zh-CN"/>
              </w:rPr>
              <w:t>产生量为</w:t>
            </w:r>
            <w:r>
              <w:rPr>
                <w:rFonts w:hint="eastAsia" w:cs="Times New Roman"/>
                <w:b w:val="0"/>
                <w:bCs w:val="0"/>
                <w:sz w:val="24"/>
                <w:szCs w:val="24"/>
                <w:lang w:val="en-US" w:eastAsia="zh-CN"/>
              </w:rPr>
              <w:t>4.1</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/d</w:t>
            </w:r>
            <w:r>
              <w:rPr>
                <w:rFonts w:hint="eastAsia" w:ascii="Times New Roman" w:hAnsi="Times New Roman" w:eastAsia="宋体" w:cs="Times New Roman"/>
                <w:b w:val="0"/>
                <w:bCs w:val="0"/>
                <w:sz w:val="24"/>
                <w:szCs w:val="24"/>
                <w:lang w:val="en-US" w:eastAsia="zh-CN"/>
              </w:rPr>
              <w:t>（</w:t>
            </w:r>
            <w:r>
              <w:rPr>
                <w:rFonts w:hint="eastAsia" w:cs="Times New Roman"/>
                <w:b w:val="0"/>
                <w:bCs w:val="0"/>
                <w:sz w:val="24"/>
                <w:szCs w:val="24"/>
                <w:lang w:val="en-US" w:eastAsia="zh-CN"/>
              </w:rPr>
              <w:t>1496.5</w:t>
            </w:r>
            <w:r>
              <w:rPr>
                <w:rFonts w:hint="default" w:ascii="Times New Roman" w:hAnsi="Times New Roman" w:eastAsia="宋体" w:cs="Times New Roman"/>
                <w:b w:val="0"/>
                <w:bCs w:val="0"/>
                <w:sz w:val="24"/>
                <w:szCs w:val="24"/>
                <w:highlight w:val="none"/>
                <w:lang w:val="en-US" w:eastAsia="zh-CN"/>
              </w:rPr>
              <w:t>m</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lang w:val="en-US" w:eastAsia="zh-CN"/>
              </w:rPr>
              <w:t>/a</w:t>
            </w:r>
            <w:r>
              <w:rPr>
                <w:rFonts w:hint="eastAsia" w:ascii="Times New Roman" w:hAnsi="Times New Roman" w:eastAsia="宋体" w:cs="Times New Roman"/>
                <w:b w:val="0"/>
                <w:bCs w:val="0"/>
                <w:sz w:val="24"/>
                <w:szCs w:val="24"/>
                <w:lang w:val="en-US" w:eastAsia="zh-CN"/>
              </w:rPr>
              <w:t>）</w:t>
            </w:r>
            <w:r>
              <w:rPr>
                <w:rFonts w:hint="eastAsia"/>
                <w:sz w:val="24"/>
                <w:szCs w:val="24"/>
                <w:lang w:val="en-US" w:eastAsia="zh-CN"/>
              </w:rPr>
              <w:t>，</w:t>
            </w:r>
            <w:r>
              <w:rPr>
                <w:rFonts w:hint="default"/>
                <w:sz w:val="24"/>
                <w:szCs w:val="24"/>
                <w:lang w:val="en-US" w:eastAsia="zh-CN"/>
              </w:rPr>
              <w:t>经处理后的外排废</w:t>
            </w:r>
            <w:r>
              <w:rPr>
                <w:rFonts w:hint="eastAsia"/>
                <w:sz w:val="24"/>
                <w:szCs w:val="24"/>
                <w:lang w:val="en-US" w:eastAsia="zh-CN"/>
              </w:rPr>
              <w:t>水达到《医疗机构水污染物排放标准》（GB18466－2005）表2标准后通过市政污水管网排入库尔勒市老城区污水处理厂。项目水平衡图见图2-1。</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sz w:val="24"/>
                <w:szCs w:val="24"/>
                <w:lang w:val="en-US" w:eastAsia="zh-CN"/>
              </w:rPr>
            </w:pPr>
            <w:r>
              <w:rPr>
                <w:rFonts w:hint="eastAsia"/>
                <w:sz w:val="24"/>
                <w:szCs w:val="24"/>
                <w:lang w:val="en-US" w:eastAsia="zh-CN"/>
              </w:rPr>
              <w:drawing>
                <wp:inline distT="0" distB="0" distL="114300" distR="114300">
                  <wp:extent cx="5163820" cy="3383280"/>
                  <wp:effectExtent l="0" t="0" r="0" b="0"/>
                  <wp:docPr id="3" name="ECB019B1-382A-4266-B25C-5B523AA43C14-1" descr="C:/Users/Administrator/AppData/Local/Temp/wps.cflmhK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cflmhKwps"/>
                          <pic:cNvPicPr>
                            <a:picLocks noChangeAspect="1"/>
                          </pic:cNvPicPr>
                        </pic:nvPicPr>
                        <pic:blipFill>
                          <a:blip r:embed="rId9"/>
                          <a:stretch>
                            <a:fillRect/>
                          </a:stretch>
                        </pic:blipFill>
                        <pic:spPr>
                          <a:xfrm>
                            <a:off x="0" y="0"/>
                            <a:ext cx="5163820" cy="3383280"/>
                          </a:xfrm>
                          <a:prstGeom prst="rect">
                            <a:avLst/>
                          </a:prstGeom>
                        </pic:spPr>
                      </pic:pic>
                    </a:graphicData>
                  </a:graphic>
                </wp:inline>
              </w:drawing>
            </w:r>
          </w:p>
          <w:p>
            <w:pPr>
              <w:pStyle w:val="50"/>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b/>
                <w:bCs w:val="0"/>
                <w:sz w:val="24"/>
                <w:szCs w:val="24"/>
                <w:highlight w:val="none"/>
                <w:lang w:val="en-US" w:eastAsia="zh-CN"/>
              </w:rPr>
            </w:pPr>
            <w:r>
              <w:rPr>
                <w:rFonts w:hint="eastAsia"/>
                <w:sz w:val="24"/>
                <w:szCs w:val="24"/>
                <w:highlight w:val="none"/>
                <w:lang w:val="en-US" w:eastAsia="zh-CN"/>
              </w:rPr>
              <w:t xml:space="preserve">图2-1    项目水平衡图   </w:t>
            </w:r>
            <w:r>
              <w:rPr>
                <w:rFonts w:hint="eastAsia"/>
                <w:b/>
                <w:bCs w:val="0"/>
                <w:sz w:val="24"/>
                <w:szCs w:val="24"/>
                <w:highlight w:val="none"/>
                <w:lang w:val="en-US" w:eastAsia="zh-CN"/>
              </w:rPr>
              <w:t>单位</w:t>
            </w:r>
            <w:r>
              <w:rPr>
                <w:rFonts w:hint="default" w:ascii="Times New Roman" w:hAnsi="Times New Roman" w:eastAsia="宋体" w:cs="Times New Roman"/>
                <w:b/>
                <w:bCs w:val="0"/>
                <w:sz w:val="24"/>
                <w:szCs w:val="24"/>
                <w:highlight w:val="none"/>
                <w:lang w:val="en-US" w:eastAsia="zh-CN"/>
              </w:rPr>
              <w:t>m</w:t>
            </w:r>
            <w:r>
              <w:rPr>
                <w:rFonts w:hint="eastAsia" w:ascii="Times New Roman" w:hAnsi="Times New Roman" w:eastAsia="宋体" w:cs="Times New Roman"/>
                <w:b/>
                <w:bCs w:val="0"/>
                <w:sz w:val="24"/>
                <w:szCs w:val="24"/>
                <w:highlight w:val="none"/>
                <w:vertAlign w:val="superscript"/>
                <w:lang w:val="en-US" w:eastAsia="zh-CN"/>
              </w:rPr>
              <w:t>3</w:t>
            </w:r>
            <w:r>
              <w:rPr>
                <w:rFonts w:hint="default" w:ascii="Times New Roman" w:hAnsi="Times New Roman" w:eastAsia="宋体" w:cs="Times New Roman"/>
                <w:b/>
                <w:bCs w:val="0"/>
                <w:sz w:val="24"/>
                <w:szCs w:val="24"/>
                <w:highlight w:val="none"/>
                <w:lang w:val="en-US" w:eastAsia="zh-CN"/>
              </w:rPr>
              <w:t>/</w:t>
            </w:r>
            <w:r>
              <w:rPr>
                <w:rFonts w:hint="eastAsia" w:ascii="Times New Roman" w:hAnsi="Times New Roman" w:eastAsia="宋体" w:cs="Times New Roman"/>
                <w:b/>
                <w:bCs w:val="0"/>
                <w:sz w:val="24"/>
                <w:szCs w:val="24"/>
                <w:highlight w:val="none"/>
                <w:lang w:val="en-US" w:eastAsia="zh-CN"/>
              </w:rPr>
              <w:t>d</w:t>
            </w:r>
          </w:p>
          <w:p>
            <w:pPr>
              <w:pStyle w:val="51"/>
              <w:bidi w:val="0"/>
              <w:rPr>
                <w:rFonts w:hint="default"/>
                <w:lang w:val="en-US" w:eastAsia="zh-CN"/>
              </w:rPr>
            </w:pPr>
            <w:r>
              <w:rPr>
                <w:rFonts w:hint="eastAsia"/>
                <w:lang w:val="en-US" w:eastAsia="zh-CN"/>
              </w:rPr>
              <w:t>9.项目总平面布置</w:t>
            </w:r>
          </w:p>
          <w:p>
            <w:pPr>
              <w:pStyle w:val="58"/>
              <w:bidi w:val="0"/>
              <w:rPr>
                <w:rFonts w:hint="eastAsia"/>
                <w:highlight w:val="none"/>
                <w:lang w:val="en-US" w:eastAsia="zh-CN"/>
              </w:rPr>
            </w:pPr>
            <w:r>
              <w:rPr>
                <w:rFonts w:hint="eastAsia"/>
                <w:highlight w:val="none"/>
                <w:lang w:val="en-US" w:eastAsia="zh-CN"/>
              </w:rPr>
              <w:t>本项目位于</w:t>
            </w:r>
            <w:r>
              <w:rPr>
                <w:rFonts w:hint="default"/>
                <w:highlight w:val="none"/>
                <w:lang w:val="en-US" w:eastAsia="zh-CN"/>
              </w:rPr>
              <w:t>新疆维吾尔自治区巴音郭楞蒙古自治州库尔勒市团结北路108号</w:t>
            </w:r>
            <w:r>
              <w:rPr>
                <w:rFonts w:hint="eastAsia"/>
                <w:highlight w:val="none"/>
                <w:lang w:val="en-US" w:eastAsia="zh-CN"/>
              </w:rPr>
              <w:t>库尔勒市第一人民医院院内，东侧为医院1号楼，南侧为医院2号楼，西侧为急救综合楼，污水消毒池和1#医废间位于传染病综合楼西侧、1#污水处理站（已停用）和生活垃圾房位于2号楼西侧、2#污水处理站和2#医废间位于库尔勒市第一人民医院院内南侧。</w:t>
            </w:r>
          </w:p>
          <w:p>
            <w:pPr>
              <w:pStyle w:val="58"/>
              <w:bidi w:val="0"/>
              <w:rPr>
                <w:rFonts w:hint="default"/>
                <w:highlight w:val="none"/>
                <w:lang w:val="en-US" w:eastAsia="zh-CN"/>
              </w:rPr>
            </w:pPr>
            <w:r>
              <w:rPr>
                <w:rFonts w:hint="eastAsia"/>
                <w:highlight w:val="none"/>
                <w:lang w:val="en-US" w:eastAsia="zh-CN"/>
              </w:rPr>
              <w:t>本次新建的医技及重症医学楼为地上5层，地下1层结构，设置有独立的医疗废物转运通道。1层为放射科；2层为心电/超声检查区，西侧和东南侧各有一连廊，分别连接至院内现有急救综合楼和2号综合楼；3层为ICU重症区；4层-5层为住院区，同时预留扩展区；地下1层设置太平间、设备机房及其他附属设施。</w:t>
            </w:r>
          </w:p>
          <w:p>
            <w:pPr>
              <w:pStyle w:val="58"/>
              <w:bidi w:val="0"/>
              <w:rPr>
                <w:rFonts w:hint="default"/>
                <w:highlight w:val="none"/>
                <w:lang w:val="en-US" w:eastAsia="zh-CN"/>
              </w:rPr>
            </w:pPr>
            <w:r>
              <w:rPr>
                <w:rFonts w:hint="eastAsia"/>
                <w:highlight w:val="none"/>
                <w:lang w:val="en-US" w:eastAsia="zh-CN"/>
              </w:rPr>
              <w:t>院内合理进行功能分区，洁污、医患、人车等流线组织清晰；建筑布局紧凑、交通便捷、医院用房环境安静、病房有良好的朝向、有完整的绿化规划、废弃物也做出妥善的安排；门诊、急诊和住院用房等入口附近设置车辆停放场所，生活垃圾房与医院主出入口分离，垃圾日产日清，能够避免产生二次污染。传染病综合楼产生的医疗废物放置于1#医疗废物贮存间，其他楼栋产生的医疗废物放置于2#医疗废物贮存库，医疗废物贮存库远离医疗区、人员活动区和生活垃圾存放场所，满足《医疗卫生机构医疗废物管理办法》有关规定，因此项目生活垃圾房、医疗废物贮存库位置布置合理。</w:t>
            </w:r>
          </w:p>
          <w:p>
            <w:pPr>
              <w:pStyle w:val="58"/>
              <w:bidi w:val="0"/>
              <w:rPr>
                <w:rFonts w:hint="default"/>
                <w:lang w:val="en-US" w:eastAsia="zh-CN"/>
              </w:rPr>
            </w:pPr>
            <w:r>
              <w:rPr>
                <w:rFonts w:hint="eastAsia"/>
                <w:highlight w:val="none"/>
                <w:lang w:val="en-US" w:eastAsia="zh-CN"/>
              </w:rPr>
              <w:t>综上所述，库尔勒市第一人民医院总平面设计满</w:t>
            </w:r>
            <w:r>
              <w:rPr>
                <w:rFonts w:hint="eastAsia"/>
                <w:lang w:val="en-US" w:eastAsia="zh-CN"/>
              </w:rPr>
              <w:t>足《综合医院建筑设计规范》（GB51039-2014），项目总平面布置实现了病区分区设置原则，避免了其相互影响；项目总平面布置合理。项目平面布置图详见图3。</w:t>
            </w:r>
          </w:p>
          <w:p>
            <w:pPr>
              <w:pStyle w:val="47"/>
              <w:bidi w:val="0"/>
              <w:rPr>
                <w:rFonts w:hint="eastAsia"/>
                <w:lang w:val="en-US" w:eastAsia="zh-CN"/>
              </w:rPr>
            </w:pPr>
            <w:r>
              <w:rPr>
                <w:rFonts w:hint="eastAsia"/>
                <w:lang w:val="en-US" w:eastAsia="zh-CN"/>
              </w:rPr>
              <w:t>10.项目环保投资估算</w:t>
            </w:r>
          </w:p>
          <w:p>
            <w:pPr>
              <w:pStyle w:val="48"/>
              <w:keepNext w:val="0"/>
              <w:keepLines w:val="0"/>
              <w:pageBreakBefore w:val="0"/>
              <w:widowControl w:val="0"/>
              <w:kinsoku/>
              <w:wordWrap w:val="0"/>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eastAsia"/>
                <w:lang w:val="en-US" w:eastAsia="zh-CN"/>
              </w:rPr>
              <w:t>本项目总投资12500万元，其中环保投资108万元，占投资的0.86%，具体情况见表2-8。</w:t>
            </w:r>
          </w:p>
          <w:p>
            <w:pPr>
              <w:pStyle w:val="50"/>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 xml:space="preserve">表2-8    </w:t>
            </w:r>
            <w:r>
              <w:rPr>
                <w:rFonts w:hint="default"/>
                <w:sz w:val="24"/>
                <w:szCs w:val="24"/>
              </w:rPr>
              <w:t>环保设施（措施）及投资估算一览表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184"/>
              <w:gridCol w:w="1267"/>
              <w:gridCol w:w="384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72" w:type="pct"/>
                  <w:vAlign w:val="center"/>
                </w:tcPr>
                <w:p>
                  <w:pPr>
                    <w:pStyle w:val="60"/>
                    <w:bidi w:val="0"/>
                    <w:rPr>
                      <w:rFonts w:hint="eastAsia"/>
                      <w:lang w:val="en-US" w:eastAsia="zh-CN"/>
                    </w:rPr>
                  </w:pPr>
                  <w:r>
                    <w:rPr>
                      <w:rFonts w:hint="eastAsia"/>
                      <w:lang w:val="en-US" w:eastAsia="zh-CN"/>
                    </w:rPr>
                    <w:t>时段</w:t>
                  </w:r>
                </w:p>
              </w:tc>
              <w:tc>
                <w:tcPr>
                  <w:tcW w:w="1503" w:type="pct"/>
                  <w:gridSpan w:val="2"/>
                  <w:vAlign w:val="center"/>
                </w:tcPr>
                <w:p>
                  <w:pPr>
                    <w:pStyle w:val="60"/>
                    <w:bidi w:val="0"/>
                    <w:rPr>
                      <w:rFonts w:hint="default"/>
                    </w:rPr>
                  </w:pPr>
                  <w:r>
                    <w:rPr>
                      <w:rFonts w:hint="eastAsia"/>
                      <w:lang w:val="en-US" w:eastAsia="zh-CN"/>
                    </w:rPr>
                    <w:t>项目</w:t>
                  </w:r>
                </w:p>
              </w:tc>
              <w:tc>
                <w:tcPr>
                  <w:tcW w:w="2358" w:type="pct"/>
                  <w:vAlign w:val="center"/>
                </w:tcPr>
                <w:p>
                  <w:pPr>
                    <w:pStyle w:val="60"/>
                    <w:bidi w:val="0"/>
                    <w:rPr>
                      <w:rFonts w:hint="default"/>
                      <w:lang w:val="en-US" w:eastAsia="zh-CN"/>
                    </w:rPr>
                  </w:pPr>
                  <w:r>
                    <w:rPr>
                      <w:rFonts w:hint="eastAsia"/>
                      <w:lang w:val="en-US" w:eastAsia="zh-CN"/>
                    </w:rPr>
                    <w:t>环保措施</w:t>
                  </w:r>
                </w:p>
              </w:tc>
              <w:tc>
                <w:tcPr>
                  <w:tcW w:w="766" w:type="pct"/>
                  <w:vAlign w:val="center"/>
                </w:tcPr>
                <w:p>
                  <w:pPr>
                    <w:pStyle w:val="60"/>
                    <w:bidi w:val="0"/>
                    <w:rPr>
                      <w:rFonts w:hint="eastAsia"/>
                      <w:lang w:val="en-US" w:eastAsia="zh-CN"/>
                    </w:rPr>
                  </w:pPr>
                  <w:r>
                    <w:rPr>
                      <w:rFonts w:hint="eastAsia"/>
                      <w:lang w:val="en-US"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72" w:type="pct"/>
                  <w:vMerge w:val="restart"/>
                  <w:vAlign w:val="center"/>
                </w:tcPr>
                <w:p>
                  <w:pPr>
                    <w:pStyle w:val="60"/>
                    <w:bidi w:val="0"/>
                    <w:rPr>
                      <w:rFonts w:hint="default"/>
                      <w:lang w:val="en-US" w:eastAsia="zh-CN"/>
                    </w:rPr>
                  </w:pPr>
                  <w:r>
                    <w:rPr>
                      <w:rFonts w:hint="eastAsia"/>
                      <w:lang w:val="en-US" w:eastAsia="zh-CN"/>
                    </w:rPr>
                    <w:t>施工期</w:t>
                  </w:r>
                </w:p>
              </w:tc>
              <w:tc>
                <w:tcPr>
                  <w:tcW w:w="1503" w:type="pct"/>
                  <w:gridSpan w:val="2"/>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扬尘治理</w:t>
                  </w:r>
                </w:p>
              </w:tc>
              <w:tc>
                <w:tcPr>
                  <w:tcW w:w="2358"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sz w:val="21"/>
                      <w:szCs w:val="21"/>
                      <w:highlight w:val="none"/>
                      <w:lang w:val="en-US" w:eastAsia="zh-CN"/>
                    </w:rPr>
                    <w:t>设置围挡，加</w:t>
                  </w:r>
                  <w:r>
                    <w:rPr>
                      <w:rFonts w:hint="default" w:ascii="Times New Roman" w:hAnsi="Times New Roman" w:eastAsia="宋体" w:cs="Times New Roman"/>
                      <w:color w:val="auto"/>
                      <w:sz w:val="21"/>
                      <w:szCs w:val="21"/>
                      <w:highlight w:val="none"/>
                    </w:rPr>
                    <w:t>强施工期环境管理，场地适时洒水，散堆物料用篷布覆盖，车辆冲洗上路，避免大风天气作业等</w:t>
                  </w:r>
                </w:p>
              </w:tc>
              <w:tc>
                <w:tcPr>
                  <w:tcW w:w="766" w:type="pct"/>
                  <w:shd w:val="clear" w:color="auto" w:fill="auto"/>
                  <w:vAlign w:val="center"/>
                </w:tcPr>
                <w:p>
                  <w:pPr>
                    <w:pStyle w:val="42"/>
                    <w:bidi w:val="0"/>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72" w:type="pct"/>
                  <w:vMerge w:val="continue"/>
                  <w:vAlign w:val="center"/>
                </w:tcPr>
                <w:p>
                  <w:pPr>
                    <w:pStyle w:val="60"/>
                    <w:bidi w:val="0"/>
                    <w:rPr>
                      <w:rFonts w:hint="eastAsia"/>
                      <w:lang w:val="en-US" w:eastAsia="zh-CN"/>
                    </w:rPr>
                  </w:pPr>
                </w:p>
              </w:tc>
              <w:tc>
                <w:tcPr>
                  <w:tcW w:w="1503" w:type="pct"/>
                  <w:gridSpan w:val="2"/>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噪声治理</w:t>
                  </w:r>
                </w:p>
              </w:tc>
              <w:tc>
                <w:tcPr>
                  <w:tcW w:w="2358"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合理安排作业时间，优选低噪声设备，加强维修管理，加强运输车辆管理</w:t>
                  </w:r>
                </w:p>
              </w:tc>
              <w:tc>
                <w:tcPr>
                  <w:tcW w:w="766"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2" w:type="pct"/>
                  <w:vMerge w:val="continue"/>
                  <w:vAlign w:val="center"/>
                </w:tcPr>
                <w:p>
                  <w:pPr>
                    <w:pStyle w:val="60"/>
                    <w:bidi w:val="0"/>
                    <w:rPr>
                      <w:rFonts w:hint="eastAsia"/>
                      <w:lang w:val="en-US" w:eastAsia="zh-CN"/>
                    </w:rPr>
                  </w:pPr>
                </w:p>
              </w:tc>
              <w:tc>
                <w:tcPr>
                  <w:tcW w:w="1503" w:type="pct"/>
                  <w:gridSpan w:val="2"/>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sz w:val="21"/>
                      <w:szCs w:val="21"/>
                      <w:highlight w:val="none"/>
                      <w:lang w:val="en-US" w:eastAsia="zh-CN"/>
                    </w:rPr>
                    <w:t>废水治理</w:t>
                  </w:r>
                </w:p>
              </w:tc>
              <w:tc>
                <w:tcPr>
                  <w:tcW w:w="2358"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临时沉淀池</w:t>
                  </w:r>
                </w:p>
              </w:tc>
              <w:tc>
                <w:tcPr>
                  <w:tcW w:w="766"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72" w:type="pct"/>
                  <w:vMerge w:val="continue"/>
                  <w:vAlign w:val="center"/>
                </w:tcPr>
                <w:p>
                  <w:pPr>
                    <w:pStyle w:val="60"/>
                    <w:bidi w:val="0"/>
                    <w:rPr>
                      <w:rFonts w:hint="eastAsia"/>
                      <w:lang w:val="en-US" w:eastAsia="zh-CN"/>
                    </w:rPr>
                  </w:pPr>
                </w:p>
              </w:tc>
              <w:tc>
                <w:tcPr>
                  <w:tcW w:w="726" w:type="pct"/>
                  <w:vMerge w:val="restar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固废治理</w:t>
                  </w:r>
                </w:p>
              </w:tc>
              <w:tc>
                <w:tcPr>
                  <w:tcW w:w="777"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生活垃圾</w:t>
                  </w:r>
                </w:p>
              </w:tc>
              <w:tc>
                <w:tcPr>
                  <w:tcW w:w="2358"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垃圾收集箱</w:t>
                  </w:r>
                </w:p>
              </w:tc>
              <w:tc>
                <w:tcPr>
                  <w:tcW w:w="766"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72" w:type="pct"/>
                  <w:vMerge w:val="continue"/>
                  <w:vAlign w:val="center"/>
                </w:tcPr>
                <w:p>
                  <w:pPr>
                    <w:pStyle w:val="60"/>
                    <w:bidi w:val="0"/>
                    <w:rPr>
                      <w:rFonts w:hint="eastAsia"/>
                      <w:lang w:val="en-US" w:eastAsia="zh-CN"/>
                    </w:rPr>
                  </w:pPr>
                </w:p>
              </w:tc>
              <w:tc>
                <w:tcPr>
                  <w:tcW w:w="726" w:type="pct"/>
                  <w:vMerge w:val="continue"/>
                  <w:vAlign w:val="center"/>
                </w:tcPr>
                <w:p>
                  <w:pPr>
                    <w:pStyle w:val="60"/>
                    <w:bidi w:val="0"/>
                    <w:rPr>
                      <w:rFonts w:hint="eastAsia"/>
                      <w:lang w:val="en-US" w:eastAsia="zh-CN"/>
                    </w:rPr>
                  </w:pPr>
                </w:p>
              </w:tc>
              <w:tc>
                <w:tcPr>
                  <w:tcW w:w="777"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施工废料、弃土弃渣</w:t>
                  </w:r>
                </w:p>
              </w:tc>
              <w:tc>
                <w:tcPr>
                  <w:tcW w:w="2358"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可回收部分回收，不可回收部分送垃圾填埋场安全填埋，弃土弃渣按市政要求送指定地点堆放</w:t>
                  </w:r>
                </w:p>
              </w:tc>
              <w:tc>
                <w:tcPr>
                  <w:tcW w:w="766" w:type="pct"/>
                  <w:shd w:val="clear" w:color="auto" w:fill="auto"/>
                  <w:vAlign w:val="center"/>
                </w:tcPr>
                <w:p>
                  <w:pPr>
                    <w:pStyle w:val="42"/>
                    <w:bidi w:val="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72" w:type="pct"/>
                  <w:vMerge w:val="restart"/>
                  <w:vAlign w:val="center"/>
                </w:tcPr>
                <w:p>
                  <w:pPr>
                    <w:pStyle w:val="60"/>
                    <w:bidi w:val="0"/>
                    <w:rPr>
                      <w:rFonts w:hint="eastAsia" w:eastAsiaTheme="minorEastAsia"/>
                      <w:lang w:val="en-US" w:eastAsia="zh-CN"/>
                    </w:rPr>
                  </w:pPr>
                  <w:r>
                    <w:rPr>
                      <w:rFonts w:hint="eastAsia"/>
                      <w:lang w:val="en-US" w:eastAsia="zh-CN"/>
                    </w:rPr>
                    <w:t>营运期</w:t>
                  </w:r>
                </w:p>
              </w:tc>
              <w:tc>
                <w:tcPr>
                  <w:tcW w:w="726" w:type="pct"/>
                  <w:vAlign w:val="center"/>
                </w:tcPr>
                <w:p>
                  <w:pPr>
                    <w:pStyle w:val="60"/>
                    <w:bidi w:val="0"/>
                    <w:rPr>
                      <w:rFonts w:hint="default"/>
                      <w:lang w:val="en-US" w:eastAsia="zh-CN"/>
                    </w:rPr>
                  </w:pPr>
                  <w:r>
                    <w:rPr>
                      <w:rFonts w:hint="eastAsia"/>
                      <w:lang w:val="en-US" w:eastAsia="zh-CN"/>
                    </w:rPr>
                    <w:t>废气治理</w:t>
                  </w:r>
                </w:p>
              </w:tc>
              <w:tc>
                <w:tcPr>
                  <w:tcW w:w="777" w:type="pct"/>
                  <w:shd w:val="clear" w:color="auto" w:fill="auto"/>
                  <w:vAlign w:val="center"/>
                </w:tcPr>
                <w:p>
                  <w:pPr>
                    <w:pStyle w:val="60"/>
                    <w:bidi w:val="0"/>
                    <w:rPr>
                      <w:rFonts w:hint="default"/>
                      <w:lang w:val="en-US" w:eastAsia="zh-CN"/>
                    </w:rPr>
                  </w:pPr>
                  <w:r>
                    <w:rPr>
                      <w:rFonts w:hint="eastAsia"/>
                      <w:lang w:val="en-US" w:eastAsia="zh-CN"/>
                    </w:rPr>
                    <w:t>污水处理站臭气</w:t>
                  </w:r>
                </w:p>
              </w:tc>
              <w:tc>
                <w:tcPr>
                  <w:tcW w:w="2358" w:type="pct"/>
                  <w:shd w:val="clear" w:color="auto" w:fill="auto"/>
                  <w:vAlign w:val="center"/>
                </w:tcPr>
                <w:p>
                  <w:pPr>
                    <w:pStyle w:val="60"/>
                    <w:bidi w:val="0"/>
                    <w:rPr>
                      <w:rFonts w:hint="eastAsia"/>
                      <w:shd w:val="clear"/>
                      <w:lang w:val="en-US" w:eastAsia="zh-CN"/>
                    </w:rPr>
                  </w:pPr>
                  <w:r>
                    <w:rPr>
                      <w:rFonts w:hint="eastAsia"/>
                      <w:shd w:val="clear"/>
                      <w:lang w:val="en-US" w:eastAsia="zh-CN"/>
                    </w:rPr>
                    <w:t>2#污水处理站采用地埋式一体化设备，池体均加盖密闭，产生的废气经管道收集，通入等离子除臭装置+紫外线消毒设备处理后经1根15m高的排气筒进行排放</w:t>
                  </w:r>
                </w:p>
              </w:tc>
              <w:tc>
                <w:tcPr>
                  <w:tcW w:w="766" w:type="pct"/>
                  <w:vAlign w:val="center"/>
                </w:tcPr>
                <w:p>
                  <w:pPr>
                    <w:pStyle w:val="60"/>
                    <w:bidi w:val="0"/>
                    <w:rPr>
                      <w:rFonts w:hint="default"/>
                      <w:lang w:val="en-US" w:eastAsia="zh-CN"/>
                    </w:rPr>
                  </w:pPr>
                  <w:r>
                    <w:rPr>
                      <w:rFonts w:hint="eastAsia"/>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72" w:type="pct"/>
                  <w:vMerge w:val="continue"/>
                  <w:vAlign w:val="center"/>
                </w:tcPr>
                <w:p>
                  <w:pPr>
                    <w:pStyle w:val="60"/>
                    <w:bidi w:val="0"/>
                    <w:rPr>
                      <w:rFonts w:hint="eastAsia" w:eastAsiaTheme="minorEastAsia"/>
                      <w:lang w:val="en-US" w:eastAsia="zh-CN"/>
                    </w:rPr>
                  </w:pPr>
                </w:p>
              </w:tc>
              <w:tc>
                <w:tcPr>
                  <w:tcW w:w="726" w:type="pct"/>
                  <w:vAlign w:val="center"/>
                </w:tcPr>
                <w:p>
                  <w:pPr>
                    <w:pStyle w:val="60"/>
                    <w:bidi w:val="0"/>
                    <w:rPr>
                      <w:rFonts w:hint="default"/>
                      <w:lang w:val="en-US" w:eastAsia="zh-CN"/>
                    </w:rPr>
                  </w:pPr>
                  <w:r>
                    <w:rPr>
                      <w:rFonts w:hint="eastAsia"/>
                      <w:lang w:val="en-US" w:eastAsia="zh-CN"/>
                    </w:rPr>
                    <w:t>噪声治理</w:t>
                  </w:r>
                </w:p>
              </w:tc>
              <w:tc>
                <w:tcPr>
                  <w:tcW w:w="777" w:type="pct"/>
                  <w:shd w:val="clear" w:color="auto" w:fill="auto"/>
                  <w:vAlign w:val="center"/>
                </w:tcPr>
                <w:p>
                  <w:pPr>
                    <w:pStyle w:val="60"/>
                    <w:bidi w:val="0"/>
                    <w:rPr>
                      <w:rFonts w:hint="default"/>
                      <w:lang w:val="en-US" w:eastAsia="zh-CN"/>
                    </w:rPr>
                  </w:pPr>
                  <w:r>
                    <w:rPr>
                      <w:rFonts w:hint="eastAsia"/>
                      <w:lang w:val="en-US" w:eastAsia="zh-CN"/>
                    </w:rPr>
                    <w:t>设备噪声、人员活动</w:t>
                  </w:r>
                </w:p>
              </w:tc>
              <w:tc>
                <w:tcPr>
                  <w:tcW w:w="2358" w:type="pct"/>
                  <w:shd w:val="clear" w:color="auto" w:fill="auto"/>
                  <w:vAlign w:val="center"/>
                </w:tcPr>
                <w:p>
                  <w:pPr>
                    <w:pStyle w:val="60"/>
                    <w:bidi w:val="0"/>
                    <w:rPr>
                      <w:rFonts w:hint="eastAsia"/>
                      <w:lang w:val="en-US" w:eastAsia="zh-CN"/>
                    </w:rPr>
                  </w:pPr>
                  <w:r>
                    <w:rPr>
                      <w:rFonts w:hint="eastAsia"/>
                      <w:lang w:val="en-US" w:eastAsia="zh-CN"/>
                    </w:rPr>
                    <w:t>采取设备基础减震、隔声和合理布置，同时加强绿化和隔音</w:t>
                  </w:r>
                </w:p>
              </w:tc>
              <w:tc>
                <w:tcPr>
                  <w:tcW w:w="766" w:type="pct"/>
                  <w:vAlign w:val="center"/>
                </w:tcPr>
                <w:p>
                  <w:pPr>
                    <w:pStyle w:val="60"/>
                    <w:bidi w:val="0"/>
                    <w:rPr>
                      <w:rFonts w:hint="default"/>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72" w:type="pct"/>
                  <w:vMerge w:val="continue"/>
                  <w:vAlign w:val="center"/>
                </w:tcPr>
                <w:p>
                  <w:pPr>
                    <w:pStyle w:val="60"/>
                    <w:bidi w:val="0"/>
                    <w:rPr>
                      <w:rFonts w:hint="default"/>
                    </w:rPr>
                  </w:pPr>
                </w:p>
              </w:tc>
              <w:tc>
                <w:tcPr>
                  <w:tcW w:w="726" w:type="pct"/>
                  <w:vMerge w:val="restart"/>
                  <w:vAlign w:val="center"/>
                </w:tcPr>
                <w:p>
                  <w:pPr>
                    <w:pStyle w:val="60"/>
                    <w:bidi w:val="0"/>
                    <w:rPr>
                      <w:rFonts w:hint="default"/>
                      <w:lang w:val="en-US" w:eastAsia="zh-CN"/>
                    </w:rPr>
                  </w:pPr>
                  <w:r>
                    <w:rPr>
                      <w:rFonts w:hint="eastAsia"/>
                      <w:lang w:val="en-US" w:eastAsia="zh-CN"/>
                    </w:rPr>
                    <w:t>废水治理</w:t>
                  </w:r>
                </w:p>
              </w:tc>
              <w:tc>
                <w:tcPr>
                  <w:tcW w:w="777" w:type="pct"/>
                  <w:vAlign w:val="center"/>
                </w:tcPr>
                <w:p>
                  <w:pPr>
                    <w:pStyle w:val="60"/>
                    <w:bidi w:val="0"/>
                    <w:rPr>
                      <w:rFonts w:hint="default"/>
                      <w:lang w:val="en-US" w:eastAsia="zh-CN"/>
                    </w:rPr>
                  </w:pPr>
                  <w:r>
                    <w:rPr>
                      <w:rFonts w:hint="eastAsia"/>
                      <w:lang w:val="en-US" w:eastAsia="zh-CN"/>
                    </w:rPr>
                    <w:t>生活污水</w:t>
                  </w:r>
                </w:p>
              </w:tc>
              <w:tc>
                <w:tcPr>
                  <w:tcW w:w="2358" w:type="pct"/>
                  <w:vMerge w:val="restart"/>
                  <w:vAlign w:val="center"/>
                </w:tcPr>
                <w:p>
                  <w:pPr>
                    <w:pStyle w:val="60"/>
                    <w:bidi w:val="0"/>
                    <w:rPr>
                      <w:rFonts w:hint="default"/>
                      <w:lang w:val="en-US"/>
                    </w:rPr>
                  </w:pPr>
                  <w:r>
                    <w:rPr>
                      <w:rFonts w:hint="eastAsia"/>
                      <w:lang w:val="en-US" w:eastAsia="zh-CN"/>
                    </w:rPr>
                    <w:t>污水经2号污水处理站进行处理，处理达标后通过市政污水管网排入库尔勒市老城区污水处理厂</w:t>
                  </w:r>
                </w:p>
              </w:tc>
              <w:tc>
                <w:tcPr>
                  <w:tcW w:w="766" w:type="pct"/>
                  <w:vMerge w:val="restart"/>
                  <w:vAlign w:val="center"/>
                </w:tcPr>
                <w:p>
                  <w:pPr>
                    <w:pStyle w:val="60"/>
                    <w:bidi w:val="0"/>
                    <w:rPr>
                      <w:rFonts w:hint="default"/>
                      <w:lang w:val="en-US" w:eastAsia="zh-CN"/>
                    </w:rPr>
                  </w:pPr>
                  <w:r>
                    <w:rPr>
                      <w:rFonts w:hint="eastAsia"/>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pPr>
                    <w:pStyle w:val="60"/>
                    <w:bidi w:val="0"/>
                    <w:rPr>
                      <w:rFonts w:hint="default"/>
                    </w:rPr>
                  </w:pPr>
                </w:p>
              </w:tc>
              <w:tc>
                <w:tcPr>
                  <w:tcW w:w="726" w:type="pct"/>
                  <w:vMerge w:val="continue"/>
                  <w:vAlign w:val="center"/>
                </w:tcPr>
                <w:p>
                  <w:pPr>
                    <w:pStyle w:val="60"/>
                    <w:bidi w:val="0"/>
                    <w:rPr>
                      <w:rFonts w:hint="eastAsia"/>
                      <w:lang w:val="en-US" w:eastAsia="zh-CN"/>
                    </w:rPr>
                  </w:pPr>
                </w:p>
              </w:tc>
              <w:tc>
                <w:tcPr>
                  <w:tcW w:w="777" w:type="pct"/>
                  <w:vAlign w:val="center"/>
                </w:tcPr>
                <w:p>
                  <w:pPr>
                    <w:pStyle w:val="60"/>
                    <w:bidi w:val="0"/>
                    <w:rPr>
                      <w:rFonts w:hint="default"/>
                      <w:lang w:val="en-US" w:eastAsia="zh-CN"/>
                    </w:rPr>
                  </w:pPr>
                  <w:r>
                    <w:rPr>
                      <w:rFonts w:hint="eastAsia"/>
                      <w:lang w:val="en-US" w:eastAsia="zh-CN"/>
                    </w:rPr>
                    <w:t>医疗废水</w:t>
                  </w:r>
                </w:p>
              </w:tc>
              <w:tc>
                <w:tcPr>
                  <w:tcW w:w="2358" w:type="pct"/>
                  <w:vMerge w:val="continue"/>
                  <w:vAlign w:val="center"/>
                </w:tcPr>
                <w:p>
                  <w:pPr>
                    <w:pStyle w:val="60"/>
                    <w:bidi w:val="0"/>
                    <w:rPr>
                      <w:rFonts w:hint="eastAsia"/>
                      <w:lang w:val="en-US" w:eastAsia="zh-CN"/>
                    </w:rPr>
                  </w:pPr>
                </w:p>
              </w:tc>
              <w:tc>
                <w:tcPr>
                  <w:tcW w:w="766"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2" w:type="pct"/>
                  <w:vMerge w:val="continue"/>
                  <w:vAlign w:val="center"/>
                </w:tcPr>
                <w:p>
                  <w:pPr>
                    <w:pStyle w:val="60"/>
                    <w:bidi w:val="0"/>
                    <w:rPr>
                      <w:rFonts w:hint="default"/>
                    </w:rPr>
                  </w:pPr>
                </w:p>
              </w:tc>
              <w:tc>
                <w:tcPr>
                  <w:tcW w:w="726" w:type="pct"/>
                  <w:vMerge w:val="restart"/>
                  <w:vAlign w:val="center"/>
                </w:tcPr>
                <w:p>
                  <w:pPr>
                    <w:pStyle w:val="60"/>
                    <w:bidi w:val="0"/>
                    <w:rPr>
                      <w:rFonts w:hint="default"/>
                      <w:lang w:val="en-US" w:eastAsia="zh-CN"/>
                    </w:rPr>
                  </w:pPr>
                  <w:r>
                    <w:rPr>
                      <w:rFonts w:hint="eastAsia"/>
                      <w:lang w:val="en-US" w:eastAsia="zh-CN"/>
                    </w:rPr>
                    <w:t>固废治理</w:t>
                  </w:r>
                </w:p>
              </w:tc>
              <w:tc>
                <w:tcPr>
                  <w:tcW w:w="777" w:type="pct"/>
                  <w:vAlign w:val="center"/>
                </w:tcPr>
                <w:p>
                  <w:pPr>
                    <w:pStyle w:val="60"/>
                    <w:bidi w:val="0"/>
                    <w:rPr>
                      <w:rFonts w:hint="default"/>
                      <w:lang w:val="en-US" w:eastAsia="zh-CN"/>
                    </w:rPr>
                  </w:pPr>
                  <w:r>
                    <w:rPr>
                      <w:rFonts w:hint="eastAsia"/>
                      <w:lang w:val="en-US" w:eastAsia="zh-CN"/>
                    </w:rPr>
                    <w:t>危险废物院内收集、运输</w:t>
                  </w:r>
                </w:p>
              </w:tc>
              <w:tc>
                <w:tcPr>
                  <w:tcW w:w="2358" w:type="pct"/>
                  <w:vAlign w:val="center"/>
                </w:tcPr>
                <w:p>
                  <w:pPr>
                    <w:pStyle w:val="60"/>
                    <w:bidi w:val="0"/>
                    <w:rPr>
                      <w:rFonts w:hint="default"/>
                      <w:lang w:val="en-US" w:eastAsia="zh-CN"/>
                    </w:rPr>
                  </w:pPr>
                  <w:r>
                    <w:rPr>
                      <w:rFonts w:hint="eastAsia"/>
                      <w:lang w:val="en-US" w:eastAsia="zh-CN"/>
                    </w:rPr>
                    <w:t>每层均设置独立的污物暂存间、污物电梯，医疗废物分类收集、消毒后经独立污物流线运输</w:t>
                  </w:r>
                </w:p>
              </w:tc>
              <w:tc>
                <w:tcPr>
                  <w:tcW w:w="766" w:type="pct"/>
                  <w:vAlign w:val="center"/>
                </w:tcPr>
                <w:p>
                  <w:pPr>
                    <w:pStyle w:val="60"/>
                    <w:bidi w:val="0"/>
                    <w:rPr>
                      <w:rFonts w:hint="default"/>
                      <w:lang w:val="en-US" w:eastAsia="zh-CN"/>
                    </w:rPr>
                  </w:pPr>
                  <w:r>
                    <w:rPr>
                      <w:rFonts w:hint="eastAsia"/>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72" w:type="pct"/>
                  <w:vMerge w:val="continue"/>
                  <w:vAlign w:val="center"/>
                </w:tcPr>
                <w:p>
                  <w:pPr>
                    <w:pStyle w:val="60"/>
                    <w:bidi w:val="0"/>
                    <w:rPr>
                      <w:rFonts w:hint="default"/>
                    </w:rPr>
                  </w:pPr>
                </w:p>
              </w:tc>
              <w:tc>
                <w:tcPr>
                  <w:tcW w:w="726" w:type="pct"/>
                  <w:vMerge w:val="continue"/>
                  <w:vAlign w:val="center"/>
                </w:tcPr>
                <w:p>
                  <w:pPr>
                    <w:pStyle w:val="60"/>
                    <w:bidi w:val="0"/>
                    <w:rPr>
                      <w:rFonts w:hint="default"/>
                      <w:lang w:val="en-US" w:eastAsia="zh-CN"/>
                    </w:rPr>
                  </w:pPr>
                </w:p>
              </w:tc>
              <w:tc>
                <w:tcPr>
                  <w:tcW w:w="777" w:type="pct"/>
                  <w:vAlign w:val="center"/>
                </w:tcPr>
                <w:p>
                  <w:pPr>
                    <w:pStyle w:val="60"/>
                    <w:bidi w:val="0"/>
                    <w:rPr>
                      <w:rFonts w:hint="default"/>
                      <w:lang w:val="en-US" w:eastAsia="zh-CN"/>
                    </w:rPr>
                  </w:pPr>
                  <w:r>
                    <w:rPr>
                      <w:rFonts w:hint="eastAsia"/>
                      <w:lang w:val="en-US" w:eastAsia="zh-CN"/>
                    </w:rPr>
                    <w:t>危险废物贮存</w:t>
                  </w:r>
                </w:p>
              </w:tc>
              <w:tc>
                <w:tcPr>
                  <w:tcW w:w="2358" w:type="pct"/>
                  <w:vAlign w:val="center"/>
                </w:tcPr>
                <w:p>
                  <w:pPr>
                    <w:pStyle w:val="60"/>
                    <w:bidi w:val="0"/>
                    <w:rPr>
                      <w:rFonts w:hint="default"/>
                      <w:lang w:val="en-US" w:eastAsia="zh-CN"/>
                    </w:rPr>
                  </w:pPr>
                  <w:r>
                    <w:rPr>
                      <w:rFonts w:hint="eastAsia"/>
                      <w:lang w:val="en-US" w:eastAsia="zh-CN"/>
                    </w:rPr>
                    <w:t>医疗废物暂存于2#医疗废物贮存库，定期委托有资质的单位进行处置；栅渣和污泥委托有资质的单位进行清运处理</w:t>
                  </w:r>
                </w:p>
              </w:tc>
              <w:tc>
                <w:tcPr>
                  <w:tcW w:w="766" w:type="pct"/>
                  <w:vAlign w:val="center"/>
                </w:tcPr>
                <w:p>
                  <w:pPr>
                    <w:pStyle w:val="60"/>
                    <w:bidi w:val="0"/>
                    <w:rPr>
                      <w:rFonts w:hint="default"/>
                      <w:lang w:val="en-US" w:eastAsia="zh-CN"/>
                    </w:rPr>
                  </w:pPr>
                  <w:r>
                    <w:rPr>
                      <w:rFonts w:hint="eastAsia"/>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72" w:type="pct"/>
                  <w:vMerge w:val="continue"/>
                  <w:vAlign w:val="center"/>
                </w:tcPr>
                <w:p>
                  <w:pPr>
                    <w:pStyle w:val="60"/>
                    <w:bidi w:val="0"/>
                    <w:rPr>
                      <w:rFonts w:hint="default"/>
                    </w:rPr>
                  </w:pPr>
                </w:p>
              </w:tc>
              <w:tc>
                <w:tcPr>
                  <w:tcW w:w="726" w:type="pct"/>
                  <w:vMerge w:val="continue"/>
                  <w:vAlign w:val="center"/>
                </w:tcPr>
                <w:p>
                  <w:pPr>
                    <w:pStyle w:val="60"/>
                    <w:bidi w:val="0"/>
                    <w:rPr>
                      <w:rFonts w:hint="eastAsia"/>
                      <w:lang w:val="en-US" w:eastAsia="zh-CN"/>
                    </w:rPr>
                  </w:pPr>
                </w:p>
              </w:tc>
              <w:tc>
                <w:tcPr>
                  <w:tcW w:w="777" w:type="pct"/>
                  <w:vAlign w:val="center"/>
                </w:tcPr>
                <w:p>
                  <w:pPr>
                    <w:pStyle w:val="60"/>
                    <w:bidi w:val="0"/>
                    <w:rPr>
                      <w:rFonts w:hint="eastAsia"/>
                      <w:lang w:val="en-US" w:eastAsia="zh-CN"/>
                    </w:rPr>
                  </w:pPr>
                  <w:r>
                    <w:rPr>
                      <w:rFonts w:hint="eastAsia"/>
                      <w:lang w:val="en-US" w:eastAsia="zh-CN"/>
                    </w:rPr>
                    <w:t>生活垃圾</w:t>
                  </w:r>
                </w:p>
              </w:tc>
              <w:tc>
                <w:tcPr>
                  <w:tcW w:w="2358" w:type="pct"/>
                  <w:vAlign w:val="center"/>
                </w:tcPr>
                <w:p>
                  <w:pPr>
                    <w:pStyle w:val="60"/>
                    <w:bidi w:val="0"/>
                    <w:rPr>
                      <w:rFonts w:hint="eastAsia"/>
                      <w:lang w:val="en-US" w:eastAsia="zh-CN"/>
                    </w:rPr>
                  </w:pPr>
                  <w:r>
                    <w:rPr>
                      <w:rFonts w:hint="eastAsia"/>
                      <w:lang w:val="en-US" w:eastAsia="zh-CN"/>
                    </w:rPr>
                    <w:t>设置垃圾收集装置，生活垃圾集中收集后暂存于现有生活垃圾房中，定期委托环卫部门统一处理</w:t>
                  </w:r>
                </w:p>
              </w:tc>
              <w:tc>
                <w:tcPr>
                  <w:tcW w:w="766" w:type="pct"/>
                  <w:vAlign w:val="center"/>
                </w:tcPr>
                <w:p>
                  <w:pPr>
                    <w:pStyle w:val="60"/>
                    <w:bidi w:val="0"/>
                    <w:rPr>
                      <w:rFonts w:hint="default"/>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2" w:type="pct"/>
                  <w:vMerge w:val="continue"/>
                  <w:vAlign w:val="center"/>
                </w:tcPr>
                <w:p>
                  <w:pPr>
                    <w:pStyle w:val="60"/>
                    <w:bidi w:val="0"/>
                    <w:rPr>
                      <w:rFonts w:hint="default"/>
                    </w:rPr>
                  </w:pPr>
                </w:p>
              </w:tc>
              <w:tc>
                <w:tcPr>
                  <w:tcW w:w="726" w:type="pct"/>
                  <w:vMerge w:val="continue"/>
                  <w:vAlign w:val="center"/>
                </w:tcPr>
                <w:p>
                  <w:pPr>
                    <w:pStyle w:val="60"/>
                    <w:bidi w:val="0"/>
                    <w:rPr>
                      <w:rFonts w:hint="eastAsia"/>
                      <w:lang w:val="en-US" w:eastAsia="zh-CN"/>
                    </w:rPr>
                  </w:pPr>
                </w:p>
              </w:tc>
              <w:tc>
                <w:tcPr>
                  <w:tcW w:w="777" w:type="pct"/>
                  <w:shd w:val="clear" w:color="auto" w:fill="auto"/>
                  <w:vAlign w:val="center"/>
                </w:tcPr>
                <w:p>
                  <w:pPr>
                    <w:pStyle w:val="60"/>
                    <w:bidi w:val="0"/>
                    <w:rPr>
                      <w:rFonts w:hint="default"/>
                      <w:lang w:val="en-US" w:eastAsia="zh-CN"/>
                    </w:rPr>
                  </w:pPr>
                  <w:r>
                    <w:rPr>
                      <w:rFonts w:hint="eastAsia"/>
                      <w:lang w:val="en-US" w:eastAsia="zh-CN"/>
                    </w:rPr>
                    <w:t>一般固废</w:t>
                  </w:r>
                </w:p>
              </w:tc>
              <w:tc>
                <w:tcPr>
                  <w:tcW w:w="2358" w:type="pct"/>
                  <w:shd w:val="clear" w:color="auto" w:fill="auto"/>
                  <w:vAlign w:val="center"/>
                </w:tcPr>
                <w:p>
                  <w:pPr>
                    <w:pStyle w:val="60"/>
                    <w:bidi w:val="0"/>
                    <w:rPr>
                      <w:rFonts w:hint="eastAsia"/>
                      <w:lang w:val="en-US" w:eastAsia="zh-CN"/>
                    </w:rPr>
                  </w:pPr>
                  <w:r>
                    <w:rPr>
                      <w:rFonts w:hint="eastAsia"/>
                      <w:lang w:val="en-US" w:eastAsia="zh-CN"/>
                    </w:rPr>
                    <w:t>各种药盒、药箱等包装材料及使用说明材料等外售至物资回收单位进行处理</w:t>
                  </w:r>
                </w:p>
              </w:tc>
              <w:tc>
                <w:tcPr>
                  <w:tcW w:w="766" w:type="pct"/>
                  <w:vAlign w:val="center"/>
                </w:tcPr>
                <w:p>
                  <w:pPr>
                    <w:pStyle w:val="60"/>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233" w:type="pct"/>
                  <w:gridSpan w:val="4"/>
                  <w:vAlign w:val="center"/>
                </w:tcPr>
                <w:p>
                  <w:pPr>
                    <w:pStyle w:val="60"/>
                    <w:bidi w:val="0"/>
                    <w:rPr>
                      <w:rFonts w:hint="default"/>
                      <w:lang w:val="en-US" w:eastAsia="zh-CN"/>
                    </w:rPr>
                  </w:pPr>
                  <w:r>
                    <w:rPr>
                      <w:rFonts w:hint="eastAsia"/>
                      <w:lang w:val="en-US" w:eastAsia="zh-CN"/>
                    </w:rPr>
                    <w:t>合计</w:t>
                  </w:r>
                </w:p>
              </w:tc>
              <w:tc>
                <w:tcPr>
                  <w:tcW w:w="766" w:type="pct"/>
                  <w:vAlign w:val="center"/>
                </w:tcPr>
                <w:p>
                  <w:pPr>
                    <w:pStyle w:val="60"/>
                    <w:bidi w:val="0"/>
                    <w:rPr>
                      <w:rFonts w:hint="default"/>
                      <w:lang w:val="en-US" w:eastAsia="zh-CN"/>
                    </w:rPr>
                  </w:pPr>
                  <w:r>
                    <w:rPr>
                      <w:rFonts w:hint="eastAsia"/>
                      <w:lang w:val="en-US" w:eastAsia="zh-CN"/>
                    </w:rPr>
                    <w:t>108</w:t>
                  </w:r>
                </w:p>
              </w:tc>
            </w:tr>
          </w:tbl>
          <w:p>
            <w:pPr>
              <w:pStyle w:val="60"/>
              <w:bidi w:val="0"/>
              <w:jc w:val="both"/>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9" w:type="dxa"/>
            <w:noWrap w:val="0"/>
            <w:vAlign w:val="center"/>
          </w:tcPr>
          <w:p>
            <w:pPr>
              <w:pStyle w:val="21"/>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381" w:type="dxa"/>
            <w:noWrap w:val="0"/>
            <w:vAlign w:val="top"/>
          </w:tcPr>
          <w:p>
            <w:pPr>
              <w:pStyle w:val="51"/>
              <w:numPr>
                <w:ilvl w:val="0"/>
                <w:numId w:val="0"/>
              </w:numPr>
              <w:bidi w:val="0"/>
              <w:rPr>
                <w:rFonts w:hint="eastAsia"/>
                <w:lang w:val="en-US" w:eastAsia="zh-CN"/>
              </w:rPr>
            </w:pPr>
            <w:r>
              <w:rPr>
                <w:rFonts w:hint="eastAsia"/>
                <w:lang w:val="en-US" w:eastAsia="zh-CN"/>
              </w:rPr>
              <w:t>1.运营期工艺流程及产排污环节分析</w:t>
            </w:r>
          </w:p>
          <w:p>
            <w:pPr>
              <w:pStyle w:val="55"/>
              <w:bidi w:val="0"/>
              <w:rPr>
                <w:rFonts w:hint="eastAsia"/>
                <w:lang w:val="en-US" w:eastAsia="zh-CN"/>
              </w:rPr>
            </w:pPr>
            <w:r>
              <w:rPr>
                <w:rFonts w:hint="eastAsia"/>
                <w:lang w:val="en-US" w:eastAsia="zh-CN"/>
              </w:rPr>
              <w:t>本项目医技科主要为来院就诊的病人提供检查、治疗、住院疗养、重症监护等服务。医疗工作流程及产污环节如下图所示：</w:t>
            </w:r>
          </w:p>
          <w:p>
            <w:pPr>
              <w:pStyle w:val="50"/>
              <w:bidi w:val="0"/>
              <w:rPr>
                <w:rFonts w:hint="eastAsia"/>
                <w:lang w:val="en-US" w:eastAsia="zh-CN"/>
              </w:rPr>
            </w:pPr>
            <w:r>
              <w:rPr>
                <w:rFonts w:hint="default" w:ascii="宋体" w:hAnsi="宋体"/>
                <w:bCs/>
                <w:szCs w:val="21"/>
                <w:lang w:val="en-US" w:eastAsia="zh-CN"/>
              </w:rPr>
              <w:drawing>
                <wp:inline distT="0" distB="0" distL="114300" distR="114300">
                  <wp:extent cx="5090795" cy="3816350"/>
                  <wp:effectExtent l="0" t="0" r="14605" b="0"/>
                  <wp:docPr id="5"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wps"/>
                          <pic:cNvPicPr>
                            <a:picLocks noChangeAspect="1"/>
                          </pic:cNvPicPr>
                        </pic:nvPicPr>
                        <pic:blipFill>
                          <a:blip r:embed="rId10"/>
                          <a:srcRect l="6062" r="2344"/>
                          <a:stretch>
                            <a:fillRect/>
                          </a:stretch>
                        </pic:blipFill>
                        <pic:spPr>
                          <a:xfrm>
                            <a:off x="0" y="0"/>
                            <a:ext cx="5090795" cy="3816350"/>
                          </a:xfrm>
                          <a:prstGeom prst="rect">
                            <a:avLst/>
                          </a:prstGeom>
                          <a:noFill/>
                          <a:ln>
                            <a:noFill/>
                          </a:ln>
                        </pic:spPr>
                      </pic:pic>
                    </a:graphicData>
                  </a:graphic>
                </wp:inline>
              </w:drawing>
            </w:r>
          </w:p>
          <w:p>
            <w:pPr>
              <w:pStyle w:val="50"/>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sz w:val="24"/>
                <w:szCs w:val="24"/>
                <w:lang w:val="en-US" w:eastAsia="zh-CN"/>
              </w:rPr>
            </w:pPr>
            <w:r>
              <w:rPr>
                <w:rFonts w:hint="eastAsia"/>
                <w:sz w:val="24"/>
                <w:szCs w:val="24"/>
                <w:lang w:val="en-US" w:eastAsia="zh-CN"/>
              </w:rPr>
              <w:t>图2-2    运营期普通病患接诊流程及产污环节图</w:t>
            </w:r>
          </w:p>
          <w:p>
            <w:pPr>
              <w:pStyle w:val="58"/>
              <w:bidi w:val="0"/>
              <w:rPr>
                <w:rFonts w:hint="eastAsia"/>
                <w:b/>
                <w:bCs w:val="0"/>
                <w:lang w:val="en-US" w:eastAsia="zh-CN"/>
              </w:rPr>
            </w:pPr>
            <w:r>
              <w:rPr>
                <w:rFonts w:hint="eastAsia"/>
                <w:b/>
                <w:bCs w:val="0"/>
                <w:lang w:val="en-US" w:eastAsia="zh-CN"/>
              </w:rPr>
              <w:t>流程简述：</w:t>
            </w:r>
          </w:p>
          <w:p>
            <w:pPr>
              <w:pStyle w:val="58"/>
              <w:bidi w:val="0"/>
              <w:rPr>
                <w:rFonts w:hint="default" w:ascii="Times New Roman" w:hAnsi="Times New Roman" w:eastAsia="宋体" w:cs="宋体"/>
                <w:b w:val="0"/>
                <w:bCs/>
                <w:lang w:val="en-US" w:eastAsia="zh-CN"/>
              </w:rPr>
            </w:pPr>
            <w:r>
              <w:rPr>
                <w:rFonts w:hint="default" w:ascii="Times New Roman" w:hAnsi="Times New Roman" w:eastAsia="宋体" w:cs="宋体"/>
                <w:b w:val="0"/>
                <w:bCs/>
                <w:lang w:val="en-US" w:eastAsia="zh-CN"/>
              </w:rPr>
              <w:t>本项目为服务行业，无生产过程，项目不设传染性科室，主要流程为</w:t>
            </w:r>
            <w:r>
              <w:rPr>
                <w:rFonts w:hint="eastAsia" w:ascii="Times New Roman" w:hAnsi="Times New Roman" w:eastAsia="宋体" w:cs="宋体"/>
                <w:b w:val="0"/>
                <w:bCs/>
                <w:lang w:val="en-US" w:eastAsia="zh-CN"/>
              </w:rPr>
              <w:t>：</w:t>
            </w:r>
            <w:r>
              <w:rPr>
                <w:rFonts w:hint="default" w:ascii="Times New Roman" w:hAnsi="Times New Roman" w:eastAsia="宋体" w:cs="宋体"/>
                <w:b w:val="0"/>
                <w:bCs/>
                <w:lang w:val="en-US" w:eastAsia="zh-CN"/>
              </w:rPr>
              <w:t>来就诊的病人进行挂号后，到对应的科室就诊，医生检查病人病情</w:t>
            </w:r>
            <w:r>
              <w:rPr>
                <w:rFonts w:hint="eastAsia" w:cs="宋体"/>
                <w:b w:val="0"/>
                <w:bCs/>
                <w:lang w:val="en-US" w:eastAsia="zh-CN"/>
              </w:rPr>
              <w:t>，对</w:t>
            </w:r>
            <w:r>
              <w:rPr>
                <w:rFonts w:hint="default" w:ascii="Times New Roman" w:hAnsi="Times New Roman" w:eastAsia="宋体" w:cs="宋体"/>
                <w:b w:val="0"/>
                <w:bCs/>
                <w:lang w:val="en-US" w:eastAsia="zh-CN"/>
              </w:rPr>
              <w:t>病人进行相应的检查，确定病情后，医生根据病情开处方，需要治疗的病人由医生安排治疗，需要住院的病人办理住院手续，入住病房，由医生进行治疗。治疗结束后，经过一段时间的康复，医生进行复检，身体康复后，办理出院手续后，即可出院。</w:t>
            </w:r>
          </w:p>
          <w:p>
            <w:pPr>
              <w:pStyle w:val="58"/>
              <w:bidi w:val="0"/>
              <w:rPr>
                <w:rFonts w:hint="default"/>
                <w:b/>
                <w:bCs w:val="0"/>
                <w:lang w:val="en-US" w:eastAsia="zh-CN"/>
              </w:rPr>
            </w:pPr>
            <w:r>
              <w:rPr>
                <w:rFonts w:hint="eastAsia"/>
                <w:b/>
                <w:bCs w:val="0"/>
                <w:lang w:val="en-US" w:eastAsia="zh-CN"/>
              </w:rPr>
              <w:t>产排污环节分析：</w:t>
            </w:r>
          </w:p>
          <w:p>
            <w:pPr>
              <w:pStyle w:val="48"/>
              <w:keepNext w:val="0"/>
              <w:keepLines w:val="0"/>
              <w:pageBreakBefore w:val="0"/>
              <w:widowControl w:val="0"/>
              <w:kinsoku/>
              <w:overflowPunct/>
              <w:topLinePunct w:val="0"/>
              <w:autoSpaceDE/>
              <w:autoSpaceDN/>
              <w:bidi w:val="0"/>
              <w:spacing w:line="520" w:lineRule="exact"/>
              <w:textAlignment w:val="auto"/>
              <w:rPr>
                <w:sz w:val="24"/>
                <w:szCs w:val="24"/>
              </w:rPr>
            </w:pPr>
            <w:r>
              <w:rPr>
                <w:rFonts w:hint="eastAsia"/>
              </w:rPr>
              <w:t>本项目生</w:t>
            </w:r>
            <w:r>
              <w:rPr>
                <w:rFonts w:hint="eastAsia"/>
                <w:sz w:val="24"/>
                <w:szCs w:val="24"/>
              </w:rPr>
              <w:t>产中会产生相应类别的污染物，本项目产污环节汇总表见表2-</w:t>
            </w:r>
            <w:r>
              <w:rPr>
                <w:rFonts w:hint="eastAsia"/>
                <w:sz w:val="24"/>
                <w:szCs w:val="24"/>
                <w:lang w:val="en-US" w:eastAsia="zh-CN"/>
              </w:rPr>
              <w:t>9</w:t>
            </w:r>
            <w:r>
              <w:rPr>
                <w:rFonts w:hint="eastAsia"/>
                <w:sz w:val="24"/>
                <w:szCs w:val="24"/>
              </w:rPr>
              <w:t>。</w:t>
            </w:r>
          </w:p>
          <w:p>
            <w:pPr>
              <w:pStyle w:val="56"/>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rPr>
              <w:t>表2-</w:t>
            </w:r>
            <w:r>
              <w:rPr>
                <w:rFonts w:hint="eastAsia"/>
                <w:sz w:val="24"/>
                <w:szCs w:val="24"/>
                <w:lang w:val="en-US" w:eastAsia="zh-CN"/>
              </w:rPr>
              <w:t>9    项目运营期主要污染工序一览表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258"/>
              <w:gridCol w:w="2280"/>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40" w:type="pct"/>
                  <w:vAlign w:val="center"/>
                </w:tcPr>
                <w:p>
                  <w:pPr>
                    <w:pStyle w:val="60"/>
                    <w:bidi w:val="0"/>
                    <w:jc w:val="center"/>
                    <w:rPr>
                      <w:rFonts w:hint="default"/>
                      <w:lang w:val="en-US" w:eastAsia="zh-CN"/>
                    </w:rPr>
                  </w:pPr>
                  <w:r>
                    <w:rPr>
                      <w:rFonts w:hint="eastAsia"/>
                      <w:lang w:val="en-US" w:eastAsia="zh-CN"/>
                    </w:rPr>
                    <w:t>类别</w:t>
                  </w:r>
                </w:p>
              </w:tc>
              <w:tc>
                <w:tcPr>
                  <w:tcW w:w="771" w:type="pct"/>
                  <w:vAlign w:val="center"/>
                </w:tcPr>
                <w:p>
                  <w:pPr>
                    <w:pStyle w:val="60"/>
                    <w:bidi w:val="0"/>
                    <w:jc w:val="center"/>
                    <w:rPr>
                      <w:rFonts w:hint="default"/>
                      <w:lang w:val="en-US" w:eastAsia="zh-CN"/>
                    </w:rPr>
                  </w:pPr>
                  <w:r>
                    <w:rPr>
                      <w:rFonts w:hint="eastAsia"/>
                      <w:lang w:val="en-US" w:eastAsia="zh-CN"/>
                    </w:rPr>
                    <w:t>污染源</w:t>
                  </w:r>
                </w:p>
              </w:tc>
              <w:tc>
                <w:tcPr>
                  <w:tcW w:w="1398" w:type="pct"/>
                  <w:vAlign w:val="center"/>
                </w:tcPr>
                <w:p>
                  <w:pPr>
                    <w:pStyle w:val="60"/>
                    <w:bidi w:val="0"/>
                    <w:jc w:val="center"/>
                    <w:rPr>
                      <w:rFonts w:hint="default"/>
                      <w:lang w:val="en-US" w:eastAsia="zh-CN"/>
                    </w:rPr>
                  </w:pPr>
                  <w:r>
                    <w:rPr>
                      <w:rFonts w:hint="eastAsia"/>
                      <w:lang w:val="en-US" w:eastAsia="zh-CN"/>
                    </w:rPr>
                    <w:t>污染物名称</w:t>
                  </w:r>
                </w:p>
              </w:tc>
              <w:tc>
                <w:tcPr>
                  <w:tcW w:w="2389" w:type="pct"/>
                  <w:vAlign w:val="center"/>
                </w:tcPr>
                <w:p>
                  <w:pPr>
                    <w:pStyle w:val="60"/>
                    <w:bidi w:val="0"/>
                    <w:jc w:val="center"/>
                    <w:rPr>
                      <w:rFonts w:hint="default"/>
                      <w:lang w:val="en-US" w:eastAsia="zh-CN"/>
                    </w:rPr>
                  </w:pPr>
                  <w:r>
                    <w:rPr>
                      <w:rFonts w:hint="eastAsia"/>
                      <w:lang w:val="en-US" w:eastAsia="zh-CN"/>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0" w:type="pct"/>
                  <w:vAlign w:val="center"/>
                </w:tcPr>
                <w:p>
                  <w:pPr>
                    <w:pStyle w:val="60"/>
                    <w:bidi w:val="0"/>
                    <w:jc w:val="center"/>
                    <w:rPr>
                      <w:rFonts w:hint="default"/>
                      <w:lang w:val="en-US" w:eastAsia="zh-CN"/>
                    </w:rPr>
                  </w:pPr>
                  <w:r>
                    <w:rPr>
                      <w:rFonts w:hint="eastAsia"/>
                      <w:lang w:val="en-US" w:eastAsia="zh-CN"/>
                    </w:rPr>
                    <w:t>废气</w:t>
                  </w:r>
                </w:p>
              </w:tc>
              <w:tc>
                <w:tcPr>
                  <w:tcW w:w="771" w:type="pct"/>
                  <w:vAlign w:val="center"/>
                </w:tcPr>
                <w:p>
                  <w:pPr>
                    <w:pStyle w:val="60"/>
                    <w:bidi w:val="0"/>
                    <w:jc w:val="center"/>
                    <w:rPr>
                      <w:rFonts w:hint="default"/>
                      <w:lang w:val="en-US" w:eastAsia="zh-CN"/>
                    </w:rPr>
                  </w:pPr>
                  <w:r>
                    <w:rPr>
                      <w:rFonts w:hint="eastAsia"/>
                      <w:lang w:val="en-US" w:eastAsia="zh-CN"/>
                    </w:rPr>
                    <w:t>污水处理站</w:t>
                  </w:r>
                </w:p>
              </w:tc>
              <w:tc>
                <w:tcPr>
                  <w:tcW w:w="1398" w:type="pct"/>
                  <w:vAlign w:val="center"/>
                </w:tcPr>
                <w:p>
                  <w:pPr>
                    <w:pStyle w:val="60"/>
                    <w:bidi w:val="0"/>
                    <w:jc w:val="center"/>
                    <w:rPr>
                      <w:rFonts w:hint="eastAsia"/>
                      <w:lang w:val="en-US" w:eastAsia="zh-CN"/>
                    </w:rPr>
                  </w:pPr>
                  <w:r>
                    <w:rPr>
                      <w:rFonts w:hint="default"/>
                      <w:lang w:val="en-US" w:eastAsia="zh-CN"/>
                    </w:rPr>
                    <w:t>氨、硫化氢、臭气浓度</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lang w:val="en-US" w:eastAsia="zh-CN"/>
                    </w:rPr>
                  </w:pPr>
                  <w:r>
                    <w:rPr>
                      <w:rFonts w:hint="eastAsia"/>
                      <w:shd w:val="clear"/>
                      <w:lang w:val="en-US" w:eastAsia="zh-CN"/>
                    </w:rPr>
                    <w:t>废水依托院内现有2号污水处理站，污水处理站产生的废气经等离子除臭装置+紫外线消毒设备处理后经1根15m高的排气筒进行排放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40" w:type="pct"/>
                  <w:vMerge w:val="restart"/>
                  <w:vAlign w:val="center"/>
                </w:tcPr>
                <w:p>
                  <w:pPr>
                    <w:pStyle w:val="60"/>
                    <w:bidi w:val="0"/>
                    <w:jc w:val="center"/>
                    <w:rPr>
                      <w:rFonts w:hint="default"/>
                      <w:lang w:val="en-US" w:eastAsia="zh-CN"/>
                    </w:rPr>
                  </w:pPr>
                  <w:r>
                    <w:rPr>
                      <w:rFonts w:hint="eastAsia"/>
                      <w:lang w:val="en-US" w:eastAsia="zh-CN"/>
                    </w:rPr>
                    <w:t>废水</w:t>
                  </w:r>
                </w:p>
              </w:tc>
              <w:tc>
                <w:tcPr>
                  <w:tcW w:w="771" w:type="pct"/>
                  <w:vAlign w:val="center"/>
                </w:tcPr>
                <w:p>
                  <w:pPr>
                    <w:pStyle w:val="60"/>
                    <w:bidi w:val="0"/>
                    <w:jc w:val="center"/>
                    <w:rPr>
                      <w:rFonts w:hint="default"/>
                      <w:lang w:val="en-US" w:eastAsia="zh-CN"/>
                    </w:rPr>
                  </w:pPr>
                  <w:r>
                    <w:rPr>
                      <w:rFonts w:hint="eastAsia"/>
                      <w:lang w:val="en-US" w:eastAsia="zh-CN"/>
                    </w:rPr>
                    <w:t>职工生活污水</w:t>
                  </w:r>
                </w:p>
              </w:tc>
              <w:tc>
                <w:tcPr>
                  <w:tcW w:w="1398" w:type="pct"/>
                  <w:vAlign w:val="center"/>
                </w:tcPr>
                <w:p>
                  <w:pPr>
                    <w:pStyle w:val="60"/>
                    <w:bidi w:val="0"/>
                    <w:jc w:val="center"/>
                    <w:rPr>
                      <w:rFonts w:hint="default"/>
                      <w:lang w:val="en-US" w:eastAsia="zh-CN"/>
                    </w:rPr>
                  </w:pPr>
                  <w:r>
                    <w:rPr>
                      <w:rFonts w:hint="eastAsia"/>
                      <w:lang w:val="en-US" w:eastAsia="zh-CN"/>
                    </w:rPr>
                    <w:t>COD、NH</w:t>
                  </w:r>
                  <w:r>
                    <w:rPr>
                      <w:rFonts w:hint="eastAsia"/>
                      <w:vertAlign w:val="subscript"/>
                      <w:lang w:val="en-US" w:eastAsia="zh-CN"/>
                    </w:rPr>
                    <w:t>3</w:t>
                  </w:r>
                  <w:r>
                    <w:rPr>
                      <w:rFonts w:hint="eastAsia"/>
                      <w:lang w:val="en-US" w:eastAsia="zh-CN"/>
                    </w:rPr>
                    <w:t>-N、BOD</w:t>
                  </w:r>
                  <w:r>
                    <w:rPr>
                      <w:rFonts w:hint="eastAsia"/>
                      <w:vertAlign w:val="subscript"/>
                      <w:lang w:val="en-US" w:eastAsia="zh-CN"/>
                    </w:rPr>
                    <w:t>5</w:t>
                  </w:r>
                  <w:r>
                    <w:rPr>
                      <w:rFonts w:hint="eastAsia"/>
                      <w:lang w:val="en-US" w:eastAsia="zh-CN"/>
                    </w:rPr>
                    <w:t>、SS、粪大肠菌群</w:t>
                  </w:r>
                </w:p>
              </w:tc>
              <w:tc>
                <w:tcPr>
                  <w:tcW w:w="2389" w:type="pct"/>
                  <w:vMerge w:val="restar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依托院内现有2号污水处理站处理，达到《医疗机构水污染物排放标准》（GB18466－2005）表2预处理标准限值后通过市政污水管网排入库尔勒市老城区污水处理厂处理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0" w:type="pct"/>
                  <w:vMerge w:val="continue"/>
                  <w:vAlign w:val="center"/>
                </w:tcPr>
                <w:p>
                  <w:pPr>
                    <w:pStyle w:val="60"/>
                    <w:bidi w:val="0"/>
                    <w:jc w:val="center"/>
                    <w:rPr>
                      <w:rFonts w:hint="default"/>
                      <w:lang w:val="en-US" w:eastAsia="zh-CN"/>
                    </w:rPr>
                  </w:pPr>
                </w:p>
              </w:tc>
              <w:tc>
                <w:tcPr>
                  <w:tcW w:w="771" w:type="pct"/>
                  <w:vAlign w:val="center"/>
                </w:tcPr>
                <w:p>
                  <w:pPr>
                    <w:pStyle w:val="60"/>
                    <w:bidi w:val="0"/>
                    <w:jc w:val="center"/>
                    <w:rPr>
                      <w:rFonts w:hint="default"/>
                      <w:lang w:val="en-US" w:eastAsia="zh-CN"/>
                    </w:rPr>
                  </w:pPr>
                  <w:r>
                    <w:rPr>
                      <w:rFonts w:hint="eastAsia"/>
                      <w:lang w:val="en-US" w:eastAsia="zh-CN"/>
                    </w:rPr>
                    <w:t>医疗废水</w:t>
                  </w:r>
                </w:p>
              </w:tc>
              <w:tc>
                <w:tcPr>
                  <w:tcW w:w="1398" w:type="pct"/>
                  <w:vAlign w:val="center"/>
                </w:tcPr>
                <w:p>
                  <w:pPr>
                    <w:pStyle w:val="60"/>
                    <w:bidi w:val="0"/>
                    <w:jc w:val="center"/>
                    <w:rPr>
                      <w:rFonts w:hint="default"/>
                      <w:lang w:val="en-US" w:eastAsia="zh-CN"/>
                    </w:rPr>
                  </w:pPr>
                  <w:r>
                    <w:rPr>
                      <w:rFonts w:hint="eastAsia"/>
                      <w:lang w:val="en-US" w:eastAsia="zh-CN"/>
                    </w:rPr>
                    <w:t>COD、NH</w:t>
                  </w:r>
                  <w:r>
                    <w:rPr>
                      <w:rFonts w:hint="eastAsia"/>
                      <w:vertAlign w:val="subscript"/>
                      <w:lang w:val="en-US" w:eastAsia="zh-CN"/>
                    </w:rPr>
                    <w:t>3</w:t>
                  </w:r>
                  <w:r>
                    <w:rPr>
                      <w:rFonts w:hint="eastAsia"/>
                      <w:lang w:val="en-US" w:eastAsia="zh-CN"/>
                    </w:rPr>
                    <w:t>-N、BOD</w:t>
                  </w:r>
                  <w:r>
                    <w:rPr>
                      <w:rFonts w:hint="eastAsia"/>
                      <w:vertAlign w:val="subscript"/>
                      <w:lang w:val="en-US" w:eastAsia="zh-CN"/>
                    </w:rPr>
                    <w:t>5</w:t>
                  </w:r>
                  <w:r>
                    <w:rPr>
                      <w:rFonts w:hint="eastAsia"/>
                      <w:lang w:val="en-US" w:eastAsia="zh-CN"/>
                    </w:rPr>
                    <w:t>、SS及粪大肠菌群</w:t>
                  </w:r>
                </w:p>
              </w:tc>
              <w:tc>
                <w:tcPr>
                  <w:tcW w:w="2389" w:type="pct"/>
                  <w:vMerge w:val="continue"/>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0" w:type="pct"/>
                  <w:vAlign w:val="center"/>
                </w:tcPr>
                <w:p>
                  <w:pPr>
                    <w:pStyle w:val="60"/>
                    <w:bidi w:val="0"/>
                    <w:jc w:val="center"/>
                    <w:rPr>
                      <w:rFonts w:hint="default"/>
                      <w:lang w:val="en-US" w:eastAsia="zh-CN"/>
                    </w:rPr>
                  </w:pPr>
                  <w:r>
                    <w:rPr>
                      <w:rFonts w:hint="eastAsia"/>
                      <w:lang w:val="en-US" w:eastAsia="zh-CN"/>
                    </w:rPr>
                    <w:t>噪声</w:t>
                  </w:r>
                </w:p>
              </w:tc>
              <w:tc>
                <w:tcPr>
                  <w:tcW w:w="771" w:type="pct"/>
                  <w:vAlign w:val="center"/>
                </w:tcPr>
                <w:p>
                  <w:pPr>
                    <w:pStyle w:val="60"/>
                    <w:bidi w:val="0"/>
                    <w:jc w:val="center"/>
                    <w:rPr>
                      <w:rFonts w:hint="default"/>
                      <w:lang w:val="en-US" w:eastAsia="zh-CN"/>
                    </w:rPr>
                  </w:pPr>
                  <w:r>
                    <w:rPr>
                      <w:rFonts w:hint="eastAsia"/>
                      <w:lang w:val="en-US" w:eastAsia="zh-CN"/>
                    </w:rPr>
                    <w:t>空调主机、人员活动、风机等</w:t>
                  </w:r>
                </w:p>
              </w:tc>
              <w:tc>
                <w:tcPr>
                  <w:tcW w:w="1398" w:type="pct"/>
                  <w:vAlign w:val="center"/>
                </w:tcPr>
                <w:p>
                  <w:pPr>
                    <w:pStyle w:val="60"/>
                    <w:bidi w:val="0"/>
                    <w:jc w:val="center"/>
                    <w:rPr>
                      <w:rFonts w:hint="default"/>
                      <w:lang w:val="en-US" w:eastAsia="zh-CN"/>
                    </w:rPr>
                  </w:pPr>
                  <w:r>
                    <w:rPr>
                      <w:rFonts w:hint="eastAsia"/>
                      <w:lang w:val="en-US" w:eastAsia="zh-CN"/>
                    </w:rPr>
                    <w:t>噪声</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采取设备基础减震、隔声、合理布置、加强绿化和隔音、减少周围交通噪声等降噪措施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pct"/>
                  <w:vMerge w:val="restart"/>
                  <w:vAlign w:val="center"/>
                </w:tcPr>
                <w:p>
                  <w:pPr>
                    <w:pStyle w:val="60"/>
                    <w:bidi w:val="0"/>
                    <w:jc w:val="center"/>
                    <w:rPr>
                      <w:rFonts w:hint="default"/>
                      <w:lang w:val="en-US" w:eastAsia="zh-CN"/>
                    </w:rPr>
                  </w:pPr>
                  <w:r>
                    <w:rPr>
                      <w:rFonts w:hint="eastAsia"/>
                      <w:lang w:val="en-US" w:eastAsia="zh-CN"/>
                    </w:rPr>
                    <w:t>固废</w:t>
                  </w:r>
                </w:p>
              </w:tc>
              <w:tc>
                <w:tcPr>
                  <w:tcW w:w="771" w:type="pct"/>
                  <w:vMerge w:val="restart"/>
                  <w:vAlign w:val="center"/>
                </w:tcPr>
                <w:p>
                  <w:pPr>
                    <w:pStyle w:val="60"/>
                    <w:bidi w:val="0"/>
                    <w:jc w:val="center"/>
                    <w:rPr>
                      <w:rFonts w:hint="default"/>
                      <w:lang w:val="en-US" w:eastAsia="zh-CN"/>
                    </w:rPr>
                  </w:pPr>
                  <w:r>
                    <w:rPr>
                      <w:rFonts w:hint="eastAsia"/>
                      <w:lang w:val="en-US" w:eastAsia="zh-CN"/>
                    </w:rPr>
                    <w:t>危险废物</w:t>
                  </w:r>
                </w:p>
              </w:tc>
              <w:tc>
                <w:tcPr>
                  <w:tcW w:w="1398" w:type="pct"/>
                  <w:vAlign w:val="center"/>
                </w:tcPr>
                <w:p>
                  <w:pPr>
                    <w:pStyle w:val="60"/>
                    <w:bidi w:val="0"/>
                    <w:jc w:val="center"/>
                    <w:rPr>
                      <w:rFonts w:hint="default"/>
                      <w:lang w:val="en-US" w:eastAsia="zh-CN"/>
                    </w:rPr>
                  </w:pPr>
                  <w:r>
                    <w:rPr>
                      <w:rFonts w:hint="eastAsia"/>
                      <w:lang w:val="en-US" w:eastAsia="zh-CN"/>
                    </w:rPr>
                    <w:t>医疗废物</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医疗废物收集至</w:t>
                  </w:r>
                  <w:r>
                    <w:rPr>
                      <w:rFonts w:hint="eastAsia"/>
                      <w:lang w:val="en-US" w:eastAsia="zh-CN"/>
                    </w:rPr>
                    <w:t>现有2#医疗废物贮存库</w:t>
                  </w:r>
                  <w:r>
                    <w:rPr>
                      <w:rFonts w:hint="default"/>
                      <w:lang w:val="en-US" w:eastAsia="zh-CN"/>
                    </w:rPr>
                    <w:t>（75m</w:t>
                  </w:r>
                  <w:r>
                    <w:rPr>
                      <w:rFonts w:hint="default"/>
                      <w:vertAlign w:val="superscript"/>
                      <w:lang w:val="en-US" w:eastAsia="zh-CN"/>
                    </w:rPr>
                    <w:t>3</w:t>
                  </w:r>
                  <w:r>
                    <w:rPr>
                      <w:rFonts w:hint="default"/>
                      <w:lang w:val="en-US" w:eastAsia="zh-CN"/>
                    </w:rPr>
                    <w:t>）</w:t>
                  </w:r>
                  <w:r>
                    <w:rPr>
                      <w:rFonts w:hint="eastAsia"/>
                      <w:lang w:val="en-US" w:eastAsia="zh-CN"/>
                    </w:rPr>
                    <w:t>内</w:t>
                  </w:r>
                  <w:r>
                    <w:rPr>
                      <w:rFonts w:hint="default"/>
                      <w:lang w:val="en-US" w:eastAsia="zh-CN"/>
                    </w:rPr>
                    <w:t>，并定期委托库尔勒天达环卫有限责任公司进行处置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pct"/>
                  <w:vMerge w:val="continue"/>
                  <w:vAlign w:val="center"/>
                </w:tcPr>
                <w:p>
                  <w:pPr>
                    <w:pStyle w:val="60"/>
                    <w:bidi w:val="0"/>
                    <w:jc w:val="center"/>
                    <w:rPr>
                      <w:rFonts w:hint="eastAsia"/>
                      <w:lang w:val="en-US" w:eastAsia="zh-CN"/>
                    </w:rPr>
                  </w:pPr>
                </w:p>
              </w:tc>
              <w:tc>
                <w:tcPr>
                  <w:tcW w:w="771" w:type="pct"/>
                  <w:vMerge w:val="continue"/>
                  <w:vAlign w:val="center"/>
                </w:tcPr>
                <w:p>
                  <w:pPr>
                    <w:pStyle w:val="60"/>
                    <w:bidi w:val="0"/>
                    <w:jc w:val="center"/>
                    <w:rPr>
                      <w:rFonts w:hint="eastAsia"/>
                      <w:lang w:val="en-US" w:eastAsia="zh-CN"/>
                    </w:rPr>
                  </w:pPr>
                </w:p>
              </w:tc>
              <w:tc>
                <w:tcPr>
                  <w:tcW w:w="1398" w:type="pct"/>
                  <w:vAlign w:val="center"/>
                </w:tcPr>
                <w:p>
                  <w:pPr>
                    <w:pStyle w:val="60"/>
                    <w:bidi w:val="0"/>
                    <w:jc w:val="center"/>
                    <w:rPr>
                      <w:rFonts w:hint="default"/>
                      <w:lang w:val="en-US" w:eastAsia="zh-CN"/>
                    </w:rPr>
                  </w:pPr>
                  <w:r>
                    <w:rPr>
                      <w:rFonts w:hint="eastAsia"/>
                      <w:lang w:val="en-US" w:eastAsia="zh-CN"/>
                    </w:rPr>
                    <w:t>栅渣、污水处理站污泥</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sz w:val="21"/>
                      <w:szCs w:val="21"/>
                      <w:lang w:val="en-US" w:eastAsia="zh-CN"/>
                    </w:rPr>
                    <w:t>栅渣和污水处理站污泥</w:t>
                  </w:r>
                  <w:r>
                    <w:rPr>
                      <w:rFonts w:hint="eastAsia"/>
                      <w:lang w:val="en-US" w:eastAsia="zh-CN"/>
                    </w:rPr>
                    <w:t>委托</w:t>
                  </w:r>
                  <w:r>
                    <w:rPr>
                      <w:rFonts w:hint="eastAsia"/>
                      <w:sz w:val="21"/>
                      <w:szCs w:val="21"/>
                      <w:lang w:val="en-US" w:eastAsia="zh-CN"/>
                    </w:rPr>
                    <w:t>新疆狮岭能源环保集团有限公司（原名为新疆贝肯能源环保有限公司）清运处置</w:t>
                  </w:r>
                  <w:r>
                    <w:rPr>
                      <w:rFonts w:hint="eastAsia"/>
                      <w:lang w:eastAsia="zh-CN"/>
                    </w:rPr>
                    <w:t>，</w:t>
                  </w:r>
                  <w:r>
                    <w:rPr>
                      <w:rFonts w:hint="eastAsia"/>
                      <w:lang w:val="en-US" w:eastAsia="zh-CN"/>
                    </w:rPr>
                    <w:t>不在院内暂存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pct"/>
                  <w:vMerge w:val="continue"/>
                  <w:vAlign w:val="center"/>
                </w:tcPr>
                <w:p>
                  <w:pPr>
                    <w:pStyle w:val="60"/>
                    <w:bidi w:val="0"/>
                    <w:jc w:val="center"/>
                    <w:rPr>
                      <w:rFonts w:hint="eastAsia"/>
                      <w:lang w:val="en-US" w:eastAsia="zh-CN"/>
                    </w:rPr>
                  </w:pPr>
                </w:p>
              </w:tc>
              <w:tc>
                <w:tcPr>
                  <w:tcW w:w="771" w:type="pct"/>
                  <w:vAlign w:val="center"/>
                </w:tcPr>
                <w:p>
                  <w:pPr>
                    <w:pStyle w:val="60"/>
                    <w:bidi w:val="0"/>
                    <w:jc w:val="center"/>
                    <w:rPr>
                      <w:rFonts w:hint="eastAsia"/>
                      <w:lang w:val="en-US" w:eastAsia="zh-CN"/>
                    </w:rPr>
                  </w:pPr>
                  <w:r>
                    <w:rPr>
                      <w:rFonts w:hint="eastAsia"/>
                      <w:lang w:val="en-US" w:eastAsia="zh-CN"/>
                    </w:rPr>
                    <w:t>生活垃圾</w:t>
                  </w:r>
                </w:p>
              </w:tc>
              <w:tc>
                <w:tcPr>
                  <w:tcW w:w="1398" w:type="pct"/>
                  <w:vAlign w:val="center"/>
                </w:tcPr>
                <w:p>
                  <w:pPr>
                    <w:pStyle w:val="60"/>
                    <w:bidi w:val="0"/>
                    <w:jc w:val="center"/>
                    <w:rPr>
                      <w:rFonts w:hint="default"/>
                      <w:lang w:val="en-US" w:eastAsia="zh-CN"/>
                    </w:rPr>
                  </w:pPr>
                  <w:r>
                    <w:rPr>
                      <w:rFonts w:hint="eastAsia"/>
                      <w:lang w:val="en-US" w:eastAsia="zh-CN"/>
                    </w:rPr>
                    <w:t>/</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生活垃圾集中收集</w:t>
                  </w:r>
                  <w:r>
                    <w:rPr>
                      <w:rFonts w:hint="eastAsia"/>
                      <w:lang w:val="en-US" w:eastAsia="zh-CN"/>
                    </w:rPr>
                    <w:t>至垃圾房内，并定期交由环卫部门进行处理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0" w:type="pct"/>
                  <w:vMerge w:val="continue"/>
                  <w:vAlign w:val="center"/>
                </w:tcPr>
                <w:p>
                  <w:pPr>
                    <w:pStyle w:val="60"/>
                    <w:bidi w:val="0"/>
                    <w:jc w:val="center"/>
                    <w:rPr>
                      <w:rFonts w:hint="eastAsia"/>
                      <w:lang w:val="en-US" w:eastAsia="zh-CN"/>
                    </w:rPr>
                  </w:pPr>
                </w:p>
              </w:tc>
              <w:tc>
                <w:tcPr>
                  <w:tcW w:w="771" w:type="pct"/>
                  <w:vAlign w:val="center"/>
                </w:tcPr>
                <w:p>
                  <w:pPr>
                    <w:pStyle w:val="60"/>
                    <w:bidi w:val="0"/>
                    <w:jc w:val="center"/>
                    <w:rPr>
                      <w:rFonts w:hint="default"/>
                      <w:lang w:val="en-US" w:eastAsia="zh-CN"/>
                    </w:rPr>
                  </w:pPr>
                  <w:r>
                    <w:rPr>
                      <w:rFonts w:hint="eastAsia"/>
                      <w:lang w:val="en-US" w:eastAsia="zh-CN"/>
                    </w:rPr>
                    <w:t>一般固废</w:t>
                  </w:r>
                </w:p>
              </w:tc>
              <w:tc>
                <w:tcPr>
                  <w:tcW w:w="1398" w:type="pct"/>
                  <w:vAlign w:val="center"/>
                </w:tcPr>
                <w:p>
                  <w:pPr>
                    <w:pStyle w:val="60"/>
                    <w:bidi w:val="0"/>
                    <w:jc w:val="center"/>
                    <w:rPr>
                      <w:rFonts w:hint="default"/>
                      <w:lang w:val="en-US" w:eastAsia="zh-CN"/>
                    </w:rPr>
                  </w:pPr>
                  <w:r>
                    <w:rPr>
                      <w:rFonts w:hint="eastAsia"/>
                      <w:lang w:val="en-US" w:eastAsia="zh-CN"/>
                    </w:rPr>
                    <w:t>/</w:t>
                  </w:r>
                </w:p>
              </w:tc>
              <w:tc>
                <w:tcPr>
                  <w:tcW w:w="238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各种药盒、药箱等包装材料及使用说明材料等外售至物资回收单位进行处理</w:t>
                  </w:r>
                </w:p>
              </w:tc>
            </w:tr>
          </w:tbl>
          <w:p>
            <w:pPr>
              <w:pStyle w:val="55"/>
              <w:bidi w:val="0"/>
              <w:ind w:left="0" w:leftChars="0" w:firstLine="0" w:firstLineChars="0"/>
            </w:pPr>
          </w:p>
          <w:p>
            <w:pPr>
              <w:pStyle w:val="55"/>
              <w:bidi w:val="0"/>
              <w:ind w:left="0" w:leftChars="0"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679" w:type="dxa"/>
            <w:noWrap w:val="0"/>
            <w:vAlign w:val="center"/>
          </w:tcPr>
          <w:p>
            <w:pPr>
              <w:pStyle w:val="21"/>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381" w:type="dxa"/>
            <w:noWrap w:val="0"/>
            <w:vAlign w:val="top"/>
          </w:tcPr>
          <w:p>
            <w:pPr>
              <w:pStyle w:val="64"/>
              <w:bidi w:val="0"/>
              <w:rPr>
                <w:rFonts w:hint="eastAsia"/>
                <w:lang w:val="en-US" w:eastAsia="zh-CN"/>
              </w:rPr>
            </w:pPr>
            <w:r>
              <w:rPr>
                <w:rFonts w:hint="eastAsia"/>
                <w:lang w:val="en-US" w:eastAsia="zh-CN"/>
              </w:rPr>
              <w:t>1现有工程建设内容及规模</w:t>
            </w:r>
          </w:p>
          <w:p>
            <w:pPr>
              <w:pStyle w:val="58"/>
              <w:keepNext w:val="0"/>
              <w:keepLines w:val="0"/>
              <w:pageBreakBefore w:val="0"/>
              <w:widowControl w:val="0"/>
              <w:kinsoku/>
              <w:overflowPunct/>
              <w:topLinePunct w:val="0"/>
              <w:autoSpaceDE/>
              <w:autoSpaceDN/>
              <w:bidi w:val="0"/>
              <w:spacing w:line="520" w:lineRule="exact"/>
              <w:textAlignment w:val="auto"/>
              <w:rPr>
                <w:rFonts w:hint="eastAsia"/>
                <w:lang w:val="en-US" w:eastAsia="zh-CN"/>
              </w:rPr>
            </w:pPr>
            <w:r>
              <w:rPr>
                <w:rFonts w:hint="eastAsia"/>
                <w:lang w:val="en-US" w:eastAsia="zh-CN"/>
              </w:rPr>
              <w:t>本项目现有工程建设内容及规模详情见表2-10。</w:t>
            </w:r>
          </w:p>
          <w:p>
            <w:pPr>
              <w:pStyle w:val="56"/>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lang w:val="en-US" w:eastAsia="zh-CN"/>
              </w:rPr>
              <w:t>表2-10    现有工程建设内容及规模详情一览表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635"/>
              <w:gridCol w:w="5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pPr>
                    <w:pStyle w:val="60"/>
                    <w:bidi w:val="0"/>
                    <w:rPr>
                      <w:rFonts w:hint="default"/>
                      <w:lang w:val="en-US" w:eastAsia="zh-CN"/>
                    </w:rPr>
                  </w:pPr>
                  <w:r>
                    <w:rPr>
                      <w:rFonts w:hint="eastAsia"/>
                      <w:lang w:val="en-US" w:eastAsia="zh-CN"/>
                    </w:rPr>
                    <w:t>工程类别</w:t>
                  </w:r>
                </w:p>
              </w:tc>
              <w:tc>
                <w:tcPr>
                  <w:tcW w:w="1635" w:type="dxa"/>
                  <w:vAlign w:val="center"/>
                </w:tcPr>
                <w:p>
                  <w:pPr>
                    <w:pStyle w:val="60"/>
                    <w:bidi w:val="0"/>
                    <w:rPr>
                      <w:rFonts w:hint="default"/>
                      <w:lang w:val="en-US" w:eastAsia="zh-CN"/>
                    </w:rPr>
                  </w:pPr>
                  <w:r>
                    <w:rPr>
                      <w:rFonts w:hint="eastAsia"/>
                      <w:lang w:val="en-US" w:eastAsia="zh-CN"/>
                    </w:rPr>
                    <w:t>工程名称</w:t>
                  </w:r>
                </w:p>
              </w:tc>
              <w:tc>
                <w:tcPr>
                  <w:tcW w:w="5521" w:type="dxa"/>
                  <w:vAlign w:val="center"/>
                </w:tcPr>
                <w:p>
                  <w:pPr>
                    <w:pStyle w:val="60"/>
                    <w:bidi w:val="0"/>
                    <w:rPr>
                      <w:rFonts w:hint="default"/>
                      <w:lang w:val="en-US" w:eastAsia="zh-CN"/>
                    </w:rPr>
                  </w:pPr>
                  <w:r>
                    <w:rPr>
                      <w:rFonts w:hint="eastAsia"/>
                      <w:lang w:val="en-US" w:eastAsia="zh-CN"/>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restart"/>
                  <w:vAlign w:val="center"/>
                </w:tcPr>
                <w:p>
                  <w:pPr>
                    <w:pStyle w:val="60"/>
                    <w:bidi w:val="0"/>
                    <w:rPr>
                      <w:rFonts w:hint="default"/>
                      <w:lang w:val="en-US" w:eastAsia="zh-CN"/>
                    </w:rPr>
                  </w:pPr>
                  <w:r>
                    <w:rPr>
                      <w:rFonts w:hint="eastAsia"/>
                      <w:lang w:val="en-US" w:eastAsia="zh-CN"/>
                    </w:rPr>
                    <w:t>主体工程</w:t>
                  </w:r>
                </w:p>
              </w:tc>
              <w:tc>
                <w:tcPr>
                  <w:tcW w:w="1635" w:type="dxa"/>
                  <w:vAlign w:val="center"/>
                </w:tcPr>
                <w:p>
                  <w:pPr>
                    <w:pStyle w:val="60"/>
                    <w:bidi w:val="0"/>
                    <w:rPr>
                      <w:rFonts w:hint="eastAsia"/>
                      <w:lang w:val="en-US" w:eastAsia="zh-CN"/>
                    </w:rPr>
                  </w:pPr>
                  <w:r>
                    <w:rPr>
                      <w:rFonts w:hint="eastAsia"/>
                      <w:lang w:val="en-US" w:eastAsia="zh-CN"/>
                    </w:rPr>
                    <w:t>1号楼</w:t>
                  </w:r>
                </w:p>
              </w:tc>
              <w:tc>
                <w:tcPr>
                  <w:tcW w:w="5521" w:type="dxa"/>
                  <w:vAlign w:val="center"/>
                </w:tcPr>
                <w:p>
                  <w:pPr>
                    <w:pStyle w:val="60"/>
                    <w:bidi w:val="0"/>
                    <w:rPr>
                      <w:rFonts w:hint="eastAsia"/>
                      <w:lang w:val="en-US" w:eastAsia="zh-CN"/>
                    </w:rPr>
                  </w:pPr>
                  <w:r>
                    <w:rPr>
                      <w:rFonts w:hint="eastAsia"/>
                      <w:lang w:val="en-US" w:eastAsia="zh-CN"/>
                    </w:rPr>
                    <w:t>1栋5层，建筑面积6900平方米，用于行政办公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2号楼</w:t>
                  </w:r>
                </w:p>
              </w:tc>
              <w:tc>
                <w:tcPr>
                  <w:tcW w:w="5521" w:type="dxa"/>
                  <w:vAlign w:val="center"/>
                </w:tcPr>
                <w:p>
                  <w:pPr>
                    <w:pStyle w:val="60"/>
                    <w:bidi w:val="0"/>
                    <w:rPr>
                      <w:rFonts w:hint="eastAsia"/>
                      <w:lang w:val="en-US" w:eastAsia="zh-CN"/>
                    </w:rPr>
                  </w:pPr>
                  <w:r>
                    <w:rPr>
                      <w:rFonts w:hint="eastAsia"/>
                      <w:lang w:val="en-US" w:eastAsia="zh-CN"/>
                    </w:rPr>
                    <w:t>1栋17层，建筑面积39600平方米，用于门诊及住院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default"/>
                      <w:highlight w:val="none"/>
                      <w:lang w:val="en-US" w:eastAsia="zh-CN"/>
                    </w:rPr>
                  </w:pPr>
                  <w:r>
                    <w:rPr>
                      <w:rFonts w:hint="eastAsia"/>
                      <w:highlight w:val="none"/>
                      <w:lang w:val="en-US" w:eastAsia="zh-CN"/>
                    </w:rPr>
                    <w:t>3号楼</w:t>
                  </w:r>
                </w:p>
              </w:tc>
              <w:tc>
                <w:tcPr>
                  <w:tcW w:w="5521" w:type="dxa"/>
                  <w:vAlign w:val="center"/>
                </w:tcPr>
                <w:p>
                  <w:pPr>
                    <w:pStyle w:val="60"/>
                    <w:bidi w:val="0"/>
                    <w:rPr>
                      <w:rFonts w:hint="default"/>
                      <w:highlight w:val="none"/>
                      <w:lang w:val="en-US" w:eastAsia="zh-CN"/>
                    </w:rPr>
                  </w:pPr>
                  <w:r>
                    <w:rPr>
                      <w:rFonts w:hint="eastAsia"/>
                      <w:highlight w:val="none"/>
                      <w:lang w:val="en-US" w:eastAsia="zh-CN"/>
                    </w:rPr>
                    <w:t>1栋6层，建筑面积12723.01平方米，用于门诊及住院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传染病综</w:t>
                  </w:r>
                </w:p>
                <w:p>
                  <w:pPr>
                    <w:pStyle w:val="60"/>
                    <w:bidi w:val="0"/>
                    <w:rPr>
                      <w:rFonts w:hint="eastAsia"/>
                      <w:lang w:val="en-US" w:eastAsia="zh-CN"/>
                    </w:rPr>
                  </w:pPr>
                  <w:r>
                    <w:rPr>
                      <w:rFonts w:hint="eastAsia"/>
                      <w:lang w:val="en-US" w:eastAsia="zh-CN"/>
                    </w:rPr>
                    <w:t>合楼</w:t>
                  </w:r>
                </w:p>
              </w:tc>
              <w:tc>
                <w:tcPr>
                  <w:tcW w:w="5521" w:type="dxa"/>
                  <w:vAlign w:val="center"/>
                </w:tcPr>
                <w:p>
                  <w:pPr>
                    <w:pStyle w:val="60"/>
                    <w:bidi w:val="0"/>
                    <w:rPr>
                      <w:rFonts w:hint="eastAsia"/>
                      <w:lang w:val="en-US" w:eastAsia="zh-CN"/>
                    </w:rPr>
                  </w:pPr>
                  <w:r>
                    <w:rPr>
                      <w:rFonts w:hint="eastAsia"/>
                      <w:lang w:val="en-US" w:eastAsia="zh-CN"/>
                    </w:rPr>
                    <w:t>3F，总建筑面积6207.63平方米，包括传染病门诊及传染病房，设计床位100张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急救综合</w:t>
                  </w:r>
                </w:p>
                <w:p>
                  <w:pPr>
                    <w:pStyle w:val="60"/>
                    <w:bidi w:val="0"/>
                    <w:rPr>
                      <w:rFonts w:hint="eastAsia"/>
                      <w:lang w:val="en-US" w:eastAsia="zh-CN"/>
                    </w:rPr>
                  </w:pPr>
                  <w:r>
                    <w:rPr>
                      <w:rFonts w:hint="eastAsia"/>
                      <w:lang w:val="en-US" w:eastAsia="zh-CN"/>
                    </w:rPr>
                    <w:t>楼</w:t>
                  </w:r>
                </w:p>
              </w:tc>
              <w:tc>
                <w:tcPr>
                  <w:tcW w:w="5521" w:type="dxa"/>
                  <w:vAlign w:val="center"/>
                </w:tcPr>
                <w:p>
                  <w:pPr>
                    <w:pStyle w:val="60"/>
                    <w:bidi w:val="0"/>
                    <w:rPr>
                      <w:rFonts w:hint="eastAsia"/>
                      <w:lang w:val="en-US" w:eastAsia="zh-CN"/>
                    </w:rPr>
                  </w:pPr>
                  <w:r>
                    <w:rPr>
                      <w:rFonts w:hint="eastAsia"/>
                      <w:lang w:val="en-US" w:eastAsia="zh-CN"/>
                    </w:rPr>
                    <w:t>地上6F，地下2F，总建筑面积26850.35平方米，其中地上建筑面积12206.8平方米，地下建筑面积14643.55平方米，包括急救科、检验科、肾病科门诊、牙科门诊、部分住院病房及地下停车场，设计床位195张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负压病房</w:t>
                  </w:r>
                </w:p>
              </w:tc>
              <w:tc>
                <w:tcPr>
                  <w:tcW w:w="5521" w:type="dxa"/>
                  <w:vAlign w:val="center"/>
                </w:tcPr>
                <w:p>
                  <w:pPr>
                    <w:pStyle w:val="60"/>
                    <w:bidi w:val="0"/>
                    <w:rPr>
                      <w:rFonts w:hint="eastAsia"/>
                      <w:lang w:val="en-US" w:eastAsia="zh-CN"/>
                    </w:rPr>
                  </w:pPr>
                  <w:r>
                    <w:rPr>
                      <w:rFonts w:hint="eastAsia"/>
                      <w:lang w:val="en-US" w:eastAsia="zh-CN"/>
                    </w:rPr>
                    <w:t>传染病综合楼扩建1层建设负压病房，床位50张，建筑面积2503.84平方米，18间负压病房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restart"/>
                  <w:vAlign w:val="center"/>
                </w:tcPr>
                <w:p>
                  <w:pPr>
                    <w:pStyle w:val="60"/>
                    <w:bidi w:val="0"/>
                    <w:rPr>
                      <w:rFonts w:hint="default"/>
                      <w:lang w:val="en-US" w:eastAsia="zh-CN"/>
                    </w:rPr>
                  </w:pPr>
                  <w:r>
                    <w:rPr>
                      <w:rFonts w:hint="eastAsia"/>
                      <w:lang w:val="en-US" w:eastAsia="zh-CN"/>
                    </w:rPr>
                    <w:t>辅助工程</w:t>
                  </w:r>
                </w:p>
              </w:tc>
              <w:tc>
                <w:tcPr>
                  <w:tcW w:w="1635" w:type="dxa"/>
                  <w:vAlign w:val="center"/>
                </w:tcPr>
                <w:p>
                  <w:pPr>
                    <w:pStyle w:val="60"/>
                    <w:bidi w:val="0"/>
                    <w:rPr>
                      <w:rFonts w:hint="default"/>
                      <w:lang w:val="en-US" w:eastAsia="zh-CN"/>
                    </w:rPr>
                  </w:pPr>
                  <w:r>
                    <w:rPr>
                      <w:rFonts w:hint="eastAsia"/>
                      <w:lang w:val="en-US" w:eastAsia="zh-CN"/>
                    </w:rPr>
                    <w:t>食堂</w:t>
                  </w:r>
                </w:p>
              </w:tc>
              <w:tc>
                <w:tcPr>
                  <w:tcW w:w="5521" w:type="dxa"/>
                  <w:vAlign w:val="center"/>
                </w:tcPr>
                <w:p>
                  <w:pPr>
                    <w:pStyle w:val="60"/>
                    <w:bidi w:val="0"/>
                    <w:rPr>
                      <w:rFonts w:hint="eastAsia"/>
                      <w:lang w:val="en-US" w:eastAsia="zh-CN"/>
                    </w:rPr>
                  </w:pPr>
                  <w:r>
                    <w:rPr>
                      <w:rFonts w:hint="eastAsia"/>
                      <w:lang w:val="en-US" w:eastAsia="zh-CN"/>
                    </w:rPr>
                    <w:t>1座，单层，总建筑面积850平方米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停车位</w:t>
                  </w:r>
                </w:p>
              </w:tc>
              <w:tc>
                <w:tcPr>
                  <w:tcW w:w="5521" w:type="dxa"/>
                  <w:vAlign w:val="center"/>
                </w:tcPr>
                <w:p>
                  <w:pPr>
                    <w:pStyle w:val="60"/>
                    <w:bidi w:val="0"/>
                    <w:rPr>
                      <w:rFonts w:hint="eastAsia"/>
                      <w:lang w:val="en-US" w:eastAsia="zh-CN"/>
                    </w:rPr>
                  </w:pPr>
                  <w:r>
                    <w:rPr>
                      <w:rFonts w:hint="eastAsia"/>
                      <w:lang w:val="en-US" w:eastAsia="zh-CN"/>
                    </w:rPr>
                    <w:t>地上360个，地下260个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restart"/>
                  <w:vAlign w:val="center"/>
                </w:tcPr>
                <w:p>
                  <w:pPr>
                    <w:pStyle w:val="60"/>
                    <w:bidi w:val="0"/>
                    <w:rPr>
                      <w:rFonts w:hint="default"/>
                      <w:lang w:val="en-US" w:eastAsia="zh-CN"/>
                    </w:rPr>
                  </w:pPr>
                  <w:r>
                    <w:rPr>
                      <w:rFonts w:hint="eastAsia"/>
                      <w:lang w:val="en-US" w:eastAsia="zh-CN"/>
                    </w:rPr>
                    <w:t>公用工程</w:t>
                  </w:r>
                </w:p>
              </w:tc>
              <w:tc>
                <w:tcPr>
                  <w:tcW w:w="1635" w:type="dxa"/>
                  <w:vAlign w:val="center"/>
                </w:tcPr>
                <w:p>
                  <w:pPr>
                    <w:pStyle w:val="60"/>
                    <w:bidi w:val="0"/>
                    <w:rPr>
                      <w:rFonts w:hint="eastAsia"/>
                      <w:lang w:val="en-US" w:eastAsia="zh-CN"/>
                    </w:rPr>
                  </w:pPr>
                  <w:r>
                    <w:rPr>
                      <w:rFonts w:hint="eastAsia"/>
                      <w:lang w:val="en-US" w:eastAsia="zh-CN"/>
                    </w:rPr>
                    <w:t>给水</w:t>
                  </w:r>
                </w:p>
              </w:tc>
              <w:tc>
                <w:tcPr>
                  <w:tcW w:w="5521" w:type="dxa"/>
                  <w:vAlign w:val="center"/>
                </w:tcPr>
                <w:p>
                  <w:pPr>
                    <w:pStyle w:val="60"/>
                    <w:bidi w:val="0"/>
                    <w:rPr>
                      <w:rFonts w:hint="default"/>
                      <w:lang w:val="en-US" w:eastAsia="zh-CN"/>
                    </w:rPr>
                  </w:pPr>
                  <w:r>
                    <w:rPr>
                      <w:rFonts w:hint="eastAsia"/>
                      <w:lang w:val="en-US" w:eastAsia="zh-CN"/>
                    </w:rPr>
                    <w:t>市政供水管网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排水</w:t>
                  </w:r>
                </w:p>
              </w:tc>
              <w:tc>
                <w:tcPr>
                  <w:tcW w:w="5521" w:type="dxa"/>
                  <w:vAlign w:val="center"/>
                </w:tcPr>
                <w:p>
                  <w:pPr>
                    <w:pStyle w:val="60"/>
                    <w:bidi w:val="0"/>
                    <w:rPr>
                      <w:rFonts w:hint="eastAsia"/>
                      <w:lang w:val="en-US" w:eastAsia="zh-CN"/>
                    </w:rPr>
                  </w:pPr>
                  <w:r>
                    <w:rPr>
                      <w:rFonts w:hint="eastAsia"/>
                      <w:lang w:val="en-US" w:eastAsia="zh-CN"/>
                    </w:rPr>
                    <w:t>市政排水管网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供暖</w:t>
                  </w:r>
                </w:p>
              </w:tc>
              <w:tc>
                <w:tcPr>
                  <w:tcW w:w="5521" w:type="dxa"/>
                  <w:vAlign w:val="center"/>
                </w:tcPr>
                <w:p>
                  <w:pPr>
                    <w:pStyle w:val="60"/>
                    <w:bidi w:val="0"/>
                    <w:rPr>
                      <w:rFonts w:hint="eastAsia"/>
                      <w:lang w:val="en-US" w:eastAsia="zh-CN"/>
                    </w:rPr>
                  </w:pPr>
                  <w:r>
                    <w:rPr>
                      <w:rFonts w:hint="eastAsia"/>
                      <w:lang w:val="en-US" w:eastAsia="zh-CN"/>
                    </w:rPr>
                    <w:t>1号楼、3号综合楼、传染病综合楼、急救综合楼由市政集中供暖；2号楼由2台（1用1备）6t/h燃气热水锅炉供暖。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供电</w:t>
                  </w:r>
                </w:p>
              </w:tc>
              <w:tc>
                <w:tcPr>
                  <w:tcW w:w="5521" w:type="dxa"/>
                  <w:vAlign w:val="center"/>
                </w:tcPr>
                <w:p>
                  <w:pPr>
                    <w:pStyle w:val="60"/>
                    <w:bidi w:val="0"/>
                    <w:rPr>
                      <w:rFonts w:hint="eastAsia"/>
                      <w:lang w:val="en-US" w:eastAsia="zh-CN"/>
                    </w:rPr>
                  </w:pPr>
                  <w:r>
                    <w:rPr>
                      <w:rFonts w:hint="eastAsia"/>
                      <w:lang w:val="en-US" w:eastAsia="zh-CN"/>
                    </w:rPr>
                    <w:t>市政电网供电，设变配电房，内有1台1600KVA变压器，并设置1台800kW的柴油发电机作为后备电源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restart"/>
                  <w:vAlign w:val="center"/>
                </w:tcPr>
                <w:p>
                  <w:pPr>
                    <w:pStyle w:val="60"/>
                    <w:bidi w:val="0"/>
                    <w:rPr>
                      <w:rFonts w:hint="default"/>
                      <w:lang w:val="en-US" w:eastAsia="zh-CN"/>
                    </w:rPr>
                  </w:pPr>
                  <w:r>
                    <w:rPr>
                      <w:rFonts w:hint="eastAsia"/>
                      <w:lang w:val="en-US" w:eastAsia="zh-CN"/>
                    </w:rPr>
                    <w:t>环保工程</w:t>
                  </w:r>
                </w:p>
              </w:tc>
              <w:tc>
                <w:tcPr>
                  <w:tcW w:w="1635" w:type="dxa"/>
                  <w:vAlign w:val="center"/>
                </w:tcPr>
                <w:p>
                  <w:pPr>
                    <w:pStyle w:val="60"/>
                    <w:bidi w:val="0"/>
                    <w:rPr>
                      <w:rFonts w:hint="eastAsia"/>
                      <w:lang w:val="en-US" w:eastAsia="zh-CN"/>
                    </w:rPr>
                  </w:pPr>
                  <w:r>
                    <w:rPr>
                      <w:rFonts w:hint="eastAsia"/>
                      <w:lang w:val="en-US" w:eastAsia="zh-CN"/>
                    </w:rPr>
                    <w:t>废气治理</w:t>
                  </w:r>
                </w:p>
              </w:tc>
              <w:tc>
                <w:tcPr>
                  <w:tcW w:w="5521" w:type="dxa"/>
                  <w:vAlign w:val="center"/>
                </w:tcPr>
                <w:p>
                  <w:pPr>
                    <w:pStyle w:val="60"/>
                    <w:bidi w:val="0"/>
                    <w:rPr>
                      <w:rFonts w:hint="default"/>
                      <w:lang w:val="en-US" w:eastAsia="zh-CN"/>
                    </w:rPr>
                  </w:pPr>
                  <w:r>
                    <w:rPr>
                      <w:rFonts w:hint="eastAsia"/>
                      <w:shd w:val="clear"/>
                      <w:lang w:val="en-US" w:eastAsia="zh-CN"/>
                    </w:rPr>
                    <w:t>污水处理站恶臭经等离子除臭装置处理后，再经紫外线设备消毒处理后由15m高排气筒排放；锅炉烟气经低氮燃烧器处理后由8m高排气筒排放；负压</w:t>
                  </w:r>
                  <w:r>
                    <w:rPr>
                      <w:rFonts w:hint="eastAsia"/>
                      <w:lang w:val="en-US" w:eastAsia="zh-CN"/>
                    </w:rPr>
                    <w:t>病房产生的通风废气经屋顶排风柜收集后采用HEPA高效过滤器过滤，紫外线消毒设备消毒处理后，经1.0m高排气筒排放，定期更换高效过滤器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default"/>
                      <w:lang w:val="en-US" w:eastAsia="zh-CN"/>
                    </w:rPr>
                  </w:pPr>
                  <w:r>
                    <w:rPr>
                      <w:rFonts w:hint="eastAsia"/>
                      <w:lang w:val="en-US" w:eastAsia="zh-CN"/>
                    </w:rPr>
                    <w:t>废水治理</w:t>
                  </w:r>
                </w:p>
              </w:tc>
              <w:tc>
                <w:tcPr>
                  <w:tcW w:w="5521" w:type="dxa"/>
                  <w:vAlign w:val="center"/>
                </w:tcPr>
                <w:p>
                  <w:pPr>
                    <w:pStyle w:val="60"/>
                    <w:bidi w:val="0"/>
                    <w:rPr>
                      <w:rFonts w:hint="default"/>
                      <w:lang w:val="en-US" w:eastAsia="zh-CN"/>
                    </w:rPr>
                  </w:pPr>
                  <w:r>
                    <w:rPr>
                      <w:rFonts w:hint="eastAsia"/>
                      <w:lang w:val="en-US" w:eastAsia="zh-CN"/>
                    </w:rPr>
                    <w:t>传染病综合楼污水经污水消毒池处理达标后和其余楼污水一同排入2号污水处理站处理达标后（1号污水处理站留作备用），通过市政污水管网排入库尔勒市老城区污水处理厂进行处理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default"/>
                      <w:lang w:val="en-US" w:eastAsia="zh-CN"/>
                    </w:rPr>
                  </w:pPr>
                  <w:r>
                    <w:rPr>
                      <w:rFonts w:hint="eastAsia"/>
                      <w:lang w:val="en-US" w:eastAsia="zh-CN"/>
                    </w:rPr>
                    <w:t>噪声治理</w:t>
                  </w:r>
                </w:p>
              </w:tc>
              <w:tc>
                <w:tcPr>
                  <w:tcW w:w="5521" w:type="dxa"/>
                  <w:vAlign w:val="center"/>
                </w:tcPr>
                <w:p>
                  <w:pPr>
                    <w:pStyle w:val="60"/>
                    <w:bidi w:val="0"/>
                    <w:rPr>
                      <w:rFonts w:hint="eastAsia"/>
                      <w:lang w:val="en-US" w:eastAsia="zh-CN"/>
                    </w:rPr>
                  </w:pPr>
                  <w:r>
                    <w:rPr>
                      <w:rFonts w:hint="eastAsia"/>
                      <w:lang w:val="en-US" w:eastAsia="zh-CN"/>
                    </w:rPr>
                    <w:t>安装低噪设备、减振隔声，并多种植树木等措施降低噪</w:t>
                  </w:r>
                </w:p>
                <w:p>
                  <w:pPr>
                    <w:pStyle w:val="60"/>
                    <w:bidi w:val="0"/>
                    <w:rPr>
                      <w:rFonts w:hint="eastAsia"/>
                      <w:lang w:val="en-US" w:eastAsia="zh-CN"/>
                    </w:rPr>
                  </w:pPr>
                  <w:r>
                    <w:rPr>
                      <w:rFonts w:hint="eastAsia"/>
                      <w:lang w:val="en-US" w:eastAsia="zh-CN"/>
                    </w:rPr>
                    <w:t>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continue"/>
                  <w:vAlign w:val="center"/>
                </w:tcPr>
                <w:p>
                  <w:pPr>
                    <w:pStyle w:val="60"/>
                    <w:bidi w:val="0"/>
                    <w:rPr>
                      <w:rFonts w:hint="eastAsia"/>
                      <w:lang w:val="en-US" w:eastAsia="zh-CN"/>
                    </w:rPr>
                  </w:pPr>
                </w:p>
              </w:tc>
              <w:tc>
                <w:tcPr>
                  <w:tcW w:w="1635" w:type="dxa"/>
                  <w:vAlign w:val="center"/>
                </w:tcPr>
                <w:p>
                  <w:pPr>
                    <w:pStyle w:val="60"/>
                    <w:bidi w:val="0"/>
                    <w:rPr>
                      <w:rFonts w:hint="eastAsia"/>
                      <w:lang w:val="en-US" w:eastAsia="zh-CN"/>
                    </w:rPr>
                  </w:pPr>
                  <w:r>
                    <w:rPr>
                      <w:rFonts w:hint="eastAsia"/>
                      <w:lang w:val="en-US" w:eastAsia="zh-CN"/>
                    </w:rPr>
                    <w:t>固废处置</w:t>
                  </w:r>
                </w:p>
              </w:tc>
              <w:tc>
                <w:tcPr>
                  <w:tcW w:w="5521" w:type="dxa"/>
                  <w:vAlign w:val="center"/>
                </w:tcPr>
                <w:p>
                  <w:pPr>
                    <w:pStyle w:val="60"/>
                    <w:bidi w:val="0"/>
                    <w:rPr>
                      <w:rFonts w:hint="default"/>
                      <w:lang w:val="en-US" w:eastAsia="zh-CN"/>
                    </w:rPr>
                  </w:pPr>
                  <w:r>
                    <w:rPr>
                      <w:rFonts w:hint="eastAsia"/>
                      <w:lang w:val="en-US" w:eastAsia="zh-CN"/>
                    </w:rPr>
                    <w:t>生活垃圾集中收集后在生活垃圾房暂存，每日由环卫部门统一清运</w:t>
                  </w:r>
                  <w:r>
                    <w:rPr>
                      <w:rFonts w:hint="eastAsia"/>
                      <w:shd w:val="clear"/>
                      <w:lang w:val="en-US" w:eastAsia="zh-CN"/>
                    </w:rPr>
                    <w:t>处理；各种药盒、药箱等包装材料及使用说明材料等外售至物资回收单位进行处理；医疗废物集中收集暂存至医疗废物贮存库并定期委托库尔勒</w:t>
                  </w:r>
                  <w:r>
                    <w:rPr>
                      <w:rFonts w:hint="eastAsia"/>
                      <w:lang w:val="en-US" w:eastAsia="zh-CN"/>
                    </w:rPr>
                    <w:t>天达环卫有限责任公司进行处置；污水处理站的污泥、栅渣委托</w:t>
                  </w:r>
                  <w:r>
                    <w:rPr>
                      <w:rFonts w:hint="eastAsia"/>
                      <w:sz w:val="21"/>
                      <w:szCs w:val="21"/>
                      <w:lang w:val="en-US" w:eastAsia="zh-CN"/>
                    </w:rPr>
                    <w:t>新疆狮岭能源环保集团有限公司（原名为新疆贝肯能源环保有限公司）清运处置</w:t>
                  </w:r>
                  <w:r>
                    <w:rPr>
                      <w:rFonts w:hint="eastAsia"/>
                      <w:lang w:eastAsia="zh-CN"/>
                    </w:rPr>
                    <w:t>，</w:t>
                  </w:r>
                  <w:r>
                    <w:rPr>
                      <w:rFonts w:hint="eastAsia"/>
                      <w:lang w:val="en-US" w:eastAsia="zh-CN"/>
                    </w:rPr>
                    <w:t>不在院内暂存；滤毒芯交由厂家回收处理</w:t>
                  </w:r>
                </w:p>
              </w:tc>
            </w:tr>
          </w:tbl>
          <w:p>
            <w:pPr>
              <w:pStyle w:val="64"/>
              <w:bidi w:val="0"/>
              <w:rPr>
                <w:rFonts w:hint="eastAsia"/>
                <w:lang w:val="en-US" w:eastAsia="zh-CN"/>
              </w:rPr>
            </w:pPr>
            <w:r>
              <w:rPr>
                <w:rFonts w:hint="eastAsia"/>
                <w:lang w:val="en-US" w:eastAsia="zh-CN"/>
              </w:rPr>
              <w:t>2现有工程履行环境影响评价、竣工环境保护验收、排污许可手续等情况</w:t>
            </w:r>
          </w:p>
          <w:p>
            <w:pPr>
              <w:pStyle w:val="58"/>
              <w:keepNext w:val="0"/>
              <w:keepLines w:val="0"/>
              <w:pageBreakBefore w:val="0"/>
              <w:widowControl w:val="0"/>
              <w:tabs>
                <w:tab w:val="left" w:pos="1730"/>
              </w:tabs>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lang w:val="en-US" w:eastAsia="zh-CN"/>
              </w:rPr>
              <w:t>库尔勒第一人民医院现有工程履行环境影响评价、竣工环境保护验收情况见表2-11。</w:t>
            </w:r>
          </w:p>
          <w:p>
            <w:pPr>
              <w:pStyle w:val="56"/>
              <w:keepNext w:val="0"/>
              <w:keepLines w:val="0"/>
              <w:pageBreakBefore w:val="0"/>
              <w:widowControl w:val="0"/>
              <w:kinsoku/>
              <w:overflowPunct/>
              <w:topLinePunct w:val="0"/>
              <w:autoSpaceDE/>
              <w:autoSpaceDN/>
              <w:bidi w:val="0"/>
              <w:spacing w:line="520" w:lineRule="exact"/>
              <w:textAlignment w:val="auto"/>
              <w:rPr>
                <w:rFonts w:hint="default"/>
                <w:sz w:val="24"/>
                <w:szCs w:val="24"/>
                <w:lang w:val="en-US" w:eastAsia="zh-CN"/>
              </w:rPr>
            </w:pPr>
            <w:r>
              <w:rPr>
                <w:rFonts w:hint="eastAsia"/>
                <w:sz w:val="24"/>
                <w:szCs w:val="24"/>
                <w:lang w:val="en-US" w:eastAsia="zh-CN"/>
              </w:rPr>
              <w:t>表2-11    现有工程履行环境影响评价、竣工环境保护验收情况一览表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541"/>
              <w:gridCol w:w="2234"/>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default"/>
                      <w:lang w:val="en-US" w:eastAsia="zh-CN"/>
                    </w:rPr>
                  </w:pPr>
                  <w:r>
                    <w:rPr>
                      <w:rFonts w:hint="eastAsia"/>
                      <w:lang w:val="en-US" w:eastAsia="zh-CN"/>
                    </w:rPr>
                    <w:t>项目名称</w:t>
                  </w:r>
                </w:p>
              </w:tc>
              <w:tc>
                <w:tcPr>
                  <w:tcW w:w="1558" w:type="pct"/>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建设内容</w:t>
                  </w:r>
                </w:p>
              </w:tc>
              <w:tc>
                <w:tcPr>
                  <w:tcW w:w="1370" w:type="pct"/>
                  <w:vAlign w:val="center"/>
                </w:tcPr>
                <w:p>
                  <w:pPr>
                    <w:pStyle w:val="49"/>
                    <w:bidi w:val="0"/>
                    <w:jc w:val="center"/>
                    <w:rPr>
                      <w:rFonts w:hint="default"/>
                      <w:lang w:val="en-US" w:eastAsia="zh-CN"/>
                    </w:rPr>
                  </w:pPr>
                  <w:r>
                    <w:rPr>
                      <w:rFonts w:hint="eastAsia"/>
                      <w:lang w:val="en-US" w:eastAsia="zh-CN"/>
                    </w:rPr>
                    <w:t>环境影响评价</w:t>
                  </w:r>
                </w:p>
              </w:tc>
              <w:tc>
                <w:tcPr>
                  <w:tcW w:w="1292" w:type="pct"/>
                  <w:vAlign w:val="center"/>
                </w:tcPr>
                <w:p>
                  <w:pPr>
                    <w:pStyle w:val="49"/>
                    <w:bidi w:val="0"/>
                    <w:jc w:val="center"/>
                    <w:rPr>
                      <w:rFonts w:hint="eastAsia"/>
                      <w:lang w:val="en-US" w:eastAsia="zh-CN"/>
                    </w:rPr>
                  </w:pPr>
                  <w:r>
                    <w:rPr>
                      <w:rFonts w:hint="eastAsia"/>
                      <w:lang w:val="en-US" w:eastAsia="zh-CN"/>
                    </w:rPr>
                    <w:t>竣工环境保护验收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default"/>
                      <w:lang w:val="en-US" w:eastAsia="zh-CN"/>
                    </w:rPr>
                  </w:pPr>
                  <w:r>
                    <w:rPr>
                      <w:rFonts w:hint="eastAsia"/>
                      <w:lang w:val="en-US" w:eastAsia="zh-CN"/>
                    </w:rPr>
                    <w:t>库尔勒第一人民医院门诊综合楼建设项目</w:t>
                  </w:r>
                </w:p>
              </w:tc>
              <w:tc>
                <w:tcPr>
                  <w:tcW w:w="2541" w:type="dxa"/>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项目1-5层（含地下一层）为门诊楼，6-17层为住院部，门诊楼内设门诊、急诊、医技科、检验科、手术室、医生办公室、护士办公室、康复病房等</w:t>
                  </w:r>
                </w:p>
              </w:tc>
              <w:tc>
                <w:tcPr>
                  <w:tcW w:w="2234" w:type="dxa"/>
                  <w:vAlign w:val="center"/>
                </w:tcPr>
                <w:p>
                  <w:pPr>
                    <w:pStyle w:val="49"/>
                    <w:bidi w:val="0"/>
                    <w:jc w:val="center"/>
                    <w:rPr>
                      <w:rFonts w:hint="default"/>
                      <w:lang w:val="en-US" w:eastAsia="zh-CN"/>
                    </w:rPr>
                  </w:pPr>
                  <w:r>
                    <w:rPr>
                      <w:rFonts w:hint="eastAsia"/>
                      <w:lang w:val="en-US" w:eastAsia="zh-CN"/>
                    </w:rPr>
                    <w:t>2010年8月30日取得巴州生态环境局批复《库尔勒第一人民医院门诊综合楼建设项目环境影响报告书的批复》（巴环控函</w:t>
                  </w:r>
                  <w:r>
                    <w:rPr>
                      <w:rFonts w:hint="eastAsia"/>
                      <w:highlight w:val="none"/>
                      <w:lang w:val="en-US" w:eastAsia="zh-CN"/>
                    </w:rPr>
                    <w:t>〔2010〕558号</w:t>
                  </w:r>
                  <w:r>
                    <w:rPr>
                      <w:rFonts w:hint="eastAsia"/>
                      <w:lang w:val="en-US" w:eastAsia="zh-CN"/>
                    </w:rPr>
                    <w:t>）</w:t>
                  </w:r>
                </w:p>
              </w:tc>
              <w:tc>
                <w:tcPr>
                  <w:tcW w:w="1292" w:type="pct"/>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default"/>
                      <w:lang w:val="en-US" w:eastAsia="zh-CN"/>
                    </w:rPr>
                  </w:pPr>
                  <w:r>
                    <w:rPr>
                      <w:rFonts w:hint="eastAsia"/>
                      <w:lang w:val="en-US" w:eastAsia="zh-CN"/>
                    </w:rPr>
                    <w:t>库尔勒市第一人民医院门诊综合大楼建设项目</w:t>
                  </w:r>
                </w:p>
              </w:tc>
              <w:tc>
                <w:tcPr>
                  <w:tcW w:w="2541" w:type="dxa"/>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库尔勒市第一人民医院门诊综合大楼主体为17层，本项目前期建设地下一层至地上五层作为门诊部，后期在现有基础上增加到十七层。新增病床数300张</w:t>
                  </w:r>
                </w:p>
              </w:tc>
              <w:tc>
                <w:tcPr>
                  <w:tcW w:w="2234" w:type="dxa"/>
                  <w:vAlign w:val="center"/>
                </w:tcPr>
                <w:p>
                  <w:pPr>
                    <w:pStyle w:val="49"/>
                    <w:bidi w:val="0"/>
                    <w:jc w:val="center"/>
                    <w:rPr>
                      <w:rFonts w:hint="default"/>
                      <w:lang w:val="en-US" w:eastAsia="zh-CN"/>
                    </w:rPr>
                  </w:pPr>
                  <w:r>
                    <w:rPr>
                      <w:rFonts w:hint="eastAsia"/>
                      <w:lang w:val="en-US" w:eastAsia="zh-CN"/>
                    </w:rPr>
                    <w:t>2010年8月30日取得巴州生态环境局批复《库尔勒市第一人民医院门诊综合大楼建设项目环境影响报告表的批复》（巴环控函</w:t>
                  </w:r>
                  <w:r>
                    <w:rPr>
                      <w:rFonts w:hint="eastAsia"/>
                      <w:highlight w:val="none"/>
                      <w:lang w:val="en-US" w:eastAsia="zh-CN"/>
                    </w:rPr>
                    <w:t>〔2010〕559号</w:t>
                  </w:r>
                  <w:r>
                    <w:rPr>
                      <w:rFonts w:hint="eastAsia"/>
                      <w:lang w:val="en-US" w:eastAsia="zh-CN"/>
                    </w:rPr>
                    <w:t>）</w:t>
                  </w:r>
                </w:p>
              </w:tc>
              <w:tc>
                <w:tcPr>
                  <w:tcW w:w="1292" w:type="pct"/>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default"/>
                      <w:lang w:val="en-US" w:eastAsia="zh-CN"/>
                    </w:rPr>
                  </w:pPr>
                  <w:r>
                    <w:rPr>
                      <w:rFonts w:hint="eastAsia"/>
                      <w:lang w:val="en-US" w:eastAsia="zh-CN"/>
                    </w:rPr>
                    <w:t>巴州库尔勒市第一人民医院污水处理站改扩建项目</w:t>
                  </w:r>
                </w:p>
              </w:tc>
              <w:tc>
                <w:tcPr>
                  <w:tcW w:w="1558" w:type="pct"/>
                  <w:vAlign w:val="center"/>
                </w:tcPr>
                <w:p>
                  <w:pPr>
                    <w:pStyle w:val="49"/>
                    <w:bidi w:val="0"/>
                    <w:jc w:val="center"/>
                    <w:rPr>
                      <w:rFonts w:hint="default" w:ascii="Times New Roman" w:hAnsi="Times New Roman" w:eastAsia="宋体" w:cs="宋体"/>
                      <w:kern w:val="2"/>
                      <w:sz w:val="21"/>
                      <w:szCs w:val="21"/>
                      <w:lang w:val="en-US" w:eastAsia="zh-CN" w:bidi="ar-SA"/>
                    </w:rPr>
                  </w:pPr>
                  <w:r>
                    <w:rPr>
                      <w:rFonts w:hint="eastAsia"/>
                      <w:lang w:val="en-US" w:eastAsia="zh-CN"/>
                    </w:rPr>
                    <w:t>本项目对原有污水处理站进行改扩建，处理水量由400m</w:t>
                  </w:r>
                  <w:r>
                    <w:rPr>
                      <w:rFonts w:hint="eastAsia"/>
                      <w:vertAlign w:val="superscript"/>
                      <w:lang w:val="en-US" w:eastAsia="zh-CN"/>
                    </w:rPr>
                    <w:t>3</w:t>
                  </w:r>
                  <w:r>
                    <w:rPr>
                      <w:rFonts w:hint="eastAsia"/>
                      <w:lang w:val="en-US" w:eastAsia="zh-CN"/>
                    </w:rPr>
                    <w:t>/d扩建至1000m</w:t>
                  </w:r>
                  <w:r>
                    <w:rPr>
                      <w:rFonts w:hint="eastAsia"/>
                      <w:vertAlign w:val="superscript"/>
                      <w:lang w:val="en-US" w:eastAsia="zh-CN"/>
                    </w:rPr>
                    <w:t>3</w:t>
                  </w:r>
                  <w:r>
                    <w:rPr>
                      <w:rFonts w:hint="eastAsia"/>
                      <w:lang w:val="en-US" w:eastAsia="zh-CN"/>
                    </w:rPr>
                    <w:t>/d</w:t>
                  </w:r>
                </w:p>
              </w:tc>
              <w:tc>
                <w:tcPr>
                  <w:tcW w:w="1370" w:type="pct"/>
                  <w:vAlign w:val="center"/>
                </w:tcPr>
                <w:p>
                  <w:pPr>
                    <w:pStyle w:val="49"/>
                    <w:bidi w:val="0"/>
                    <w:jc w:val="center"/>
                    <w:rPr>
                      <w:rFonts w:hint="default"/>
                      <w:lang w:val="en-US" w:eastAsia="zh-CN"/>
                    </w:rPr>
                  </w:pPr>
                  <w:r>
                    <w:rPr>
                      <w:rFonts w:hint="default"/>
                      <w:lang w:val="en-US" w:eastAsia="zh-CN"/>
                    </w:rPr>
                    <w:t>2013年12月10日取得《关于巴州库尔勒市第一人民医院污水处理站改扩建项目环境影响报告表的审批意见》（巴环评价函</w:t>
                  </w:r>
                  <w:r>
                    <w:rPr>
                      <w:rFonts w:hint="eastAsia"/>
                      <w:highlight w:val="none"/>
                      <w:lang w:val="en-US" w:eastAsia="zh-CN"/>
                    </w:rPr>
                    <w:t>〔2013〕</w:t>
                  </w:r>
                  <w:r>
                    <w:rPr>
                      <w:rFonts w:hint="default"/>
                      <w:lang w:val="en-US" w:eastAsia="zh-CN"/>
                    </w:rPr>
                    <w:t>814号）</w:t>
                  </w:r>
                </w:p>
              </w:tc>
              <w:tc>
                <w:tcPr>
                  <w:tcW w:w="1292" w:type="pct"/>
                  <w:vAlign w:val="center"/>
                </w:tcPr>
                <w:p>
                  <w:pPr>
                    <w:pStyle w:val="49"/>
                    <w:bidi w:val="0"/>
                    <w:jc w:val="center"/>
                    <w:rPr>
                      <w:rFonts w:hint="default"/>
                      <w:lang w:val="en-US" w:eastAsia="zh-CN"/>
                    </w:rPr>
                  </w:pPr>
                  <w:r>
                    <w:rPr>
                      <w:rFonts w:hint="default"/>
                      <w:lang w:val="en-US" w:eastAsia="zh-CN"/>
                    </w:rPr>
                    <w:t>2019年8月22日通过竣工环境保护验收，并于2020年12月29日取得巴州生态环境局验收备案登记卡，备案文号第2020228号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default"/>
                      <w:lang w:val="en-US" w:eastAsia="zh-CN"/>
                    </w:rPr>
                  </w:pPr>
                  <w:r>
                    <w:rPr>
                      <w:rFonts w:hint="eastAsia"/>
                      <w:lang w:val="en-US" w:eastAsia="zh-CN"/>
                    </w:rPr>
                    <w:t>库尔勒市第一人民医院改扩建项目</w:t>
                  </w:r>
                </w:p>
              </w:tc>
              <w:tc>
                <w:tcPr>
                  <w:tcW w:w="1558" w:type="pct"/>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主体工程：急救综合楼26850.35m</w:t>
                  </w:r>
                  <w:r>
                    <w:rPr>
                      <w:rFonts w:hint="eastAsia"/>
                      <w:vertAlign w:val="superscript"/>
                      <w:lang w:val="en-US" w:eastAsia="zh-CN"/>
                    </w:rPr>
                    <w:t>2</w:t>
                  </w:r>
                  <w:r>
                    <w:rPr>
                      <w:rFonts w:hint="eastAsia"/>
                      <w:lang w:val="en-US" w:eastAsia="zh-CN"/>
                    </w:rPr>
                    <w:t>，传染病综合楼6207.63m</w:t>
                  </w:r>
                  <w:r>
                    <w:rPr>
                      <w:rFonts w:hint="eastAsia"/>
                      <w:vertAlign w:val="superscript"/>
                      <w:lang w:val="en-US" w:eastAsia="zh-CN"/>
                    </w:rPr>
                    <w:t>2</w:t>
                  </w:r>
                  <w:r>
                    <w:rPr>
                      <w:rFonts w:hint="eastAsia"/>
                      <w:lang w:val="en-US" w:eastAsia="zh-CN"/>
                    </w:rPr>
                    <w:t>；辅助工程：100m</w:t>
                  </w:r>
                  <w:r>
                    <w:rPr>
                      <w:rFonts w:hint="eastAsia"/>
                      <w:vertAlign w:val="superscript"/>
                      <w:lang w:val="en-US" w:eastAsia="zh-CN"/>
                    </w:rPr>
                    <w:t>3</w:t>
                  </w:r>
                  <w:r>
                    <w:rPr>
                      <w:rFonts w:hint="eastAsia"/>
                      <w:lang w:val="en-US" w:eastAsia="zh-CN"/>
                    </w:rPr>
                    <w:t>污水消毒池、1座污水处理站及配套180m</w:t>
                  </w:r>
                  <w:r>
                    <w:rPr>
                      <w:rFonts w:hint="eastAsia"/>
                      <w:vertAlign w:val="superscript"/>
                      <w:lang w:val="en-US" w:eastAsia="zh-CN"/>
                    </w:rPr>
                    <w:t>2</w:t>
                  </w:r>
                  <w:r>
                    <w:rPr>
                      <w:rFonts w:hint="eastAsia"/>
                      <w:lang w:val="en-US" w:eastAsia="zh-CN"/>
                    </w:rPr>
                    <w:t>站房，停车场设计停车位620个；公用工程：供电、供水、排水均依托市政管网，冬季采用2台6t/h燃气热水锅炉供暖</w:t>
                  </w:r>
                </w:p>
              </w:tc>
              <w:tc>
                <w:tcPr>
                  <w:tcW w:w="1370" w:type="pct"/>
                  <w:vAlign w:val="center"/>
                </w:tcPr>
                <w:p>
                  <w:pPr>
                    <w:pStyle w:val="49"/>
                    <w:bidi w:val="0"/>
                    <w:jc w:val="center"/>
                    <w:rPr>
                      <w:rFonts w:hint="default"/>
                      <w:lang w:val="en-US" w:eastAsia="zh-CN"/>
                    </w:rPr>
                  </w:pPr>
                  <w:r>
                    <w:rPr>
                      <w:rFonts w:hint="eastAsia"/>
                      <w:lang w:val="en-US" w:eastAsia="zh-CN"/>
                    </w:rPr>
                    <w:t>2021年2月1日</w:t>
                  </w:r>
                  <w:r>
                    <w:rPr>
                      <w:rFonts w:hint="default"/>
                      <w:lang w:val="en-US" w:eastAsia="zh-CN"/>
                    </w:rPr>
                    <w:t>取得</w:t>
                  </w:r>
                  <w:r>
                    <w:rPr>
                      <w:rFonts w:hint="eastAsia"/>
                      <w:lang w:val="en-US" w:eastAsia="zh-CN"/>
                    </w:rPr>
                    <w:t>《库尔勒市第一人民医院改扩建项目环境影响报告表的批复》（巴环评价</w:t>
                  </w:r>
                  <w:r>
                    <w:rPr>
                      <w:rFonts w:hint="eastAsia"/>
                      <w:shd w:val="clear"/>
                      <w:lang w:val="en-US" w:eastAsia="zh-CN"/>
                    </w:rPr>
                    <w:t>函</w:t>
                  </w:r>
                  <w:r>
                    <w:rPr>
                      <w:rFonts w:hint="eastAsia"/>
                      <w:highlight w:val="none"/>
                      <w:shd w:val="clear"/>
                      <w:lang w:val="en-US" w:eastAsia="zh-CN"/>
                    </w:rPr>
                    <w:t>〔2021〕43号</w:t>
                  </w:r>
                  <w:r>
                    <w:rPr>
                      <w:rFonts w:hint="eastAsia"/>
                      <w:shd w:val="clear"/>
                      <w:lang w:val="en-US" w:eastAsia="zh-CN"/>
                    </w:rPr>
                    <w:t>），《库尔勒市第一人民医院改扩建项目主要污染物排放总量控制指标的核定》（巴环总量函〔2020〕56号）</w:t>
                  </w:r>
                </w:p>
              </w:tc>
              <w:tc>
                <w:tcPr>
                  <w:tcW w:w="1292" w:type="pct"/>
                  <w:vAlign w:val="center"/>
                </w:tcPr>
                <w:p>
                  <w:pPr>
                    <w:pStyle w:val="49"/>
                    <w:bidi w:val="0"/>
                    <w:jc w:val="center"/>
                    <w:rPr>
                      <w:rFonts w:hint="default"/>
                      <w:shd w:val="clear" w:fill="D99594" w:themeFill="accent2" w:themeFillTint="99"/>
                      <w:lang w:val="en-US" w:eastAsia="zh-CN"/>
                    </w:rPr>
                  </w:pPr>
                  <w:r>
                    <w:rPr>
                      <w:rFonts w:hint="eastAsia"/>
                      <w:shd w:val="clear"/>
                      <w:lang w:val="en-US" w:eastAsia="zh-CN"/>
                    </w:rPr>
                    <w:t>2024年8月5日通过竣工环境保护验收工作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vAlign w:val="center"/>
                </w:tcPr>
                <w:p>
                  <w:pPr>
                    <w:pStyle w:val="49"/>
                    <w:bidi w:val="0"/>
                    <w:jc w:val="center"/>
                    <w:rPr>
                      <w:rFonts w:hint="eastAsia"/>
                      <w:lang w:val="en-US" w:eastAsia="zh-CN"/>
                    </w:rPr>
                  </w:pPr>
                  <w:r>
                    <w:rPr>
                      <w:rFonts w:hint="eastAsia"/>
                      <w:lang w:val="en-US" w:eastAsia="zh-CN"/>
                    </w:rPr>
                    <w:t>巴州库尔勒市第一人民医院救治能力提升项目</w:t>
                  </w:r>
                </w:p>
              </w:tc>
              <w:tc>
                <w:tcPr>
                  <w:tcW w:w="1558" w:type="pct"/>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主体工程：在传染病综合楼扩建1层建设负压病房，建筑面积为2503.84m</w:t>
                  </w:r>
                  <w:r>
                    <w:rPr>
                      <w:rFonts w:hint="eastAsia"/>
                      <w:vertAlign w:val="superscript"/>
                      <w:lang w:val="en-US" w:eastAsia="zh-CN"/>
                    </w:rPr>
                    <w:t>2</w:t>
                  </w:r>
                  <w:r>
                    <w:rPr>
                      <w:rFonts w:hint="eastAsia"/>
                      <w:lang w:val="en-US" w:eastAsia="zh-CN"/>
                    </w:rPr>
                    <w:t>，辅助工程：设备间建筑面积为968.53m</w:t>
                  </w:r>
                  <w:r>
                    <w:rPr>
                      <w:rFonts w:hint="eastAsia"/>
                      <w:vertAlign w:val="superscript"/>
                      <w:lang w:val="en-US" w:eastAsia="zh-CN"/>
                    </w:rPr>
                    <w:t>2</w:t>
                  </w:r>
                </w:p>
              </w:tc>
              <w:tc>
                <w:tcPr>
                  <w:tcW w:w="1370" w:type="pct"/>
                  <w:vAlign w:val="center"/>
                </w:tcPr>
                <w:p>
                  <w:pPr>
                    <w:pStyle w:val="49"/>
                    <w:bidi w:val="0"/>
                    <w:jc w:val="center"/>
                    <w:rPr>
                      <w:rFonts w:hint="default"/>
                      <w:lang w:val="en-US" w:eastAsia="zh-CN"/>
                    </w:rPr>
                  </w:pPr>
                  <w:r>
                    <w:rPr>
                      <w:rFonts w:hint="eastAsia"/>
                      <w:lang w:val="en-US" w:eastAsia="zh-CN"/>
                    </w:rPr>
                    <w:t>2021年2月1日</w:t>
                  </w:r>
                  <w:r>
                    <w:rPr>
                      <w:rFonts w:hint="default"/>
                      <w:lang w:val="en-US" w:eastAsia="zh-CN"/>
                    </w:rPr>
                    <w:t>取得</w:t>
                  </w:r>
                  <w:r>
                    <w:rPr>
                      <w:rFonts w:hint="eastAsia"/>
                      <w:lang w:val="en-US" w:eastAsia="zh-CN"/>
                    </w:rPr>
                    <w:t>《巴州库尔勒市第一人民医院救治能力提升项目环境影响报告表的批复》（</w:t>
                  </w:r>
                  <w:r>
                    <w:rPr>
                      <w:rFonts w:hint="eastAsia"/>
                      <w:shd w:val="clear"/>
                      <w:lang w:val="en-US" w:eastAsia="zh-CN"/>
                    </w:rPr>
                    <w:t>巴环评价函</w:t>
                  </w:r>
                  <w:r>
                    <w:rPr>
                      <w:rFonts w:hint="eastAsia"/>
                      <w:highlight w:val="none"/>
                      <w:shd w:val="clear"/>
                      <w:lang w:val="en-US" w:eastAsia="zh-CN"/>
                    </w:rPr>
                    <w:t>〔2021〕42号</w:t>
                  </w:r>
                  <w:r>
                    <w:rPr>
                      <w:rFonts w:hint="eastAsia"/>
                      <w:lang w:val="en-US" w:eastAsia="zh-CN"/>
                    </w:rPr>
                    <w:t>）</w:t>
                  </w:r>
                </w:p>
              </w:tc>
              <w:tc>
                <w:tcPr>
                  <w:tcW w:w="1292" w:type="pct"/>
                  <w:vAlign w:val="center"/>
                </w:tcPr>
                <w:p>
                  <w:pPr>
                    <w:pStyle w:val="49"/>
                    <w:bidi w:val="0"/>
                    <w:jc w:val="center"/>
                    <w:rPr>
                      <w:rFonts w:hint="default"/>
                      <w:shd w:val="clear" w:fill="D99594" w:themeFill="accent2" w:themeFillTint="99"/>
                      <w:lang w:val="en-US" w:eastAsia="zh-CN"/>
                    </w:rPr>
                  </w:pPr>
                  <w:r>
                    <w:rPr>
                      <w:rFonts w:hint="eastAsia"/>
                      <w:shd w:val="clear"/>
                      <w:lang w:val="en-US" w:eastAsia="zh-CN"/>
                    </w:rPr>
                    <w:t>2024年8月5日通过竣工环境保护验收工作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pct"/>
                  <w:shd w:val="clear" w:color="auto" w:fill="auto"/>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库尔勒市第一人民医院3号综合楼项目</w:t>
                  </w:r>
                </w:p>
              </w:tc>
              <w:tc>
                <w:tcPr>
                  <w:tcW w:w="1558" w:type="pct"/>
                  <w:shd w:val="clear" w:color="auto" w:fill="auto"/>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主体工程：新建3号综合楼，占地面积为3066.7m</w:t>
                  </w:r>
                  <w:r>
                    <w:rPr>
                      <w:rFonts w:hint="eastAsia"/>
                      <w:vertAlign w:val="superscript"/>
                      <w:lang w:val="en-US" w:eastAsia="zh-CN"/>
                    </w:rPr>
                    <w:t>2</w:t>
                  </w:r>
                  <w:r>
                    <w:rPr>
                      <w:rFonts w:hint="eastAsia"/>
                      <w:vertAlign w:val="baseline"/>
                      <w:lang w:val="en-US" w:eastAsia="zh-CN"/>
                    </w:rPr>
                    <w:t>，</w:t>
                  </w:r>
                  <w:r>
                    <w:rPr>
                      <w:rFonts w:hint="eastAsia"/>
                      <w:lang w:val="en-US" w:eastAsia="zh-CN"/>
                    </w:rPr>
                    <w:t>建筑面积为</w:t>
                  </w:r>
                  <w:r>
                    <w:rPr>
                      <w:rFonts w:hint="eastAsia"/>
                      <w:bCs/>
                      <w:szCs w:val="21"/>
                      <w:lang w:val="en-US" w:eastAsia="zh-CN"/>
                    </w:rPr>
                    <w:t>12723.01m</w:t>
                  </w:r>
                  <w:r>
                    <w:rPr>
                      <w:rFonts w:hint="eastAsia"/>
                      <w:bCs/>
                      <w:szCs w:val="21"/>
                      <w:vertAlign w:val="superscript"/>
                      <w:lang w:val="en-US" w:eastAsia="zh-CN"/>
                    </w:rPr>
                    <w:t>2</w:t>
                  </w:r>
                  <w:r>
                    <w:rPr>
                      <w:rFonts w:hint="eastAsia"/>
                      <w:bCs/>
                      <w:szCs w:val="21"/>
                      <w:vertAlign w:val="baseline"/>
                      <w:lang w:val="en-US" w:eastAsia="zh-CN"/>
                    </w:rPr>
                    <w:t>，设置床位360张，内设包括</w:t>
                  </w:r>
                  <w:r>
                    <w:rPr>
                      <w:rFonts w:hint="eastAsia"/>
                      <w:bCs/>
                      <w:szCs w:val="21"/>
                    </w:rPr>
                    <w:t>康复医学科</w:t>
                  </w:r>
                  <w:r>
                    <w:rPr>
                      <w:rFonts w:hint="eastAsia"/>
                      <w:bCs/>
                      <w:szCs w:val="21"/>
                      <w:lang w:eastAsia="zh-CN"/>
                    </w:rPr>
                    <w:t>、</w:t>
                  </w:r>
                  <w:r>
                    <w:rPr>
                      <w:rFonts w:hint="eastAsia"/>
                      <w:bCs/>
                      <w:szCs w:val="21"/>
                    </w:rPr>
                    <w:t>精神卫生科</w:t>
                  </w:r>
                  <w:r>
                    <w:rPr>
                      <w:rFonts w:hint="eastAsia"/>
                      <w:bCs/>
                      <w:szCs w:val="21"/>
                      <w:lang w:eastAsia="zh-CN"/>
                    </w:rPr>
                    <w:t>、</w:t>
                  </w:r>
                  <w:r>
                    <w:rPr>
                      <w:rFonts w:hint="eastAsia"/>
                      <w:bCs/>
                      <w:szCs w:val="21"/>
                    </w:rPr>
                    <w:t>疼痛科康复医学科</w:t>
                  </w:r>
                  <w:r>
                    <w:rPr>
                      <w:rFonts w:hint="eastAsia"/>
                      <w:bCs/>
                      <w:szCs w:val="21"/>
                      <w:lang w:eastAsia="zh-CN"/>
                    </w:rPr>
                    <w:t>、</w:t>
                  </w:r>
                  <w:r>
                    <w:rPr>
                      <w:rFonts w:hint="eastAsia"/>
                      <w:bCs/>
                      <w:szCs w:val="21"/>
                    </w:rPr>
                    <w:t>呼吸</w:t>
                  </w:r>
                  <w:r>
                    <w:rPr>
                      <w:rFonts w:hint="eastAsia"/>
                      <w:bCs/>
                      <w:szCs w:val="21"/>
                      <w:lang w:val="en-US" w:eastAsia="zh-CN"/>
                    </w:rPr>
                    <w:t>与危重症医学科、</w:t>
                  </w:r>
                  <w:r>
                    <w:rPr>
                      <w:rFonts w:hint="eastAsia"/>
                      <w:bCs/>
                      <w:szCs w:val="21"/>
                    </w:rPr>
                    <w:t>呼吸</w:t>
                  </w:r>
                  <w:r>
                    <w:rPr>
                      <w:rFonts w:hint="eastAsia"/>
                      <w:bCs/>
                      <w:szCs w:val="21"/>
                      <w:lang w:val="en-US" w:eastAsia="zh-CN"/>
                    </w:rPr>
                    <w:t>二</w:t>
                  </w:r>
                  <w:r>
                    <w:rPr>
                      <w:rFonts w:hint="eastAsia"/>
                      <w:bCs/>
                      <w:szCs w:val="21"/>
                    </w:rPr>
                    <w:t>科</w:t>
                  </w:r>
                  <w:r>
                    <w:rPr>
                      <w:rFonts w:hint="eastAsia"/>
                      <w:bCs/>
                      <w:szCs w:val="21"/>
                      <w:lang w:eastAsia="zh-CN"/>
                    </w:rPr>
                    <w:t>、</w:t>
                  </w:r>
                  <w:r>
                    <w:rPr>
                      <w:rFonts w:hint="eastAsia"/>
                      <w:bCs/>
                      <w:szCs w:val="21"/>
                    </w:rPr>
                    <w:t>介入中心、碎石中心、病理科</w:t>
                  </w:r>
                  <w:r>
                    <w:rPr>
                      <w:rFonts w:hint="eastAsia"/>
                      <w:bCs/>
                      <w:szCs w:val="21"/>
                      <w:lang w:eastAsia="zh-CN"/>
                    </w:rPr>
                    <w:t>、</w:t>
                  </w:r>
                  <w:r>
                    <w:rPr>
                      <w:rFonts w:hint="eastAsia"/>
                      <w:bCs/>
                      <w:color w:val="000000" w:themeColor="text1"/>
                      <w:szCs w:val="21"/>
                      <w:lang w:val="en-US" w:eastAsia="zh-CN"/>
                      <w14:textFill>
                        <w14:solidFill>
                          <w14:schemeClr w14:val="tx1"/>
                        </w14:solidFill>
                      </w14:textFill>
                    </w:rPr>
                    <w:t>信息科、</w:t>
                  </w:r>
                  <w:r>
                    <w:rPr>
                      <w:rFonts w:hint="eastAsia"/>
                      <w:bCs/>
                      <w:szCs w:val="21"/>
                      <w:lang w:val="en-US" w:eastAsia="zh-CN"/>
                    </w:rPr>
                    <w:t>体检中心（只在该楼进行体检，不进行化验，不产生化验废液）等。</w:t>
                  </w:r>
                </w:p>
              </w:tc>
              <w:tc>
                <w:tcPr>
                  <w:tcW w:w="1370" w:type="pct"/>
                  <w:shd w:val="clear" w:color="auto" w:fill="auto"/>
                  <w:vAlign w:val="center"/>
                </w:tcPr>
                <w:p>
                  <w:pPr>
                    <w:pStyle w:val="49"/>
                    <w:bidi w:val="0"/>
                    <w:jc w:val="center"/>
                    <w:rPr>
                      <w:rFonts w:hint="eastAsia" w:ascii="Times New Roman" w:hAnsi="Times New Roman" w:eastAsia="宋体" w:cs="宋体"/>
                      <w:kern w:val="2"/>
                      <w:sz w:val="21"/>
                      <w:szCs w:val="21"/>
                      <w:lang w:val="en-US" w:eastAsia="zh-CN" w:bidi="ar-SA"/>
                    </w:rPr>
                  </w:pPr>
                  <w:r>
                    <w:rPr>
                      <w:rFonts w:hint="eastAsia"/>
                      <w:lang w:val="en-US" w:eastAsia="zh-CN"/>
                    </w:rPr>
                    <w:t>2024年10月29日</w:t>
                  </w:r>
                  <w:r>
                    <w:rPr>
                      <w:rFonts w:hint="default"/>
                      <w:lang w:val="en-US" w:eastAsia="zh-CN"/>
                    </w:rPr>
                    <w:t>取得</w:t>
                  </w:r>
                  <w:r>
                    <w:rPr>
                      <w:rFonts w:hint="eastAsia"/>
                      <w:lang w:val="en-US" w:eastAsia="zh-CN"/>
                    </w:rPr>
                    <w:t>《库尔勒市第一人民医院3号综合楼项目环境影响报告表的批复》（</w:t>
                  </w:r>
                  <w:r>
                    <w:rPr>
                      <w:rFonts w:hint="eastAsia"/>
                      <w:shd w:val="clear"/>
                      <w:lang w:val="en-US" w:eastAsia="zh-CN"/>
                    </w:rPr>
                    <w:t>巴环评价函</w:t>
                  </w:r>
                  <w:r>
                    <w:rPr>
                      <w:rFonts w:hint="eastAsia"/>
                      <w:highlight w:val="none"/>
                      <w:shd w:val="clear"/>
                      <w:lang w:val="en-US" w:eastAsia="zh-CN"/>
                    </w:rPr>
                    <w:t>〔2024〕267号</w:t>
                  </w:r>
                  <w:r>
                    <w:rPr>
                      <w:rFonts w:hint="eastAsia"/>
                      <w:lang w:val="en-US" w:eastAsia="zh-CN"/>
                    </w:rPr>
                    <w:t>）</w:t>
                  </w:r>
                </w:p>
              </w:tc>
              <w:tc>
                <w:tcPr>
                  <w:tcW w:w="1292" w:type="pct"/>
                  <w:shd w:val="clear" w:color="auto" w:fill="auto"/>
                  <w:vAlign w:val="center"/>
                </w:tcPr>
                <w:p>
                  <w:pPr>
                    <w:pStyle w:val="49"/>
                    <w:bidi w:val="0"/>
                    <w:jc w:val="center"/>
                    <w:rPr>
                      <w:rFonts w:hint="eastAsia" w:ascii="Times New Roman" w:hAnsi="Times New Roman" w:eastAsia="宋体" w:cs="宋体"/>
                      <w:kern w:val="2"/>
                      <w:sz w:val="21"/>
                      <w:szCs w:val="21"/>
                      <w:shd w:val="clear"/>
                      <w:lang w:val="en-US" w:eastAsia="zh-CN" w:bidi="ar-SA"/>
                    </w:rPr>
                  </w:pPr>
                  <w:r>
                    <w:rPr>
                      <w:rFonts w:hint="eastAsia"/>
                      <w:shd w:val="clear"/>
                      <w:lang w:val="en-US" w:eastAsia="zh-CN"/>
                    </w:rPr>
                    <w:t>2025年4月1日通过竣工环境保护验收工作</w:t>
                  </w:r>
                </w:p>
              </w:tc>
            </w:tr>
          </w:tbl>
          <w:p>
            <w:pPr>
              <w:pStyle w:val="58"/>
              <w:bidi w:val="0"/>
              <w:rPr>
                <w:rFonts w:hint="eastAsia"/>
                <w:lang w:val="en-US" w:eastAsia="zh-CN"/>
              </w:rPr>
            </w:pPr>
            <w:r>
              <w:rPr>
                <w:rFonts w:hint="eastAsia"/>
                <w:lang w:val="en-US" w:eastAsia="zh-CN"/>
              </w:rPr>
              <w:t>库尔勒市第一人民医院于2023年9月19日取得重点管理排污许可证，许可证编号为12652801457873514K001V（有效期限：2023-09-19至2028-09-18）。</w:t>
            </w:r>
          </w:p>
          <w:p>
            <w:pPr>
              <w:pStyle w:val="64"/>
              <w:bidi w:val="0"/>
              <w:rPr>
                <w:rFonts w:hint="default"/>
                <w:lang w:val="en-US" w:eastAsia="zh-CN"/>
              </w:rPr>
            </w:pPr>
            <w:r>
              <w:rPr>
                <w:rFonts w:hint="eastAsia"/>
                <w:lang w:val="en-US" w:eastAsia="zh-CN"/>
              </w:rPr>
              <w:t>3现有工程污染物排放情况</w:t>
            </w:r>
          </w:p>
          <w:p>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lang w:val="en-US" w:eastAsia="zh-CN"/>
              </w:rPr>
            </w:pPr>
            <w:r>
              <w:rPr>
                <w:rFonts w:hint="eastAsia"/>
                <w:b/>
                <w:bCs/>
                <w:lang w:val="en-US" w:eastAsia="zh-CN"/>
              </w:rPr>
              <w:t>3.1废气</w:t>
            </w:r>
          </w:p>
          <w:p>
            <w:pPr>
              <w:pStyle w:val="58"/>
              <w:bidi w:val="0"/>
              <w:rPr>
                <w:rFonts w:hint="eastAsia"/>
                <w:lang w:val="en-US" w:eastAsia="zh-CN"/>
              </w:rPr>
            </w:pPr>
            <w:r>
              <w:rPr>
                <w:rFonts w:hint="eastAsia"/>
                <w:lang w:val="en-US" w:eastAsia="zh-CN"/>
              </w:rPr>
              <w:t>医院现有工程废气主要为燃气锅炉废气及污水处理站运行过程中产生的恶臭气体。</w:t>
            </w:r>
          </w:p>
          <w:p>
            <w:pPr>
              <w:pStyle w:val="58"/>
              <w:bidi w:val="0"/>
              <w:rPr>
                <w:rFonts w:hint="default"/>
                <w:lang w:val="en-US" w:eastAsia="zh-CN"/>
              </w:rPr>
            </w:pPr>
            <w:r>
              <w:rPr>
                <w:rFonts w:hint="eastAsia"/>
                <w:lang w:val="en-US" w:eastAsia="zh-CN"/>
              </w:rPr>
              <w:t>（1）锅炉废气</w:t>
            </w:r>
          </w:p>
          <w:p>
            <w:pPr>
              <w:pStyle w:val="58"/>
              <w:shd w:val="clear"/>
              <w:bidi w:val="0"/>
              <w:rPr>
                <w:rFonts w:hint="default"/>
                <w:lang w:val="en-US" w:eastAsia="zh-CN"/>
              </w:rPr>
            </w:pPr>
            <w:r>
              <w:rPr>
                <w:rFonts w:hint="eastAsia"/>
                <w:lang w:val="en-US" w:eastAsia="zh-CN"/>
              </w:rPr>
              <w:t>医院现有</w:t>
            </w:r>
            <w:r>
              <w:rPr>
                <w:rFonts w:hint="default"/>
                <w:lang w:val="en-US" w:eastAsia="zh-CN"/>
              </w:rPr>
              <w:t>6t/h燃气热水锅炉2台</w:t>
            </w:r>
            <w:r>
              <w:rPr>
                <w:rFonts w:hint="eastAsia"/>
                <w:lang w:val="en-US" w:eastAsia="zh-CN"/>
              </w:rPr>
              <w:t>（</w:t>
            </w:r>
            <w:r>
              <w:rPr>
                <w:rFonts w:hint="default"/>
                <w:lang w:val="en-US" w:eastAsia="zh-CN"/>
              </w:rPr>
              <w:t>一用一备</w:t>
            </w:r>
            <w:r>
              <w:rPr>
                <w:rFonts w:hint="eastAsia"/>
                <w:lang w:val="en-US" w:eastAsia="zh-CN"/>
              </w:rPr>
              <w:t>），主要污染物为颗粒物、NO</w:t>
            </w:r>
            <w:r>
              <w:rPr>
                <w:rFonts w:hint="eastAsia"/>
                <w:vertAlign w:val="subscript"/>
                <w:lang w:val="en-US" w:eastAsia="zh-CN"/>
              </w:rPr>
              <w:t>X</w:t>
            </w:r>
            <w:r>
              <w:rPr>
                <w:rFonts w:hint="eastAsia"/>
                <w:lang w:val="en-US" w:eastAsia="zh-CN"/>
              </w:rPr>
              <w:t>、SO</w:t>
            </w:r>
            <w:r>
              <w:rPr>
                <w:rFonts w:hint="eastAsia"/>
                <w:vertAlign w:val="subscript"/>
                <w:lang w:val="en-US" w:eastAsia="zh-CN"/>
              </w:rPr>
              <w:t>2</w:t>
            </w:r>
            <w:r>
              <w:rPr>
                <w:rFonts w:hint="eastAsia"/>
                <w:vertAlign w:val="baseline"/>
                <w:lang w:val="en-US" w:eastAsia="zh-CN"/>
              </w:rPr>
              <w:t>。</w:t>
            </w:r>
            <w:r>
              <w:rPr>
                <w:rFonts w:hint="eastAsia"/>
                <w:lang w:val="en-US" w:eastAsia="zh-CN"/>
              </w:rPr>
              <w:t>根据《库尔勒市第一人民医院改扩建项目竣工环境保护验收监测报告表》（2024年4月）监测结果可知，院内现有天然气锅炉废气排放浓度满足《锅炉大气污染物排放标准》（GB13271-2014）中大气污染物特别排放限值的要求。</w:t>
            </w:r>
          </w:p>
          <w:p>
            <w:pPr>
              <w:pStyle w:val="58"/>
              <w:bidi w:val="0"/>
              <w:rPr>
                <w:rFonts w:hint="default"/>
                <w:shd w:val="clear"/>
                <w:lang w:val="en-US" w:eastAsia="zh-CN"/>
              </w:rPr>
            </w:pPr>
            <w:r>
              <w:rPr>
                <w:rFonts w:hint="eastAsia"/>
                <w:shd w:val="clear"/>
                <w:lang w:val="en-US" w:eastAsia="zh-CN"/>
              </w:rPr>
              <w:t>（2）污水处理站废气</w:t>
            </w:r>
          </w:p>
          <w:p>
            <w:pPr>
              <w:pStyle w:val="58"/>
              <w:bidi w:val="0"/>
              <w:rPr>
                <w:rFonts w:hint="default"/>
                <w:lang w:val="en-US" w:eastAsia="zh-CN"/>
              </w:rPr>
            </w:pPr>
            <w:r>
              <w:rPr>
                <w:rFonts w:hint="eastAsia"/>
                <w:highlight w:val="none"/>
                <w:shd w:val="clear"/>
                <w:lang w:val="en-US" w:eastAsia="zh-CN"/>
              </w:rPr>
              <w:t>目前全院污水均由2#污水处理站进行处理，1#污水处理站已停用，2#污水处理站</w:t>
            </w:r>
            <w:r>
              <w:rPr>
                <w:rFonts w:hint="eastAsia"/>
                <w:highlight w:val="none"/>
                <w:lang w:val="en-US" w:eastAsia="zh-CN"/>
              </w:rPr>
              <w:t>运行过程中产生的废气采用</w:t>
            </w:r>
            <w:r>
              <w:rPr>
                <w:rFonts w:hint="default"/>
                <w:highlight w:val="none"/>
                <w:lang w:val="en-US" w:eastAsia="zh-CN"/>
              </w:rPr>
              <w:t>离子除臭装置+紫外线消毒设备</w:t>
            </w:r>
            <w:r>
              <w:rPr>
                <w:rFonts w:hint="eastAsia"/>
                <w:highlight w:val="none"/>
                <w:lang w:val="en-US" w:eastAsia="zh-CN"/>
              </w:rPr>
              <w:t>处理后经1根15m高的排气筒进行排放。根据巴州永诚环境检测技术服务有限公司2025年3月20日出具的《库尔勒市第一人民医院3号综合楼项目验收（无组织废气）检测报告》以及《库尔勒市第一人民医院3号综合楼项目验收（有组织废气）检测报告》的检测结果可知，2号污水处理站现状有组织废气满足《恶臭污染物排放标准》（GB14554-1993）中排放限值的要求，厂界污染物浓度满足</w:t>
            </w:r>
            <w:r>
              <w:rPr>
                <w:rFonts w:hint="default"/>
                <w:highlight w:val="none"/>
                <w:lang w:val="en-US" w:eastAsia="zh-CN"/>
              </w:rPr>
              <w:t>《医</w:t>
            </w:r>
            <w:r>
              <w:rPr>
                <w:rFonts w:hint="default" w:ascii="Times New Roman" w:hAnsi="Times New Roman" w:cs="Times New Roman"/>
                <w:highlight w:val="none"/>
                <w:lang w:val="en-US" w:eastAsia="zh-CN"/>
              </w:rPr>
              <w:t>疗机构水污染物排放标准》（GB18466-2005）中排放限值的要求</w:t>
            </w:r>
            <w:r>
              <w:rPr>
                <w:rFonts w:hint="eastAsia" w:ascii="Times New Roman" w:hAnsi="Times New Roman" w:cs="Times New Roman"/>
                <w:highlight w:val="none"/>
                <w:lang w:val="en-US" w:eastAsia="zh-CN"/>
              </w:rPr>
              <w:t>，排放达标。</w:t>
            </w:r>
          </w:p>
          <w:p>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lang w:val="en-US" w:eastAsia="zh-CN"/>
              </w:rPr>
            </w:pPr>
            <w:r>
              <w:rPr>
                <w:rFonts w:hint="eastAsia"/>
                <w:b/>
                <w:bCs/>
                <w:lang w:val="en-US" w:eastAsia="zh-CN"/>
              </w:rPr>
              <w:t>3.2废水</w:t>
            </w:r>
          </w:p>
          <w:p>
            <w:pPr>
              <w:pStyle w:val="58"/>
              <w:bidi w:val="0"/>
              <w:rPr>
                <w:rFonts w:hint="eastAsia"/>
                <w:lang w:val="en-US" w:eastAsia="zh-CN"/>
              </w:rPr>
            </w:pPr>
            <w:r>
              <w:rPr>
                <w:rFonts w:hint="eastAsia"/>
                <w:lang w:val="en-US" w:eastAsia="zh-CN"/>
              </w:rPr>
              <w:t>根据现场走访，库尔勒市第一人民医院现有职工人数为1625人，病床总数为1005张，全天人流量约1374人。2号污水站处理全院污水，并已运行多年，水量约维持在280m</w:t>
            </w:r>
            <w:r>
              <w:rPr>
                <w:rFonts w:hint="eastAsia"/>
                <w:vertAlign w:val="superscript"/>
                <w:lang w:val="en-US" w:eastAsia="zh-CN"/>
              </w:rPr>
              <w:t>3</w:t>
            </w:r>
            <w:r>
              <w:rPr>
                <w:rFonts w:hint="eastAsia"/>
                <w:lang w:val="en-US" w:eastAsia="zh-CN"/>
              </w:rPr>
              <w:t>/d。</w:t>
            </w:r>
          </w:p>
          <w:p>
            <w:pPr>
              <w:pStyle w:val="58"/>
              <w:bidi w:val="0"/>
              <w:rPr>
                <w:rFonts w:hint="default"/>
                <w:b/>
                <w:bCs w:val="0"/>
                <w:lang w:val="en-US" w:eastAsia="zh-CN"/>
              </w:rPr>
            </w:pPr>
            <w:r>
              <w:rPr>
                <w:rFonts w:hint="eastAsia"/>
                <w:highlight w:val="none"/>
                <w:lang w:val="en-US" w:eastAsia="zh-CN"/>
              </w:rPr>
              <w:t>根据巴州永诚环境检测技术服务有限公司2025年3月24日出具的《库尔勒市第一人民医院3号综合楼项目验收（废水）检测报告》的数据可知，2#污水处理站出水口</w:t>
            </w:r>
            <w:r>
              <w:rPr>
                <w:rFonts w:hint="eastAsia"/>
                <w:lang w:val="en-US" w:eastAsia="zh-CN"/>
              </w:rPr>
              <w:t>的COD、BOD</w:t>
            </w:r>
            <w:r>
              <w:rPr>
                <w:rFonts w:hint="eastAsia"/>
                <w:vertAlign w:val="subscript"/>
                <w:lang w:val="en-US" w:eastAsia="zh-CN"/>
              </w:rPr>
              <w:t>5</w:t>
            </w:r>
            <w:r>
              <w:rPr>
                <w:rFonts w:hint="eastAsia"/>
                <w:vertAlign w:val="baseline"/>
                <w:lang w:val="en-US" w:eastAsia="zh-CN"/>
              </w:rPr>
              <w:t>、</w:t>
            </w:r>
            <w:r>
              <w:rPr>
                <w:rFonts w:hint="eastAsia"/>
                <w:lang w:val="en-US" w:eastAsia="zh-CN"/>
              </w:rPr>
              <w:t>NH</w:t>
            </w:r>
            <w:r>
              <w:rPr>
                <w:rFonts w:hint="eastAsia"/>
                <w:vertAlign w:val="subscript"/>
                <w:lang w:val="en-US" w:eastAsia="zh-CN"/>
              </w:rPr>
              <w:t>3</w:t>
            </w:r>
            <w:r>
              <w:rPr>
                <w:rFonts w:hint="eastAsia"/>
                <w:lang w:val="en-US" w:eastAsia="zh-CN"/>
              </w:rPr>
              <w:t>-N、SS平均浓度分别为59.4、21.6、36.0、50.5mg/L，均满足</w:t>
            </w:r>
            <w:r>
              <w:rPr>
                <w:rFonts w:hint="default"/>
                <w:lang w:val="en-US" w:eastAsia="zh-CN"/>
              </w:rPr>
              <w:t>《医疗机构水污染物排放标准》（GB18466－2005）表2预处理标准限值</w:t>
            </w:r>
            <w:r>
              <w:rPr>
                <w:rFonts w:hint="eastAsia"/>
                <w:lang w:val="en-US" w:eastAsia="zh-CN"/>
              </w:rPr>
              <w:t>，</w:t>
            </w:r>
            <w:r>
              <w:rPr>
                <w:rFonts w:hint="default"/>
                <w:lang w:val="en-US" w:eastAsia="zh-CN"/>
              </w:rPr>
              <w:t>通过市政污水管网排入库尔勒市</w:t>
            </w:r>
            <w:r>
              <w:rPr>
                <w:rFonts w:hint="eastAsia"/>
                <w:lang w:val="en-US" w:eastAsia="zh-CN"/>
              </w:rPr>
              <w:t>老城区</w:t>
            </w:r>
            <w:r>
              <w:rPr>
                <w:rFonts w:hint="default"/>
                <w:lang w:val="en-US" w:eastAsia="zh-CN"/>
              </w:rPr>
              <w:t>污水处理厂处理。</w:t>
            </w:r>
          </w:p>
          <w:p>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lang w:val="en-US" w:eastAsia="zh-CN"/>
              </w:rPr>
            </w:pPr>
            <w:r>
              <w:rPr>
                <w:rFonts w:hint="eastAsia"/>
                <w:b/>
                <w:bCs/>
                <w:lang w:val="en-US" w:eastAsia="zh-CN"/>
              </w:rPr>
              <w:t>3.3噪声</w:t>
            </w:r>
          </w:p>
          <w:p>
            <w:pPr>
              <w:pStyle w:val="55"/>
              <w:bidi w:val="0"/>
              <w:rPr>
                <w:rFonts w:hint="default"/>
                <w:highlight w:val="green"/>
                <w:lang w:val="en-US" w:eastAsia="zh-CN"/>
              </w:rPr>
            </w:pPr>
            <w:r>
              <w:rPr>
                <w:rFonts w:hint="eastAsia"/>
                <w:b w:val="0"/>
                <w:bCs w:val="0"/>
                <w:lang w:val="en-US" w:eastAsia="zh-CN"/>
              </w:rPr>
              <w:t>现有</w:t>
            </w:r>
            <w:r>
              <w:rPr>
                <w:rFonts w:hint="default"/>
                <w:b w:val="0"/>
                <w:bCs w:val="0"/>
                <w:lang w:val="en-US" w:eastAsia="zh-CN"/>
              </w:rPr>
              <w:t>主要噪声污染源有空调主机、人员活动、风机等，</w:t>
            </w:r>
            <w:r>
              <w:rPr>
                <w:rFonts w:hint="eastAsia"/>
                <w:b w:val="0"/>
                <w:bCs w:val="0"/>
                <w:lang w:val="en-US" w:eastAsia="zh-CN"/>
              </w:rPr>
              <w:t>通过采取</w:t>
            </w:r>
            <w:r>
              <w:rPr>
                <w:rFonts w:hint="eastAsia"/>
                <w:b w:val="0"/>
                <w:bCs w:val="0"/>
                <w:shd w:val="clear"/>
                <w:lang w:val="en-US" w:eastAsia="zh-CN"/>
              </w:rPr>
              <w:t>基础减震、</w:t>
            </w:r>
            <w:r>
              <w:rPr>
                <w:rFonts w:hint="default"/>
                <w:b w:val="0"/>
                <w:bCs w:val="0"/>
                <w:shd w:val="clear"/>
                <w:lang w:val="en-US" w:eastAsia="zh-CN"/>
              </w:rPr>
              <w:t>合理布局、建筑墙体隔声</w:t>
            </w:r>
            <w:r>
              <w:rPr>
                <w:rFonts w:hint="eastAsia"/>
                <w:b w:val="0"/>
                <w:bCs w:val="0"/>
                <w:shd w:val="clear"/>
                <w:lang w:val="en-US" w:eastAsia="zh-CN"/>
              </w:rPr>
              <w:t>、距离衰减</w:t>
            </w:r>
            <w:r>
              <w:rPr>
                <w:rFonts w:hint="default"/>
                <w:b w:val="0"/>
                <w:bCs w:val="0"/>
                <w:shd w:val="clear"/>
                <w:lang w:val="en-US" w:eastAsia="zh-CN"/>
              </w:rPr>
              <w:t>以及绿化吸收等</w:t>
            </w:r>
            <w:r>
              <w:rPr>
                <w:rFonts w:hint="eastAsia"/>
                <w:b w:val="0"/>
                <w:bCs w:val="0"/>
                <w:shd w:val="clear"/>
                <w:lang w:val="en-US" w:eastAsia="zh-CN"/>
              </w:rPr>
              <w:t>措施对噪声进行控制，对声环境造成影响不大</w:t>
            </w:r>
            <w:r>
              <w:rPr>
                <w:rFonts w:hint="eastAsia"/>
                <w:b w:val="0"/>
                <w:bCs w:val="0"/>
                <w:lang w:val="en-US" w:eastAsia="zh-CN"/>
              </w:rPr>
              <w:t>。</w:t>
            </w:r>
            <w:r>
              <w:rPr>
                <w:rFonts w:hint="eastAsia"/>
                <w:highlight w:val="none"/>
                <w:shd w:val="clear"/>
                <w:lang w:val="en-US" w:eastAsia="zh-CN"/>
              </w:rPr>
              <w:t>根据巴州永诚环境检测技术服务有限公司</w:t>
            </w:r>
            <w:r>
              <w:rPr>
                <w:rFonts w:hint="eastAsia"/>
                <w:highlight w:val="none"/>
                <w:lang w:val="en-US" w:eastAsia="zh-CN"/>
              </w:rPr>
              <w:t>2025年3月20日出具的《库尔勒市第一人民医院3号综合楼项目验收检测报告》中</w:t>
            </w:r>
            <w:r>
              <w:rPr>
                <w:rFonts w:hint="eastAsia"/>
                <w:highlight w:val="none"/>
                <w:shd w:val="clear"/>
                <w:lang w:val="en-US" w:eastAsia="zh-CN"/>
              </w:rPr>
              <w:t>医院厂界噪声检测结果，可知库尔勒市第一人民医院现有工程产生的噪声可满足《工业企业厂界环境噪声排放标准》（GB1</w:t>
            </w:r>
            <w:r>
              <w:rPr>
                <w:rFonts w:hint="eastAsia"/>
                <w:highlight w:val="none"/>
                <w:lang w:val="en-US" w:eastAsia="zh-CN"/>
              </w:rPr>
              <w:t>2348-2008）中2类及4类标准限值要求。</w:t>
            </w:r>
          </w:p>
          <w:p>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bCs/>
                <w:highlight w:val="none"/>
                <w:lang w:val="en-US" w:eastAsia="zh-CN"/>
              </w:rPr>
            </w:pPr>
            <w:r>
              <w:rPr>
                <w:rFonts w:hint="eastAsia"/>
                <w:b/>
                <w:bCs/>
                <w:highlight w:val="none"/>
                <w:lang w:val="en-US" w:eastAsia="zh-CN"/>
              </w:rPr>
              <w:t>3.4固体废物</w:t>
            </w:r>
          </w:p>
          <w:p>
            <w:pPr>
              <w:pStyle w:val="58"/>
              <w:bidi w:val="0"/>
              <w:rPr>
                <w:rFonts w:hint="eastAsia"/>
                <w:highlight w:val="none"/>
                <w:lang w:val="en-US" w:eastAsia="zh-CN"/>
              </w:rPr>
            </w:pPr>
            <w:r>
              <w:rPr>
                <w:rFonts w:hint="eastAsia"/>
                <w:highlight w:val="none"/>
                <w:lang w:val="en-US" w:eastAsia="zh-CN"/>
              </w:rPr>
              <w:t>医院现有固废主要为医疗废物、生活垃圾、栅渣、污水处理站的污泥和废过滤器滤芯。</w:t>
            </w:r>
          </w:p>
          <w:p>
            <w:pPr>
              <w:pStyle w:val="58"/>
              <w:bidi w:val="0"/>
              <w:rPr>
                <w:rFonts w:hint="default"/>
                <w:highlight w:val="none"/>
                <w:lang w:val="en-US" w:eastAsia="zh-CN"/>
              </w:rPr>
            </w:pPr>
            <w:r>
              <w:rPr>
                <w:rFonts w:hint="eastAsia"/>
                <w:highlight w:val="none"/>
                <w:lang w:val="en-US" w:eastAsia="zh-CN"/>
              </w:rPr>
              <w:t>生活垃圾集中收集后暂存于现有生活垃圾房中，定期委托环卫部门统一清运处理</w:t>
            </w:r>
            <w:r>
              <w:rPr>
                <w:rFonts w:hint="eastAsia"/>
                <w:highlight w:val="none"/>
                <w:shd w:val="clear"/>
                <w:lang w:val="en-US" w:eastAsia="zh-CN"/>
              </w:rPr>
              <w:t>；各种药盒、药箱等包装材料及使用说明材料等外售至物资回收单位进行处理；</w:t>
            </w:r>
            <w:r>
              <w:rPr>
                <w:rFonts w:hint="eastAsia"/>
                <w:highlight w:val="none"/>
                <w:lang w:val="en-US" w:eastAsia="zh-CN"/>
              </w:rPr>
              <w:t>医疗废物暂存于医疗废物贮存间内并定期由库尔勒天达环卫有限责任公司进行处置，日产日清；栅渣和污水处理站的污泥清掏前进行消毒并委托新疆狮岭能源环保集团有限公司（原名为新疆贝肯能源环保有限公司）清运处置；废滤芯交由厂家回收处理。污泥处置协议、医疗废物处置协议详见附件。</w:t>
            </w:r>
          </w:p>
          <w:p>
            <w:pPr>
              <w:pStyle w:val="5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4"/>
                <w:highlight w:val="none"/>
                <w:lang w:val="en-US" w:eastAsia="zh-CN"/>
              </w:rPr>
            </w:pPr>
            <w:r>
              <w:rPr>
                <w:rFonts w:hint="eastAsia"/>
                <w:highlight w:val="none"/>
                <w:lang w:val="en-US" w:eastAsia="zh-CN"/>
              </w:rPr>
              <w:t>医院现有</w:t>
            </w:r>
            <w:r>
              <w:rPr>
                <w:rFonts w:hint="eastAsia"/>
                <w:sz w:val="24"/>
                <w:szCs w:val="24"/>
                <w:highlight w:val="none"/>
                <w:lang w:val="en-US" w:eastAsia="zh-CN"/>
              </w:rPr>
              <w:t>工程污染物排放情况见表2-12。</w:t>
            </w:r>
          </w:p>
          <w:p>
            <w:pPr>
              <w:pStyle w:val="5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4"/>
                <w:highlight w:val="none"/>
                <w:lang w:val="en-US" w:eastAsia="zh-CN"/>
              </w:rPr>
            </w:pPr>
            <w:r>
              <w:rPr>
                <w:rFonts w:hint="eastAsia"/>
                <w:sz w:val="24"/>
                <w:szCs w:val="24"/>
                <w:lang w:val="en-US" w:eastAsia="zh-CN"/>
              </w:rPr>
              <w:t>表2</w:t>
            </w:r>
            <w:r>
              <w:rPr>
                <w:rFonts w:hint="eastAsia"/>
                <w:sz w:val="24"/>
                <w:szCs w:val="24"/>
                <w:highlight w:val="none"/>
                <w:lang w:val="en-US" w:eastAsia="zh-CN"/>
              </w:rPr>
              <w:t>-12    现有工程污染物排放情况</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467"/>
              <w:gridCol w:w="2718"/>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65" w:type="pct"/>
                  <w:gridSpan w:val="2"/>
                  <w:vAlign w:val="center"/>
                </w:tcPr>
                <w:p>
                  <w:pPr>
                    <w:pStyle w:val="65"/>
                    <w:bidi w:val="0"/>
                    <w:rPr>
                      <w:rFonts w:hint="default"/>
                      <w:lang w:val="en-US" w:eastAsia="zh-CN"/>
                    </w:rPr>
                  </w:pPr>
                  <w:r>
                    <w:rPr>
                      <w:rFonts w:hint="eastAsia"/>
                      <w:lang w:val="en-US" w:eastAsia="zh-CN"/>
                    </w:rPr>
                    <w:t>分类</w:t>
                  </w:r>
                </w:p>
              </w:tc>
              <w:tc>
                <w:tcPr>
                  <w:tcW w:w="1666" w:type="pct"/>
                  <w:vAlign w:val="center"/>
                </w:tcPr>
                <w:p>
                  <w:pPr>
                    <w:pStyle w:val="65"/>
                    <w:bidi w:val="0"/>
                    <w:rPr>
                      <w:rFonts w:hint="default"/>
                      <w:lang w:val="en-US" w:eastAsia="zh-CN"/>
                    </w:rPr>
                  </w:pPr>
                  <w:r>
                    <w:rPr>
                      <w:rFonts w:hint="eastAsia"/>
                      <w:lang w:val="en-US" w:eastAsia="zh-CN"/>
                    </w:rPr>
                    <w:t>污染物名称</w:t>
                  </w:r>
                </w:p>
              </w:tc>
              <w:tc>
                <w:tcPr>
                  <w:tcW w:w="1667" w:type="pct"/>
                  <w:vAlign w:val="center"/>
                </w:tcPr>
                <w:p>
                  <w:pPr>
                    <w:pStyle w:val="65"/>
                    <w:bidi w:val="0"/>
                    <w:rPr>
                      <w:rFonts w:hint="default"/>
                      <w:lang w:val="en-US" w:eastAsia="zh-CN"/>
                    </w:rPr>
                  </w:pPr>
                  <w:r>
                    <w:rPr>
                      <w:rFonts w:hint="eastAsia"/>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restart"/>
                  <w:vAlign w:val="center"/>
                </w:tcPr>
                <w:p>
                  <w:pPr>
                    <w:pStyle w:val="65"/>
                    <w:bidi w:val="0"/>
                    <w:rPr>
                      <w:rFonts w:hint="default"/>
                      <w:lang w:val="en-US" w:eastAsia="zh-CN"/>
                    </w:rPr>
                  </w:pPr>
                  <w:r>
                    <w:rPr>
                      <w:rFonts w:hint="eastAsia"/>
                      <w:lang w:val="en-US" w:eastAsia="zh-CN"/>
                    </w:rPr>
                    <w:t>废气</w:t>
                  </w:r>
                </w:p>
              </w:tc>
              <w:tc>
                <w:tcPr>
                  <w:tcW w:w="899" w:type="pct"/>
                  <w:vMerge w:val="restart"/>
                  <w:vAlign w:val="center"/>
                </w:tcPr>
                <w:p>
                  <w:pPr>
                    <w:pStyle w:val="65"/>
                    <w:bidi w:val="0"/>
                    <w:rPr>
                      <w:rFonts w:hint="default"/>
                      <w:lang w:val="en-US" w:eastAsia="zh-CN"/>
                    </w:rPr>
                  </w:pPr>
                  <w:r>
                    <w:rPr>
                      <w:rFonts w:hint="eastAsia"/>
                      <w:lang w:val="en-US" w:eastAsia="zh-CN"/>
                    </w:rPr>
                    <w:t>有组织废气</w:t>
                  </w:r>
                </w:p>
              </w:tc>
              <w:tc>
                <w:tcPr>
                  <w:tcW w:w="1666" w:type="pct"/>
                  <w:vAlign w:val="center"/>
                </w:tcPr>
                <w:p>
                  <w:pPr>
                    <w:pStyle w:val="65"/>
                    <w:bidi w:val="0"/>
                    <w:rPr>
                      <w:rFonts w:hint="default"/>
                      <w:lang w:val="en-US" w:eastAsia="zh-CN"/>
                    </w:rPr>
                  </w:pPr>
                  <w:r>
                    <w:rPr>
                      <w:rFonts w:hint="eastAsia"/>
                      <w:lang w:val="en-US" w:eastAsia="zh-CN"/>
                    </w:rPr>
                    <w:t>氨</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硫化氢</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颗粒物</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二氧化硫</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氮氧化物</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restart"/>
                  <w:vAlign w:val="center"/>
                </w:tcPr>
                <w:p>
                  <w:pPr>
                    <w:pStyle w:val="65"/>
                    <w:bidi w:val="0"/>
                    <w:rPr>
                      <w:rFonts w:hint="default"/>
                      <w:lang w:val="en-US" w:eastAsia="zh-CN"/>
                    </w:rPr>
                  </w:pPr>
                  <w:r>
                    <w:rPr>
                      <w:rFonts w:hint="eastAsia"/>
                      <w:lang w:val="en-US" w:eastAsia="zh-CN"/>
                    </w:rPr>
                    <w:t>废水</w:t>
                  </w:r>
                </w:p>
              </w:tc>
              <w:tc>
                <w:tcPr>
                  <w:tcW w:w="899" w:type="pct"/>
                  <w:vMerge w:val="restart"/>
                  <w:vAlign w:val="center"/>
                </w:tcPr>
                <w:p>
                  <w:pPr>
                    <w:pStyle w:val="65"/>
                    <w:bidi w:val="0"/>
                    <w:rPr>
                      <w:rFonts w:hint="default"/>
                      <w:lang w:val="en-US" w:eastAsia="zh-CN"/>
                    </w:rPr>
                  </w:pPr>
                  <w:r>
                    <w:rPr>
                      <w:rFonts w:hint="eastAsia"/>
                      <w:lang w:val="en-US" w:eastAsia="zh-CN"/>
                    </w:rPr>
                    <w:t>综合废水</w:t>
                  </w:r>
                </w:p>
              </w:tc>
              <w:tc>
                <w:tcPr>
                  <w:tcW w:w="1666" w:type="pct"/>
                  <w:vAlign w:val="center"/>
                </w:tcPr>
                <w:p>
                  <w:pPr>
                    <w:pStyle w:val="65"/>
                    <w:bidi w:val="0"/>
                    <w:rPr>
                      <w:rFonts w:hint="default"/>
                      <w:lang w:val="en-US" w:eastAsia="zh-CN"/>
                    </w:rPr>
                  </w:pPr>
                  <w:r>
                    <w:rPr>
                      <w:rFonts w:hint="default"/>
                    </w:rPr>
                    <w:t>COD</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default"/>
                      <w:lang w:val="en-US" w:eastAsia="zh-CN"/>
                    </w:rPr>
                  </w:pPr>
                </w:p>
              </w:tc>
              <w:tc>
                <w:tcPr>
                  <w:tcW w:w="899" w:type="pct"/>
                  <w:vMerge w:val="continue"/>
                  <w:vAlign w:val="center"/>
                </w:tcPr>
                <w:p>
                  <w:pPr>
                    <w:pStyle w:val="65"/>
                    <w:bidi w:val="0"/>
                    <w:rPr>
                      <w:rFonts w:hint="default"/>
                      <w:lang w:val="en-US" w:eastAsia="zh-CN"/>
                    </w:rPr>
                  </w:pPr>
                </w:p>
              </w:tc>
              <w:tc>
                <w:tcPr>
                  <w:tcW w:w="1666" w:type="pct"/>
                  <w:vAlign w:val="center"/>
                </w:tcPr>
                <w:p>
                  <w:pPr>
                    <w:pStyle w:val="65"/>
                    <w:bidi w:val="0"/>
                    <w:rPr>
                      <w:rFonts w:hint="default"/>
                      <w:lang w:val="en-US" w:eastAsia="zh-CN"/>
                    </w:rPr>
                  </w:pPr>
                  <w:r>
                    <w:rPr>
                      <w:rFonts w:hint="default"/>
                    </w:rPr>
                    <w:t>BOD</w:t>
                  </w:r>
                  <w:r>
                    <w:rPr>
                      <w:rFonts w:hint="default"/>
                      <w:vertAlign w:val="subscript"/>
                    </w:rPr>
                    <w:t>5</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default"/>
                      <w:lang w:val="en-US" w:eastAsia="zh-CN"/>
                    </w:rPr>
                  </w:pPr>
                </w:p>
              </w:tc>
              <w:tc>
                <w:tcPr>
                  <w:tcW w:w="899" w:type="pct"/>
                  <w:vMerge w:val="continue"/>
                  <w:vAlign w:val="center"/>
                </w:tcPr>
                <w:p>
                  <w:pPr>
                    <w:pStyle w:val="65"/>
                    <w:bidi w:val="0"/>
                    <w:rPr>
                      <w:rFonts w:hint="default"/>
                      <w:lang w:val="en-US" w:eastAsia="zh-CN"/>
                    </w:rPr>
                  </w:pPr>
                </w:p>
              </w:tc>
              <w:tc>
                <w:tcPr>
                  <w:tcW w:w="1666" w:type="pct"/>
                  <w:vAlign w:val="center"/>
                </w:tcPr>
                <w:p>
                  <w:pPr>
                    <w:pStyle w:val="65"/>
                    <w:bidi w:val="0"/>
                    <w:rPr>
                      <w:rFonts w:hint="default"/>
                      <w:lang w:val="en-US" w:eastAsia="zh-CN"/>
                    </w:rPr>
                  </w:pPr>
                  <w:r>
                    <w:rPr>
                      <w:rFonts w:hint="default"/>
                    </w:rPr>
                    <w:t>SS</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6" w:type="pct"/>
                  <w:vMerge w:val="continue"/>
                  <w:vAlign w:val="center"/>
                </w:tcPr>
                <w:p>
                  <w:pPr>
                    <w:pStyle w:val="65"/>
                    <w:bidi w:val="0"/>
                    <w:rPr>
                      <w:rFonts w:hint="default"/>
                      <w:lang w:val="en-US" w:eastAsia="zh-CN"/>
                    </w:rPr>
                  </w:pPr>
                </w:p>
              </w:tc>
              <w:tc>
                <w:tcPr>
                  <w:tcW w:w="899" w:type="pct"/>
                  <w:vMerge w:val="continue"/>
                  <w:vAlign w:val="center"/>
                </w:tcPr>
                <w:p>
                  <w:pPr>
                    <w:pStyle w:val="65"/>
                    <w:bidi w:val="0"/>
                    <w:rPr>
                      <w:rFonts w:hint="default"/>
                      <w:lang w:val="en-US" w:eastAsia="zh-CN"/>
                    </w:rPr>
                  </w:pPr>
                </w:p>
              </w:tc>
              <w:tc>
                <w:tcPr>
                  <w:tcW w:w="1666" w:type="pct"/>
                  <w:vAlign w:val="center"/>
                </w:tcPr>
                <w:p>
                  <w:pPr>
                    <w:pStyle w:val="65"/>
                    <w:bidi w:val="0"/>
                    <w:rPr>
                      <w:rFonts w:hint="default"/>
                      <w:lang w:val="en-US" w:eastAsia="zh-CN"/>
                    </w:rPr>
                  </w:pPr>
                  <w:r>
                    <w:rPr>
                      <w:rFonts w:hint="default"/>
                    </w:rPr>
                    <w:t>氨氮</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pct"/>
                  <w:vMerge w:val="restart"/>
                  <w:vAlign w:val="center"/>
                </w:tcPr>
                <w:p>
                  <w:pPr>
                    <w:pStyle w:val="65"/>
                    <w:bidi w:val="0"/>
                    <w:rPr>
                      <w:rFonts w:hint="default"/>
                      <w:lang w:val="en-US" w:eastAsia="zh-CN"/>
                    </w:rPr>
                  </w:pPr>
                  <w:r>
                    <w:rPr>
                      <w:rFonts w:hint="eastAsia"/>
                      <w:lang w:val="en-US" w:eastAsia="zh-CN"/>
                    </w:rPr>
                    <w:t>固体废物</w:t>
                  </w:r>
                </w:p>
              </w:tc>
              <w:tc>
                <w:tcPr>
                  <w:tcW w:w="899" w:type="pct"/>
                  <w:vMerge w:val="restart"/>
                  <w:vAlign w:val="center"/>
                </w:tcPr>
                <w:p>
                  <w:pPr>
                    <w:pStyle w:val="65"/>
                    <w:bidi w:val="0"/>
                    <w:rPr>
                      <w:rFonts w:hint="default"/>
                      <w:lang w:val="en-US" w:eastAsia="zh-CN"/>
                    </w:rPr>
                  </w:pPr>
                  <w:r>
                    <w:rPr>
                      <w:rFonts w:hint="eastAsia"/>
                      <w:lang w:val="en-US" w:eastAsia="zh-CN"/>
                    </w:rPr>
                    <w:t>一般固废</w:t>
                  </w:r>
                </w:p>
              </w:tc>
              <w:tc>
                <w:tcPr>
                  <w:tcW w:w="1666" w:type="pct"/>
                  <w:vAlign w:val="center"/>
                </w:tcPr>
                <w:p>
                  <w:pPr>
                    <w:pStyle w:val="65"/>
                    <w:bidi w:val="0"/>
                    <w:rPr>
                      <w:rFonts w:hint="default"/>
                      <w:lang w:val="en-US" w:eastAsia="zh-CN"/>
                    </w:rPr>
                  </w:pPr>
                  <w:r>
                    <w:rPr>
                      <w:rFonts w:hint="eastAsia"/>
                      <w:lang w:val="en-US" w:eastAsia="zh-CN"/>
                    </w:rPr>
                    <w:t>生活垃圾</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shd w:val="clear" w:color="auto" w:fill="auto"/>
                  <w:vAlign w:val="center"/>
                </w:tcPr>
                <w:p>
                  <w:pPr>
                    <w:pStyle w:val="65"/>
                    <w:bidi w:val="0"/>
                    <w:rPr>
                      <w:rFonts w:hint="eastAsia"/>
                      <w:lang w:val="en-US" w:eastAsia="zh-CN"/>
                    </w:rPr>
                  </w:pPr>
                  <w:r>
                    <w:rPr>
                      <w:rFonts w:hint="eastAsia"/>
                      <w:lang w:val="en-US" w:eastAsia="zh-CN"/>
                    </w:rPr>
                    <w:t>各种药盒、药箱等包装材料及使用说明材料</w:t>
                  </w:r>
                </w:p>
              </w:tc>
              <w:tc>
                <w:tcPr>
                  <w:tcW w:w="2720" w:type="dxa"/>
                  <w:shd w:val="clear" w:color="auto" w:fill="auto"/>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vAlign w:val="center"/>
                </w:tcPr>
                <w:p>
                  <w:pPr>
                    <w:pStyle w:val="65"/>
                    <w:bidi w:val="0"/>
                    <w:rPr>
                      <w:rFonts w:hint="eastAsia"/>
                      <w:lang w:val="en-US" w:eastAsia="zh-CN"/>
                    </w:rPr>
                  </w:pPr>
                </w:p>
              </w:tc>
              <w:tc>
                <w:tcPr>
                  <w:tcW w:w="899" w:type="pct"/>
                  <w:vMerge w:val="restart"/>
                  <w:vAlign w:val="center"/>
                </w:tcPr>
                <w:p>
                  <w:pPr>
                    <w:pStyle w:val="65"/>
                    <w:bidi w:val="0"/>
                    <w:rPr>
                      <w:rFonts w:hint="default"/>
                      <w:lang w:val="en-US" w:eastAsia="zh-CN"/>
                    </w:rPr>
                  </w:pPr>
                  <w:r>
                    <w:rPr>
                      <w:rFonts w:hint="eastAsia"/>
                      <w:lang w:val="en-US" w:eastAsia="zh-CN"/>
                    </w:rPr>
                    <w:t>危险废物</w:t>
                  </w:r>
                </w:p>
              </w:tc>
              <w:tc>
                <w:tcPr>
                  <w:tcW w:w="1666" w:type="pct"/>
                  <w:vAlign w:val="center"/>
                </w:tcPr>
                <w:p>
                  <w:pPr>
                    <w:pStyle w:val="65"/>
                    <w:bidi w:val="0"/>
                    <w:rPr>
                      <w:rFonts w:hint="default"/>
                      <w:lang w:val="en-US" w:eastAsia="zh-CN"/>
                    </w:rPr>
                  </w:pPr>
                  <w:r>
                    <w:rPr>
                      <w:rFonts w:hint="eastAsia"/>
                      <w:lang w:val="en-US" w:eastAsia="zh-CN"/>
                    </w:rPr>
                    <w:t>医疗废物</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污泥</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eastAsia"/>
                      <w:lang w:val="en-US" w:eastAsia="zh-CN"/>
                    </w:rPr>
                  </w:pPr>
                  <w:r>
                    <w:rPr>
                      <w:rFonts w:hint="eastAsia" w:ascii="Times New Roman" w:hAnsi="Times New Roman" w:cs="Times New Roman"/>
                      <w:snapToGrid w:val="0"/>
                      <w:color w:val="000000"/>
                      <w:kern w:val="21"/>
                      <w:szCs w:val="21"/>
                      <w:lang w:val="en-US" w:eastAsia="zh-CN"/>
                    </w:rPr>
                    <w:t>栅渣</w:t>
                  </w:r>
                </w:p>
              </w:tc>
              <w:tc>
                <w:tcPr>
                  <w:tcW w:w="2720" w:type="dxa"/>
                  <w:vAlign w:val="center"/>
                </w:tcPr>
                <w:p>
                  <w:pPr>
                    <w:keepNext w:val="0"/>
                    <w:keepLines w:val="0"/>
                    <w:widowControl/>
                    <w:suppressLineNumbers w:val="0"/>
                    <w:jc w:val="center"/>
                    <w:textAlignment w:val="center"/>
                    <w:rPr>
                      <w:rFonts w:hint="eastAsia"/>
                      <w:lang w:val="en-US" w:eastAsia="zh-CN"/>
                    </w:rPr>
                  </w:pPr>
                  <w:r>
                    <w:rPr>
                      <w:rFonts w:hint="default" w:ascii="Times New Roman" w:hAnsi="Times New Roman" w:eastAsia="宋体" w:cs="Times New Roman"/>
                      <w:i w:val="0"/>
                      <w:iCs w:val="0"/>
                      <w:color w:val="000000"/>
                      <w:kern w:val="0"/>
                      <w:sz w:val="21"/>
                      <w:szCs w:val="21"/>
                      <w:u w:val="none"/>
                      <w:lang w:val="en-US" w:eastAsia="zh-CN" w:bidi="ar"/>
                    </w:rPr>
                    <w:t>390.18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pct"/>
                  <w:vMerge w:val="continue"/>
                  <w:vAlign w:val="center"/>
                </w:tcPr>
                <w:p>
                  <w:pPr>
                    <w:pStyle w:val="65"/>
                    <w:bidi w:val="0"/>
                    <w:rPr>
                      <w:rFonts w:hint="eastAsia"/>
                      <w:lang w:val="en-US" w:eastAsia="zh-CN"/>
                    </w:rPr>
                  </w:pPr>
                </w:p>
              </w:tc>
              <w:tc>
                <w:tcPr>
                  <w:tcW w:w="899" w:type="pct"/>
                  <w:vMerge w:val="continue"/>
                  <w:vAlign w:val="center"/>
                </w:tcPr>
                <w:p>
                  <w:pPr>
                    <w:pStyle w:val="65"/>
                    <w:bidi w:val="0"/>
                    <w:rPr>
                      <w:rFonts w:hint="eastAsia"/>
                      <w:lang w:val="en-US" w:eastAsia="zh-CN"/>
                    </w:rPr>
                  </w:pPr>
                </w:p>
              </w:tc>
              <w:tc>
                <w:tcPr>
                  <w:tcW w:w="1666" w:type="pct"/>
                  <w:vAlign w:val="center"/>
                </w:tcPr>
                <w:p>
                  <w:pPr>
                    <w:pStyle w:val="65"/>
                    <w:bidi w:val="0"/>
                    <w:rPr>
                      <w:rFonts w:hint="default"/>
                      <w:lang w:val="en-US" w:eastAsia="zh-CN"/>
                    </w:rPr>
                  </w:pPr>
                  <w:r>
                    <w:rPr>
                      <w:rFonts w:hint="eastAsia"/>
                      <w:lang w:val="en-US" w:eastAsia="zh-CN"/>
                    </w:rPr>
                    <w:t>废滤芯</w:t>
                  </w:r>
                </w:p>
              </w:tc>
              <w:tc>
                <w:tcPr>
                  <w:tcW w:w="2720" w:type="dxa"/>
                  <w:vAlign w:val="center"/>
                </w:tcPr>
                <w:p>
                  <w:pPr>
                    <w:keepNext w:val="0"/>
                    <w:keepLines w:val="0"/>
                    <w:widowControl/>
                    <w:suppressLineNumbers w:val="0"/>
                    <w:jc w:val="center"/>
                    <w:textAlignment w:val="center"/>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0.08</w:t>
                  </w:r>
                </w:p>
              </w:tc>
            </w:tr>
          </w:tbl>
          <w:p>
            <w:pPr>
              <w:pStyle w:val="47"/>
              <w:bidi w:val="0"/>
              <w:rPr>
                <w:rFonts w:hint="eastAsia"/>
                <w:lang w:val="en-US" w:eastAsia="zh-CN"/>
              </w:rPr>
            </w:pPr>
            <w:r>
              <w:rPr>
                <w:rFonts w:hint="eastAsia"/>
                <w:lang w:val="en-US" w:eastAsia="zh-CN"/>
              </w:rPr>
              <w:t>4现有工程主要环境问题及整改措施</w:t>
            </w:r>
          </w:p>
          <w:p>
            <w:pPr>
              <w:pStyle w:val="48"/>
              <w:keepNext w:val="0"/>
              <w:keepLines w:val="0"/>
              <w:pageBreakBefore w:val="0"/>
              <w:widowControl w:val="0"/>
              <w:kinsoku/>
              <w:wordWrap w:val="0"/>
              <w:overflowPunct/>
              <w:topLinePunct w:val="0"/>
              <w:autoSpaceDE/>
              <w:autoSpaceDN/>
              <w:bidi w:val="0"/>
              <w:adjustRightInd w:val="0"/>
              <w:snapToGrid w:val="0"/>
              <w:ind w:left="0" w:leftChars="0" w:firstLine="480" w:firstLineChars="200"/>
              <w:textAlignment w:val="auto"/>
              <w:rPr>
                <w:rFonts w:hint="default"/>
                <w:lang w:val="en-US" w:eastAsia="zh-CN"/>
              </w:rPr>
            </w:pPr>
            <w:r>
              <w:rPr>
                <w:rFonts w:hint="eastAsia"/>
                <w:lang w:val="en-US" w:eastAsia="zh-CN"/>
              </w:rPr>
              <w:t>目前库尔勒市第一人民医院内现有工程均已完成竣工环境保护验收工作，院内污染物均达标排放，无现有环境问题。</w:t>
            </w:r>
          </w:p>
        </w:tc>
      </w:tr>
    </w:tbl>
    <w:p>
      <w:pPr>
        <w:pStyle w:val="21"/>
        <w:jc w:val="both"/>
        <w:rPr>
          <w:rFonts w:ascii="黑体" w:hAnsi="黑体" w:eastAsia="黑体"/>
          <w:snapToGrid w:val="0"/>
          <w:sz w:val="36"/>
          <w:szCs w:val="36"/>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pPr>
        <w:pStyle w:val="21"/>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区域</w:t>
            </w:r>
          </w:p>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190" w:type="dxa"/>
            <w:noWrap w:val="0"/>
            <w:vAlign w:val="center"/>
          </w:tcPr>
          <w:p>
            <w:pPr>
              <w:pStyle w:val="47"/>
              <w:bidi w:val="0"/>
              <w:rPr>
                <w:rFonts w:hint="default"/>
                <w:lang w:val="en-US" w:eastAsia="zh-CN"/>
              </w:rPr>
            </w:pPr>
            <w:r>
              <w:rPr>
                <w:rFonts w:hint="eastAsia"/>
                <w:lang w:val="en-US" w:eastAsia="zh-CN"/>
              </w:rPr>
              <w:t>1环境空气现状调查与评价</w:t>
            </w:r>
          </w:p>
          <w:p>
            <w:pPr>
              <w:pStyle w:val="47"/>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lang w:val="en-US" w:eastAsia="zh-CN"/>
              </w:rPr>
            </w:pPr>
            <w:r>
              <w:rPr>
                <w:rFonts w:hint="eastAsia"/>
                <w:lang w:val="en-US" w:eastAsia="zh-CN"/>
              </w:rPr>
              <w:t>1.1基本污染物空气环境质量现状</w:t>
            </w:r>
          </w:p>
          <w:p>
            <w:pPr>
              <w:widowControl w:val="0"/>
              <w:bidi w:val="0"/>
              <w:spacing w:line="52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本工程建设地点位于</w:t>
            </w:r>
            <w:r>
              <w:rPr>
                <w:rFonts w:hint="eastAsia" w:ascii="宋体" w:hAnsi="宋体" w:eastAsia="宋体" w:cs="宋体"/>
                <w:color w:val="000000"/>
                <w:kern w:val="2"/>
                <w:sz w:val="24"/>
                <w:szCs w:val="24"/>
                <w:highlight w:val="none"/>
                <w:lang w:val="en-US" w:eastAsia="zh-CN" w:bidi="ar-SA"/>
              </w:rPr>
              <w:t>新疆维吾尔自治区巴音郭楞蒙古自治州库尔勒市团结北路</w:t>
            </w:r>
            <w:r>
              <w:rPr>
                <w:rStyle w:val="57"/>
                <w:rFonts w:hint="eastAsia"/>
                <w:lang w:val="en-US" w:eastAsia="zh-CN"/>
              </w:rPr>
              <w:t>108</w:t>
            </w:r>
            <w:r>
              <w:rPr>
                <w:rFonts w:hint="eastAsia" w:ascii="宋体" w:hAnsi="宋体" w:eastAsia="宋体" w:cs="宋体"/>
                <w:color w:val="000000"/>
                <w:kern w:val="2"/>
                <w:sz w:val="24"/>
                <w:szCs w:val="24"/>
                <w:highlight w:val="none"/>
                <w:lang w:val="en-US" w:eastAsia="zh-CN" w:bidi="ar-SA"/>
              </w:rPr>
              <w:t>号</w:t>
            </w:r>
            <w:r>
              <w:rPr>
                <w:rFonts w:hint="eastAsia" w:ascii="宋体" w:hAnsi="宋体" w:cs="宋体"/>
                <w:color w:val="000000"/>
                <w:kern w:val="2"/>
                <w:sz w:val="24"/>
                <w:szCs w:val="24"/>
                <w:highlight w:val="none"/>
                <w:lang w:val="en-US" w:eastAsia="zh-CN" w:bidi="ar-SA"/>
              </w:rPr>
              <w:t>院内</w:t>
            </w:r>
            <w:r>
              <w:rPr>
                <w:rFonts w:hint="eastAsia" w:ascii="Times New Roman" w:hAnsi="Times New Roman" w:eastAsia="宋体" w:cs="Times New Roman"/>
                <w:kern w:val="2"/>
                <w:sz w:val="24"/>
                <w:szCs w:val="24"/>
                <w:highlight w:val="none"/>
                <w:lang w:val="en-US" w:eastAsia="zh-CN" w:bidi="ar-SA"/>
              </w:rPr>
              <w:t>，本次评价现状监测资料引用巴音郭楞蒙古自治州库尔勒市孔雀公园站点202</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年的自动监测数据。作为环境空气现状评价基本污染物SO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的数据来源。</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（1）监测项目、监测时间</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监测项目：基本污染物SO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监测时间：基本污染物SO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的监测时间为202</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年全年监测数据。</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（2）评价标准</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根据环境空气质量功能区划分规定，本次评价基本污染物SO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执行《环境空气质量标准》（GB3095-2012）及其修改单中二级标准。</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（3）评价方法</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按照《环境空气质量评价技术规范</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试行</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HJ663-2013</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中各评价项目的年评价指标进行判定。年评价指标中的年均浓度和相应百分位数24h平均或8h平均质量浓度满足《环境空气质量标准》（GB3095-2012）及其修改单中二级浓度限值要求的即为达标。对于超标的污染物，计算其超标倍数和超标率。区域空气质量现状评价见下表3-1。</w:t>
            </w:r>
          </w:p>
          <w:p>
            <w:pPr>
              <w:pStyle w:val="59"/>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eastAsia"/>
                <w:sz w:val="24"/>
                <w:szCs w:val="24"/>
                <w:lang w:val="en-US" w:eastAsia="zh-CN"/>
              </w:rPr>
              <w:t>表3-1    区域空气质量现状评价</w:t>
            </w:r>
          </w:p>
          <w:tbl>
            <w:tblPr>
              <w:tblStyle w:val="26"/>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344"/>
              <w:gridCol w:w="1144"/>
              <w:gridCol w:w="1353"/>
              <w:gridCol w:w="114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noWrap w:val="0"/>
                  <w:vAlign w:val="center"/>
                </w:tcPr>
                <w:p>
                  <w:pPr>
                    <w:pStyle w:val="60"/>
                    <w:bidi w:val="0"/>
                  </w:pPr>
                  <w:r>
                    <w:rPr>
                      <w:rFonts w:hint="eastAsia"/>
                    </w:rPr>
                    <w:t>污染物</w:t>
                  </w:r>
                </w:p>
              </w:tc>
              <w:tc>
                <w:tcPr>
                  <w:tcW w:w="1471" w:type="pct"/>
                  <w:tcBorders>
                    <w:tl2br w:val="nil"/>
                    <w:tr2bl w:val="nil"/>
                  </w:tcBorders>
                  <w:noWrap w:val="0"/>
                  <w:vAlign w:val="center"/>
                </w:tcPr>
                <w:p>
                  <w:pPr>
                    <w:pStyle w:val="60"/>
                    <w:bidi w:val="0"/>
                  </w:pPr>
                  <w:r>
                    <w:rPr>
                      <w:rFonts w:hint="eastAsia"/>
                    </w:rPr>
                    <w:t>评价项目</w:t>
                  </w:r>
                </w:p>
              </w:tc>
              <w:tc>
                <w:tcPr>
                  <w:tcW w:w="718" w:type="pct"/>
                  <w:tcBorders>
                    <w:tl2br w:val="nil"/>
                    <w:tr2bl w:val="nil"/>
                  </w:tcBorders>
                  <w:noWrap w:val="0"/>
                  <w:vAlign w:val="center"/>
                </w:tcPr>
                <w:p>
                  <w:pPr>
                    <w:pStyle w:val="60"/>
                    <w:bidi w:val="0"/>
                  </w:pPr>
                  <w:r>
                    <w:t>浓度（</w:t>
                  </w:r>
                  <w:r>
                    <w:rPr>
                      <w:rFonts w:hint="default" w:ascii="Times New Roman" w:hAnsi="Times New Roman" w:cs="Times New Roman"/>
                    </w:rPr>
                    <w:t>μ</w:t>
                  </w:r>
                  <w:r>
                    <w:rPr>
                      <w:rFonts w:hint="default" w:ascii="Times New Roman" w:hAnsi="Times New Roman" w:cs="Times New Roman"/>
                      <w:lang w:val="en-US" w:eastAsia="zh-CN"/>
                    </w:rPr>
                    <w:t>g</w:t>
                  </w:r>
                  <w:r>
                    <w:rPr>
                      <w:rFonts w:hint="default" w:ascii="Times New Roman" w:hAnsi="Times New Roman" w:cs="Times New Roman"/>
                    </w:rPr>
                    <w:t>/m</w:t>
                  </w:r>
                  <w:r>
                    <w:rPr>
                      <w:rFonts w:hint="default" w:ascii="Times New Roman" w:hAnsi="Times New Roman" w:cs="Times New Roman"/>
                      <w:vertAlign w:val="superscript"/>
                    </w:rPr>
                    <w:t>3</w:t>
                  </w:r>
                  <w:r>
                    <w:t>）</w:t>
                  </w:r>
                </w:p>
              </w:tc>
              <w:tc>
                <w:tcPr>
                  <w:tcW w:w="849" w:type="pct"/>
                  <w:tcBorders>
                    <w:tl2br w:val="nil"/>
                    <w:tr2bl w:val="nil"/>
                  </w:tcBorders>
                  <w:noWrap w:val="0"/>
                  <w:vAlign w:val="center"/>
                </w:tcPr>
                <w:p>
                  <w:pPr>
                    <w:pStyle w:val="60"/>
                    <w:bidi w:val="0"/>
                  </w:pPr>
                  <w:r>
                    <w:rPr>
                      <w:rFonts w:hint="eastAsia"/>
                    </w:rPr>
                    <w:t>标准（二级）</w:t>
                  </w:r>
                  <w:r>
                    <w:t>（</w:t>
                  </w:r>
                  <w:r>
                    <w:rPr>
                      <w:rFonts w:hint="default" w:ascii="Times New Roman" w:hAnsi="Times New Roman" w:cs="Times New Roman"/>
                    </w:rPr>
                    <w:t>μ</w:t>
                  </w:r>
                  <w:r>
                    <w:rPr>
                      <w:rFonts w:hint="default" w:ascii="Times New Roman" w:hAnsi="Times New Roman" w:cs="Times New Roman"/>
                      <w:lang w:val="en-US" w:eastAsia="zh-CN"/>
                    </w:rPr>
                    <w:t>g</w:t>
                  </w:r>
                  <w:r>
                    <w:rPr>
                      <w:rFonts w:hint="default" w:ascii="Times New Roman" w:hAnsi="Times New Roman" w:cs="Times New Roman"/>
                    </w:rPr>
                    <w:t>/m</w:t>
                  </w:r>
                  <w:r>
                    <w:rPr>
                      <w:rFonts w:hint="default" w:ascii="Times New Roman" w:hAnsi="Times New Roman" w:cs="Times New Roman"/>
                      <w:vertAlign w:val="superscript"/>
                    </w:rPr>
                    <w:t>3</w:t>
                  </w:r>
                  <w:r>
                    <w:t>）</w:t>
                  </w:r>
                </w:p>
              </w:tc>
              <w:tc>
                <w:tcPr>
                  <w:tcW w:w="718" w:type="pct"/>
                  <w:tcBorders>
                    <w:tl2br w:val="nil"/>
                    <w:tr2bl w:val="nil"/>
                  </w:tcBorders>
                  <w:noWrap w:val="0"/>
                  <w:vAlign w:val="center"/>
                </w:tcPr>
                <w:p>
                  <w:pPr>
                    <w:pStyle w:val="60"/>
                    <w:bidi w:val="0"/>
                    <w:rPr>
                      <w:rFonts w:hint="default"/>
                      <w:lang w:val="en-US" w:eastAsia="zh-CN"/>
                    </w:rPr>
                  </w:pPr>
                  <w:r>
                    <w:rPr>
                      <w:rFonts w:hint="eastAsia"/>
                      <w:lang w:eastAsia="zh-CN"/>
                    </w:rPr>
                    <w:t>占标率</w:t>
                  </w:r>
                  <w:r>
                    <w:rPr>
                      <w:rFonts w:hint="eastAsia"/>
                      <w:lang w:val="en-US" w:eastAsia="zh-CN"/>
                    </w:rPr>
                    <w:t>%</w:t>
                  </w:r>
                </w:p>
              </w:tc>
              <w:tc>
                <w:tcPr>
                  <w:tcW w:w="701" w:type="pct"/>
                  <w:tcBorders>
                    <w:tl2br w:val="nil"/>
                    <w:tr2bl w:val="nil"/>
                  </w:tcBorders>
                  <w:noWrap w:val="0"/>
                  <w:vAlign w:val="center"/>
                </w:tcPr>
                <w:p>
                  <w:pPr>
                    <w:pStyle w:val="60"/>
                    <w:bidi w:val="0"/>
                    <w:rPr>
                      <w:rFonts w:hint="eastAsia"/>
                      <w:lang w:eastAsia="zh-CN"/>
                    </w:rPr>
                  </w:pPr>
                  <w:r>
                    <w:rPr>
                      <w:rFonts w:hint="eastAsia"/>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noWrap w:val="0"/>
                  <w:vAlign w:val="center"/>
                </w:tcPr>
                <w:p>
                  <w:pPr>
                    <w:pStyle w:val="60"/>
                    <w:bidi w:val="0"/>
                  </w:pPr>
                  <w:r>
                    <w:rPr>
                      <w:rFonts w:hint="eastAsia"/>
                    </w:rPr>
                    <w:t>SO</w:t>
                  </w:r>
                  <w:r>
                    <w:rPr>
                      <w:rFonts w:hint="eastAsia"/>
                      <w:vertAlign w:val="subscript"/>
                    </w:rPr>
                    <w:t>2</w:t>
                  </w: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年平均</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5</w:t>
                  </w:r>
                </w:p>
              </w:tc>
              <w:tc>
                <w:tcPr>
                  <w:tcW w:w="849" w:type="pct"/>
                  <w:tcBorders>
                    <w:tl2br w:val="nil"/>
                    <w:tr2bl w:val="nil"/>
                  </w:tcBorders>
                  <w:noWrap w:val="0"/>
                  <w:vAlign w:val="center"/>
                </w:tcPr>
                <w:p>
                  <w:pPr>
                    <w:pStyle w:val="60"/>
                    <w:bidi w:val="0"/>
                  </w:pPr>
                  <w:r>
                    <w:rPr>
                      <w:rFonts w:hint="eastAsia"/>
                    </w:rPr>
                    <w:t>60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8.33</w:t>
                  </w:r>
                </w:p>
              </w:tc>
              <w:tc>
                <w:tcPr>
                  <w:tcW w:w="701" w:type="pct"/>
                  <w:tcBorders>
                    <w:tl2br w:val="nil"/>
                    <w:tr2bl w:val="nil"/>
                  </w:tcBorders>
                  <w:noWrap w:val="0"/>
                  <w:vAlign w:val="center"/>
                </w:tcPr>
                <w:p>
                  <w:pPr>
                    <w:pStyle w:val="60"/>
                    <w:bidi w:val="0"/>
                    <w:rPr>
                      <w:rFonts w:hint="eastAsia"/>
                      <w:lang w:eastAsia="zh-CN"/>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60"/>
                    <w:bidi w:val="0"/>
                  </w:pP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24h平均第98百分位数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9</w:t>
                  </w:r>
                </w:p>
              </w:tc>
              <w:tc>
                <w:tcPr>
                  <w:tcW w:w="849" w:type="pct"/>
                  <w:tcBorders>
                    <w:tl2br w:val="nil"/>
                    <w:tr2bl w:val="nil"/>
                  </w:tcBorders>
                  <w:noWrap w:val="0"/>
                  <w:vAlign w:val="center"/>
                </w:tcPr>
                <w:p>
                  <w:pPr>
                    <w:pStyle w:val="60"/>
                    <w:bidi w:val="0"/>
                  </w:pPr>
                  <w:r>
                    <w:rPr>
                      <w:rFonts w:hint="eastAsia"/>
                    </w:rPr>
                    <w:t>150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6</w:t>
                  </w:r>
                </w:p>
              </w:tc>
              <w:tc>
                <w:tcPr>
                  <w:tcW w:w="701" w:type="pct"/>
                  <w:tcBorders>
                    <w:tl2br w:val="nil"/>
                    <w:tr2bl w:val="nil"/>
                  </w:tcBorders>
                  <w:noWrap w:val="0"/>
                  <w:vAlign w:val="center"/>
                </w:tcPr>
                <w:p>
                  <w:pPr>
                    <w:pStyle w:val="6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noWrap w:val="0"/>
                  <w:vAlign w:val="center"/>
                </w:tcPr>
                <w:p>
                  <w:pPr>
                    <w:pStyle w:val="60"/>
                    <w:bidi w:val="0"/>
                  </w:pPr>
                  <w:r>
                    <w:rPr>
                      <w:rFonts w:hint="eastAsia"/>
                    </w:rPr>
                    <w:t>NO</w:t>
                  </w:r>
                  <w:r>
                    <w:rPr>
                      <w:rFonts w:hint="eastAsia"/>
                      <w:vertAlign w:val="subscript"/>
                    </w:rPr>
                    <w:t>2</w:t>
                  </w: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年平均</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27</w:t>
                  </w:r>
                </w:p>
              </w:tc>
              <w:tc>
                <w:tcPr>
                  <w:tcW w:w="849" w:type="pct"/>
                  <w:tcBorders>
                    <w:tl2br w:val="nil"/>
                    <w:tr2bl w:val="nil"/>
                  </w:tcBorders>
                  <w:noWrap w:val="0"/>
                  <w:vAlign w:val="center"/>
                </w:tcPr>
                <w:p>
                  <w:pPr>
                    <w:pStyle w:val="60"/>
                    <w:bidi w:val="0"/>
                  </w:pPr>
                  <w:r>
                    <w:rPr>
                      <w:rFonts w:hint="eastAsia"/>
                    </w:rPr>
                    <w:t>40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67.5</w:t>
                  </w:r>
                </w:p>
              </w:tc>
              <w:tc>
                <w:tcPr>
                  <w:tcW w:w="701" w:type="pct"/>
                  <w:tcBorders>
                    <w:tl2br w:val="nil"/>
                    <w:tr2bl w:val="nil"/>
                  </w:tcBorders>
                  <w:noWrap w:val="0"/>
                  <w:vAlign w:val="center"/>
                </w:tcPr>
                <w:p>
                  <w:pPr>
                    <w:pStyle w:val="6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60"/>
                    <w:bidi w:val="0"/>
                  </w:pP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24h平均第98百分位数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59</w:t>
                  </w:r>
                </w:p>
              </w:tc>
              <w:tc>
                <w:tcPr>
                  <w:tcW w:w="849" w:type="pct"/>
                  <w:tcBorders>
                    <w:tl2br w:val="nil"/>
                    <w:tr2bl w:val="nil"/>
                  </w:tcBorders>
                  <w:noWrap w:val="0"/>
                  <w:vAlign w:val="center"/>
                </w:tcPr>
                <w:p>
                  <w:pPr>
                    <w:pStyle w:val="60"/>
                    <w:bidi w:val="0"/>
                  </w:pPr>
                  <w:r>
                    <w:rPr>
                      <w:rFonts w:hint="eastAsia"/>
                    </w:rPr>
                    <w:t>80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73.75</w:t>
                  </w:r>
                </w:p>
              </w:tc>
              <w:tc>
                <w:tcPr>
                  <w:tcW w:w="701" w:type="pct"/>
                  <w:tcBorders>
                    <w:tl2br w:val="nil"/>
                    <w:tr2bl w:val="nil"/>
                  </w:tcBorders>
                  <w:noWrap w:val="0"/>
                  <w:vAlign w:val="center"/>
                </w:tcPr>
                <w:p>
                  <w:pPr>
                    <w:pStyle w:val="6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noWrap w:val="0"/>
                  <w:vAlign w:val="center"/>
                </w:tcPr>
                <w:p>
                  <w:pPr>
                    <w:pStyle w:val="60"/>
                    <w:bidi w:val="0"/>
                  </w:pPr>
                  <w:r>
                    <w:rPr>
                      <w:rFonts w:hint="eastAsia"/>
                    </w:rPr>
                    <w:t>CO</w:t>
                  </w: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24h平均第95百分位数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900</w:t>
                  </w:r>
                </w:p>
              </w:tc>
              <w:tc>
                <w:tcPr>
                  <w:tcW w:w="849" w:type="pct"/>
                  <w:tcBorders>
                    <w:tl2br w:val="nil"/>
                    <w:tr2bl w:val="nil"/>
                  </w:tcBorders>
                  <w:noWrap w:val="0"/>
                  <w:vAlign w:val="center"/>
                </w:tcPr>
                <w:p>
                  <w:pPr>
                    <w:pStyle w:val="60"/>
                    <w:bidi w:val="0"/>
                    <w:rPr>
                      <w:rFonts w:hint="default" w:eastAsiaTheme="minorEastAsia"/>
                      <w:lang w:val="en-US" w:eastAsia="zh-CN"/>
                    </w:rPr>
                  </w:pPr>
                  <w:r>
                    <w:rPr>
                      <w:rFonts w:hint="eastAsia"/>
                    </w:rPr>
                    <w:t>4</w:t>
                  </w:r>
                  <w:r>
                    <w:rPr>
                      <w:rFonts w:hint="eastAsia"/>
                      <w:lang w:val="en-US" w:eastAsia="zh-CN"/>
                    </w:rPr>
                    <w:t>000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22.5</w:t>
                  </w:r>
                </w:p>
              </w:tc>
              <w:tc>
                <w:tcPr>
                  <w:tcW w:w="701" w:type="pct"/>
                  <w:tcBorders>
                    <w:tl2br w:val="nil"/>
                    <w:tr2bl w:val="nil"/>
                  </w:tcBorders>
                  <w:noWrap w:val="0"/>
                  <w:vAlign w:val="center"/>
                </w:tcPr>
                <w:p>
                  <w:pPr>
                    <w:pStyle w:val="6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noWrap w:val="0"/>
                  <w:vAlign w:val="center"/>
                </w:tcPr>
                <w:p>
                  <w:pPr>
                    <w:pStyle w:val="60"/>
                    <w:bidi w:val="0"/>
                  </w:pPr>
                  <w:r>
                    <w:rPr>
                      <w:rFonts w:hint="eastAsia"/>
                    </w:rPr>
                    <w:t>O</w:t>
                  </w:r>
                  <w:r>
                    <w:rPr>
                      <w:rFonts w:hint="eastAsia"/>
                      <w:vertAlign w:val="subscript"/>
                    </w:rPr>
                    <w:t>3</w:t>
                  </w:r>
                </w:p>
              </w:tc>
              <w:tc>
                <w:tcPr>
                  <w:tcW w:w="1471" w:type="pct"/>
                  <w:tcBorders>
                    <w:tl2br w:val="nil"/>
                    <w:tr2bl w:val="nil"/>
                  </w:tcBorders>
                  <w:noWrap w:val="0"/>
                  <w:vAlign w:val="center"/>
                </w:tcPr>
                <w:p>
                  <w:pPr>
                    <w:pStyle w:val="60"/>
                    <w:bidi w:val="0"/>
                    <w:rPr>
                      <w:rFonts w:hint="default"/>
                      <w:lang w:val="en-US" w:eastAsia="zh-CN"/>
                    </w:rPr>
                  </w:pPr>
                  <w:r>
                    <w:rPr>
                      <w:rFonts w:hint="default"/>
                      <w:lang w:val="en-US" w:eastAsia="zh-CN"/>
                    </w:rPr>
                    <w:t>最大8小时滑动平均值的第90百分位数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119</w:t>
                  </w:r>
                </w:p>
              </w:tc>
              <w:tc>
                <w:tcPr>
                  <w:tcW w:w="849" w:type="pct"/>
                  <w:tcBorders>
                    <w:tl2br w:val="nil"/>
                    <w:tr2bl w:val="nil"/>
                  </w:tcBorders>
                  <w:noWrap w:val="0"/>
                  <w:vAlign w:val="center"/>
                </w:tcPr>
                <w:p>
                  <w:pPr>
                    <w:pStyle w:val="60"/>
                    <w:bidi w:val="0"/>
                  </w:pPr>
                  <w:r>
                    <w:rPr>
                      <w:rFonts w:hint="eastAsia"/>
                    </w:rPr>
                    <w:t>160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74.38</w:t>
                  </w:r>
                </w:p>
              </w:tc>
              <w:tc>
                <w:tcPr>
                  <w:tcW w:w="701" w:type="pct"/>
                  <w:tcBorders>
                    <w:tl2br w:val="nil"/>
                    <w:tr2bl w:val="nil"/>
                  </w:tcBorders>
                  <w:noWrap w:val="0"/>
                  <w:vAlign w:val="center"/>
                </w:tcPr>
                <w:p>
                  <w:pPr>
                    <w:pStyle w:val="60"/>
                    <w:bidi w:val="0"/>
                    <w:rPr>
                      <w:rFonts w:hint="eastAsia"/>
                    </w:rPr>
                  </w:pPr>
                  <w:r>
                    <w:rPr>
                      <w:rFonts w:hint="eastAsia"/>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41" w:type="pct"/>
                  <w:vMerge w:val="restart"/>
                  <w:tcBorders>
                    <w:tl2br w:val="nil"/>
                    <w:tr2bl w:val="nil"/>
                  </w:tcBorders>
                  <w:noWrap w:val="0"/>
                  <w:vAlign w:val="center"/>
                </w:tcPr>
                <w:p>
                  <w:pPr>
                    <w:pStyle w:val="60"/>
                    <w:bidi w:val="0"/>
                  </w:pPr>
                  <w:r>
                    <w:rPr>
                      <w:rFonts w:hint="eastAsia"/>
                    </w:rPr>
                    <w:t>PM</w:t>
                  </w:r>
                  <w:r>
                    <w:rPr>
                      <w:rFonts w:hint="eastAsia"/>
                      <w:vertAlign w:val="subscript"/>
                    </w:rPr>
                    <w:t>10</w:t>
                  </w: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年平均</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131</w:t>
                  </w:r>
                </w:p>
              </w:tc>
              <w:tc>
                <w:tcPr>
                  <w:tcW w:w="849" w:type="pct"/>
                  <w:tcBorders>
                    <w:tl2br w:val="nil"/>
                    <w:tr2bl w:val="nil"/>
                  </w:tcBorders>
                  <w:noWrap w:val="0"/>
                  <w:vAlign w:val="center"/>
                </w:tcPr>
                <w:p>
                  <w:pPr>
                    <w:pStyle w:val="60"/>
                    <w:bidi w:val="0"/>
                  </w:pPr>
                  <w:r>
                    <w:rPr>
                      <w:rFonts w:hint="eastAsia"/>
                    </w:rPr>
                    <w:t>70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187.14</w:t>
                  </w:r>
                </w:p>
              </w:tc>
              <w:tc>
                <w:tcPr>
                  <w:tcW w:w="701" w:type="pct"/>
                  <w:tcBorders>
                    <w:tl2br w:val="nil"/>
                    <w:tr2bl w:val="nil"/>
                  </w:tcBorders>
                  <w:noWrap w:val="0"/>
                  <w:vAlign w:val="center"/>
                </w:tcPr>
                <w:p>
                  <w:pPr>
                    <w:pStyle w:val="60"/>
                    <w:bidi w:val="0"/>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60"/>
                    <w:bidi w:val="0"/>
                  </w:pP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24h平均第95百分位数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386</w:t>
                  </w:r>
                </w:p>
              </w:tc>
              <w:tc>
                <w:tcPr>
                  <w:tcW w:w="849" w:type="pct"/>
                  <w:tcBorders>
                    <w:tl2br w:val="nil"/>
                    <w:tr2bl w:val="nil"/>
                  </w:tcBorders>
                  <w:noWrap w:val="0"/>
                  <w:vAlign w:val="center"/>
                </w:tcPr>
                <w:p>
                  <w:pPr>
                    <w:pStyle w:val="60"/>
                    <w:bidi w:val="0"/>
                  </w:pPr>
                  <w:r>
                    <w:rPr>
                      <w:rFonts w:hint="eastAsia"/>
                    </w:rPr>
                    <w:t>150</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257.33</w:t>
                  </w:r>
                </w:p>
              </w:tc>
              <w:tc>
                <w:tcPr>
                  <w:tcW w:w="701" w:type="pct"/>
                  <w:tcBorders>
                    <w:tl2br w:val="nil"/>
                    <w:tr2bl w:val="nil"/>
                  </w:tcBorders>
                  <w:noWrap w:val="0"/>
                  <w:vAlign w:val="center"/>
                </w:tcPr>
                <w:p>
                  <w:pPr>
                    <w:pStyle w:val="60"/>
                    <w:bidi w:val="0"/>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noWrap w:val="0"/>
                  <w:vAlign w:val="center"/>
                </w:tcPr>
                <w:p>
                  <w:pPr>
                    <w:pStyle w:val="60"/>
                    <w:bidi w:val="0"/>
                  </w:pPr>
                  <w:r>
                    <w:rPr>
                      <w:rFonts w:hint="eastAsia"/>
                    </w:rPr>
                    <w:t>PM</w:t>
                  </w:r>
                  <w:r>
                    <w:rPr>
                      <w:rFonts w:hint="eastAsia"/>
                      <w:vertAlign w:val="subscript"/>
                    </w:rPr>
                    <w:t>2.5</w:t>
                  </w: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年平均</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36</w:t>
                  </w:r>
                </w:p>
              </w:tc>
              <w:tc>
                <w:tcPr>
                  <w:tcW w:w="849" w:type="pct"/>
                  <w:tcBorders>
                    <w:tl2br w:val="nil"/>
                    <w:tr2bl w:val="nil"/>
                  </w:tcBorders>
                  <w:noWrap w:val="0"/>
                  <w:vAlign w:val="center"/>
                </w:tcPr>
                <w:p>
                  <w:pPr>
                    <w:pStyle w:val="60"/>
                    <w:bidi w:val="0"/>
                  </w:pPr>
                  <w:r>
                    <w:rPr>
                      <w:rFonts w:hint="eastAsia"/>
                    </w:rPr>
                    <w:t>35</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102.86</w:t>
                  </w:r>
                </w:p>
              </w:tc>
              <w:tc>
                <w:tcPr>
                  <w:tcW w:w="701" w:type="pct"/>
                  <w:tcBorders>
                    <w:tl2br w:val="nil"/>
                    <w:tr2bl w:val="nil"/>
                  </w:tcBorders>
                  <w:noWrap w:val="0"/>
                  <w:vAlign w:val="center"/>
                </w:tcPr>
                <w:p>
                  <w:pPr>
                    <w:pStyle w:val="60"/>
                    <w:bidi w:val="0"/>
                    <w:rPr>
                      <w:rFonts w:hint="eastAsia"/>
                    </w:rPr>
                  </w:pPr>
                  <w:r>
                    <w:rPr>
                      <w:rFonts w:hint="eastAsia"/>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60"/>
                    <w:bidi w:val="0"/>
                  </w:pPr>
                </w:p>
              </w:tc>
              <w:tc>
                <w:tcPr>
                  <w:tcW w:w="1471" w:type="pct"/>
                  <w:tcBorders>
                    <w:tl2br w:val="nil"/>
                    <w:tr2bl w:val="nil"/>
                  </w:tcBorders>
                  <w:noWrap w:val="0"/>
                  <w:vAlign w:val="center"/>
                </w:tcPr>
                <w:p>
                  <w:pPr>
                    <w:pStyle w:val="60"/>
                    <w:bidi w:val="0"/>
                    <w:rPr>
                      <w:rFonts w:hint="default"/>
                      <w:lang w:val="en-US" w:eastAsia="zh-CN"/>
                    </w:rPr>
                  </w:pPr>
                  <w:r>
                    <w:rPr>
                      <w:rFonts w:hint="eastAsia"/>
                      <w:lang w:val="en-US" w:eastAsia="zh-CN"/>
                    </w:rPr>
                    <w:t>24h平均第95百分位数</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78</w:t>
                  </w:r>
                </w:p>
              </w:tc>
              <w:tc>
                <w:tcPr>
                  <w:tcW w:w="849" w:type="pct"/>
                  <w:tcBorders>
                    <w:tl2br w:val="nil"/>
                    <w:tr2bl w:val="nil"/>
                  </w:tcBorders>
                  <w:noWrap w:val="0"/>
                  <w:vAlign w:val="center"/>
                </w:tcPr>
                <w:p>
                  <w:pPr>
                    <w:pStyle w:val="60"/>
                    <w:bidi w:val="0"/>
                  </w:pPr>
                  <w:r>
                    <w:rPr>
                      <w:rFonts w:hint="eastAsia"/>
                    </w:rPr>
                    <w:t>75</w:t>
                  </w:r>
                </w:p>
              </w:tc>
              <w:tc>
                <w:tcPr>
                  <w:tcW w:w="718" w:type="pct"/>
                  <w:tcBorders>
                    <w:tl2br w:val="nil"/>
                    <w:tr2bl w:val="nil"/>
                  </w:tcBorders>
                  <w:noWrap w:val="0"/>
                  <w:vAlign w:val="center"/>
                </w:tcPr>
                <w:p>
                  <w:pPr>
                    <w:pStyle w:val="60"/>
                    <w:bidi w:val="0"/>
                    <w:rPr>
                      <w:rFonts w:hint="default"/>
                      <w:lang w:val="en-US" w:eastAsia="zh-CN"/>
                    </w:rPr>
                  </w:pPr>
                  <w:r>
                    <w:rPr>
                      <w:rFonts w:hint="eastAsia"/>
                      <w:lang w:val="en-US" w:eastAsia="zh-CN"/>
                    </w:rPr>
                    <w:t>104</w:t>
                  </w:r>
                </w:p>
              </w:tc>
              <w:tc>
                <w:tcPr>
                  <w:tcW w:w="701" w:type="pct"/>
                  <w:tcBorders>
                    <w:tl2br w:val="nil"/>
                    <w:tr2bl w:val="nil"/>
                  </w:tcBorders>
                  <w:noWrap w:val="0"/>
                  <w:vAlign w:val="center"/>
                </w:tcPr>
                <w:p>
                  <w:pPr>
                    <w:pStyle w:val="60"/>
                    <w:bidi w:val="0"/>
                    <w:rPr>
                      <w:rFonts w:hint="eastAsia"/>
                    </w:rPr>
                  </w:pPr>
                  <w:r>
                    <w:rPr>
                      <w:rFonts w:hint="eastAsia"/>
                      <w:lang w:eastAsia="zh-CN"/>
                    </w:rPr>
                    <w:t>不达标</w:t>
                  </w:r>
                </w:p>
              </w:tc>
            </w:tr>
          </w:tbl>
          <w:p>
            <w:pPr>
              <w:widowControl w:val="0"/>
              <w:bidi w:val="0"/>
              <w:spacing w:line="52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本项目所在区域PM</w:t>
            </w:r>
            <w:r>
              <w:rPr>
                <w:rFonts w:hint="eastAsia"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年平均和24h平均第95百分位数浓度超过《环境空气质量标准》（</w:t>
            </w:r>
            <w:r>
              <w:rPr>
                <w:rFonts w:hint="default" w:ascii="Times New Roman" w:hAnsi="Times New Roman" w:eastAsia="宋体" w:cs="宋体"/>
                <w:kern w:val="2"/>
                <w:sz w:val="24"/>
                <w:szCs w:val="24"/>
                <w:highlight w:val="none"/>
                <w:lang w:val="en-US" w:eastAsia="zh-CN" w:bidi="ar-SA"/>
              </w:rPr>
              <w:t>GB3095-2012</w:t>
            </w:r>
            <w:r>
              <w:rPr>
                <w:rFonts w:hint="eastAsia" w:ascii="Times New Roman" w:hAnsi="Times New Roman" w:eastAsia="宋体" w:cs="宋体"/>
                <w:kern w:val="2"/>
                <w:sz w:val="24"/>
                <w:szCs w:val="24"/>
                <w:highlight w:val="none"/>
                <w:lang w:val="en-US" w:eastAsia="zh-CN" w:bidi="ar-SA"/>
              </w:rPr>
              <w:t>）的二级标准要求，SO</w:t>
            </w:r>
            <w:r>
              <w:rPr>
                <w:rFonts w:hint="eastAsia" w:ascii="Times New Roman" w:hAnsi="Times New Roman" w:eastAsia="宋体" w:cs="宋体"/>
                <w:kern w:val="2"/>
                <w:sz w:val="24"/>
                <w:szCs w:val="24"/>
                <w:highlight w:val="none"/>
                <w:vertAlign w:val="subscript"/>
                <w:lang w:val="en-US" w:eastAsia="zh-CN" w:bidi="ar-SA"/>
              </w:rPr>
              <w:t>2</w:t>
            </w:r>
            <w:r>
              <w:rPr>
                <w:rFonts w:hint="eastAsia" w:ascii="Times New Roman" w:hAnsi="Times New Roman" w:eastAsia="宋体" w:cs="宋体"/>
                <w:kern w:val="2"/>
                <w:sz w:val="24"/>
                <w:szCs w:val="24"/>
                <w:highlight w:val="none"/>
                <w:lang w:val="en-US" w:eastAsia="zh-CN" w:bidi="ar-SA"/>
              </w:rPr>
              <w:t>、NO</w:t>
            </w:r>
            <w:r>
              <w:rPr>
                <w:rFonts w:hint="eastAsia" w:ascii="Times New Roman" w:hAnsi="Times New Roman" w:eastAsia="宋体" w:cs="宋体"/>
                <w:kern w:val="2"/>
                <w:sz w:val="24"/>
                <w:szCs w:val="24"/>
                <w:highlight w:val="none"/>
                <w:vertAlign w:val="subscript"/>
                <w:lang w:val="en-US" w:eastAsia="zh-CN" w:bidi="ar-SA"/>
              </w:rPr>
              <w:t>2</w:t>
            </w:r>
            <w:r>
              <w:rPr>
                <w:rFonts w:hint="eastAsia" w:ascii="Times New Roman" w:hAnsi="Times New Roman" w:eastAsia="宋体" w:cs="宋体"/>
                <w:kern w:val="2"/>
                <w:sz w:val="24"/>
                <w:szCs w:val="24"/>
                <w:highlight w:val="none"/>
                <w:lang w:val="en-US" w:eastAsia="zh-CN" w:bidi="ar-SA"/>
              </w:rPr>
              <w:t>、CO、O</w:t>
            </w:r>
            <w:r>
              <w:rPr>
                <w:rFonts w:hint="eastAsia" w:ascii="Times New Roman" w:hAnsi="Times New Roman" w:eastAsia="宋体" w:cs="宋体"/>
                <w:kern w:val="2"/>
                <w:sz w:val="24"/>
                <w:szCs w:val="24"/>
                <w:highlight w:val="none"/>
                <w:vertAlign w:val="subscript"/>
                <w:lang w:val="en-US" w:eastAsia="zh-CN" w:bidi="ar-SA"/>
              </w:rPr>
              <w:t>3</w:t>
            </w:r>
            <w:r>
              <w:rPr>
                <w:rFonts w:hint="eastAsia" w:ascii="Times New Roman" w:hAnsi="Times New Roman" w:eastAsia="宋体" w:cs="宋体"/>
                <w:kern w:val="2"/>
                <w:sz w:val="24"/>
                <w:szCs w:val="24"/>
                <w:highlight w:val="none"/>
                <w:lang w:val="en-US" w:eastAsia="zh-CN" w:bidi="ar-SA"/>
              </w:rPr>
              <w:t>等其他监测指标均满足二级标准。PM</w:t>
            </w:r>
            <w:r>
              <w:rPr>
                <w:rFonts w:hint="eastAsia"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、PM</w:t>
            </w:r>
            <w:r>
              <w:rPr>
                <w:rFonts w:hint="eastAsia"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超标主要是与当地气候条件和地理位置有关，评价区大气由于</w:t>
            </w:r>
            <w:r>
              <w:rPr>
                <w:rFonts w:hint="eastAsia" w:cs="宋体"/>
                <w:kern w:val="2"/>
                <w:sz w:val="24"/>
                <w:szCs w:val="24"/>
                <w:highlight w:val="none"/>
                <w:lang w:val="en-US" w:eastAsia="zh-CN" w:bidi="ar-SA"/>
              </w:rPr>
              <w:t>受</w:t>
            </w:r>
            <w:r>
              <w:rPr>
                <w:rFonts w:hint="eastAsia" w:ascii="Times New Roman" w:hAnsi="Times New Roman" w:eastAsia="宋体" w:cs="宋体"/>
                <w:kern w:val="2"/>
                <w:sz w:val="24"/>
                <w:szCs w:val="24"/>
                <w:highlight w:val="none"/>
                <w:lang w:val="en-US" w:eastAsia="zh-CN" w:bidi="ar-SA"/>
              </w:rPr>
              <w:t>当地干旱气候的影响，空气中</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的本底值偏高，尤其在沙尘暴和浮尘天气，会出现严重超标。</w:t>
            </w:r>
            <w:r>
              <w:rPr>
                <w:rFonts w:hint="default" w:ascii="Times New Roman" w:hAnsi="Times New Roman" w:eastAsia="宋体" w:cs="宋体"/>
                <w:kern w:val="2"/>
                <w:sz w:val="24"/>
                <w:szCs w:val="24"/>
                <w:highlight w:val="none"/>
                <w:lang w:val="en-US" w:eastAsia="zh-CN" w:bidi="ar-SA"/>
              </w:rPr>
              <w:t>因此，项目所在区域为不达标区。</w:t>
            </w:r>
          </w:p>
          <w:p>
            <w:pPr>
              <w:pStyle w:val="51"/>
              <w:bidi w:val="0"/>
              <w:rPr>
                <w:rFonts w:hint="default"/>
                <w:lang w:val="en-US" w:eastAsia="zh-CN"/>
              </w:rPr>
            </w:pPr>
            <w:r>
              <w:rPr>
                <w:rFonts w:hint="eastAsia"/>
                <w:lang w:val="en-US" w:eastAsia="zh-CN"/>
              </w:rPr>
              <w:t>2地表水</w:t>
            </w:r>
            <w:bookmarkStart w:id="2" w:name="_Toc396385923"/>
            <w:bookmarkStart w:id="3" w:name="_Toc329596219"/>
            <w:r>
              <w:rPr>
                <w:rFonts w:hint="eastAsia"/>
                <w:lang w:val="en-US" w:eastAsia="zh-CN"/>
              </w:rPr>
              <w:t>环境质量现状</w:t>
            </w:r>
          </w:p>
          <w:bookmarkEnd w:id="2"/>
          <w:bookmarkEnd w:id="3"/>
          <w:p>
            <w:pPr>
              <w:pStyle w:val="58"/>
              <w:bidi w:val="0"/>
              <w:rPr>
                <w:rFonts w:hint="eastAsia"/>
                <w:lang w:val="en-US" w:eastAsia="zh-CN"/>
              </w:rPr>
            </w:pPr>
            <w:r>
              <w:rPr>
                <w:rFonts w:hint="eastAsia"/>
                <w:lang w:val="en-US" w:eastAsia="zh-CN"/>
              </w:rPr>
              <w:t>本项目区最近的地表水体位于北侧8km的孔雀河，根据巴州人民政府发布的《2024年巴音郭楞蒙古自治州生态环境状况公报》可知：2024年孔雀河水质为优，4个监测</w:t>
            </w:r>
            <w:r>
              <w:rPr>
                <w:rFonts w:hint="default" w:ascii="Times New Roman" w:hAnsi="Times New Roman" w:cs="Times New Roman"/>
                <w:lang w:val="en-US" w:eastAsia="zh-CN"/>
              </w:rPr>
              <w:t>断面中，Ⅰ~Ⅲ类水质断面占100%，与2023年相比无变化，对照《2023年巴音郭楞蒙古自治州生态</w:t>
            </w:r>
            <w:r>
              <w:rPr>
                <w:rFonts w:hint="eastAsia"/>
                <w:lang w:val="en-US" w:eastAsia="zh-CN"/>
              </w:rPr>
              <w:t>环境状况公报》，孔雀河</w:t>
            </w:r>
            <w:r>
              <w:rPr>
                <w:rFonts w:hint="default"/>
                <w:lang w:val="en-US" w:eastAsia="zh-CN"/>
              </w:rPr>
              <w:t>水质</w:t>
            </w:r>
            <w:r>
              <w:rPr>
                <w:rFonts w:hint="eastAsia"/>
                <w:lang w:val="en-US" w:eastAsia="zh-CN"/>
              </w:rPr>
              <w:t>满足</w:t>
            </w:r>
            <w:r>
              <w:rPr>
                <w:rFonts w:hint="default"/>
                <w:lang w:val="en-US" w:eastAsia="zh-CN"/>
              </w:rPr>
              <w:t>《地表水环境质量标准》（GB</w:t>
            </w:r>
            <w:r>
              <w:rPr>
                <w:rFonts w:hint="default" w:ascii="Times New Roman" w:hAnsi="Times New Roman" w:cs="Times New Roman"/>
                <w:lang w:val="en-US" w:eastAsia="zh-CN"/>
              </w:rPr>
              <w:t>3838-2002）中Ⅲ类</w:t>
            </w:r>
            <w:r>
              <w:rPr>
                <w:rFonts w:hint="default"/>
                <w:lang w:val="en-US" w:eastAsia="zh-CN"/>
              </w:rPr>
              <w:t>标准限值要求。</w:t>
            </w:r>
          </w:p>
          <w:p>
            <w:pPr>
              <w:pStyle w:val="47"/>
              <w:bidi w:val="0"/>
              <w:rPr>
                <w:rFonts w:hint="eastAsia"/>
                <w:lang w:val="en-US" w:eastAsia="zh-CN"/>
              </w:rPr>
            </w:pPr>
            <w:r>
              <w:rPr>
                <w:rFonts w:hint="eastAsia"/>
                <w:lang w:val="en-US" w:eastAsia="zh-CN"/>
              </w:rPr>
              <w:t>3声环境质量现状</w:t>
            </w:r>
          </w:p>
          <w:p>
            <w:pPr>
              <w:pStyle w:val="48"/>
              <w:bidi w:val="0"/>
              <w:rPr>
                <w:rFonts w:hint="eastAsia"/>
                <w:highlight w:val="none"/>
                <w:lang w:val="en-US" w:eastAsia="zh-CN"/>
              </w:rPr>
            </w:pPr>
            <w:r>
              <w:rPr>
                <w:rFonts w:hint="eastAsia"/>
                <w:highlight w:val="none"/>
                <w:lang w:val="en-US" w:eastAsia="zh-CN"/>
              </w:rPr>
              <w:t>根据《库尔勒市声环境功能区划》，本项目所在地属于2类声环境功能区，由于库尔勒市第一人民医院北侧和东侧紧临城市主、次干路，参照《声环境功能区划分技术规范》（GB/T 15190-2014），在相邻区域为2类声功能区，交通干线边界外距离35m±5m范围内划分为4a类功能区，因此本项目东侧和北侧属于4a类声功能区，其他区域为2类声功能区。</w:t>
            </w:r>
          </w:p>
          <w:p>
            <w:pPr>
              <w:adjustRightInd w:val="0"/>
              <w:snapToGrid w:val="0"/>
              <w:spacing w:line="520" w:lineRule="exact"/>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宋体"/>
                <w:kern w:val="2"/>
                <w:sz w:val="24"/>
                <w:szCs w:val="24"/>
                <w:highlight w:val="none"/>
                <w:lang w:val="en-US" w:eastAsia="zh-CN" w:bidi="ar-SA"/>
              </w:rPr>
              <w:t>根据《建设项目环境影响报告表编制技术指南（污染影响类）（试行）》，项目厂界外周边50米范围内存在声环境保护目标，应监测保护目标声环境质量现状并评价达标情况，库尔勒市第一人民医院周边涉及的环境保护目标主要为院内畜牧局家属楼、北侧卫教小区和梨城春府苑（在建），由于西侧为梨城春府苑住宅楼施工场地，位于厂界四周50m范围内，目前小区内住宅楼正在施工，未建成</w:t>
            </w:r>
            <w:r>
              <w:rPr>
                <w:rFonts w:hint="default" w:ascii="Times New Roman" w:hAnsi="Times New Roman" w:eastAsia="宋体"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不满足监测条件，因此</w:t>
            </w:r>
            <w:r>
              <w:rPr>
                <w:rFonts w:hint="eastAsia" w:cs="Times New Roman"/>
                <w:color w:val="auto"/>
                <w:sz w:val="24"/>
                <w:highlight w:val="none"/>
                <w:lang w:val="en-US" w:eastAsia="zh-CN"/>
              </w:rPr>
              <w:t>本次环评不对其</w:t>
            </w:r>
            <w:r>
              <w:rPr>
                <w:rFonts w:hint="default" w:ascii="Times New Roman" w:hAnsi="Times New Roman" w:eastAsia="宋体" w:cs="Times New Roman"/>
                <w:color w:val="auto"/>
                <w:sz w:val="24"/>
                <w:highlight w:val="none"/>
              </w:rPr>
              <w:t>声环境质量现状</w:t>
            </w:r>
            <w:r>
              <w:rPr>
                <w:rFonts w:hint="eastAsia" w:cs="Times New Roman"/>
                <w:color w:val="auto"/>
                <w:sz w:val="24"/>
                <w:highlight w:val="none"/>
                <w:lang w:val="en-US" w:eastAsia="zh-CN"/>
              </w:rPr>
              <w:t>进行监测。</w:t>
            </w:r>
          </w:p>
          <w:p>
            <w:pPr>
              <w:pStyle w:val="48"/>
              <w:bidi w:val="0"/>
              <w:rPr>
                <w:rFonts w:hint="eastAsia" w:ascii="Times New Roman" w:hAnsi="Times New Roman" w:cs="宋体"/>
                <w:kern w:val="2"/>
                <w:sz w:val="24"/>
                <w:szCs w:val="24"/>
                <w:highlight w:val="none"/>
                <w:lang w:val="en-US" w:eastAsia="zh-CN" w:bidi="ar-SA"/>
              </w:rPr>
            </w:pPr>
            <w:r>
              <w:rPr>
                <w:rFonts w:hint="eastAsia" w:cs="宋体"/>
                <w:kern w:val="2"/>
                <w:sz w:val="24"/>
                <w:szCs w:val="24"/>
                <w:highlight w:val="none"/>
                <w:lang w:val="en-US" w:eastAsia="zh-CN" w:bidi="ar-SA"/>
              </w:rPr>
              <w:t>本次环评委托巴州永诚环境技术检测服务有限公司对畜牧局家属楼声环境现状进行了监测，监测报告详见附件；卫教小区现状数据引用2024年6月1日新疆广宇众联环境监测有限公司出具的《库尔勒市第一人民医院环境质量现状监测报告》（报告详见附件），</w:t>
            </w:r>
            <w:r>
              <w:rPr>
                <w:rFonts w:hint="eastAsia" w:ascii="Times New Roman" w:hAnsi="Times New Roman" w:cs="宋体"/>
                <w:kern w:val="2"/>
                <w:sz w:val="24"/>
                <w:szCs w:val="24"/>
                <w:highlight w:val="none"/>
                <w:lang w:val="en-US" w:eastAsia="zh-CN" w:bidi="ar-SA"/>
              </w:rPr>
              <w:t>监测点位</w:t>
            </w:r>
            <w:r>
              <w:rPr>
                <w:rFonts w:hint="eastAsia" w:cs="宋体"/>
                <w:kern w:val="2"/>
                <w:sz w:val="24"/>
                <w:szCs w:val="24"/>
                <w:highlight w:val="none"/>
                <w:lang w:val="en-US" w:eastAsia="zh-CN" w:bidi="ar-SA"/>
              </w:rPr>
              <w:t>详</w:t>
            </w:r>
            <w:r>
              <w:rPr>
                <w:rFonts w:hint="eastAsia" w:ascii="Times New Roman" w:hAnsi="Times New Roman" w:cs="宋体"/>
                <w:kern w:val="2"/>
                <w:sz w:val="24"/>
                <w:szCs w:val="24"/>
                <w:highlight w:val="none"/>
                <w:lang w:val="en-US" w:eastAsia="zh-CN" w:bidi="ar-SA"/>
              </w:rPr>
              <w:t>见图</w:t>
            </w:r>
            <w:r>
              <w:rPr>
                <w:rFonts w:hint="eastAsia" w:cs="宋体"/>
                <w:kern w:val="2"/>
                <w:sz w:val="24"/>
                <w:szCs w:val="24"/>
                <w:highlight w:val="none"/>
                <w:lang w:val="en-US" w:eastAsia="zh-CN" w:bidi="ar-SA"/>
              </w:rPr>
              <w:t>5</w:t>
            </w:r>
            <w:r>
              <w:rPr>
                <w:rFonts w:hint="eastAsia" w:ascii="Times New Roman" w:hAnsi="Times New Roman" w:cs="宋体"/>
                <w:kern w:val="2"/>
                <w:sz w:val="24"/>
                <w:szCs w:val="24"/>
                <w:highlight w:val="none"/>
                <w:lang w:val="en-US" w:eastAsia="zh-CN" w:bidi="ar-SA"/>
              </w:rPr>
              <w:t>。</w:t>
            </w:r>
          </w:p>
          <w:p>
            <w:pPr>
              <w:pStyle w:val="48"/>
              <w:bidi w:val="0"/>
              <w:rPr>
                <w:rFonts w:hint="default" w:ascii="Times New Roman" w:hAnsi="Times New Roman" w:cs="宋体"/>
                <w:kern w:val="2"/>
                <w:sz w:val="24"/>
                <w:szCs w:val="24"/>
                <w:highlight w:val="none"/>
                <w:lang w:val="en-US" w:eastAsia="zh-CN" w:bidi="ar-SA"/>
              </w:rPr>
            </w:pPr>
            <w:r>
              <w:rPr>
                <w:rFonts w:hint="eastAsia" w:cs="宋体"/>
                <w:kern w:val="2"/>
                <w:sz w:val="24"/>
                <w:szCs w:val="24"/>
                <w:highlight w:val="none"/>
                <w:lang w:val="en-US" w:eastAsia="zh-CN" w:bidi="ar-SA"/>
              </w:rPr>
              <w:t>监测点位：</w:t>
            </w:r>
            <w:r>
              <w:rPr>
                <w:rFonts w:hint="eastAsia"/>
                <w:highlight w:val="none"/>
                <w:lang w:val="en-US" w:eastAsia="zh-CN"/>
              </w:rPr>
              <w:t>卫教小区设置1个监测点（引用报告）、</w:t>
            </w:r>
            <w:r>
              <w:rPr>
                <w:rFonts w:hint="eastAsia" w:cs="宋体"/>
                <w:kern w:val="2"/>
                <w:sz w:val="24"/>
                <w:szCs w:val="24"/>
                <w:highlight w:val="none"/>
                <w:lang w:val="en-US" w:eastAsia="zh-CN" w:bidi="ar-SA"/>
              </w:rPr>
              <w:t>畜牧局家属楼</w:t>
            </w:r>
            <w:r>
              <w:rPr>
                <w:rFonts w:hint="eastAsia"/>
                <w:highlight w:val="none"/>
                <w:lang w:val="en-US" w:eastAsia="zh-CN"/>
              </w:rPr>
              <w:t>设置1个监测点（现状监测）。</w:t>
            </w:r>
          </w:p>
          <w:p>
            <w:pPr>
              <w:pStyle w:val="48"/>
              <w:bidi w:val="0"/>
              <w:rPr>
                <w:rFonts w:hint="eastAsia" w:ascii="Times New Roman" w:hAnsi="Times New Roman" w:cs="宋体"/>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监测单位：新疆广宇众联环境监测有限公司</w:t>
            </w:r>
            <w:r>
              <w:rPr>
                <w:rFonts w:hint="eastAsia" w:cs="宋体"/>
                <w:kern w:val="2"/>
                <w:sz w:val="24"/>
                <w:szCs w:val="24"/>
                <w:highlight w:val="none"/>
                <w:lang w:val="en-US" w:eastAsia="zh-CN" w:bidi="ar-SA"/>
              </w:rPr>
              <w:t>（引用报告）、巴州永诚环境技术检测服务有限公司（现状监测）</w:t>
            </w:r>
            <w:r>
              <w:rPr>
                <w:rFonts w:hint="eastAsia" w:ascii="Times New Roman" w:hAnsi="Times New Roman" w:cs="宋体"/>
                <w:kern w:val="2"/>
                <w:sz w:val="24"/>
                <w:szCs w:val="24"/>
                <w:highlight w:val="none"/>
                <w:lang w:val="en-US" w:eastAsia="zh-CN" w:bidi="ar-SA"/>
              </w:rPr>
              <w:t>；</w:t>
            </w:r>
          </w:p>
          <w:p>
            <w:pPr>
              <w:pStyle w:val="48"/>
              <w:bidi w:val="0"/>
              <w:rPr>
                <w:rFonts w:hint="eastAsia" w:ascii="Times New Roman" w:hAnsi="Times New Roman" w:cs="宋体"/>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监测项目：等效连续A声级Leq（A）；</w:t>
            </w:r>
          </w:p>
          <w:p>
            <w:pPr>
              <w:pStyle w:val="48"/>
              <w:bidi w:val="0"/>
              <w:rPr>
                <w:rFonts w:hint="default" w:ascii="Times New Roman" w:hAnsi="Times New Roman" w:cs="宋体"/>
                <w:kern w:val="2"/>
                <w:sz w:val="24"/>
                <w:szCs w:val="24"/>
                <w:highlight w:val="none"/>
                <w:lang w:val="en-US" w:eastAsia="zh-CN" w:bidi="ar-SA"/>
              </w:rPr>
            </w:pPr>
            <w:r>
              <w:rPr>
                <w:rFonts w:hint="default" w:ascii="Times New Roman" w:hAnsi="Times New Roman" w:cs="宋体"/>
                <w:kern w:val="2"/>
                <w:sz w:val="24"/>
                <w:szCs w:val="24"/>
                <w:highlight w:val="none"/>
                <w:lang w:val="en-US" w:eastAsia="zh-CN" w:bidi="ar-SA"/>
              </w:rPr>
              <w:t>监测频次：</w:t>
            </w:r>
            <w:r>
              <w:rPr>
                <w:rFonts w:hint="eastAsia" w:cs="宋体"/>
                <w:kern w:val="2"/>
                <w:sz w:val="24"/>
                <w:szCs w:val="24"/>
                <w:highlight w:val="none"/>
                <w:lang w:val="en-US" w:eastAsia="zh-CN" w:bidi="ar-SA"/>
              </w:rPr>
              <w:t>2024年5月31日</w:t>
            </w:r>
            <w:r>
              <w:rPr>
                <w:rFonts w:hint="default" w:ascii="Times New Roman" w:hAnsi="Times New Roman" w:cs="宋体"/>
                <w:kern w:val="2"/>
                <w:sz w:val="24"/>
                <w:szCs w:val="24"/>
                <w:highlight w:val="none"/>
                <w:lang w:val="en-US" w:eastAsia="zh-CN" w:bidi="ar-SA"/>
              </w:rPr>
              <w:t>监测一天</w:t>
            </w:r>
            <w:r>
              <w:rPr>
                <w:rFonts w:hint="eastAsia" w:cs="宋体"/>
                <w:kern w:val="2"/>
                <w:sz w:val="24"/>
                <w:szCs w:val="24"/>
                <w:highlight w:val="none"/>
                <w:lang w:val="en-US" w:eastAsia="zh-CN" w:bidi="ar-SA"/>
              </w:rPr>
              <w:t>（引用报告）、</w:t>
            </w:r>
            <w:r>
              <w:rPr>
                <w:rFonts w:hint="eastAsia" w:ascii="Times New Roman" w:hAnsi="Times New Roman" w:cs="宋体"/>
                <w:kern w:val="2"/>
                <w:sz w:val="24"/>
                <w:szCs w:val="24"/>
                <w:highlight w:val="none"/>
                <w:lang w:val="en-US" w:eastAsia="zh-CN" w:bidi="ar-SA"/>
              </w:rPr>
              <w:t>202</w:t>
            </w:r>
            <w:r>
              <w:rPr>
                <w:rFonts w:hint="eastAsia" w:cs="宋体"/>
                <w:kern w:val="2"/>
                <w:sz w:val="24"/>
                <w:szCs w:val="24"/>
                <w:highlight w:val="none"/>
                <w:lang w:val="en-US" w:eastAsia="zh-CN" w:bidi="ar-SA"/>
              </w:rPr>
              <w:t>5</w:t>
            </w:r>
            <w:r>
              <w:rPr>
                <w:rFonts w:hint="default" w:ascii="Times New Roman" w:hAnsi="Times New Roman" w:cs="宋体"/>
                <w:kern w:val="2"/>
                <w:sz w:val="24"/>
                <w:szCs w:val="24"/>
                <w:highlight w:val="none"/>
                <w:lang w:val="en-US" w:eastAsia="zh-CN" w:bidi="ar-SA"/>
              </w:rPr>
              <w:t>年</w:t>
            </w:r>
            <w:r>
              <w:rPr>
                <w:rFonts w:hint="eastAsia" w:cs="宋体"/>
                <w:kern w:val="2"/>
                <w:sz w:val="24"/>
                <w:szCs w:val="24"/>
                <w:highlight w:val="none"/>
                <w:lang w:val="en-US" w:eastAsia="zh-CN" w:bidi="ar-SA"/>
              </w:rPr>
              <w:t>9</w:t>
            </w:r>
            <w:r>
              <w:rPr>
                <w:rFonts w:hint="default" w:ascii="Times New Roman" w:hAnsi="Times New Roman" w:cs="宋体"/>
                <w:kern w:val="2"/>
                <w:sz w:val="24"/>
                <w:szCs w:val="24"/>
                <w:highlight w:val="none"/>
                <w:lang w:val="en-US" w:eastAsia="zh-CN" w:bidi="ar-SA"/>
              </w:rPr>
              <w:t>月</w:t>
            </w:r>
            <w:r>
              <w:rPr>
                <w:rFonts w:hint="eastAsia" w:cs="宋体"/>
                <w:kern w:val="2"/>
                <w:sz w:val="24"/>
                <w:szCs w:val="24"/>
                <w:highlight w:val="none"/>
                <w:lang w:val="en-US" w:eastAsia="zh-CN" w:bidi="ar-SA"/>
              </w:rPr>
              <w:t>9</w:t>
            </w:r>
            <w:r>
              <w:rPr>
                <w:rFonts w:hint="default" w:ascii="Times New Roman" w:hAnsi="Times New Roman" w:cs="宋体"/>
                <w:kern w:val="2"/>
                <w:sz w:val="24"/>
                <w:szCs w:val="24"/>
                <w:highlight w:val="none"/>
                <w:lang w:val="en-US" w:eastAsia="zh-CN" w:bidi="ar-SA"/>
              </w:rPr>
              <w:t>日监测一天</w:t>
            </w:r>
            <w:r>
              <w:rPr>
                <w:rFonts w:hint="eastAsia" w:cs="宋体"/>
                <w:kern w:val="2"/>
                <w:sz w:val="24"/>
                <w:szCs w:val="24"/>
                <w:highlight w:val="none"/>
                <w:lang w:val="en-US" w:eastAsia="zh-CN" w:bidi="ar-SA"/>
              </w:rPr>
              <w:t>（现状监测）</w:t>
            </w:r>
            <w:r>
              <w:rPr>
                <w:rFonts w:hint="default" w:ascii="Times New Roman" w:hAnsi="Times New Roman" w:cs="宋体"/>
                <w:kern w:val="2"/>
                <w:sz w:val="24"/>
                <w:szCs w:val="24"/>
                <w:highlight w:val="none"/>
                <w:lang w:val="en-US" w:eastAsia="zh-CN" w:bidi="ar-SA"/>
              </w:rPr>
              <w:t>，昼间、夜间各监测一次；</w:t>
            </w:r>
          </w:p>
          <w:p>
            <w:pPr>
              <w:pStyle w:val="48"/>
              <w:bidi w:val="0"/>
              <w:rPr>
                <w:rFonts w:hint="eastAsia" w:ascii="Times New Roman" w:hAnsi="Times New Roman" w:cs="宋体"/>
                <w:kern w:val="2"/>
                <w:sz w:val="24"/>
                <w:szCs w:val="24"/>
                <w:highlight w:val="none"/>
                <w:lang w:val="en-US" w:eastAsia="zh-CN" w:bidi="ar-SA"/>
              </w:rPr>
            </w:pPr>
            <w:r>
              <w:rPr>
                <w:rFonts w:hint="eastAsia" w:ascii="Times New Roman" w:hAnsi="Times New Roman" w:cs="宋体"/>
                <w:kern w:val="2"/>
                <w:sz w:val="24"/>
                <w:szCs w:val="24"/>
                <w:highlight w:val="none"/>
                <w:lang w:val="en-US" w:eastAsia="zh-CN" w:bidi="ar-SA"/>
              </w:rPr>
              <w:t>监测方法：按《声环境质量标准》（GB3096-2008）的规定进行；</w:t>
            </w:r>
          </w:p>
          <w:p>
            <w:pPr>
              <w:pStyle w:val="48"/>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cs="宋体"/>
                <w:kern w:val="2"/>
                <w:sz w:val="24"/>
                <w:szCs w:val="24"/>
                <w:highlight w:val="none"/>
                <w:lang w:val="en-US" w:eastAsia="zh-CN" w:bidi="ar-SA"/>
              </w:rPr>
            </w:pPr>
            <w:r>
              <w:rPr>
                <w:rFonts w:hint="default" w:ascii="Times New Roman" w:hAnsi="Times New Roman" w:cs="宋体"/>
                <w:kern w:val="2"/>
                <w:sz w:val="24"/>
                <w:szCs w:val="24"/>
                <w:highlight w:val="none"/>
                <w:lang w:val="en-US" w:eastAsia="zh-CN" w:bidi="ar-SA"/>
              </w:rPr>
              <w:t>评价标准：</w:t>
            </w:r>
            <w:r>
              <w:rPr>
                <w:rFonts w:hint="eastAsia" w:ascii="Times New Roman" w:hAnsi="Times New Roman" w:cs="宋体"/>
                <w:kern w:val="2"/>
                <w:sz w:val="24"/>
                <w:szCs w:val="24"/>
                <w:highlight w:val="none"/>
                <w:lang w:val="en-US" w:eastAsia="zh-CN" w:bidi="ar-SA"/>
              </w:rPr>
              <w:t>保护目标敏感点</w:t>
            </w:r>
            <w:r>
              <w:rPr>
                <w:rFonts w:hint="default" w:ascii="Times New Roman" w:hAnsi="Times New Roman" w:cs="宋体"/>
                <w:kern w:val="2"/>
                <w:sz w:val="24"/>
                <w:szCs w:val="24"/>
                <w:highlight w:val="none"/>
                <w:lang w:val="en-US" w:eastAsia="zh-CN" w:bidi="ar-SA"/>
              </w:rPr>
              <w:t>噪声执行《声环境质量标准》（GB3096-2008）中</w:t>
            </w:r>
            <w:r>
              <w:rPr>
                <w:rFonts w:hint="eastAsia" w:ascii="Times New Roman" w:hAnsi="Times New Roman" w:cs="宋体"/>
                <w:kern w:val="2"/>
                <w:sz w:val="24"/>
                <w:szCs w:val="24"/>
                <w:highlight w:val="none"/>
                <w:lang w:val="en-US" w:eastAsia="zh-CN" w:bidi="ar-SA"/>
              </w:rPr>
              <w:t>2</w:t>
            </w:r>
            <w:r>
              <w:rPr>
                <w:rFonts w:hint="default" w:ascii="Times New Roman" w:hAnsi="Times New Roman" w:cs="宋体"/>
                <w:kern w:val="2"/>
                <w:sz w:val="24"/>
                <w:szCs w:val="24"/>
                <w:highlight w:val="none"/>
                <w:lang w:val="en-US" w:eastAsia="zh-CN" w:bidi="ar-SA"/>
              </w:rPr>
              <w:t>类标准。声环境质量监测及评价结果见表3-2。</w:t>
            </w:r>
          </w:p>
          <w:p>
            <w:pPr>
              <w:pStyle w:val="50"/>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highlight w:val="none"/>
                <w:lang w:val="en-US" w:eastAsia="zh-CN"/>
              </w:rPr>
            </w:pPr>
            <w:r>
              <w:rPr>
                <w:rFonts w:hint="default"/>
                <w:sz w:val="24"/>
                <w:szCs w:val="24"/>
                <w:highlight w:val="none"/>
                <w:lang w:val="en-US" w:eastAsia="zh-CN"/>
              </w:rPr>
              <w:t>表3-2</w:t>
            </w:r>
            <w:r>
              <w:rPr>
                <w:rFonts w:hint="eastAsia"/>
                <w:sz w:val="24"/>
                <w:szCs w:val="24"/>
                <w:highlight w:val="none"/>
                <w:lang w:val="en-US" w:eastAsia="zh-CN"/>
              </w:rPr>
              <w:t xml:space="preserve">    声环境噪声监测及评价结果一览表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890"/>
              <w:gridCol w:w="850"/>
              <w:gridCol w:w="1234"/>
              <w:gridCol w:w="943"/>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pct"/>
                  <w:vMerge w:val="restart"/>
                  <w:vAlign w:val="center"/>
                </w:tcPr>
                <w:p>
                  <w:pPr>
                    <w:pStyle w:val="60"/>
                    <w:bidi w:val="0"/>
                    <w:jc w:val="center"/>
                    <w:rPr>
                      <w:rFonts w:hint="default"/>
                      <w:highlight w:val="none"/>
                      <w:lang w:val="en-US" w:eastAsia="zh-CN"/>
                    </w:rPr>
                  </w:pPr>
                  <w:r>
                    <w:rPr>
                      <w:rFonts w:hint="eastAsia"/>
                      <w:highlight w:val="none"/>
                      <w:lang w:val="en-US" w:eastAsia="zh-CN"/>
                    </w:rPr>
                    <w:t>点位</w:t>
                  </w:r>
                </w:p>
              </w:tc>
              <w:tc>
                <w:tcPr>
                  <w:tcW w:w="1091" w:type="pct"/>
                  <w:gridSpan w:val="2"/>
                  <w:vAlign w:val="center"/>
                </w:tcPr>
                <w:p>
                  <w:pPr>
                    <w:pStyle w:val="60"/>
                    <w:bidi w:val="0"/>
                    <w:jc w:val="center"/>
                    <w:rPr>
                      <w:rFonts w:hint="default"/>
                      <w:highlight w:val="none"/>
                      <w:lang w:val="en-US" w:eastAsia="zh-CN"/>
                    </w:rPr>
                  </w:pPr>
                  <w:r>
                    <w:rPr>
                      <w:rFonts w:hint="eastAsia"/>
                      <w:highlight w:val="none"/>
                      <w:lang w:val="en-US" w:eastAsia="zh-CN"/>
                    </w:rPr>
                    <w:t>现状值</w:t>
                  </w:r>
                </w:p>
              </w:tc>
              <w:tc>
                <w:tcPr>
                  <w:tcW w:w="774" w:type="pct"/>
                  <w:vAlign w:val="center"/>
                </w:tcPr>
                <w:p>
                  <w:pPr>
                    <w:pStyle w:val="60"/>
                    <w:bidi w:val="0"/>
                    <w:jc w:val="center"/>
                    <w:rPr>
                      <w:rFonts w:hint="default"/>
                      <w:highlight w:val="none"/>
                      <w:lang w:val="en-US" w:eastAsia="zh-CN"/>
                    </w:rPr>
                  </w:pPr>
                  <w:r>
                    <w:rPr>
                      <w:rFonts w:hint="eastAsia"/>
                      <w:highlight w:val="none"/>
                      <w:lang w:val="en-US" w:eastAsia="zh-CN"/>
                    </w:rPr>
                    <w:t>标准值</w:t>
                  </w:r>
                </w:p>
              </w:tc>
              <w:tc>
                <w:tcPr>
                  <w:tcW w:w="1230" w:type="pct"/>
                  <w:gridSpan w:val="2"/>
                  <w:vAlign w:val="center"/>
                </w:tcPr>
                <w:p>
                  <w:pPr>
                    <w:pStyle w:val="60"/>
                    <w:bidi w:val="0"/>
                    <w:jc w:val="center"/>
                    <w:rPr>
                      <w:rFonts w:hint="default"/>
                      <w:highlight w:val="none"/>
                      <w:lang w:val="en-US" w:eastAsia="zh-CN"/>
                    </w:rPr>
                  </w:pPr>
                  <w:r>
                    <w:rPr>
                      <w:rFonts w:hint="eastAsia"/>
                      <w:highlight w:val="none"/>
                      <w:lang w:val="en-US" w:eastAsia="zh-CN"/>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pct"/>
                  <w:vMerge w:val="continue"/>
                  <w:vAlign w:val="center"/>
                </w:tcPr>
                <w:p>
                  <w:pPr>
                    <w:pStyle w:val="60"/>
                    <w:bidi w:val="0"/>
                    <w:jc w:val="center"/>
                    <w:rPr>
                      <w:rFonts w:hint="eastAsia"/>
                      <w:highlight w:val="none"/>
                      <w:lang w:val="en-US" w:eastAsia="zh-CN"/>
                    </w:rPr>
                  </w:pPr>
                </w:p>
              </w:tc>
              <w:tc>
                <w:tcPr>
                  <w:tcW w:w="558" w:type="pct"/>
                  <w:vAlign w:val="center"/>
                </w:tcPr>
                <w:p>
                  <w:pPr>
                    <w:pStyle w:val="60"/>
                    <w:bidi w:val="0"/>
                    <w:jc w:val="center"/>
                    <w:rPr>
                      <w:rFonts w:hint="default"/>
                      <w:highlight w:val="none"/>
                      <w:lang w:val="en-US" w:eastAsia="zh-CN"/>
                    </w:rPr>
                  </w:pPr>
                  <w:r>
                    <w:rPr>
                      <w:rFonts w:hint="eastAsia"/>
                      <w:highlight w:val="none"/>
                      <w:lang w:val="en-US" w:eastAsia="zh-CN"/>
                    </w:rPr>
                    <w:t>昼间</w:t>
                  </w:r>
                </w:p>
              </w:tc>
              <w:tc>
                <w:tcPr>
                  <w:tcW w:w="533" w:type="pct"/>
                  <w:vAlign w:val="center"/>
                </w:tcPr>
                <w:p>
                  <w:pPr>
                    <w:pStyle w:val="60"/>
                    <w:bidi w:val="0"/>
                    <w:jc w:val="center"/>
                    <w:rPr>
                      <w:rFonts w:hint="default"/>
                      <w:highlight w:val="none"/>
                      <w:lang w:val="en-US" w:eastAsia="zh-CN"/>
                    </w:rPr>
                  </w:pPr>
                  <w:r>
                    <w:rPr>
                      <w:rFonts w:hint="eastAsia"/>
                      <w:highlight w:val="none"/>
                      <w:lang w:val="en-US" w:eastAsia="zh-CN"/>
                    </w:rPr>
                    <w:t>夜间</w:t>
                  </w:r>
                </w:p>
              </w:tc>
              <w:tc>
                <w:tcPr>
                  <w:tcW w:w="774" w:type="pct"/>
                  <w:vMerge w:val="restart"/>
                  <w:vAlign w:val="center"/>
                </w:tcPr>
                <w:p>
                  <w:pPr>
                    <w:pStyle w:val="60"/>
                    <w:bidi w:val="0"/>
                    <w:jc w:val="center"/>
                    <w:rPr>
                      <w:rFonts w:hint="default"/>
                      <w:highlight w:val="none"/>
                      <w:lang w:val="en-US" w:eastAsia="zh-CN"/>
                    </w:rPr>
                  </w:pPr>
                  <w:r>
                    <w:rPr>
                      <w:rFonts w:hint="eastAsia"/>
                      <w:highlight w:val="none"/>
                      <w:lang w:val="en-US" w:eastAsia="zh-CN"/>
                    </w:rPr>
                    <w:t>昼间：60</w:t>
                  </w:r>
                </w:p>
                <w:p>
                  <w:pPr>
                    <w:pStyle w:val="60"/>
                    <w:bidi w:val="0"/>
                    <w:jc w:val="center"/>
                    <w:rPr>
                      <w:rFonts w:hint="default"/>
                      <w:highlight w:val="none"/>
                      <w:lang w:val="en-US" w:eastAsia="zh-CN"/>
                    </w:rPr>
                  </w:pPr>
                  <w:r>
                    <w:rPr>
                      <w:rFonts w:hint="eastAsia"/>
                      <w:highlight w:val="none"/>
                      <w:lang w:val="en-US" w:eastAsia="zh-CN"/>
                    </w:rPr>
                    <w:t>夜间：50</w:t>
                  </w:r>
                </w:p>
              </w:tc>
              <w:tc>
                <w:tcPr>
                  <w:tcW w:w="591" w:type="pct"/>
                  <w:vAlign w:val="center"/>
                </w:tcPr>
                <w:p>
                  <w:pPr>
                    <w:pStyle w:val="60"/>
                    <w:bidi w:val="0"/>
                    <w:jc w:val="center"/>
                    <w:rPr>
                      <w:rFonts w:hint="default"/>
                      <w:highlight w:val="none"/>
                      <w:lang w:val="en-US" w:eastAsia="zh-CN"/>
                    </w:rPr>
                  </w:pPr>
                  <w:r>
                    <w:rPr>
                      <w:rFonts w:hint="eastAsia"/>
                      <w:highlight w:val="none"/>
                      <w:lang w:val="en-US" w:eastAsia="zh-CN"/>
                    </w:rPr>
                    <w:t>昼间</w:t>
                  </w:r>
                </w:p>
              </w:tc>
              <w:tc>
                <w:tcPr>
                  <w:tcW w:w="639" w:type="pct"/>
                  <w:vAlign w:val="center"/>
                </w:tcPr>
                <w:p>
                  <w:pPr>
                    <w:pStyle w:val="60"/>
                    <w:bidi w:val="0"/>
                    <w:jc w:val="center"/>
                    <w:rPr>
                      <w:rFonts w:hint="default"/>
                      <w:highlight w:val="none"/>
                      <w:lang w:val="en-US" w:eastAsia="zh-CN"/>
                    </w:rPr>
                  </w:pPr>
                  <w:r>
                    <w:rPr>
                      <w:rFonts w:hint="eastAsia"/>
                      <w:highlight w:val="no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pct"/>
                  <w:vAlign w:val="center"/>
                </w:tcPr>
                <w:p>
                  <w:pPr>
                    <w:pStyle w:val="60"/>
                    <w:bidi w:val="0"/>
                    <w:jc w:val="center"/>
                    <w:rPr>
                      <w:rFonts w:hint="default"/>
                      <w:highlight w:val="none"/>
                      <w:lang w:val="en-US" w:eastAsia="zh-CN"/>
                    </w:rPr>
                  </w:pPr>
                  <w:r>
                    <w:rPr>
                      <w:rFonts w:hint="default"/>
                      <w:highlight w:val="none"/>
                      <w:lang w:val="en-US" w:eastAsia="zh-CN"/>
                    </w:rPr>
                    <w:t>畜牧局家属楼</w:t>
                  </w:r>
                </w:p>
              </w:tc>
              <w:tc>
                <w:tcPr>
                  <w:tcW w:w="558" w:type="pct"/>
                  <w:vAlign w:val="center"/>
                </w:tcPr>
                <w:p>
                  <w:pPr>
                    <w:pStyle w:val="60"/>
                    <w:bidi w:val="0"/>
                    <w:jc w:val="center"/>
                    <w:rPr>
                      <w:rFonts w:hint="default"/>
                      <w:highlight w:val="none"/>
                      <w:lang w:val="en-US" w:eastAsia="zh-CN"/>
                    </w:rPr>
                  </w:pPr>
                  <w:r>
                    <w:rPr>
                      <w:rFonts w:hint="eastAsia"/>
                      <w:highlight w:val="none"/>
                      <w:lang w:val="en-US" w:eastAsia="zh-CN"/>
                    </w:rPr>
                    <w:t>48.9</w:t>
                  </w:r>
                </w:p>
              </w:tc>
              <w:tc>
                <w:tcPr>
                  <w:tcW w:w="533" w:type="pct"/>
                  <w:vAlign w:val="center"/>
                </w:tcPr>
                <w:p>
                  <w:pPr>
                    <w:pStyle w:val="60"/>
                    <w:bidi w:val="0"/>
                    <w:jc w:val="center"/>
                    <w:rPr>
                      <w:rFonts w:hint="default"/>
                      <w:highlight w:val="none"/>
                      <w:lang w:val="en-US" w:eastAsia="zh-CN"/>
                    </w:rPr>
                  </w:pPr>
                  <w:r>
                    <w:rPr>
                      <w:rFonts w:hint="eastAsia"/>
                      <w:highlight w:val="none"/>
                      <w:lang w:val="en-US" w:eastAsia="zh-CN"/>
                    </w:rPr>
                    <w:t>44.9</w:t>
                  </w:r>
                </w:p>
              </w:tc>
              <w:tc>
                <w:tcPr>
                  <w:tcW w:w="774" w:type="pct"/>
                  <w:vMerge w:val="continue"/>
                  <w:vAlign w:val="center"/>
                </w:tcPr>
                <w:p>
                  <w:pPr>
                    <w:pStyle w:val="60"/>
                    <w:bidi w:val="0"/>
                    <w:jc w:val="center"/>
                    <w:rPr>
                      <w:rFonts w:hint="default"/>
                      <w:highlight w:val="none"/>
                      <w:lang w:val="en-US" w:eastAsia="zh-CN"/>
                    </w:rPr>
                  </w:pPr>
                </w:p>
              </w:tc>
              <w:tc>
                <w:tcPr>
                  <w:tcW w:w="591" w:type="pct"/>
                  <w:vAlign w:val="center"/>
                </w:tcPr>
                <w:p>
                  <w:pPr>
                    <w:pStyle w:val="60"/>
                    <w:bidi w:val="0"/>
                    <w:jc w:val="center"/>
                    <w:rPr>
                      <w:rFonts w:hint="default"/>
                      <w:highlight w:val="none"/>
                      <w:lang w:val="en-US" w:eastAsia="zh-CN"/>
                    </w:rPr>
                  </w:pPr>
                  <w:r>
                    <w:rPr>
                      <w:rFonts w:hint="eastAsia"/>
                      <w:highlight w:val="none"/>
                      <w:lang w:val="en-US" w:eastAsia="zh-CN"/>
                    </w:rPr>
                    <w:t>达标</w:t>
                  </w:r>
                </w:p>
              </w:tc>
              <w:tc>
                <w:tcPr>
                  <w:tcW w:w="639" w:type="pct"/>
                  <w:vAlign w:val="center"/>
                </w:tcPr>
                <w:p>
                  <w:pPr>
                    <w:pStyle w:val="60"/>
                    <w:bidi w:val="0"/>
                    <w:jc w:val="center"/>
                    <w:rPr>
                      <w:rFonts w:hint="default"/>
                      <w:highlight w:val="none"/>
                      <w:lang w:val="en-US" w:eastAsia="zh-CN"/>
                    </w:rPr>
                  </w:pPr>
                  <w:r>
                    <w:rPr>
                      <w:rFonts w:hint="eastAsia"/>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03" w:type="pct"/>
                  <w:vAlign w:val="center"/>
                </w:tcPr>
                <w:p>
                  <w:pPr>
                    <w:pStyle w:val="60"/>
                    <w:bidi w:val="0"/>
                    <w:jc w:val="center"/>
                    <w:rPr>
                      <w:rFonts w:hint="default"/>
                      <w:highlight w:val="none"/>
                      <w:lang w:val="en-US" w:eastAsia="zh-CN"/>
                    </w:rPr>
                  </w:pPr>
                  <w:r>
                    <w:rPr>
                      <w:rFonts w:hint="eastAsia"/>
                      <w:highlight w:val="none"/>
                      <w:lang w:val="en-US" w:eastAsia="zh-CN"/>
                    </w:rPr>
                    <w:t>卫教小区</w:t>
                  </w:r>
                </w:p>
              </w:tc>
              <w:tc>
                <w:tcPr>
                  <w:tcW w:w="558" w:type="pct"/>
                  <w:vAlign w:val="center"/>
                </w:tcPr>
                <w:p>
                  <w:pPr>
                    <w:pStyle w:val="60"/>
                    <w:bidi w:val="0"/>
                    <w:jc w:val="center"/>
                    <w:rPr>
                      <w:rFonts w:hint="default"/>
                      <w:highlight w:val="none"/>
                      <w:lang w:val="en-US" w:eastAsia="zh-CN"/>
                    </w:rPr>
                  </w:pPr>
                  <w:r>
                    <w:rPr>
                      <w:rFonts w:hint="eastAsia"/>
                      <w:highlight w:val="none"/>
                      <w:lang w:val="en-US" w:eastAsia="zh-CN"/>
                    </w:rPr>
                    <w:t>50</w:t>
                  </w:r>
                </w:p>
              </w:tc>
              <w:tc>
                <w:tcPr>
                  <w:tcW w:w="533" w:type="pct"/>
                  <w:vAlign w:val="center"/>
                </w:tcPr>
                <w:p>
                  <w:pPr>
                    <w:pStyle w:val="60"/>
                    <w:bidi w:val="0"/>
                    <w:jc w:val="center"/>
                    <w:rPr>
                      <w:rFonts w:hint="default"/>
                      <w:highlight w:val="none"/>
                      <w:lang w:val="en-US" w:eastAsia="zh-CN"/>
                    </w:rPr>
                  </w:pPr>
                  <w:r>
                    <w:rPr>
                      <w:rFonts w:hint="eastAsia"/>
                      <w:highlight w:val="none"/>
                      <w:lang w:val="en-US" w:eastAsia="zh-CN"/>
                    </w:rPr>
                    <w:t>44</w:t>
                  </w:r>
                </w:p>
              </w:tc>
              <w:tc>
                <w:tcPr>
                  <w:tcW w:w="774" w:type="pct"/>
                  <w:vMerge w:val="continue"/>
                  <w:vAlign w:val="center"/>
                </w:tcPr>
                <w:p>
                  <w:pPr>
                    <w:pStyle w:val="60"/>
                    <w:bidi w:val="0"/>
                    <w:jc w:val="center"/>
                    <w:rPr>
                      <w:rFonts w:hint="default"/>
                      <w:highlight w:val="none"/>
                      <w:lang w:val="en-US" w:eastAsia="zh-CN"/>
                    </w:rPr>
                  </w:pPr>
                </w:p>
              </w:tc>
              <w:tc>
                <w:tcPr>
                  <w:tcW w:w="943" w:type="dxa"/>
                  <w:vAlign w:val="center"/>
                </w:tcPr>
                <w:p>
                  <w:pPr>
                    <w:pStyle w:val="60"/>
                    <w:bidi w:val="0"/>
                    <w:jc w:val="center"/>
                    <w:rPr>
                      <w:rFonts w:hint="eastAsia"/>
                      <w:highlight w:val="none"/>
                      <w:lang w:val="en-US" w:eastAsia="zh-CN"/>
                    </w:rPr>
                  </w:pPr>
                  <w:r>
                    <w:rPr>
                      <w:rFonts w:hint="eastAsia"/>
                      <w:highlight w:val="none"/>
                      <w:lang w:val="en-US" w:eastAsia="zh-CN"/>
                    </w:rPr>
                    <w:t>达标</w:t>
                  </w:r>
                </w:p>
              </w:tc>
              <w:tc>
                <w:tcPr>
                  <w:tcW w:w="1019" w:type="dxa"/>
                  <w:vAlign w:val="center"/>
                </w:tcPr>
                <w:p>
                  <w:pPr>
                    <w:pStyle w:val="60"/>
                    <w:bidi w:val="0"/>
                    <w:jc w:val="center"/>
                    <w:rPr>
                      <w:rFonts w:hint="eastAsia"/>
                      <w:highlight w:val="none"/>
                      <w:lang w:val="en-US" w:eastAsia="zh-CN"/>
                    </w:rPr>
                  </w:pPr>
                  <w:r>
                    <w:rPr>
                      <w:rFonts w:hint="eastAsia"/>
                      <w:highlight w:val="none"/>
                      <w:lang w:val="en-US" w:eastAsia="zh-CN"/>
                    </w:rPr>
                    <w:t>达标</w:t>
                  </w:r>
                </w:p>
              </w:tc>
            </w:tr>
          </w:tbl>
          <w:p>
            <w:pPr>
              <w:pStyle w:val="58"/>
              <w:bidi w:val="0"/>
              <w:rPr>
                <w:rFonts w:hint="default"/>
                <w:highlight w:val="none"/>
                <w:lang w:val="en-US" w:eastAsia="zh-CN"/>
              </w:rPr>
            </w:pPr>
            <w:r>
              <w:rPr>
                <w:rFonts w:hint="eastAsia"/>
                <w:highlight w:val="none"/>
                <w:lang w:val="en-US" w:eastAsia="zh-CN"/>
              </w:rPr>
              <w:t>由表3-2可知，项目区保护目标声环境质量现状满足《声环境质量标准》</w:t>
            </w:r>
          </w:p>
          <w:p>
            <w:pPr>
              <w:pStyle w:val="58"/>
              <w:bidi w:val="0"/>
              <w:ind w:left="0" w:leftChars="0" w:firstLine="0" w:firstLineChars="0"/>
              <w:rPr>
                <w:highlight w:val="none"/>
              </w:rPr>
            </w:pPr>
            <w:r>
              <w:rPr>
                <w:rFonts w:hint="eastAsia"/>
                <w:highlight w:val="none"/>
                <w:lang w:val="en-US" w:eastAsia="zh-CN"/>
              </w:rPr>
              <w:t>（</w:t>
            </w:r>
            <w:r>
              <w:rPr>
                <w:rFonts w:hint="default"/>
                <w:highlight w:val="none"/>
                <w:lang w:val="en-US" w:eastAsia="zh-CN"/>
              </w:rPr>
              <w:t>GB3096-2008</w:t>
            </w:r>
            <w:r>
              <w:rPr>
                <w:rFonts w:hint="eastAsia"/>
                <w:highlight w:val="none"/>
                <w:lang w:val="en-US" w:eastAsia="zh-CN"/>
              </w:rPr>
              <w:t>）2类功能区标准要求。</w:t>
            </w:r>
          </w:p>
          <w:p>
            <w:pPr>
              <w:pStyle w:val="51"/>
              <w:bidi w:val="0"/>
              <w:rPr>
                <w:rFonts w:hint="eastAsia"/>
                <w:lang w:val="en-US" w:eastAsia="zh-CN"/>
              </w:rPr>
            </w:pPr>
            <w:r>
              <w:rPr>
                <w:rFonts w:hint="eastAsia"/>
                <w:lang w:val="en-US" w:eastAsia="zh-CN"/>
              </w:rPr>
              <w:t>4地下水、土壤现状</w:t>
            </w:r>
          </w:p>
          <w:p>
            <w:pPr>
              <w:pStyle w:val="55"/>
              <w:bidi w:val="0"/>
              <w:rPr>
                <w:rFonts w:hint="default"/>
                <w:lang w:val="en-US" w:eastAsia="zh-CN"/>
              </w:rPr>
            </w:pPr>
            <w:r>
              <w:rPr>
                <w:rFonts w:hint="default"/>
                <w:lang w:val="en-US" w:eastAsia="zh-CN"/>
              </w:rPr>
              <w:t>本项目不存在土壤、地下水环境污染途径，故无需开展地下水、土壤环境质量现状调查。</w:t>
            </w:r>
          </w:p>
          <w:p>
            <w:pPr>
              <w:pStyle w:val="51"/>
              <w:bidi w:val="0"/>
              <w:rPr>
                <w:rFonts w:hint="default"/>
                <w:lang w:val="en-US" w:eastAsia="zh-CN"/>
              </w:rPr>
            </w:pPr>
            <w:r>
              <w:rPr>
                <w:rFonts w:hint="eastAsia"/>
                <w:lang w:val="en-US" w:eastAsia="zh-CN"/>
              </w:rPr>
              <w:t>5生态环境现状</w:t>
            </w:r>
          </w:p>
          <w:p>
            <w:pPr>
              <w:pStyle w:val="58"/>
              <w:bidi w:val="0"/>
              <w:rPr>
                <w:rFonts w:hint="eastAsia"/>
                <w:lang w:val="en-US" w:eastAsia="zh-CN"/>
              </w:rPr>
            </w:pPr>
            <w:r>
              <w:rPr>
                <w:rFonts w:hint="eastAsia"/>
                <w:lang w:val="en-US" w:eastAsia="zh-CN"/>
              </w:rPr>
              <w:t>根据《建设项目环境影响报告表编制技术指南（污染影响类）（试行）》，产业园区外建设项目新增用地且用地范围内含有生态环境保护目标时，应进行生态现状调查。</w:t>
            </w:r>
          </w:p>
          <w:p>
            <w:pPr>
              <w:pStyle w:val="58"/>
              <w:bidi w:val="0"/>
              <w:rPr>
                <w:rFonts w:hint="default"/>
                <w:lang w:val="en-US" w:eastAsia="zh-CN"/>
              </w:rPr>
            </w:pPr>
            <w:r>
              <w:rPr>
                <w:rFonts w:hint="eastAsia"/>
                <w:lang w:val="en-US" w:eastAsia="zh-CN"/>
              </w:rPr>
              <w:t>本项目无新增用地，区域内无生态环境保护目标，无需进行生态现状调查。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保护</w:t>
            </w:r>
          </w:p>
          <w:p>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8190" w:type="dxa"/>
            <w:noWrap w:val="0"/>
            <w:vAlign w:val="center"/>
          </w:tcPr>
          <w:p>
            <w:pPr>
              <w:pStyle w:val="47"/>
              <w:bidi w:val="0"/>
              <w:rPr>
                <w:rFonts w:hint="default"/>
                <w:lang w:val="en-US" w:eastAsia="zh-CN"/>
              </w:rPr>
            </w:pPr>
            <w:r>
              <w:rPr>
                <w:rFonts w:hint="eastAsia"/>
                <w:lang w:val="en-US" w:eastAsia="zh-CN"/>
              </w:rPr>
              <w:t>1.大气环境保护目标</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lang w:val="en-US" w:eastAsia="zh-CN"/>
              </w:rPr>
            </w:pPr>
            <w:r>
              <w:rPr>
                <w:rFonts w:hint="eastAsia"/>
                <w:lang w:val="en-US" w:eastAsia="zh-CN"/>
              </w:rPr>
              <w:t>根据《建设项目环境影响报告表编制技术指南（污染影响型）（试行）》，本项目厂界外500m范围内主要环境保护目标情况见下表3-3。</w:t>
            </w:r>
          </w:p>
          <w:p>
            <w:pPr>
              <w:pStyle w:val="59"/>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 xml:space="preserve">表3-3    </w:t>
            </w:r>
            <w:r>
              <w:rPr>
                <w:rFonts w:hint="default" w:ascii="Times New Roman" w:hAnsi="Times New Roman" w:cs="Times New Roman"/>
                <w:sz w:val="24"/>
                <w:szCs w:val="24"/>
                <w:highlight w:val="none"/>
              </w:rPr>
              <w:t>大气环境保护目标一览表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909"/>
              <w:gridCol w:w="2387"/>
              <w:gridCol w:w="1229"/>
              <w:gridCol w:w="132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496" w:type="pct"/>
                  <w:vAlign w:val="center"/>
                </w:tcPr>
                <w:p>
                  <w:pPr>
                    <w:pStyle w:val="60"/>
                    <w:bidi w:val="0"/>
                    <w:rPr>
                      <w:rFonts w:hint="default"/>
                      <w:highlight w:val="none"/>
                      <w:lang w:val="en-US" w:eastAsia="zh-CN"/>
                    </w:rPr>
                  </w:pPr>
                  <w:r>
                    <w:rPr>
                      <w:rFonts w:hint="eastAsia"/>
                      <w:highlight w:val="none"/>
                      <w:lang w:val="en-US" w:eastAsia="zh-CN"/>
                    </w:rPr>
                    <w:t>序号</w:t>
                  </w:r>
                </w:p>
              </w:tc>
              <w:tc>
                <w:tcPr>
                  <w:tcW w:w="570" w:type="pct"/>
                  <w:vAlign w:val="center"/>
                </w:tcPr>
                <w:p>
                  <w:pPr>
                    <w:pStyle w:val="60"/>
                    <w:bidi w:val="0"/>
                    <w:rPr>
                      <w:rFonts w:hint="default"/>
                      <w:highlight w:val="none"/>
                      <w:lang w:val="en-US" w:eastAsia="zh-CN"/>
                    </w:rPr>
                  </w:pPr>
                  <w:r>
                    <w:rPr>
                      <w:rFonts w:hint="eastAsia"/>
                      <w:highlight w:val="none"/>
                      <w:lang w:val="en-US" w:eastAsia="zh-CN"/>
                    </w:rPr>
                    <w:t>环境要素</w:t>
                  </w:r>
                </w:p>
              </w:tc>
              <w:tc>
                <w:tcPr>
                  <w:tcW w:w="1497" w:type="pct"/>
                  <w:vAlign w:val="center"/>
                </w:tcPr>
                <w:p>
                  <w:pPr>
                    <w:pStyle w:val="60"/>
                    <w:bidi w:val="0"/>
                    <w:rPr>
                      <w:rFonts w:hint="default"/>
                      <w:highlight w:val="none"/>
                      <w:lang w:val="en-US" w:eastAsia="zh-CN"/>
                    </w:rPr>
                  </w:pPr>
                  <w:r>
                    <w:rPr>
                      <w:rFonts w:hint="eastAsia"/>
                      <w:highlight w:val="none"/>
                      <w:lang w:val="en-US" w:eastAsia="zh-CN"/>
                    </w:rPr>
                    <w:t>敏感点</w:t>
                  </w:r>
                </w:p>
              </w:tc>
              <w:tc>
                <w:tcPr>
                  <w:tcW w:w="771" w:type="pct"/>
                  <w:vAlign w:val="center"/>
                </w:tcPr>
                <w:p>
                  <w:pPr>
                    <w:pStyle w:val="60"/>
                    <w:bidi w:val="0"/>
                    <w:rPr>
                      <w:rFonts w:hint="default"/>
                      <w:highlight w:val="none"/>
                      <w:lang w:val="en-US" w:eastAsia="zh-CN"/>
                    </w:rPr>
                  </w:pPr>
                  <w:r>
                    <w:rPr>
                      <w:rFonts w:hint="eastAsia"/>
                      <w:highlight w:val="none"/>
                      <w:lang w:val="en-US" w:eastAsia="zh-CN"/>
                    </w:rPr>
                    <w:t>相对医院方位</w:t>
                  </w:r>
                </w:p>
              </w:tc>
              <w:tc>
                <w:tcPr>
                  <w:tcW w:w="831" w:type="pct"/>
                  <w:vAlign w:val="center"/>
                </w:tcPr>
                <w:p>
                  <w:pPr>
                    <w:pStyle w:val="60"/>
                    <w:keepNext w:val="0"/>
                    <w:keepLines w:val="0"/>
                    <w:pageBreakBefore w:val="0"/>
                    <w:widowControl w:val="0"/>
                    <w:kinsoku/>
                    <w:wordWrap w:val="0"/>
                    <w:overflowPunct/>
                    <w:topLinePunct w:val="0"/>
                    <w:autoSpaceDE/>
                    <w:autoSpaceDN/>
                    <w:bidi w:val="0"/>
                    <w:adjustRightInd w:val="0"/>
                    <w:snapToGrid w:val="0"/>
                    <w:textAlignment w:val="auto"/>
                    <w:rPr>
                      <w:rFonts w:hint="default"/>
                      <w:highlight w:val="none"/>
                      <w:lang w:val="en-US" w:eastAsia="zh-CN"/>
                    </w:rPr>
                  </w:pPr>
                  <w:r>
                    <w:rPr>
                      <w:rFonts w:hint="eastAsia"/>
                      <w:highlight w:val="none"/>
                      <w:lang w:val="en-US" w:eastAsia="zh-CN"/>
                    </w:rPr>
                    <w:t>相对医院边界距离/m</w:t>
                  </w:r>
                </w:p>
              </w:tc>
              <w:tc>
                <w:tcPr>
                  <w:tcW w:w="832"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highlight w:val="none"/>
                      <w:lang w:val="en-US" w:eastAsia="zh-CN" w:bidi="ar-SA"/>
                    </w:rPr>
                  </w:pPr>
                  <w:r>
                    <w:rPr>
                      <w:rFonts w:hint="eastAsia"/>
                      <w:highlight w:val="none"/>
                      <w:lang w:val="en-US" w:eastAsia="zh-CN"/>
                    </w:rPr>
                    <w:t>环境功能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restart"/>
                  <w:vAlign w:val="center"/>
                </w:tcPr>
                <w:p>
                  <w:pPr>
                    <w:pStyle w:val="60"/>
                    <w:bidi w:val="0"/>
                    <w:rPr>
                      <w:rFonts w:hint="default"/>
                      <w:lang w:val="en-US" w:eastAsia="zh-CN"/>
                    </w:rPr>
                  </w:pPr>
                  <w:r>
                    <w:rPr>
                      <w:rFonts w:hint="eastAsia"/>
                      <w:lang w:val="en-US" w:eastAsia="zh-CN"/>
                    </w:rPr>
                    <w:t>大气环境</w:t>
                  </w:r>
                </w:p>
              </w:tc>
              <w:tc>
                <w:tcPr>
                  <w:tcW w:w="1497" w:type="pct"/>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库尔勒市第一人民医院</w:t>
                  </w:r>
                </w:p>
              </w:tc>
              <w:tc>
                <w:tcPr>
                  <w:tcW w:w="771" w:type="pct"/>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w:t>
                  </w:r>
                </w:p>
              </w:tc>
              <w:tc>
                <w:tcPr>
                  <w:tcW w:w="831" w:type="pct"/>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w:t>
                  </w:r>
                </w:p>
              </w:tc>
              <w:tc>
                <w:tcPr>
                  <w:tcW w:w="832" w:type="pct"/>
                  <w:vMerge w:val="restart"/>
                  <w:shd w:val="clear" w:color="auto" w:fill="auto"/>
                  <w:vAlign w:val="center"/>
                </w:tcPr>
                <w:p>
                  <w:pPr>
                    <w:pStyle w:val="60"/>
                    <w:keepNext w:val="0"/>
                    <w:keepLines w:val="0"/>
                    <w:pageBreakBefore w:val="0"/>
                    <w:widowControl w:val="0"/>
                    <w:kinsoku/>
                    <w:wordWrap w:val="0"/>
                    <w:overflowPunct/>
                    <w:topLinePunct w:val="0"/>
                    <w:autoSpaceDE/>
                    <w:autoSpaceDN/>
                    <w:bidi w:val="0"/>
                    <w:adjustRightInd w:val="0"/>
                    <w:snapToGrid w:val="0"/>
                    <w:textAlignment w:val="auto"/>
                    <w:rPr>
                      <w:rFonts w:hint="eastAsia" w:ascii="Times New Roman" w:hAnsi="Times New Roman" w:eastAsiaTheme="minorEastAsia" w:cstheme="minorEastAsia"/>
                      <w:color w:val="auto"/>
                      <w:kern w:val="2"/>
                      <w:sz w:val="21"/>
                      <w:szCs w:val="21"/>
                      <w:lang w:val="en-US" w:eastAsia="zh-CN" w:bidi="ar-SA"/>
                    </w:rPr>
                  </w:pPr>
                  <w:r>
                    <w:rPr>
                      <w:rFonts w:hint="default"/>
                      <w:lang w:val="en-US" w:eastAsia="zh-CN"/>
                    </w:rPr>
                    <w:t>《环境空气质量标准》（GB3095-2012）二类功能区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vAlign w:val="center"/>
                </w:tcPr>
                <w:p>
                  <w:pPr>
                    <w:pStyle w:val="60"/>
                    <w:bidi w:val="0"/>
                    <w:rPr>
                      <w:rFonts w:hint="default"/>
                      <w:lang w:val="en-US" w:eastAsia="zh-CN"/>
                    </w:rPr>
                  </w:pPr>
                  <w:r>
                    <w:rPr>
                      <w:rFonts w:hint="eastAsia"/>
                      <w:lang w:val="en-US" w:eastAsia="zh-CN"/>
                    </w:rPr>
                    <w:t>畜牧局家属楼</w:t>
                  </w:r>
                </w:p>
              </w:tc>
              <w:tc>
                <w:tcPr>
                  <w:tcW w:w="771" w:type="pct"/>
                  <w:vAlign w:val="center"/>
                </w:tcPr>
                <w:p>
                  <w:pPr>
                    <w:pStyle w:val="60"/>
                    <w:bidi w:val="0"/>
                    <w:rPr>
                      <w:rFonts w:hint="eastAsia"/>
                      <w:lang w:val="en-US" w:eastAsia="zh-CN"/>
                    </w:rPr>
                  </w:pPr>
                  <w:r>
                    <w:rPr>
                      <w:rFonts w:hint="eastAsia"/>
                      <w:lang w:val="en-US" w:eastAsia="zh-CN"/>
                    </w:rPr>
                    <w:t>院内</w:t>
                  </w:r>
                </w:p>
              </w:tc>
              <w:tc>
                <w:tcPr>
                  <w:tcW w:w="831" w:type="pct"/>
                  <w:vAlign w:val="center"/>
                </w:tcPr>
                <w:p>
                  <w:pPr>
                    <w:pStyle w:val="60"/>
                    <w:bidi w:val="0"/>
                    <w:rPr>
                      <w:rFonts w:hint="default" w:cstheme="minorEastAsia"/>
                      <w:color w:val="auto"/>
                      <w:kern w:val="2"/>
                      <w:sz w:val="21"/>
                      <w:szCs w:val="21"/>
                      <w:lang w:val="en-US" w:eastAsia="zh-CN" w:bidi="ar-SA"/>
                    </w:rPr>
                  </w:pPr>
                  <w:r>
                    <w:rPr>
                      <w:rFonts w:hint="eastAsia" w:cstheme="minorEastAsia"/>
                      <w:color w:val="auto"/>
                      <w:kern w:val="2"/>
                      <w:sz w:val="21"/>
                      <w:szCs w:val="21"/>
                      <w:lang w:val="en-US" w:eastAsia="zh-CN" w:bidi="ar-SA"/>
                    </w:rPr>
                    <w:t>/</w:t>
                  </w:r>
                </w:p>
              </w:tc>
              <w:tc>
                <w:tcPr>
                  <w:tcW w:w="832" w:type="pct"/>
                  <w:vMerge w:val="continue"/>
                  <w:shd w:val="clear" w:color="auto" w:fill="auto"/>
                  <w:vAlign w:val="center"/>
                </w:tcPr>
                <w:p>
                  <w:pPr>
                    <w:pStyle w:val="60"/>
                    <w:keepNext w:val="0"/>
                    <w:keepLines w:val="0"/>
                    <w:pageBreakBefore w:val="0"/>
                    <w:widowControl w:val="0"/>
                    <w:kinsoku/>
                    <w:wordWrap w:val="0"/>
                    <w:overflowPunct/>
                    <w:topLinePunct w:val="0"/>
                    <w:autoSpaceDE/>
                    <w:autoSpaceDN/>
                    <w:bidi w:val="0"/>
                    <w:adjustRightInd w:val="0"/>
                    <w:snapToGrid w:val="0"/>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卫教小区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南</w:t>
                  </w:r>
                </w:p>
              </w:tc>
              <w:tc>
                <w:tcPr>
                  <w:tcW w:w="83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紧邻</w:t>
                  </w:r>
                </w:p>
              </w:tc>
              <w:tc>
                <w:tcPr>
                  <w:tcW w:w="832" w:type="pct"/>
                  <w:vMerge w:val="continue"/>
                  <w:shd w:val="clear" w:color="auto" w:fill="auto"/>
                  <w:vAlign w:val="center"/>
                </w:tcPr>
                <w:p>
                  <w:pPr>
                    <w:pStyle w:val="60"/>
                    <w:keepNext w:val="0"/>
                    <w:keepLines w:val="0"/>
                    <w:pageBreakBefore w:val="0"/>
                    <w:widowControl w:val="0"/>
                    <w:kinsoku/>
                    <w:wordWrap w:val="0"/>
                    <w:overflowPunct/>
                    <w:topLinePunct w:val="0"/>
                    <w:autoSpaceDE/>
                    <w:autoSpaceDN/>
                    <w:bidi w:val="0"/>
                    <w:adjustRightInd w:val="0"/>
                    <w:snapToGrid w:val="0"/>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库尔勒市第一中学</w:t>
                  </w:r>
                </w:p>
              </w:tc>
              <w:tc>
                <w:tcPr>
                  <w:tcW w:w="771" w:type="pct"/>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东</w:t>
                  </w:r>
                </w:p>
              </w:tc>
              <w:tc>
                <w:tcPr>
                  <w:tcW w:w="831" w:type="pct"/>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60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铁克乡朝阳社区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西南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170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福瑞花园</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东南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220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阿尔塔木小区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300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库尔勒市农业农村局及家属院</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西南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140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观尚庭小区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西南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160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官邸中央花园</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西南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250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城府花园小区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西南</w:t>
                  </w:r>
                </w:p>
              </w:tc>
              <w:tc>
                <w:tcPr>
                  <w:tcW w:w="83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305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东方花园三号小区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梨园小区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135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民房</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170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库尔勒市二幼</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260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公安小区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430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库尔勒市第五小学</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东北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100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库尔勒市交通运输局</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东北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库尔勒市人民法院</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东北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375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若荷澜大厦</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团结大厦</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东北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340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团结小区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东北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170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商铺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阳光花园小区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巴音郭楞蒙古自治州公安局</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55</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江南城小区</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lang w:val="en-US" w:eastAsia="zh-CN"/>
                    </w:rPr>
                    <w:t>西北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310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鸿景尚苑</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西</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270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梨城春府苑（在建）</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西</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10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库尔勒市人力资源服务中心</w:t>
                  </w:r>
                </w:p>
              </w:tc>
              <w:tc>
                <w:tcPr>
                  <w:tcW w:w="771" w:type="pct"/>
                  <w:shd w:val="clear" w:color="auto" w:fill="auto"/>
                  <w:vAlign w:val="center"/>
                </w:tcPr>
                <w:p>
                  <w:pPr>
                    <w:pStyle w:val="60"/>
                    <w:bidi w:val="0"/>
                    <w:rPr>
                      <w:rFonts w:hint="eastAsia"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西南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180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lang w:val="en-US" w:eastAsia="zh-CN"/>
                    </w:rPr>
                  </w:pPr>
                  <w:r>
                    <w:rPr>
                      <w:rFonts w:hint="eastAsia"/>
                      <w:lang w:val="en-US" w:eastAsia="zh-CN"/>
                    </w:rPr>
                    <w:t>天月美郡小区</w:t>
                  </w:r>
                </w:p>
              </w:tc>
              <w:tc>
                <w:tcPr>
                  <w:tcW w:w="771" w:type="pct"/>
                  <w:shd w:val="clear" w:color="auto" w:fill="auto"/>
                  <w:vAlign w:val="center"/>
                </w:tcPr>
                <w:p>
                  <w:pPr>
                    <w:pStyle w:val="60"/>
                    <w:bidi w:val="0"/>
                    <w:rPr>
                      <w:rFonts w:hint="eastAsia"/>
                      <w:lang w:val="en-US" w:eastAsia="zh-CN"/>
                    </w:rPr>
                  </w:pPr>
                  <w:r>
                    <w:rPr>
                      <w:rFonts w:hint="eastAsia"/>
                      <w:lang w:val="en-US" w:eastAsia="zh-CN"/>
                    </w:rPr>
                    <w:t>西北</w:t>
                  </w:r>
                </w:p>
              </w:tc>
              <w:tc>
                <w:tcPr>
                  <w:tcW w:w="831" w:type="pct"/>
                  <w:shd w:val="clear" w:color="auto" w:fill="auto"/>
                  <w:vAlign w:val="center"/>
                </w:tcPr>
                <w:p>
                  <w:pPr>
                    <w:pStyle w:val="60"/>
                    <w:bidi w:val="0"/>
                    <w:rPr>
                      <w:rFonts w:hint="default"/>
                      <w:lang w:val="en-US" w:eastAsia="zh-CN"/>
                    </w:rPr>
                  </w:pPr>
                  <w:r>
                    <w:rPr>
                      <w:rFonts w:hint="eastAsia"/>
                      <w:lang w:val="en-US" w:eastAsia="zh-CN"/>
                    </w:rPr>
                    <w:t>270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lang w:val="en-US" w:eastAsia="zh-CN"/>
                    </w:rPr>
                  </w:pPr>
                  <w:r>
                    <w:rPr>
                      <w:rFonts w:hint="eastAsia"/>
                      <w:lang w:val="en-US" w:eastAsia="zh-CN"/>
                    </w:rPr>
                    <w:t>团结街道办事处</w:t>
                  </w:r>
                </w:p>
              </w:tc>
              <w:tc>
                <w:tcPr>
                  <w:tcW w:w="771" w:type="pct"/>
                  <w:shd w:val="clear" w:color="auto" w:fill="auto"/>
                  <w:vAlign w:val="center"/>
                </w:tcPr>
                <w:p>
                  <w:pPr>
                    <w:pStyle w:val="60"/>
                    <w:bidi w:val="0"/>
                    <w:rPr>
                      <w:rFonts w:hint="default"/>
                      <w:lang w:val="en-US" w:eastAsia="zh-CN"/>
                    </w:rPr>
                  </w:pPr>
                  <w:r>
                    <w:rPr>
                      <w:rFonts w:hint="eastAsia"/>
                      <w:lang w:val="en-US" w:eastAsia="zh-CN"/>
                    </w:rPr>
                    <w:t>西北</w:t>
                  </w:r>
                </w:p>
              </w:tc>
              <w:tc>
                <w:tcPr>
                  <w:tcW w:w="831" w:type="pct"/>
                  <w:shd w:val="clear" w:color="auto" w:fill="auto"/>
                  <w:vAlign w:val="center"/>
                </w:tcPr>
                <w:p>
                  <w:pPr>
                    <w:pStyle w:val="60"/>
                    <w:bidi w:val="0"/>
                    <w:rPr>
                      <w:rFonts w:hint="default"/>
                      <w:lang w:val="en-US" w:eastAsia="zh-CN"/>
                    </w:rPr>
                  </w:pPr>
                  <w:r>
                    <w:rPr>
                      <w:rFonts w:hint="eastAsia"/>
                      <w:lang w:val="en-US" w:eastAsia="zh-CN"/>
                    </w:rPr>
                    <w:t>230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lang w:val="en-US" w:eastAsia="zh-CN"/>
                    </w:rPr>
                  </w:pPr>
                  <w:r>
                    <w:rPr>
                      <w:rFonts w:hint="eastAsia"/>
                      <w:lang w:val="en-US" w:eastAsia="zh-CN"/>
                    </w:rPr>
                    <w:t>馨景苑</w:t>
                  </w:r>
                </w:p>
              </w:tc>
              <w:tc>
                <w:tcPr>
                  <w:tcW w:w="771" w:type="pct"/>
                  <w:shd w:val="clear" w:color="auto" w:fill="auto"/>
                  <w:vAlign w:val="center"/>
                </w:tcPr>
                <w:p>
                  <w:pPr>
                    <w:pStyle w:val="60"/>
                    <w:bidi w:val="0"/>
                    <w:rPr>
                      <w:rFonts w:hint="default"/>
                      <w:lang w:val="en-US" w:eastAsia="zh-CN"/>
                    </w:rPr>
                  </w:pPr>
                  <w:r>
                    <w:rPr>
                      <w:rFonts w:hint="eastAsia"/>
                      <w:lang w:val="en-US" w:eastAsia="zh-CN"/>
                    </w:rPr>
                    <w:t>西北</w:t>
                  </w:r>
                </w:p>
              </w:tc>
              <w:tc>
                <w:tcPr>
                  <w:tcW w:w="831" w:type="pct"/>
                  <w:shd w:val="clear" w:color="auto" w:fill="auto"/>
                  <w:vAlign w:val="center"/>
                </w:tcPr>
                <w:p>
                  <w:pPr>
                    <w:pStyle w:val="60"/>
                    <w:bidi w:val="0"/>
                    <w:rPr>
                      <w:rFonts w:hint="default"/>
                      <w:lang w:val="en-US" w:eastAsia="zh-CN"/>
                    </w:rPr>
                  </w:pPr>
                  <w:r>
                    <w:rPr>
                      <w:rFonts w:hint="eastAsia"/>
                      <w:lang w:val="en-US" w:eastAsia="zh-CN"/>
                    </w:rPr>
                    <w:t>190</w:t>
                  </w:r>
                </w:p>
              </w:tc>
              <w:tc>
                <w:tcPr>
                  <w:tcW w:w="832" w:type="pct"/>
                  <w:vMerge w:val="continue"/>
                  <w:vAlign w:val="center"/>
                </w:tcPr>
                <w:p>
                  <w:pPr>
                    <w:pStyle w:val="60"/>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pct"/>
                  <w:vAlign w:val="center"/>
                </w:tcPr>
                <w:p>
                  <w:pPr>
                    <w:pStyle w:val="60"/>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570" w:type="pct"/>
                  <w:vMerge w:val="continue"/>
                  <w:vAlign w:val="center"/>
                </w:tcPr>
                <w:p>
                  <w:pPr>
                    <w:pStyle w:val="60"/>
                    <w:bidi w:val="0"/>
                    <w:rPr>
                      <w:rFonts w:hint="eastAsia"/>
                      <w:lang w:val="en-US" w:eastAsia="zh-CN"/>
                    </w:rPr>
                  </w:pPr>
                </w:p>
              </w:tc>
              <w:tc>
                <w:tcPr>
                  <w:tcW w:w="1497"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巴州第一中学（南校区）及家属院</w:t>
                  </w:r>
                </w:p>
              </w:tc>
              <w:tc>
                <w:tcPr>
                  <w:tcW w:w="77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北</w:t>
                  </w:r>
                </w:p>
              </w:tc>
              <w:tc>
                <w:tcPr>
                  <w:tcW w:w="831" w:type="pct"/>
                  <w:shd w:val="clear" w:color="auto" w:fill="auto"/>
                  <w:vAlign w:val="center"/>
                </w:tcPr>
                <w:p>
                  <w:pPr>
                    <w:pStyle w:val="60"/>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260</w:t>
                  </w:r>
                </w:p>
              </w:tc>
              <w:tc>
                <w:tcPr>
                  <w:tcW w:w="832" w:type="pct"/>
                  <w:vMerge w:val="continue"/>
                  <w:vAlign w:val="center"/>
                </w:tcPr>
                <w:p>
                  <w:pPr>
                    <w:pStyle w:val="60"/>
                    <w:bidi w:val="0"/>
                    <w:rPr>
                      <w:rFonts w:hint="eastAsia"/>
                      <w:lang w:val="en-US" w:eastAsia="zh-CN"/>
                    </w:rPr>
                  </w:pPr>
                </w:p>
              </w:tc>
            </w:tr>
          </w:tbl>
          <w:p>
            <w:pPr>
              <w:pStyle w:val="47"/>
              <w:bidi w:val="0"/>
              <w:rPr>
                <w:rFonts w:hint="eastAsia"/>
                <w:lang w:val="en-US" w:eastAsia="zh-CN"/>
              </w:rPr>
            </w:pPr>
            <w:r>
              <w:rPr>
                <w:rFonts w:hint="eastAsia"/>
                <w:lang w:val="en-US" w:eastAsia="zh-CN"/>
              </w:rPr>
              <w:t>2声环境保护目标</w:t>
            </w:r>
          </w:p>
          <w:p>
            <w:pPr>
              <w:pStyle w:val="48"/>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eastAsia"/>
                <w:sz w:val="24"/>
                <w:szCs w:val="24"/>
                <w:lang w:val="en-US" w:eastAsia="zh-CN"/>
              </w:rPr>
            </w:pPr>
            <w:r>
              <w:rPr>
                <w:rFonts w:hint="eastAsia"/>
                <w:lang w:val="en-US" w:eastAsia="zh-CN"/>
              </w:rPr>
              <w:t>根据《建设项目环境影响报告表编制技术指南（污染影响型）（试行）》要求，需要明</w:t>
            </w:r>
            <w:r>
              <w:rPr>
                <w:rFonts w:hint="eastAsia"/>
                <w:sz w:val="24"/>
                <w:szCs w:val="24"/>
                <w:lang w:val="en-US" w:eastAsia="zh-CN"/>
              </w:rPr>
              <w:t>确厂界外50m范围内声环境保护目标，本项目声环境保护目标见表3-4。</w:t>
            </w:r>
          </w:p>
          <w:p>
            <w:pPr>
              <w:pStyle w:val="50"/>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default"/>
                <w:sz w:val="24"/>
                <w:szCs w:val="24"/>
                <w:lang w:val="en-US" w:eastAsia="zh-CN"/>
              </w:rPr>
            </w:pPr>
            <w:r>
              <w:rPr>
                <w:rFonts w:hint="eastAsia"/>
                <w:sz w:val="24"/>
                <w:szCs w:val="24"/>
                <w:lang w:val="en-US" w:eastAsia="zh-CN"/>
              </w:rPr>
              <w:t>表3-4    声环境保护目标</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624"/>
              <w:gridCol w:w="163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40" w:type="pct"/>
                  <w:vAlign w:val="center"/>
                </w:tcPr>
                <w:p>
                  <w:pPr>
                    <w:pStyle w:val="65"/>
                    <w:bidi w:val="0"/>
                    <w:jc w:val="center"/>
                    <w:rPr>
                      <w:rFonts w:hint="default"/>
                      <w:lang w:val="en-US" w:eastAsia="zh-CN"/>
                    </w:rPr>
                  </w:pPr>
                  <w:r>
                    <w:rPr>
                      <w:rFonts w:hint="eastAsia"/>
                      <w:lang w:val="en-US" w:eastAsia="zh-CN"/>
                    </w:rPr>
                    <w:t>声环境目标</w:t>
                  </w:r>
                </w:p>
              </w:tc>
              <w:tc>
                <w:tcPr>
                  <w:tcW w:w="1018" w:type="pct"/>
                  <w:vAlign w:val="center"/>
                </w:tcPr>
                <w:p>
                  <w:pPr>
                    <w:pStyle w:val="65"/>
                    <w:bidi w:val="0"/>
                    <w:jc w:val="center"/>
                    <w:rPr>
                      <w:rFonts w:hint="default"/>
                      <w:lang w:val="en-US" w:eastAsia="zh-CN"/>
                    </w:rPr>
                  </w:pPr>
                  <w:r>
                    <w:rPr>
                      <w:rFonts w:hint="eastAsia"/>
                      <w:lang w:val="en-US" w:eastAsia="zh-CN"/>
                    </w:rPr>
                    <w:t>方位</w:t>
                  </w:r>
                </w:p>
              </w:tc>
              <w:tc>
                <w:tcPr>
                  <w:tcW w:w="1023" w:type="pct"/>
                  <w:vAlign w:val="center"/>
                </w:tcPr>
                <w:p>
                  <w:pPr>
                    <w:pStyle w:val="65"/>
                    <w:bidi w:val="0"/>
                    <w:jc w:val="center"/>
                    <w:rPr>
                      <w:rFonts w:hint="default"/>
                      <w:lang w:val="en-US" w:eastAsia="zh-CN"/>
                    </w:rPr>
                  </w:pPr>
                  <w:r>
                    <w:rPr>
                      <w:rFonts w:hint="eastAsia"/>
                      <w:lang w:val="en-US" w:eastAsia="zh-CN"/>
                    </w:rPr>
                    <w:t>距厂界距离/m</w:t>
                  </w:r>
                </w:p>
              </w:tc>
              <w:tc>
                <w:tcPr>
                  <w:tcW w:w="1716" w:type="pct"/>
                  <w:vAlign w:val="center"/>
                </w:tcPr>
                <w:p>
                  <w:pPr>
                    <w:pStyle w:val="65"/>
                    <w:bidi w:val="0"/>
                    <w:jc w:val="center"/>
                    <w:rPr>
                      <w:rFonts w:hint="default"/>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0" w:type="pct"/>
                  <w:vAlign w:val="center"/>
                </w:tcPr>
                <w:p>
                  <w:pPr>
                    <w:pStyle w:val="65"/>
                    <w:bidi w:val="0"/>
                    <w:jc w:val="center"/>
                    <w:rPr>
                      <w:rFonts w:hint="default"/>
                      <w:lang w:val="en-US" w:eastAsia="zh-CN"/>
                    </w:rPr>
                  </w:pPr>
                  <w:r>
                    <w:rPr>
                      <w:rFonts w:hint="eastAsia"/>
                      <w:lang w:val="en-US" w:eastAsia="zh-CN"/>
                    </w:rPr>
                    <w:t>畜牧局家属楼</w:t>
                  </w:r>
                </w:p>
              </w:tc>
              <w:tc>
                <w:tcPr>
                  <w:tcW w:w="1018" w:type="pct"/>
                  <w:vAlign w:val="center"/>
                </w:tcPr>
                <w:p>
                  <w:pPr>
                    <w:pStyle w:val="65"/>
                    <w:bidi w:val="0"/>
                    <w:jc w:val="center"/>
                    <w:rPr>
                      <w:rFonts w:hint="default"/>
                      <w:lang w:val="en-US" w:eastAsia="zh-CN"/>
                    </w:rPr>
                  </w:pPr>
                  <w:r>
                    <w:rPr>
                      <w:rFonts w:hint="eastAsia"/>
                      <w:lang w:val="en-US" w:eastAsia="zh-CN"/>
                    </w:rPr>
                    <w:t>库尔勒市第一人民医院院内</w:t>
                  </w:r>
                </w:p>
              </w:tc>
              <w:tc>
                <w:tcPr>
                  <w:tcW w:w="1023" w:type="pct"/>
                  <w:vAlign w:val="center"/>
                </w:tcPr>
                <w:p>
                  <w:pPr>
                    <w:pStyle w:val="65"/>
                    <w:bidi w:val="0"/>
                    <w:jc w:val="center"/>
                    <w:rPr>
                      <w:rFonts w:hint="default"/>
                      <w:lang w:val="en-US" w:eastAsia="zh-CN"/>
                    </w:rPr>
                  </w:pPr>
                  <w:r>
                    <w:rPr>
                      <w:rFonts w:hint="eastAsia"/>
                      <w:lang w:val="en-US" w:eastAsia="zh-CN"/>
                    </w:rPr>
                    <w:t>/</w:t>
                  </w:r>
                </w:p>
              </w:tc>
              <w:tc>
                <w:tcPr>
                  <w:tcW w:w="1716" w:type="pct"/>
                  <w:vMerge w:val="restart"/>
                  <w:vAlign w:val="center"/>
                </w:tcPr>
                <w:p>
                  <w:pPr>
                    <w:pStyle w:val="65"/>
                    <w:bidi w:val="0"/>
                    <w:jc w:val="center"/>
                    <w:rPr>
                      <w:rFonts w:hint="eastAsia"/>
                      <w:lang w:val="en-US" w:eastAsia="zh-CN"/>
                    </w:rPr>
                  </w:pPr>
                  <w:r>
                    <w:rPr>
                      <w:rFonts w:hint="eastAsia"/>
                      <w:lang w:val="en-US" w:eastAsia="zh-CN"/>
                    </w:rPr>
                    <w:t>《声环境质量标准》（GB3096-2008）中的2类标准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0" w:type="pct"/>
                  <w:vAlign w:val="center"/>
                </w:tcPr>
                <w:p>
                  <w:pPr>
                    <w:pStyle w:val="65"/>
                    <w:bidi w:val="0"/>
                    <w:jc w:val="center"/>
                    <w:rPr>
                      <w:rFonts w:hint="default"/>
                      <w:lang w:val="en-US" w:eastAsia="zh-CN"/>
                    </w:rPr>
                  </w:pPr>
                  <w:r>
                    <w:rPr>
                      <w:rFonts w:hint="eastAsia"/>
                      <w:lang w:val="en-US" w:eastAsia="zh-CN"/>
                    </w:rPr>
                    <w:t>卫教小区</w:t>
                  </w:r>
                </w:p>
              </w:tc>
              <w:tc>
                <w:tcPr>
                  <w:tcW w:w="1018" w:type="pct"/>
                  <w:vAlign w:val="center"/>
                </w:tcPr>
                <w:p>
                  <w:pPr>
                    <w:pStyle w:val="65"/>
                    <w:bidi w:val="0"/>
                    <w:jc w:val="center"/>
                    <w:rPr>
                      <w:rFonts w:hint="default"/>
                      <w:lang w:val="en-US" w:eastAsia="zh-CN"/>
                    </w:rPr>
                  </w:pPr>
                  <w:r>
                    <w:rPr>
                      <w:rFonts w:hint="eastAsia"/>
                      <w:lang w:val="en-US" w:eastAsia="zh-CN"/>
                    </w:rPr>
                    <w:t>库尔勒市第一人民医院北侧</w:t>
                  </w:r>
                </w:p>
              </w:tc>
              <w:tc>
                <w:tcPr>
                  <w:tcW w:w="1023" w:type="pct"/>
                  <w:vAlign w:val="center"/>
                </w:tcPr>
                <w:p>
                  <w:pPr>
                    <w:pStyle w:val="65"/>
                    <w:bidi w:val="0"/>
                    <w:jc w:val="center"/>
                    <w:rPr>
                      <w:rFonts w:hint="default"/>
                      <w:lang w:val="en-US" w:eastAsia="zh-CN"/>
                    </w:rPr>
                  </w:pPr>
                  <w:r>
                    <w:rPr>
                      <w:rFonts w:hint="eastAsia"/>
                      <w:lang w:val="en-US" w:eastAsia="zh-CN"/>
                    </w:rPr>
                    <w:t>10m</w:t>
                  </w:r>
                </w:p>
              </w:tc>
              <w:tc>
                <w:tcPr>
                  <w:tcW w:w="1716" w:type="pct"/>
                  <w:vMerge w:val="continue"/>
                  <w:vAlign w:val="center"/>
                </w:tcPr>
                <w:p>
                  <w:pPr>
                    <w:pStyle w:val="65"/>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0" w:type="pct"/>
                  <w:vAlign w:val="center"/>
                </w:tcPr>
                <w:p>
                  <w:pPr>
                    <w:pStyle w:val="65"/>
                    <w:bidi w:val="0"/>
                    <w:jc w:val="center"/>
                    <w:rPr>
                      <w:rFonts w:hint="eastAsia"/>
                      <w:lang w:val="en-US" w:eastAsia="zh-CN"/>
                    </w:rPr>
                  </w:pPr>
                  <w:r>
                    <w:rPr>
                      <w:rFonts w:hint="eastAsia"/>
                      <w:lang w:val="en-US" w:eastAsia="zh-CN"/>
                    </w:rPr>
                    <w:t>梨城春府苑（在建）</w:t>
                  </w:r>
                </w:p>
              </w:tc>
              <w:tc>
                <w:tcPr>
                  <w:tcW w:w="1018" w:type="pct"/>
                  <w:vAlign w:val="center"/>
                </w:tcPr>
                <w:p>
                  <w:pPr>
                    <w:pStyle w:val="65"/>
                    <w:bidi w:val="0"/>
                    <w:jc w:val="center"/>
                    <w:rPr>
                      <w:rFonts w:hint="eastAsia"/>
                      <w:lang w:val="en-US" w:eastAsia="zh-CN"/>
                    </w:rPr>
                  </w:pPr>
                  <w:r>
                    <w:rPr>
                      <w:rFonts w:hint="eastAsia"/>
                      <w:lang w:val="en-US" w:eastAsia="zh-CN"/>
                    </w:rPr>
                    <w:t>库尔勒市第一人民医院西侧</w:t>
                  </w:r>
                </w:p>
              </w:tc>
              <w:tc>
                <w:tcPr>
                  <w:tcW w:w="1023" w:type="pct"/>
                  <w:vAlign w:val="center"/>
                </w:tcPr>
                <w:p>
                  <w:pPr>
                    <w:pStyle w:val="65"/>
                    <w:bidi w:val="0"/>
                    <w:jc w:val="center"/>
                    <w:rPr>
                      <w:rFonts w:hint="eastAsia"/>
                      <w:lang w:val="en-US" w:eastAsia="zh-CN"/>
                    </w:rPr>
                  </w:pPr>
                  <w:r>
                    <w:rPr>
                      <w:rFonts w:hint="eastAsia"/>
                      <w:lang w:val="en-US" w:eastAsia="zh-CN"/>
                    </w:rPr>
                    <w:t>10m</w:t>
                  </w:r>
                </w:p>
              </w:tc>
              <w:tc>
                <w:tcPr>
                  <w:tcW w:w="1716" w:type="pct"/>
                  <w:vMerge w:val="continue"/>
                  <w:vAlign w:val="center"/>
                </w:tcPr>
                <w:p>
                  <w:pPr>
                    <w:pStyle w:val="65"/>
                    <w:bidi w:val="0"/>
                    <w:jc w:val="center"/>
                    <w:rPr>
                      <w:rFonts w:hint="eastAsia"/>
                      <w:lang w:val="en-US" w:eastAsia="zh-CN"/>
                    </w:rPr>
                  </w:pPr>
                </w:p>
              </w:tc>
            </w:tr>
          </w:tbl>
          <w:p>
            <w:pPr>
              <w:pStyle w:val="51"/>
              <w:bidi w:val="0"/>
              <w:rPr>
                <w:rFonts w:hint="default"/>
                <w:lang w:val="en-US" w:eastAsia="zh-CN"/>
              </w:rPr>
            </w:pPr>
            <w:r>
              <w:rPr>
                <w:rFonts w:hint="eastAsia"/>
                <w:lang w:val="en-US" w:eastAsia="zh-CN"/>
              </w:rPr>
              <w:t>3.地下水环境保护目标</w:t>
            </w:r>
          </w:p>
          <w:p>
            <w:pPr>
              <w:pStyle w:val="58"/>
              <w:bidi w:val="0"/>
              <w:rPr>
                <w:rFonts w:hint="eastAsia"/>
                <w:lang w:val="en-US" w:eastAsia="zh-CN"/>
              </w:rPr>
            </w:pPr>
            <w:r>
              <w:rPr>
                <w:rFonts w:hint="eastAsia"/>
                <w:lang w:val="en-US" w:eastAsia="zh-CN"/>
              </w:rPr>
              <w:t>本项目占地范围内及厂界外500m范围内无地下水集中式饮用水水源和热水、矿泉水、温泉等特殊地下水资源。</w:t>
            </w:r>
          </w:p>
          <w:p>
            <w:pPr>
              <w:pStyle w:val="47"/>
              <w:bidi w:val="0"/>
              <w:rPr>
                <w:rFonts w:hint="default"/>
                <w:lang w:val="en-US" w:eastAsia="zh-CN"/>
              </w:rPr>
            </w:pPr>
            <w:r>
              <w:rPr>
                <w:rFonts w:hint="eastAsia"/>
                <w:lang w:val="en-US" w:eastAsia="zh-CN"/>
              </w:rPr>
              <w:t>4.生态环境保护目标</w:t>
            </w:r>
          </w:p>
          <w:p>
            <w:pPr>
              <w:pStyle w:val="55"/>
              <w:bidi w:val="0"/>
              <w:rPr>
                <w:rFonts w:hint="eastAsia"/>
                <w:lang w:val="en-US" w:eastAsia="zh-CN"/>
              </w:rPr>
            </w:pPr>
            <w:r>
              <w:rPr>
                <w:rFonts w:hint="eastAsia"/>
                <w:lang w:val="en-US" w:eastAsia="zh-CN"/>
              </w:rPr>
              <w:t>本项目位于库尔勒市第一人民医院院内，不新增用地，用地范围内生态环境保护目标。</w:t>
            </w:r>
          </w:p>
          <w:p>
            <w:pPr>
              <w:pStyle w:val="55"/>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污染</w:t>
            </w:r>
          </w:p>
          <w:p>
            <w:pPr>
              <w:adjustRightInd w:val="0"/>
              <w:snapToGrid w:val="0"/>
              <w:jc w:val="center"/>
              <w:rPr>
                <w:rFonts w:hint="eastAsia" w:ascii="宋体" w:hAnsi="宋体" w:cs="宋体"/>
                <w:kern w:val="0"/>
                <w:szCs w:val="21"/>
              </w:rPr>
            </w:pPr>
            <w:r>
              <w:rPr>
                <w:rFonts w:hint="eastAsia" w:ascii="宋体" w:hAnsi="宋体" w:cs="宋体"/>
                <w:kern w:val="0"/>
                <w:szCs w:val="21"/>
              </w:rPr>
              <w:t>物排</w:t>
            </w:r>
          </w:p>
          <w:p>
            <w:pPr>
              <w:adjustRightInd w:val="0"/>
              <w:snapToGrid w:val="0"/>
              <w:jc w:val="center"/>
              <w:rPr>
                <w:rFonts w:hint="eastAsia" w:ascii="宋体" w:hAnsi="宋体" w:cs="宋体"/>
                <w:kern w:val="0"/>
                <w:szCs w:val="21"/>
              </w:rPr>
            </w:pPr>
            <w:r>
              <w:rPr>
                <w:rFonts w:hint="eastAsia" w:ascii="宋体" w:hAnsi="宋体" w:cs="宋体"/>
                <w:kern w:val="0"/>
                <w:szCs w:val="21"/>
              </w:rPr>
              <w:t>放控</w:t>
            </w:r>
          </w:p>
          <w:p>
            <w:pPr>
              <w:adjustRightInd w:val="0"/>
              <w:snapToGrid w:val="0"/>
              <w:jc w:val="center"/>
              <w:rPr>
                <w:rFonts w:hint="eastAsia"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noWrap w:val="0"/>
            <w:vAlign w:val="center"/>
          </w:tcPr>
          <w:p>
            <w:pPr>
              <w:pStyle w:val="58"/>
              <w:bidi w:val="0"/>
              <w:ind w:left="0" w:leftChars="0" w:firstLine="0" w:firstLineChars="0"/>
              <w:rPr>
                <w:rFonts w:hint="eastAsia"/>
                <w:b/>
                <w:bCs w:val="0"/>
                <w:lang w:val="en-US" w:eastAsia="zh-CN"/>
              </w:rPr>
            </w:pPr>
            <w:r>
              <w:rPr>
                <w:rFonts w:hint="eastAsia"/>
                <w:b/>
                <w:bCs w:val="0"/>
                <w:lang w:val="en-US" w:eastAsia="zh-CN"/>
              </w:rPr>
              <w:t>1废气</w:t>
            </w:r>
          </w:p>
          <w:p>
            <w:pPr>
              <w:pStyle w:val="58"/>
              <w:keepNext w:val="0"/>
              <w:keepLines w:val="0"/>
              <w:pageBreakBefore w:val="0"/>
              <w:widowControl w:val="0"/>
              <w:kinsoku/>
              <w:wordWrap w:val="0"/>
              <w:overflowPunct/>
              <w:topLinePunct w:val="0"/>
              <w:autoSpaceDE/>
              <w:autoSpaceDN/>
              <w:bidi w:val="0"/>
              <w:adjustRightInd w:val="0"/>
              <w:snapToGrid w:val="0"/>
              <w:ind w:left="0" w:leftChars="0" w:firstLine="482" w:firstLineChars="200"/>
              <w:textAlignment w:val="auto"/>
              <w:rPr>
                <w:rFonts w:hint="eastAsia"/>
                <w:b/>
                <w:bCs w:val="0"/>
                <w:lang w:val="en-US" w:eastAsia="zh-CN"/>
              </w:rPr>
            </w:pPr>
            <w:r>
              <w:rPr>
                <w:rFonts w:hint="eastAsia"/>
                <w:b/>
                <w:bCs w:val="0"/>
                <w:lang w:val="en-US" w:eastAsia="zh-CN"/>
              </w:rPr>
              <w:t>1.1施工期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施工期颗粒物无组织废气执行《大气污染物综合排放标准》（GB16297-1996）表</w:t>
            </w:r>
            <w:r>
              <w:rPr>
                <w:rFonts w:hint="eastAsia" w:ascii="Times New Roman" w:hAnsi="Times New Roman" w:eastAsia="宋体" w:cs="Times New Roman"/>
                <w:color w:val="auto"/>
                <w:sz w:val="24"/>
                <w:szCs w:val="24"/>
                <w:highlight w:val="none"/>
                <w:lang w:val="en-US" w:eastAsia="zh-CN"/>
              </w:rPr>
              <w:t>2，详见表3-</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p>
          <w:p>
            <w:pPr>
              <w:spacing w:line="52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表3-</w:t>
            </w:r>
            <w:r>
              <w:rPr>
                <w:rFonts w:hint="eastAsia" w:cs="Times New Roman"/>
                <w:b/>
                <w:bCs/>
                <w:color w:val="auto"/>
                <w:sz w:val="24"/>
                <w:szCs w:val="24"/>
                <w:highlight w:val="none"/>
                <w:lang w:val="en-US" w:eastAsia="zh-CN"/>
              </w:rPr>
              <w:t>5</w:t>
            </w:r>
            <w:r>
              <w:rPr>
                <w:rFonts w:hint="default" w:ascii="Times New Roman" w:hAnsi="Times New Roman" w:cs="Times New Roman"/>
                <w:b/>
                <w:bCs/>
                <w:color w:val="auto"/>
                <w:sz w:val="24"/>
                <w:szCs w:val="24"/>
                <w:highlight w:val="none"/>
              </w:rPr>
              <w:t xml:space="preserve">    施工期无组织废气执行标准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1861"/>
              <w:gridCol w:w="3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65"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1167"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限值</w:t>
                  </w:r>
                </w:p>
              </w:tc>
              <w:tc>
                <w:tcPr>
                  <w:tcW w:w="2167"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5"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1167"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1mg/m</w:t>
                  </w:r>
                  <w:r>
                    <w:rPr>
                      <w:rFonts w:hint="default" w:ascii="Times New Roman" w:hAnsi="Times New Roman" w:cs="Times New Roman"/>
                      <w:color w:val="auto"/>
                      <w:sz w:val="21"/>
                      <w:szCs w:val="21"/>
                      <w:highlight w:val="none"/>
                      <w:vertAlign w:val="superscript"/>
                    </w:rPr>
                    <w:t>3</w:t>
                  </w:r>
                </w:p>
              </w:tc>
              <w:tc>
                <w:tcPr>
                  <w:tcW w:w="2167" w:type="pct"/>
                  <w:noWrap w:val="0"/>
                  <w:vAlign w:val="center"/>
                </w:tcPr>
                <w:p>
                  <w:pPr>
                    <w:pStyle w:val="42"/>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《大气污染物综合排放标准》（GB16297-1996）中表2</w:t>
                  </w:r>
                </w:p>
              </w:tc>
            </w:tr>
          </w:tbl>
          <w:p>
            <w:pPr>
              <w:pStyle w:val="58"/>
              <w:keepNext w:val="0"/>
              <w:keepLines w:val="0"/>
              <w:pageBreakBefore w:val="0"/>
              <w:widowControl w:val="0"/>
              <w:kinsoku/>
              <w:wordWrap w:val="0"/>
              <w:overflowPunct/>
              <w:topLinePunct w:val="0"/>
              <w:autoSpaceDE/>
              <w:autoSpaceDN/>
              <w:bidi w:val="0"/>
              <w:adjustRightInd w:val="0"/>
              <w:snapToGrid w:val="0"/>
              <w:ind w:left="0" w:leftChars="0" w:firstLine="482" w:firstLineChars="200"/>
              <w:textAlignment w:val="auto"/>
              <w:rPr>
                <w:rFonts w:hint="default"/>
                <w:b/>
                <w:bCs w:val="0"/>
                <w:lang w:val="en-US" w:eastAsia="zh-CN"/>
              </w:rPr>
            </w:pPr>
            <w:r>
              <w:rPr>
                <w:rFonts w:hint="eastAsia"/>
                <w:b/>
                <w:bCs w:val="0"/>
                <w:lang w:val="en-US" w:eastAsia="zh-CN"/>
              </w:rPr>
              <w:t>1.2运营期</w:t>
            </w:r>
          </w:p>
          <w:p>
            <w:pPr>
              <w:pStyle w:val="58"/>
              <w:bidi w:val="0"/>
              <w:rPr>
                <w:rFonts w:hint="default"/>
                <w:lang w:val="en-US" w:eastAsia="zh-CN"/>
              </w:rPr>
            </w:pPr>
            <w:r>
              <w:rPr>
                <w:rFonts w:hint="eastAsia"/>
                <w:lang w:val="en-US" w:eastAsia="zh-CN"/>
              </w:rPr>
              <w:t>（1）有组织废气</w:t>
            </w:r>
          </w:p>
          <w:p>
            <w:pPr>
              <w:pStyle w:val="58"/>
              <w:bidi w:val="0"/>
              <w:rPr>
                <w:rFonts w:hint="eastAsia"/>
                <w:lang w:val="en-US" w:eastAsia="zh-CN"/>
              </w:rPr>
            </w:pPr>
            <w:r>
              <w:rPr>
                <w:rFonts w:hint="eastAsia"/>
                <w:lang w:val="en-US" w:eastAsia="zh-CN"/>
              </w:rPr>
              <w:t>本项目污水处理站有组织恶臭执行《恶臭污染物排放标准》（GB14554-1993）中表2恶臭污染物排放限值的要求，详见表3-6。</w:t>
            </w:r>
          </w:p>
          <w:p>
            <w:pPr>
              <w:pStyle w:val="56"/>
              <w:keepNext w:val="0"/>
              <w:keepLines w:val="0"/>
              <w:pageBreakBefore w:val="0"/>
              <w:widowControl w:val="0"/>
              <w:kinsoku/>
              <w:overflowPunct/>
              <w:topLinePunct w:val="0"/>
              <w:autoSpaceDE/>
              <w:autoSpaceDN/>
              <w:bidi w:val="0"/>
              <w:spacing w:line="520" w:lineRule="exac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表3-</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 xml:space="preserve">    恶臭污染物有组织排放标准值</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327"/>
              <w:gridCol w:w="1994"/>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pct"/>
                </w:tcPr>
                <w:p>
                  <w:pPr>
                    <w:pStyle w:val="65"/>
                    <w:bidi w:val="0"/>
                    <w:rPr>
                      <w:rFonts w:hint="default"/>
                      <w:lang w:val="en-US" w:eastAsia="zh-CN"/>
                    </w:rPr>
                  </w:pPr>
                  <w:r>
                    <w:rPr>
                      <w:rFonts w:hint="eastAsia"/>
                      <w:lang w:val="en-US" w:eastAsia="zh-CN"/>
                    </w:rPr>
                    <w:t>序号</w:t>
                  </w:r>
                </w:p>
              </w:tc>
              <w:tc>
                <w:tcPr>
                  <w:tcW w:w="1459" w:type="pct"/>
                </w:tcPr>
                <w:p>
                  <w:pPr>
                    <w:pStyle w:val="65"/>
                    <w:bidi w:val="0"/>
                    <w:rPr>
                      <w:rFonts w:hint="default"/>
                      <w:lang w:val="en-US" w:eastAsia="zh-CN"/>
                    </w:rPr>
                  </w:pPr>
                  <w:r>
                    <w:rPr>
                      <w:rFonts w:hint="eastAsia"/>
                      <w:lang w:val="en-US" w:eastAsia="zh-CN"/>
                    </w:rPr>
                    <w:t>控制项目</w:t>
                  </w:r>
                </w:p>
              </w:tc>
              <w:tc>
                <w:tcPr>
                  <w:tcW w:w="1250" w:type="pct"/>
                </w:tcPr>
                <w:p>
                  <w:pPr>
                    <w:pStyle w:val="65"/>
                    <w:bidi w:val="0"/>
                    <w:rPr>
                      <w:rFonts w:hint="default"/>
                      <w:lang w:val="en-US" w:eastAsia="zh-CN"/>
                    </w:rPr>
                  </w:pPr>
                  <w:r>
                    <w:rPr>
                      <w:rFonts w:hint="eastAsia"/>
                      <w:lang w:val="en-US" w:eastAsia="zh-CN"/>
                    </w:rPr>
                    <w:t>排放量（kg/h）</w:t>
                  </w:r>
                </w:p>
              </w:tc>
              <w:tc>
                <w:tcPr>
                  <w:tcW w:w="1250" w:type="pct"/>
                </w:tcPr>
                <w:p>
                  <w:pPr>
                    <w:pStyle w:val="65"/>
                    <w:bidi w:val="0"/>
                    <w:rPr>
                      <w:rFonts w:hint="default"/>
                      <w:lang w:val="en-US" w:eastAsia="zh-CN"/>
                    </w:rPr>
                  </w:pPr>
                  <w:r>
                    <w:rPr>
                      <w:rFonts w:hint="eastAsia"/>
                      <w:lang w:val="en-US"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pct"/>
                </w:tcPr>
                <w:p>
                  <w:pPr>
                    <w:pStyle w:val="65"/>
                    <w:bidi w:val="0"/>
                    <w:rPr>
                      <w:rFonts w:hint="default"/>
                      <w:lang w:val="en-US" w:eastAsia="zh-CN"/>
                    </w:rPr>
                  </w:pPr>
                  <w:r>
                    <w:rPr>
                      <w:rFonts w:hint="eastAsia"/>
                      <w:lang w:val="en-US" w:eastAsia="zh-CN"/>
                    </w:rPr>
                    <w:t>1</w:t>
                  </w:r>
                </w:p>
              </w:tc>
              <w:tc>
                <w:tcPr>
                  <w:tcW w:w="1459" w:type="pct"/>
                </w:tcPr>
                <w:p>
                  <w:pPr>
                    <w:pStyle w:val="65"/>
                    <w:bidi w:val="0"/>
                    <w:rPr>
                      <w:rFonts w:hint="default"/>
                      <w:lang w:val="en-US" w:eastAsia="zh-CN"/>
                    </w:rPr>
                  </w:pPr>
                  <w:r>
                    <w:rPr>
                      <w:rFonts w:hint="eastAsia"/>
                      <w:lang w:val="en-US" w:eastAsia="zh-CN"/>
                    </w:rPr>
                    <w:t>H</w:t>
                  </w:r>
                  <w:r>
                    <w:rPr>
                      <w:rFonts w:hint="eastAsia"/>
                      <w:vertAlign w:val="subscript"/>
                      <w:lang w:val="en-US" w:eastAsia="zh-CN"/>
                    </w:rPr>
                    <w:t>2</w:t>
                  </w:r>
                  <w:r>
                    <w:rPr>
                      <w:rFonts w:hint="eastAsia"/>
                      <w:lang w:val="en-US" w:eastAsia="zh-CN"/>
                    </w:rPr>
                    <w:t>S</w:t>
                  </w:r>
                </w:p>
              </w:tc>
              <w:tc>
                <w:tcPr>
                  <w:tcW w:w="1250" w:type="pct"/>
                </w:tcPr>
                <w:p>
                  <w:pPr>
                    <w:pStyle w:val="65"/>
                    <w:bidi w:val="0"/>
                    <w:rPr>
                      <w:rFonts w:hint="default"/>
                      <w:lang w:val="en-US" w:eastAsia="zh-CN"/>
                    </w:rPr>
                  </w:pPr>
                  <w:r>
                    <w:rPr>
                      <w:rFonts w:hint="eastAsia"/>
                      <w:lang w:val="en-US" w:eastAsia="zh-CN"/>
                    </w:rPr>
                    <w:t>0.33</w:t>
                  </w:r>
                </w:p>
              </w:tc>
              <w:tc>
                <w:tcPr>
                  <w:tcW w:w="1250" w:type="pct"/>
                  <w:vMerge w:val="restart"/>
                </w:tcPr>
                <w:p>
                  <w:pPr>
                    <w:pStyle w:val="65"/>
                    <w:keepNext w:val="0"/>
                    <w:keepLines w:val="0"/>
                    <w:pageBreakBefore w:val="0"/>
                    <w:widowControl w:val="0"/>
                    <w:kinsoku/>
                    <w:wordWrap w:val="0"/>
                    <w:overflowPunct/>
                    <w:topLinePunct w:val="0"/>
                    <w:autoSpaceDE/>
                    <w:autoSpaceDN/>
                    <w:bidi w:val="0"/>
                    <w:adjustRightInd/>
                    <w:snapToGrid/>
                    <w:textAlignment w:val="auto"/>
                    <w:rPr>
                      <w:rFonts w:hint="eastAsia"/>
                      <w:lang w:val="en-US" w:eastAsia="zh-CN"/>
                    </w:rPr>
                  </w:pPr>
                  <w:r>
                    <w:rPr>
                      <w:rFonts w:hint="eastAsia"/>
                      <w:lang w:val="en-US" w:eastAsia="zh-CN"/>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pct"/>
                </w:tcPr>
                <w:p>
                  <w:pPr>
                    <w:pStyle w:val="65"/>
                    <w:bidi w:val="0"/>
                    <w:rPr>
                      <w:rFonts w:hint="default"/>
                      <w:lang w:val="en-US" w:eastAsia="zh-CN"/>
                    </w:rPr>
                  </w:pPr>
                  <w:r>
                    <w:rPr>
                      <w:rFonts w:hint="eastAsia"/>
                      <w:lang w:val="en-US" w:eastAsia="zh-CN"/>
                    </w:rPr>
                    <w:t>2</w:t>
                  </w:r>
                </w:p>
              </w:tc>
              <w:tc>
                <w:tcPr>
                  <w:tcW w:w="1459" w:type="pct"/>
                </w:tcPr>
                <w:p>
                  <w:pPr>
                    <w:pStyle w:val="65"/>
                    <w:bidi w:val="0"/>
                    <w:rPr>
                      <w:rFonts w:hint="default"/>
                      <w:lang w:val="en-US" w:eastAsia="zh-CN"/>
                    </w:rPr>
                  </w:pPr>
                  <w:r>
                    <w:rPr>
                      <w:rFonts w:hint="eastAsia"/>
                      <w:lang w:val="en-US" w:eastAsia="zh-CN"/>
                    </w:rPr>
                    <w:t>NH</w:t>
                  </w:r>
                  <w:r>
                    <w:rPr>
                      <w:rFonts w:hint="eastAsia"/>
                      <w:vertAlign w:val="subscript"/>
                      <w:lang w:val="en-US" w:eastAsia="zh-CN"/>
                    </w:rPr>
                    <w:t>3</w:t>
                  </w:r>
                </w:p>
              </w:tc>
              <w:tc>
                <w:tcPr>
                  <w:tcW w:w="1250" w:type="pct"/>
                </w:tcPr>
                <w:p>
                  <w:pPr>
                    <w:pStyle w:val="65"/>
                    <w:bidi w:val="0"/>
                    <w:rPr>
                      <w:rFonts w:hint="default"/>
                      <w:lang w:val="en-US" w:eastAsia="zh-CN"/>
                    </w:rPr>
                  </w:pPr>
                  <w:r>
                    <w:rPr>
                      <w:rFonts w:hint="eastAsia"/>
                      <w:lang w:val="en-US" w:eastAsia="zh-CN"/>
                    </w:rPr>
                    <w:t>4.9</w:t>
                  </w:r>
                </w:p>
              </w:tc>
              <w:tc>
                <w:tcPr>
                  <w:tcW w:w="1250" w:type="pct"/>
                  <w:vMerge w:val="continue"/>
                </w:tcPr>
                <w:p>
                  <w:pPr>
                    <w:pStyle w:val="65"/>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pct"/>
                </w:tcPr>
                <w:p>
                  <w:pPr>
                    <w:pStyle w:val="65"/>
                    <w:bidi w:val="0"/>
                    <w:rPr>
                      <w:rFonts w:hint="default"/>
                      <w:lang w:val="en-US" w:eastAsia="zh-CN"/>
                    </w:rPr>
                  </w:pPr>
                  <w:r>
                    <w:rPr>
                      <w:rFonts w:hint="eastAsia"/>
                      <w:lang w:val="en-US" w:eastAsia="zh-CN"/>
                    </w:rPr>
                    <w:t>3</w:t>
                  </w:r>
                </w:p>
              </w:tc>
              <w:tc>
                <w:tcPr>
                  <w:tcW w:w="1459" w:type="pct"/>
                </w:tcPr>
                <w:p>
                  <w:pPr>
                    <w:pStyle w:val="65"/>
                    <w:bidi w:val="0"/>
                    <w:rPr>
                      <w:rFonts w:hint="default"/>
                      <w:lang w:val="en-US" w:eastAsia="zh-CN"/>
                    </w:rPr>
                  </w:pPr>
                  <w:r>
                    <w:rPr>
                      <w:rFonts w:hint="eastAsia"/>
                      <w:lang w:val="en-US" w:eastAsia="zh-CN"/>
                    </w:rPr>
                    <w:t>臭气浓度（无量纲）</w:t>
                  </w:r>
                </w:p>
              </w:tc>
              <w:tc>
                <w:tcPr>
                  <w:tcW w:w="1250" w:type="pct"/>
                </w:tcPr>
                <w:p>
                  <w:pPr>
                    <w:pStyle w:val="65"/>
                    <w:bidi w:val="0"/>
                    <w:rPr>
                      <w:rFonts w:hint="default"/>
                      <w:lang w:val="en-US" w:eastAsia="zh-CN"/>
                    </w:rPr>
                  </w:pPr>
                  <w:r>
                    <w:rPr>
                      <w:rFonts w:hint="eastAsia"/>
                      <w:lang w:val="en-US" w:eastAsia="zh-CN"/>
                    </w:rPr>
                    <w:t>2000</w:t>
                  </w:r>
                </w:p>
              </w:tc>
              <w:tc>
                <w:tcPr>
                  <w:tcW w:w="1250" w:type="pct"/>
                  <w:vMerge w:val="continue"/>
                </w:tcPr>
                <w:p>
                  <w:pPr>
                    <w:pStyle w:val="65"/>
                    <w:bidi w:val="0"/>
                    <w:rPr>
                      <w:rFonts w:hint="eastAsia"/>
                      <w:lang w:val="en-US" w:eastAsia="zh-CN"/>
                    </w:rPr>
                  </w:pPr>
                </w:p>
              </w:tc>
            </w:tr>
          </w:tbl>
          <w:p>
            <w:pPr>
              <w:pStyle w:val="62"/>
              <w:numPr>
                <w:ilvl w:val="0"/>
                <w:numId w:val="0"/>
              </w:numPr>
              <w:bidi w:val="0"/>
              <w:ind w:left="0" w:leftChars="0"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r>
              <w:rPr>
                <w:rFonts w:hint="eastAsia"/>
                <w:lang w:val="en-US" w:eastAsia="zh-CN"/>
              </w:rPr>
              <w:t>无组织废气</w:t>
            </w:r>
          </w:p>
          <w:p>
            <w:pPr>
              <w:pStyle w:val="58"/>
              <w:keepNext w:val="0"/>
              <w:keepLines w:val="0"/>
              <w:pageBreakBefore w:val="0"/>
              <w:widowControl w:val="0"/>
              <w:kinsoku/>
              <w:overflowPunct/>
              <w:topLinePunct w:val="0"/>
              <w:autoSpaceDE/>
              <w:autoSpaceDN/>
              <w:bidi w:val="0"/>
              <w:spacing w:line="520" w:lineRule="exact"/>
              <w:textAlignment w:val="auto"/>
              <w:rPr>
                <w:rFonts w:hint="default"/>
                <w:lang w:val="en-US" w:eastAsia="zh-CN"/>
              </w:rPr>
            </w:pPr>
            <w:r>
              <w:rPr>
                <w:rFonts w:hint="default"/>
                <w:lang w:val="en-US" w:eastAsia="zh-CN"/>
              </w:rPr>
              <w:t>污水处理站臭气无组织恶臭执行《医疗机构水污染物排放标准》（GB18466-2005）表3污水处理站周边大气污染物最高允许浓度，详见表</w:t>
            </w:r>
            <w:r>
              <w:rPr>
                <w:rFonts w:hint="eastAsia"/>
                <w:lang w:val="en-US" w:eastAsia="zh-CN"/>
              </w:rPr>
              <w:t>3-7</w:t>
            </w:r>
            <w:r>
              <w:rPr>
                <w:rFonts w:hint="default"/>
                <w:lang w:val="en-US" w:eastAsia="zh-CN"/>
              </w:rPr>
              <w:t>。</w:t>
            </w:r>
          </w:p>
          <w:p>
            <w:pPr>
              <w:pStyle w:val="56"/>
              <w:keepNext w:val="0"/>
              <w:keepLines w:val="0"/>
              <w:pageBreakBefore w:val="0"/>
              <w:widowControl w:val="0"/>
              <w:kinsoku/>
              <w:overflowPunct/>
              <w:topLinePunct w:val="0"/>
              <w:autoSpaceDE/>
              <w:autoSpaceDN/>
              <w:bidi w:val="0"/>
              <w:spacing w:line="520" w:lineRule="exact"/>
              <w:textAlignment w:val="auto"/>
              <w:rPr>
                <w:rFonts w:hint="eastAsia"/>
                <w:sz w:val="24"/>
                <w:szCs w:val="24"/>
                <w:lang w:val="en-US" w:eastAsia="zh-CN"/>
              </w:rPr>
            </w:pPr>
            <w:r>
              <w:rPr>
                <w:rFonts w:hint="default"/>
                <w:sz w:val="24"/>
                <w:szCs w:val="24"/>
                <w:lang w:val="en-US" w:eastAsia="zh-CN"/>
              </w:rPr>
              <w:t>表</w:t>
            </w:r>
            <w:r>
              <w:rPr>
                <w:rFonts w:hint="eastAsia"/>
                <w:sz w:val="24"/>
                <w:szCs w:val="24"/>
                <w:lang w:val="en-US" w:eastAsia="zh-CN"/>
              </w:rPr>
              <w:t>3-7    恶臭污染物无组织排放标准值</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155"/>
              <w:gridCol w:w="1994"/>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bidi w:val="0"/>
                    <w:rPr>
                      <w:rFonts w:hint="default"/>
                      <w:lang w:val="en-US" w:eastAsia="zh-CN"/>
                    </w:rPr>
                  </w:pPr>
                  <w:r>
                    <w:rPr>
                      <w:rFonts w:hint="eastAsia"/>
                      <w:lang w:val="en-US" w:eastAsia="zh-CN"/>
                    </w:rPr>
                    <w:t>序号</w:t>
                  </w:r>
                </w:p>
              </w:tc>
              <w:tc>
                <w:tcPr>
                  <w:tcW w:w="3155" w:type="dxa"/>
                </w:tcPr>
                <w:p>
                  <w:pPr>
                    <w:pStyle w:val="60"/>
                    <w:bidi w:val="0"/>
                    <w:rPr>
                      <w:rFonts w:hint="default"/>
                      <w:lang w:val="en-US" w:eastAsia="zh-CN"/>
                    </w:rPr>
                  </w:pPr>
                  <w:r>
                    <w:rPr>
                      <w:rFonts w:hint="eastAsia"/>
                      <w:lang w:val="en-US" w:eastAsia="zh-CN"/>
                    </w:rPr>
                    <w:t>控制项目</w:t>
                  </w:r>
                </w:p>
              </w:tc>
              <w:tc>
                <w:tcPr>
                  <w:tcW w:w="1994" w:type="dxa"/>
                </w:tcPr>
                <w:p>
                  <w:pPr>
                    <w:pStyle w:val="60"/>
                    <w:bidi w:val="0"/>
                    <w:rPr>
                      <w:rFonts w:hint="default"/>
                      <w:lang w:val="en-US" w:eastAsia="zh-CN"/>
                    </w:rPr>
                  </w:pPr>
                  <w:r>
                    <w:rPr>
                      <w:rFonts w:hint="eastAsia"/>
                      <w:lang w:val="en-US" w:eastAsia="zh-CN"/>
                    </w:rPr>
                    <w:t>标准值</w:t>
                  </w:r>
                </w:p>
              </w:tc>
              <w:tc>
                <w:tcPr>
                  <w:tcW w:w="1994" w:type="dxa"/>
                </w:tcPr>
                <w:p>
                  <w:pPr>
                    <w:pStyle w:val="60"/>
                    <w:bidi w:val="0"/>
                    <w:rPr>
                      <w:rFonts w:hint="default"/>
                      <w:lang w:val="en-US" w:eastAsia="zh-CN"/>
                    </w:rPr>
                  </w:pPr>
                  <w:r>
                    <w:rPr>
                      <w:rFonts w:hint="eastAsia"/>
                      <w:lang w:val="en-US" w:eastAsia="zh-CN"/>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3155" w:type="dxa"/>
                </w:tcPr>
                <w:p>
                  <w:pPr>
                    <w:pStyle w:val="60"/>
                    <w:bidi w:val="0"/>
                    <w:rPr>
                      <w:rFonts w:hint="default"/>
                      <w:lang w:val="en-US" w:eastAsia="zh-CN"/>
                    </w:rPr>
                  </w:pPr>
                  <w:r>
                    <w:rPr>
                      <w:rFonts w:hint="eastAsia"/>
                      <w:lang w:val="en-US" w:eastAsia="zh-CN"/>
                    </w:rPr>
                    <w:t>氨/（mg/m</w:t>
                  </w:r>
                  <w:r>
                    <w:rPr>
                      <w:rFonts w:hint="eastAsia"/>
                      <w:vertAlign w:val="superscript"/>
                      <w:lang w:val="en-US" w:eastAsia="zh-CN"/>
                    </w:rPr>
                    <w:t>3</w:t>
                  </w:r>
                  <w:r>
                    <w:rPr>
                      <w:rFonts w:hint="eastAsia"/>
                      <w:lang w:val="en-US" w:eastAsia="zh-CN"/>
                    </w:rPr>
                    <w:t>）</w:t>
                  </w:r>
                </w:p>
              </w:tc>
              <w:tc>
                <w:tcPr>
                  <w:tcW w:w="1994" w:type="dxa"/>
                  <w:vAlign w:val="center"/>
                </w:tcPr>
                <w:p>
                  <w:pPr>
                    <w:pStyle w:val="60"/>
                    <w:bidi w:val="0"/>
                    <w:jc w:val="center"/>
                    <w:rPr>
                      <w:rFonts w:hint="default"/>
                      <w:lang w:val="en-US" w:eastAsia="zh-CN"/>
                    </w:rPr>
                  </w:pPr>
                  <w:r>
                    <w:rPr>
                      <w:rFonts w:hint="eastAsia"/>
                      <w:lang w:val="en-US" w:eastAsia="zh-CN"/>
                    </w:rPr>
                    <w:t>1.0</w:t>
                  </w:r>
                </w:p>
              </w:tc>
              <w:tc>
                <w:tcPr>
                  <w:tcW w:w="1994" w:type="dxa"/>
                  <w:vMerge w:val="restar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《医疗机构水污染物排放标准》（GB18466-2005）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3155" w:type="dxa"/>
                </w:tcPr>
                <w:p>
                  <w:pPr>
                    <w:pStyle w:val="60"/>
                    <w:bidi w:val="0"/>
                    <w:rPr>
                      <w:rFonts w:hint="default"/>
                      <w:lang w:val="en-US" w:eastAsia="zh-CN"/>
                    </w:rPr>
                  </w:pPr>
                  <w:r>
                    <w:rPr>
                      <w:rFonts w:hint="eastAsia"/>
                      <w:lang w:val="en-US" w:eastAsia="zh-CN"/>
                    </w:rPr>
                    <w:t>硫化氢/（mg/m</w:t>
                  </w:r>
                  <w:r>
                    <w:rPr>
                      <w:rFonts w:hint="eastAsia"/>
                      <w:vertAlign w:val="superscript"/>
                      <w:lang w:val="en-US" w:eastAsia="zh-CN"/>
                    </w:rPr>
                    <w:t>3</w:t>
                  </w:r>
                  <w:r>
                    <w:rPr>
                      <w:rFonts w:hint="eastAsia"/>
                      <w:lang w:val="en-US" w:eastAsia="zh-CN"/>
                    </w:rPr>
                    <w:t>）</w:t>
                  </w:r>
                </w:p>
              </w:tc>
              <w:tc>
                <w:tcPr>
                  <w:tcW w:w="1994" w:type="dxa"/>
                  <w:vAlign w:val="center"/>
                </w:tcPr>
                <w:p>
                  <w:pPr>
                    <w:pStyle w:val="60"/>
                    <w:bidi w:val="0"/>
                    <w:jc w:val="center"/>
                    <w:rPr>
                      <w:rFonts w:hint="default"/>
                      <w:lang w:val="en-US" w:eastAsia="zh-CN"/>
                    </w:rPr>
                  </w:pPr>
                  <w:r>
                    <w:rPr>
                      <w:rFonts w:hint="eastAsia"/>
                      <w:lang w:val="en-US" w:eastAsia="zh-CN"/>
                    </w:rPr>
                    <w:t>0.03</w:t>
                  </w:r>
                </w:p>
              </w:tc>
              <w:tc>
                <w:tcPr>
                  <w:tcW w:w="1994" w:type="dxa"/>
                  <w:vMerge w:val="continue"/>
                </w:tcPr>
                <w:p>
                  <w:pPr>
                    <w:pStyle w:val="6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3155" w:type="dxa"/>
                </w:tcPr>
                <w:p>
                  <w:pPr>
                    <w:pStyle w:val="60"/>
                    <w:bidi w:val="0"/>
                    <w:rPr>
                      <w:rFonts w:hint="default"/>
                      <w:lang w:val="en-US" w:eastAsia="zh-CN"/>
                    </w:rPr>
                  </w:pPr>
                  <w:r>
                    <w:rPr>
                      <w:rFonts w:hint="eastAsia"/>
                      <w:lang w:val="en-US" w:eastAsia="zh-CN"/>
                    </w:rPr>
                    <w:t>臭气浓度（无量纲）</w:t>
                  </w:r>
                </w:p>
              </w:tc>
              <w:tc>
                <w:tcPr>
                  <w:tcW w:w="1994" w:type="dxa"/>
                  <w:vAlign w:val="center"/>
                </w:tcPr>
                <w:p>
                  <w:pPr>
                    <w:pStyle w:val="60"/>
                    <w:bidi w:val="0"/>
                    <w:jc w:val="center"/>
                    <w:rPr>
                      <w:rFonts w:hint="default"/>
                      <w:lang w:val="en-US" w:eastAsia="zh-CN"/>
                    </w:rPr>
                  </w:pPr>
                  <w:r>
                    <w:rPr>
                      <w:rFonts w:hint="eastAsia"/>
                      <w:lang w:val="en-US" w:eastAsia="zh-CN"/>
                    </w:rPr>
                    <w:t>10</w:t>
                  </w:r>
                </w:p>
              </w:tc>
              <w:tc>
                <w:tcPr>
                  <w:tcW w:w="1994" w:type="dxa"/>
                  <w:vMerge w:val="continue"/>
                </w:tcPr>
                <w:p>
                  <w:pPr>
                    <w:pStyle w:val="6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3155" w:type="dxa"/>
                </w:tcPr>
                <w:p>
                  <w:pPr>
                    <w:pStyle w:val="60"/>
                    <w:bidi w:val="0"/>
                    <w:rPr>
                      <w:rFonts w:hint="default"/>
                      <w:lang w:val="en-US" w:eastAsia="zh-CN"/>
                    </w:rPr>
                  </w:pPr>
                  <w:r>
                    <w:rPr>
                      <w:rFonts w:hint="eastAsia"/>
                      <w:lang w:val="en-US" w:eastAsia="zh-CN"/>
                    </w:rPr>
                    <w:t>氯气/（mg/m</w:t>
                  </w:r>
                  <w:r>
                    <w:rPr>
                      <w:rFonts w:hint="eastAsia"/>
                      <w:vertAlign w:val="superscript"/>
                      <w:lang w:val="en-US" w:eastAsia="zh-CN"/>
                    </w:rPr>
                    <w:t>3</w:t>
                  </w:r>
                  <w:r>
                    <w:rPr>
                      <w:rFonts w:hint="eastAsia"/>
                      <w:lang w:val="en-US" w:eastAsia="zh-CN"/>
                    </w:rPr>
                    <w:t>）</w:t>
                  </w:r>
                </w:p>
              </w:tc>
              <w:tc>
                <w:tcPr>
                  <w:tcW w:w="1994" w:type="dxa"/>
                  <w:vAlign w:val="center"/>
                </w:tcPr>
                <w:p>
                  <w:pPr>
                    <w:pStyle w:val="60"/>
                    <w:bidi w:val="0"/>
                    <w:jc w:val="center"/>
                    <w:rPr>
                      <w:rFonts w:hint="default"/>
                      <w:lang w:val="en-US" w:eastAsia="zh-CN"/>
                    </w:rPr>
                  </w:pPr>
                  <w:r>
                    <w:rPr>
                      <w:rFonts w:hint="eastAsia"/>
                      <w:lang w:val="en-US" w:eastAsia="zh-CN"/>
                    </w:rPr>
                    <w:t>0.1</w:t>
                  </w:r>
                </w:p>
              </w:tc>
              <w:tc>
                <w:tcPr>
                  <w:tcW w:w="1994" w:type="dxa"/>
                  <w:vMerge w:val="continue"/>
                </w:tcPr>
                <w:p>
                  <w:pPr>
                    <w:pStyle w:val="60"/>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pPr>
                    <w:pStyle w:val="60"/>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0" w:firstLineChars="0"/>
                    <w:jc w:val="center"/>
                    <w:textAlignment w:val="auto"/>
                    <w:rPr>
                      <w:rFonts w:hint="default"/>
                      <w:lang w:val="en-US" w:eastAsia="zh-CN"/>
                    </w:rPr>
                  </w:pPr>
                </w:p>
              </w:tc>
              <w:tc>
                <w:tcPr>
                  <w:tcW w:w="3155" w:type="dxa"/>
                </w:tcPr>
                <w:p>
                  <w:pPr>
                    <w:pStyle w:val="60"/>
                    <w:bidi w:val="0"/>
                    <w:rPr>
                      <w:rFonts w:hint="default"/>
                      <w:lang w:val="en-US" w:eastAsia="zh-CN"/>
                    </w:rPr>
                  </w:pPr>
                  <w:r>
                    <w:rPr>
                      <w:rFonts w:hint="eastAsia"/>
                      <w:lang w:val="en-US" w:eastAsia="zh-CN"/>
                    </w:rPr>
                    <w:t>甲烷（指处理站内最高体积百分数%）</w:t>
                  </w:r>
                </w:p>
              </w:tc>
              <w:tc>
                <w:tcPr>
                  <w:tcW w:w="1994" w:type="dxa"/>
                  <w:vAlign w:val="center"/>
                </w:tcPr>
                <w:p>
                  <w:pPr>
                    <w:pStyle w:val="60"/>
                    <w:bidi w:val="0"/>
                    <w:jc w:val="center"/>
                    <w:rPr>
                      <w:rFonts w:hint="default"/>
                      <w:lang w:val="en-US" w:eastAsia="zh-CN"/>
                    </w:rPr>
                  </w:pPr>
                  <w:r>
                    <w:rPr>
                      <w:rFonts w:hint="eastAsia"/>
                      <w:lang w:val="en-US" w:eastAsia="zh-CN"/>
                    </w:rPr>
                    <w:t>1</w:t>
                  </w:r>
                </w:p>
              </w:tc>
              <w:tc>
                <w:tcPr>
                  <w:tcW w:w="1994" w:type="dxa"/>
                  <w:vMerge w:val="continue"/>
                </w:tcPr>
                <w:p>
                  <w:pPr>
                    <w:pStyle w:val="60"/>
                    <w:bidi w:val="0"/>
                    <w:rPr>
                      <w:rFonts w:hint="default"/>
                      <w:lang w:val="en-US" w:eastAsia="zh-CN"/>
                    </w:rPr>
                  </w:pPr>
                </w:p>
              </w:tc>
            </w:tr>
          </w:tbl>
          <w:p>
            <w:pPr>
              <w:pStyle w:val="64"/>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2废水</w:t>
            </w:r>
          </w:p>
          <w:p>
            <w:pPr>
              <w:pStyle w:val="55"/>
              <w:bidi w:val="0"/>
              <w:rPr>
                <w:rFonts w:hint="eastAsia"/>
                <w:highlight w:val="none"/>
                <w:lang w:val="en-US" w:eastAsia="zh-CN"/>
              </w:rPr>
            </w:pPr>
            <w:r>
              <w:rPr>
                <w:rFonts w:hint="eastAsia"/>
                <w:lang w:val="en-US" w:eastAsia="zh-CN"/>
              </w:rPr>
              <w:t>本项目运营期产生废水主要为职工生活污水和医疗废水。污水处理站综合废水排放执</w:t>
            </w:r>
            <w:r>
              <w:rPr>
                <w:rFonts w:hint="eastAsia"/>
                <w:highlight w:val="none"/>
                <w:lang w:val="en-US" w:eastAsia="zh-CN"/>
              </w:rPr>
              <w:t>行《医疗机构水污染物排放标准》（GB18466-2005）表2预处理标准限值要求，详见表3-8。</w:t>
            </w:r>
          </w:p>
          <w:p>
            <w:pPr>
              <w:pStyle w:val="56"/>
              <w:keepNext w:val="0"/>
              <w:keepLines w:val="0"/>
              <w:pageBreakBefore w:val="0"/>
              <w:widowControl w:val="0"/>
              <w:kinsoku/>
              <w:overflowPunct/>
              <w:topLinePunct w:val="0"/>
              <w:autoSpaceDE/>
              <w:autoSpaceDN/>
              <w:bidi w:val="0"/>
              <w:spacing w:line="520" w:lineRule="exac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表3-</w:t>
            </w:r>
            <w:r>
              <w:rPr>
                <w:rFonts w:hint="eastAsia" w:cs="Times New Roman"/>
                <w:sz w:val="24"/>
                <w:szCs w:val="24"/>
                <w:highlight w:val="none"/>
                <w:lang w:val="en-US" w:eastAsia="zh-CN"/>
              </w:rPr>
              <w:t>8</w:t>
            </w:r>
            <w:r>
              <w:rPr>
                <w:rFonts w:hint="eastAsia" w:ascii="Times New Roman" w:hAnsi="Times New Roman" w:eastAsia="宋体" w:cs="Times New Roman"/>
                <w:sz w:val="24"/>
                <w:szCs w:val="24"/>
                <w:highlight w:val="none"/>
                <w:lang w:val="en-US" w:eastAsia="zh-CN"/>
              </w:rPr>
              <w:t xml:space="preserve">    综合医疗机构和其他医疗机构水污染物排放限值（日均值）</w:t>
            </w:r>
          </w:p>
          <w:tbl>
            <w:tblPr>
              <w:tblStyle w:val="26"/>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091"/>
              <w:gridCol w:w="334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lang w:val="en-US" w:eastAsia="zh-CN"/>
                    </w:rPr>
                  </w:pPr>
                  <w:r>
                    <w:rPr>
                      <w:rFonts w:hint="eastAsia"/>
                      <w:lang w:val="en-US" w:eastAsia="zh-CN"/>
                    </w:rPr>
                    <w:t>序号</w:t>
                  </w:r>
                </w:p>
              </w:tc>
              <w:tc>
                <w:tcPr>
                  <w:tcW w:w="4433" w:type="dxa"/>
                  <w:gridSpan w:val="2"/>
                  <w:vAlign w:val="center"/>
                </w:tcPr>
                <w:p>
                  <w:pPr>
                    <w:pStyle w:val="60"/>
                    <w:bidi w:val="0"/>
                    <w:jc w:val="center"/>
                    <w:rPr>
                      <w:rFonts w:hint="default"/>
                      <w:lang w:val="en-US" w:eastAsia="zh-CN"/>
                    </w:rPr>
                  </w:pPr>
                  <w:r>
                    <w:rPr>
                      <w:rFonts w:hint="eastAsia"/>
                      <w:lang w:val="en-US" w:eastAsia="zh-CN"/>
                    </w:rPr>
                    <w:t>控制项目</w:t>
                  </w:r>
                </w:p>
              </w:tc>
              <w:tc>
                <w:tcPr>
                  <w:tcW w:w="2658" w:type="dxa"/>
                  <w:vAlign w:val="center"/>
                </w:tcPr>
                <w:p>
                  <w:pPr>
                    <w:pStyle w:val="60"/>
                    <w:bidi w:val="0"/>
                    <w:jc w:val="center"/>
                    <w:rPr>
                      <w:rFonts w:hint="default"/>
                      <w:lang w:val="en-US" w:eastAsia="zh-CN"/>
                    </w:rPr>
                  </w:pPr>
                  <w:r>
                    <w:rPr>
                      <w:rFonts w:hint="eastAsia"/>
                      <w:lang w:val="en-US" w:eastAsia="zh-CN"/>
                    </w:rPr>
                    <w:t>预处理标准值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lang w:val="en-US" w:eastAsia="zh-CN"/>
                    </w:rPr>
                  </w:pPr>
                  <w:r>
                    <w:rPr>
                      <w:rFonts w:hint="eastAsia"/>
                      <w:lang w:val="en-US" w:eastAsia="zh-CN"/>
                    </w:rPr>
                    <w:t>1</w:t>
                  </w:r>
                </w:p>
              </w:tc>
              <w:tc>
                <w:tcPr>
                  <w:tcW w:w="4433" w:type="dxa"/>
                  <w:gridSpan w:val="2"/>
                  <w:vAlign w:val="center"/>
                </w:tcPr>
                <w:p>
                  <w:pPr>
                    <w:pStyle w:val="60"/>
                    <w:bidi w:val="0"/>
                    <w:jc w:val="center"/>
                    <w:rPr>
                      <w:rFonts w:hint="default"/>
                      <w:lang w:val="en-US" w:eastAsia="zh-CN"/>
                    </w:rPr>
                  </w:pPr>
                  <w:r>
                    <w:rPr>
                      <w:rFonts w:hint="default"/>
                      <w:lang w:val="en-US" w:eastAsia="zh-CN"/>
                    </w:rPr>
                    <w:t>粪大肠菌群数/（MPN/L）</w:t>
                  </w:r>
                </w:p>
              </w:tc>
              <w:tc>
                <w:tcPr>
                  <w:tcW w:w="2658" w:type="dxa"/>
                  <w:vAlign w:val="center"/>
                </w:tcPr>
                <w:p>
                  <w:pPr>
                    <w:pStyle w:val="60"/>
                    <w:bidi w:val="0"/>
                    <w:jc w:val="center"/>
                    <w:rPr>
                      <w:rFonts w:hint="default"/>
                      <w:lang w:val="en-US" w:eastAsia="zh-CN"/>
                    </w:rPr>
                  </w:pPr>
                  <w:r>
                    <w:rPr>
                      <w:rFonts w:hint="default"/>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eastAsia" w:ascii="Times New Roman" w:hAnsi="Times New Roman" w:eastAsia="宋体" w:cs="宋体"/>
                      <w:color w:val="auto"/>
                      <w:kern w:val="2"/>
                      <w:sz w:val="21"/>
                      <w:szCs w:val="21"/>
                      <w:lang w:val="en-US" w:eastAsia="zh-CN" w:bidi="ar-SA"/>
                    </w:rPr>
                  </w:pPr>
                  <w:r>
                    <w:rPr>
                      <w:rFonts w:hint="eastAsia"/>
                      <w:lang w:val="en-US" w:eastAsia="zh-CN"/>
                    </w:rPr>
                    <w:t>2</w:t>
                  </w:r>
                </w:p>
              </w:tc>
              <w:tc>
                <w:tcPr>
                  <w:tcW w:w="4433" w:type="dxa"/>
                  <w:gridSpan w:val="2"/>
                  <w:vAlign w:val="center"/>
                </w:tcPr>
                <w:p>
                  <w:pPr>
                    <w:pStyle w:val="60"/>
                    <w:bidi w:val="0"/>
                    <w:jc w:val="center"/>
                    <w:rPr>
                      <w:rFonts w:hint="default"/>
                      <w:lang w:val="en-US" w:eastAsia="zh-CN"/>
                    </w:rPr>
                  </w:pPr>
                  <w:r>
                    <w:rPr>
                      <w:rFonts w:hint="eastAsia"/>
                      <w:lang w:val="en-US" w:eastAsia="zh-CN"/>
                    </w:rPr>
                    <w:t>肠道致病菌</w:t>
                  </w:r>
                </w:p>
              </w:tc>
              <w:tc>
                <w:tcPr>
                  <w:tcW w:w="2658" w:type="dxa"/>
                  <w:vAlign w:val="center"/>
                </w:tcPr>
                <w:p>
                  <w:pPr>
                    <w:pStyle w:val="60"/>
                    <w:bidi w:val="0"/>
                    <w:jc w:val="center"/>
                    <w:rPr>
                      <w:rFonts w:hint="default"/>
                      <w:lang w:val="en-US" w:eastAsia="zh-CN"/>
                    </w:rPr>
                  </w:pPr>
                  <w:r>
                    <w:rPr>
                      <w:rFonts w:hint="eastAsia"/>
                      <w:lang w:val="en-US" w:eastAsia="zh-CN"/>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restart"/>
                  <w:vAlign w:val="center"/>
                </w:tcPr>
                <w:p>
                  <w:pPr>
                    <w:pStyle w:val="60"/>
                    <w:bidi w:val="0"/>
                    <w:jc w:val="center"/>
                    <w:rPr>
                      <w:rFonts w:hint="default"/>
                      <w:lang w:val="en-US" w:eastAsia="zh-CN"/>
                    </w:rPr>
                  </w:pPr>
                  <w:r>
                    <w:rPr>
                      <w:rFonts w:hint="eastAsia"/>
                      <w:lang w:val="en-US" w:eastAsia="zh-CN"/>
                    </w:rPr>
                    <w:t>3</w:t>
                  </w:r>
                </w:p>
              </w:tc>
              <w:tc>
                <w:tcPr>
                  <w:tcW w:w="1091" w:type="dxa"/>
                  <w:vMerge w:val="restart"/>
                  <w:vAlign w:val="center"/>
                </w:tcPr>
                <w:p>
                  <w:pPr>
                    <w:pStyle w:val="60"/>
                    <w:bidi w:val="0"/>
                    <w:jc w:val="center"/>
                    <w:rPr>
                      <w:rFonts w:hint="default"/>
                      <w:lang w:val="en-US" w:eastAsia="zh-CN"/>
                    </w:rPr>
                  </w:pPr>
                  <w:r>
                    <w:rPr>
                      <w:rFonts w:hint="default"/>
                      <w:lang w:val="en-US" w:eastAsia="zh-CN"/>
                    </w:rPr>
                    <w:t>化学需氧量（COD）</w:t>
                  </w:r>
                </w:p>
              </w:tc>
              <w:tc>
                <w:tcPr>
                  <w:tcW w:w="3342"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default"/>
                      <w:lang w:val="en-US" w:eastAsia="zh-CN"/>
                    </w:rPr>
                    <w:t>浓度/（mg/L）</w:t>
                  </w:r>
                </w:p>
              </w:tc>
              <w:tc>
                <w:tcPr>
                  <w:tcW w:w="2658" w:type="dxa"/>
                  <w:vAlign w:val="center"/>
                </w:tcPr>
                <w:p>
                  <w:pPr>
                    <w:pStyle w:val="60"/>
                    <w:bidi w:val="0"/>
                    <w:jc w:val="center"/>
                    <w:rPr>
                      <w:rFonts w:hint="default"/>
                      <w:lang w:val="en-US" w:eastAsia="zh-CN"/>
                    </w:rPr>
                  </w:pPr>
                  <w:r>
                    <w:rPr>
                      <w:rFonts w:hint="eastAsia"/>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continue"/>
                  <w:vAlign w:val="center"/>
                </w:tcPr>
                <w:p>
                  <w:pPr>
                    <w:pStyle w:val="60"/>
                    <w:bidi w:val="0"/>
                    <w:jc w:val="center"/>
                    <w:rPr>
                      <w:rFonts w:hint="default" w:ascii="Times New Roman" w:hAnsi="Times New Roman" w:eastAsia="宋体" w:cs="宋体"/>
                      <w:color w:val="auto"/>
                      <w:kern w:val="2"/>
                      <w:sz w:val="21"/>
                      <w:szCs w:val="21"/>
                      <w:lang w:val="en-US" w:eastAsia="zh-CN" w:bidi="ar-SA"/>
                    </w:rPr>
                  </w:pPr>
                </w:p>
              </w:tc>
              <w:tc>
                <w:tcPr>
                  <w:tcW w:w="1091" w:type="dxa"/>
                  <w:vMerge w:val="continue"/>
                  <w:vAlign w:val="center"/>
                </w:tcPr>
                <w:p>
                  <w:pPr>
                    <w:pStyle w:val="60"/>
                    <w:bidi w:val="0"/>
                    <w:jc w:val="center"/>
                    <w:rPr>
                      <w:rFonts w:hint="default"/>
                      <w:lang w:val="en-US" w:eastAsia="zh-CN"/>
                    </w:rPr>
                  </w:pPr>
                </w:p>
              </w:tc>
              <w:tc>
                <w:tcPr>
                  <w:tcW w:w="3342"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default"/>
                      <w:lang w:val="en-US" w:eastAsia="zh-CN"/>
                    </w:rPr>
                    <w:t>最高允许排放负荷/[g/（床位·d）]</w:t>
                  </w:r>
                </w:p>
              </w:tc>
              <w:tc>
                <w:tcPr>
                  <w:tcW w:w="2658" w:type="dxa"/>
                  <w:vAlign w:val="center"/>
                </w:tcPr>
                <w:p>
                  <w:pPr>
                    <w:pStyle w:val="60"/>
                    <w:bidi w:val="0"/>
                    <w:jc w:val="center"/>
                    <w:rPr>
                      <w:rFonts w:hint="default"/>
                      <w:lang w:val="en-US" w:eastAsia="zh-CN"/>
                    </w:rPr>
                  </w:pPr>
                  <w:r>
                    <w:rPr>
                      <w:rFonts w:hint="eastAsia"/>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restart"/>
                  <w:vAlign w:val="center"/>
                </w:tcPr>
                <w:p>
                  <w:pPr>
                    <w:pStyle w:val="60"/>
                    <w:bidi w:val="0"/>
                    <w:jc w:val="center"/>
                    <w:rPr>
                      <w:rFonts w:hint="default"/>
                      <w:lang w:val="en-US" w:eastAsia="zh-CN"/>
                    </w:rPr>
                  </w:pPr>
                  <w:r>
                    <w:rPr>
                      <w:rFonts w:hint="eastAsia"/>
                      <w:lang w:val="en-US" w:eastAsia="zh-CN"/>
                    </w:rPr>
                    <w:t>4</w:t>
                  </w:r>
                </w:p>
              </w:tc>
              <w:tc>
                <w:tcPr>
                  <w:tcW w:w="1091" w:type="dxa"/>
                  <w:vMerge w:val="restart"/>
                  <w:vAlign w:val="center"/>
                </w:tcPr>
                <w:p>
                  <w:pPr>
                    <w:pStyle w:val="60"/>
                    <w:bidi w:val="0"/>
                    <w:jc w:val="center"/>
                    <w:rPr>
                      <w:rFonts w:hint="default"/>
                      <w:lang w:val="en-US" w:eastAsia="zh-CN"/>
                    </w:rPr>
                  </w:pPr>
                  <w:r>
                    <w:rPr>
                      <w:rFonts w:hint="eastAsia"/>
                      <w:lang w:val="en-US" w:eastAsia="zh-CN"/>
                    </w:rPr>
                    <w:t>生</w:t>
                  </w:r>
                  <w:r>
                    <w:rPr>
                      <w:rFonts w:hint="default"/>
                      <w:lang w:val="en-US" w:eastAsia="zh-CN"/>
                    </w:rPr>
                    <w:t>化需氧量（</w:t>
                  </w:r>
                  <w:r>
                    <w:rPr>
                      <w:rFonts w:hint="eastAsia"/>
                      <w:lang w:val="en-US" w:eastAsia="zh-CN"/>
                    </w:rPr>
                    <w:t>B</w:t>
                  </w:r>
                  <w:r>
                    <w:rPr>
                      <w:rFonts w:hint="default"/>
                      <w:lang w:val="en-US" w:eastAsia="zh-CN"/>
                    </w:rPr>
                    <w:t>OD）</w:t>
                  </w:r>
                </w:p>
              </w:tc>
              <w:tc>
                <w:tcPr>
                  <w:tcW w:w="3342" w:type="dxa"/>
                  <w:vAlign w:val="center"/>
                </w:tcPr>
                <w:p>
                  <w:pPr>
                    <w:pStyle w:val="60"/>
                    <w:bidi w:val="0"/>
                    <w:jc w:val="center"/>
                    <w:rPr>
                      <w:rFonts w:hint="eastAsia" w:ascii="Times New Roman" w:hAnsi="Times New Roman" w:eastAsia="宋体" w:cs="宋体"/>
                      <w:color w:val="auto"/>
                      <w:kern w:val="2"/>
                      <w:sz w:val="21"/>
                      <w:szCs w:val="21"/>
                      <w:lang w:val="en-US" w:eastAsia="zh-CN" w:bidi="ar-SA"/>
                    </w:rPr>
                  </w:pPr>
                  <w:r>
                    <w:rPr>
                      <w:rFonts w:hint="default"/>
                      <w:lang w:val="en-US" w:eastAsia="zh-CN"/>
                    </w:rPr>
                    <w:t>浓度/（mg/L）</w:t>
                  </w:r>
                </w:p>
              </w:tc>
              <w:tc>
                <w:tcPr>
                  <w:tcW w:w="2658"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continue"/>
                  <w:vAlign w:val="center"/>
                </w:tcPr>
                <w:p>
                  <w:pPr>
                    <w:pStyle w:val="60"/>
                    <w:bidi w:val="0"/>
                    <w:jc w:val="center"/>
                    <w:rPr>
                      <w:rFonts w:hint="default" w:ascii="Times New Roman" w:hAnsi="Times New Roman" w:eastAsia="宋体" w:cs="宋体"/>
                      <w:color w:val="auto"/>
                      <w:kern w:val="2"/>
                      <w:sz w:val="21"/>
                      <w:szCs w:val="21"/>
                      <w:lang w:val="en-US" w:eastAsia="zh-CN" w:bidi="ar-SA"/>
                    </w:rPr>
                  </w:pPr>
                </w:p>
              </w:tc>
              <w:tc>
                <w:tcPr>
                  <w:tcW w:w="1091" w:type="dxa"/>
                  <w:vMerge w:val="continue"/>
                  <w:vAlign w:val="center"/>
                </w:tcPr>
                <w:p>
                  <w:pPr>
                    <w:pStyle w:val="60"/>
                    <w:bidi w:val="0"/>
                    <w:jc w:val="center"/>
                    <w:rPr>
                      <w:rFonts w:hint="default"/>
                      <w:lang w:val="en-US" w:eastAsia="zh-CN"/>
                    </w:rPr>
                  </w:pPr>
                </w:p>
              </w:tc>
              <w:tc>
                <w:tcPr>
                  <w:tcW w:w="3342"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default"/>
                      <w:lang w:val="en-US" w:eastAsia="zh-CN"/>
                    </w:rPr>
                    <w:t>最高允许排放负荷/[g/（床位·d）]</w:t>
                  </w:r>
                </w:p>
              </w:tc>
              <w:tc>
                <w:tcPr>
                  <w:tcW w:w="2658"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restart"/>
                  <w:vAlign w:val="center"/>
                </w:tcPr>
                <w:p>
                  <w:pPr>
                    <w:pStyle w:val="60"/>
                    <w:bidi w:val="0"/>
                    <w:jc w:val="center"/>
                    <w:rPr>
                      <w:rFonts w:hint="default"/>
                      <w:lang w:val="en-US" w:eastAsia="zh-CN"/>
                    </w:rPr>
                  </w:pPr>
                  <w:r>
                    <w:rPr>
                      <w:rFonts w:hint="eastAsia"/>
                      <w:lang w:val="en-US" w:eastAsia="zh-CN"/>
                    </w:rPr>
                    <w:t>5</w:t>
                  </w:r>
                </w:p>
              </w:tc>
              <w:tc>
                <w:tcPr>
                  <w:tcW w:w="1091" w:type="dxa"/>
                  <w:vMerge w:val="restart"/>
                  <w:vAlign w:val="center"/>
                </w:tcPr>
                <w:p>
                  <w:pPr>
                    <w:pStyle w:val="60"/>
                    <w:bidi w:val="0"/>
                    <w:jc w:val="center"/>
                    <w:rPr>
                      <w:rFonts w:hint="default"/>
                      <w:lang w:val="en-US" w:eastAsia="zh-CN"/>
                    </w:rPr>
                  </w:pPr>
                  <w:r>
                    <w:rPr>
                      <w:rFonts w:hint="default"/>
                      <w:lang w:val="en-US" w:eastAsia="zh-CN"/>
                    </w:rPr>
                    <w:t>悬浮物（SS）</w:t>
                  </w:r>
                </w:p>
              </w:tc>
              <w:tc>
                <w:tcPr>
                  <w:tcW w:w="3342"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default"/>
                      <w:lang w:val="en-US" w:eastAsia="zh-CN"/>
                    </w:rPr>
                    <w:t>浓度/（mg/L）</w:t>
                  </w:r>
                </w:p>
              </w:tc>
              <w:tc>
                <w:tcPr>
                  <w:tcW w:w="2658" w:type="dxa"/>
                  <w:vAlign w:val="center"/>
                </w:tcPr>
                <w:p>
                  <w:pPr>
                    <w:pStyle w:val="60"/>
                    <w:bidi w:val="0"/>
                    <w:jc w:val="center"/>
                    <w:rPr>
                      <w:rFonts w:hint="eastAsia" w:ascii="Times New Roman" w:hAnsi="Times New Roman" w:eastAsia="宋体" w:cs="宋体"/>
                      <w:color w:val="auto"/>
                      <w:kern w:val="2"/>
                      <w:sz w:val="21"/>
                      <w:szCs w:val="21"/>
                      <w:lang w:val="en-US" w:eastAsia="zh-CN" w:bidi="ar-SA"/>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Merge w:val="continue"/>
                  <w:vAlign w:val="center"/>
                </w:tcPr>
                <w:p>
                  <w:pPr>
                    <w:pStyle w:val="60"/>
                    <w:bidi w:val="0"/>
                    <w:jc w:val="center"/>
                    <w:rPr>
                      <w:rFonts w:hint="default" w:ascii="Times New Roman" w:hAnsi="Times New Roman" w:eastAsia="宋体" w:cs="宋体"/>
                      <w:color w:val="auto"/>
                      <w:kern w:val="2"/>
                      <w:sz w:val="21"/>
                      <w:szCs w:val="21"/>
                      <w:lang w:val="en-US" w:eastAsia="zh-CN" w:bidi="ar-SA"/>
                    </w:rPr>
                  </w:pPr>
                </w:p>
              </w:tc>
              <w:tc>
                <w:tcPr>
                  <w:tcW w:w="1091" w:type="dxa"/>
                  <w:vMerge w:val="continue"/>
                  <w:vAlign w:val="center"/>
                </w:tcPr>
                <w:p>
                  <w:pPr>
                    <w:pStyle w:val="60"/>
                    <w:bidi w:val="0"/>
                    <w:jc w:val="center"/>
                    <w:rPr>
                      <w:rFonts w:hint="default"/>
                      <w:lang w:val="en-US" w:eastAsia="zh-CN"/>
                    </w:rPr>
                  </w:pPr>
                </w:p>
              </w:tc>
              <w:tc>
                <w:tcPr>
                  <w:tcW w:w="3342"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default"/>
                      <w:lang w:val="en-US" w:eastAsia="zh-CN"/>
                    </w:rPr>
                    <w:t>最高允许排放负荷/[g/（床位·d）]</w:t>
                  </w:r>
                </w:p>
              </w:tc>
              <w:tc>
                <w:tcPr>
                  <w:tcW w:w="2658" w:type="dxa"/>
                  <w:vAlign w:val="center"/>
                </w:tcPr>
                <w:p>
                  <w:pPr>
                    <w:pStyle w:val="60"/>
                    <w:bidi w:val="0"/>
                    <w:jc w:val="center"/>
                    <w:rPr>
                      <w:rFonts w:hint="eastAsia" w:ascii="Times New Roman" w:hAnsi="Times New Roman" w:eastAsia="宋体" w:cs="宋体"/>
                      <w:color w:val="auto"/>
                      <w:kern w:val="2"/>
                      <w:sz w:val="21"/>
                      <w:szCs w:val="21"/>
                      <w:lang w:val="en-US" w:eastAsia="zh-CN" w:bidi="ar-SA"/>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6</w:t>
                  </w:r>
                </w:p>
              </w:tc>
              <w:tc>
                <w:tcPr>
                  <w:tcW w:w="4433" w:type="dxa"/>
                  <w:gridSpan w:val="2"/>
                  <w:vAlign w:val="center"/>
                </w:tcPr>
                <w:p>
                  <w:pPr>
                    <w:pStyle w:val="60"/>
                    <w:bidi w:val="0"/>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氨氮/（mg/L）</w:t>
                  </w:r>
                </w:p>
              </w:tc>
              <w:tc>
                <w:tcPr>
                  <w:tcW w:w="2658" w:type="dxa"/>
                  <w:vAlign w:val="center"/>
                </w:tcPr>
                <w:p>
                  <w:pPr>
                    <w:pStyle w:val="60"/>
                    <w:bidi w:val="0"/>
                    <w:jc w:val="center"/>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7</w:t>
                  </w:r>
                </w:p>
              </w:tc>
              <w:tc>
                <w:tcPr>
                  <w:tcW w:w="4433" w:type="dxa"/>
                  <w:gridSpan w:val="2"/>
                  <w:vAlign w:val="center"/>
                </w:tcPr>
                <w:p>
                  <w:pPr>
                    <w:pStyle w:val="60"/>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highlight w:val="none"/>
                      <w:lang w:val="en-US" w:eastAsia="zh-CN"/>
                    </w:rPr>
                    <w:t>动植物油/（mg/L）</w:t>
                  </w:r>
                </w:p>
              </w:tc>
              <w:tc>
                <w:tcPr>
                  <w:tcW w:w="2658" w:type="dxa"/>
                  <w:vAlign w:val="center"/>
                </w:tcPr>
                <w:p>
                  <w:pPr>
                    <w:pStyle w:val="60"/>
                    <w:bidi w:val="0"/>
                    <w:jc w:val="center"/>
                    <w:rPr>
                      <w:rFonts w:hint="default" w:ascii="Times New Roman" w:hAnsi="Times New Roman" w:eastAsia="宋体" w:cs="宋体"/>
                      <w:color w:val="auto"/>
                      <w:kern w:val="2"/>
                      <w:sz w:val="21"/>
                      <w:szCs w:val="21"/>
                      <w:highlight w:val="none"/>
                      <w:lang w:val="en-US" w:eastAsia="zh-CN" w:bidi="ar-SA"/>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8</w:t>
                  </w:r>
                </w:p>
              </w:tc>
              <w:tc>
                <w:tcPr>
                  <w:tcW w:w="4433" w:type="dxa"/>
                  <w:gridSpan w:val="2"/>
                  <w:vAlign w:val="center"/>
                </w:tcPr>
                <w:p>
                  <w:pPr>
                    <w:pStyle w:val="60"/>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highlight w:val="none"/>
                      <w:lang w:val="en-US" w:eastAsia="zh-CN"/>
                    </w:rPr>
                    <w:t>石油类/（mg/L）</w:t>
                  </w:r>
                </w:p>
              </w:tc>
              <w:tc>
                <w:tcPr>
                  <w:tcW w:w="2658" w:type="dxa"/>
                  <w:vAlign w:val="center"/>
                </w:tcPr>
                <w:p>
                  <w:pPr>
                    <w:pStyle w:val="60"/>
                    <w:bidi w:val="0"/>
                    <w:jc w:val="center"/>
                    <w:rPr>
                      <w:rFonts w:hint="default" w:ascii="Times New Roman" w:hAnsi="Times New Roman" w:eastAsia="宋体" w:cs="宋体"/>
                      <w:color w:val="auto"/>
                      <w:kern w:val="2"/>
                      <w:sz w:val="21"/>
                      <w:szCs w:val="21"/>
                      <w:highlight w:val="none"/>
                      <w:lang w:val="en-US" w:eastAsia="zh-CN" w:bidi="ar-SA"/>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9</w:t>
                  </w:r>
                </w:p>
              </w:tc>
              <w:tc>
                <w:tcPr>
                  <w:tcW w:w="4433" w:type="dxa"/>
                  <w:gridSpan w:val="2"/>
                  <w:vAlign w:val="center"/>
                </w:tcPr>
                <w:p>
                  <w:pPr>
                    <w:pStyle w:val="60"/>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highlight w:val="none"/>
                      <w:lang w:val="en-US" w:eastAsia="zh-CN"/>
                    </w:rPr>
                    <w:t>阴离子表面活性剂/（mg/L）</w:t>
                  </w:r>
                </w:p>
              </w:tc>
              <w:tc>
                <w:tcPr>
                  <w:tcW w:w="2658" w:type="dxa"/>
                  <w:vAlign w:val="center"/>
                </w:tcPr>
                <w:p>
                  <w:pPr>
                    <w:pStyle w:val="60"/>
                    <w:bidi w:val="0"/>
                    <w:jc w:val="center"/>
                    <w:rPr>
                      <w:rFonts w:hint="default" w:ascii="Times New Roman" w:hAnsi="Times New Roman" w:eastAsia="宋体" w:cs="宋体"/>
                      <w:color w:val="auto"/>
                      <w:kern w:val="2"/>
                      <w:sz w:val="21"/>
                      <w:szCs w:val="21"/>
                      <w:highlight w:val="none"/>
                      <w:lang w:val="en-US" w:eastAsia="zh-CN" w:bidi="ar-SA"/>
                    </w:rPr>
                  </w:pPr>
                  <w:r>
                    <w:rPr>
                      <w:rFonts w:hint="eastAsia"/>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eastAsia" w:ascii="Times New Roman" w:hAnsi="Times New Roman" w:eastAsia="宋体" w:cs="宋体"/>
                      <w:color w:val="auto"/>
                      <w:kern w:val="2"/>
                      <w:sz w:val="21"/>
                      <w:szCs w:val="21"/>
                      <w:lang w:val="en-US" w:eastAsia="zh-CN" w:bidi="ar-SA"/>
                    </w:rPr>
                  </w:pPr>
                  <w:r>
                    <w:rPr>
                      <w:rFonts w:hint="eastAsia"/>
                      <w:lang w:val="en-US" w:eastAsia="zh-CN"/>
                    </w:rPr>
                    <w:t>10</w:t>
                  </w:r>
                </w:p>
              </w:tc>
              <w:tc>
                <w:tcPr>
                  <w:tcW w:w="4433" w:type="dxa"/>
                  <w:gridSpan w:val="2"/>
                  <w:vAlign w:val="center"/>
                </w:tcPr>
                <w:p>
                  <w:pPr>
                    <w:pStyle w:val="60"/>
                    <w:bidi w:val="0"/>
                    <w:jc w:val="center"/>
                    <w:rPr>
                      <w:rFonts w:hint="default" w:ascii="Times New Roman" w:hAnsi="Times New Roman" w:cs="Times New Roman"/>
                      <w:highlight w:val="none"/>
                      <w:lang w:val="en-US" w:eastAsia="zh-CN"/>
                    </w:rPr>
                  </w:pPr>
                  <w:r>
                    <w:rPr>
                      <w:rFonts w:hint="eastAsia" w:cs="Times New Roman"/>
                      <w:highlight w:val="none"/>
                      <w:lang w:val="en-US" w:eastAsia="zh-CN"/>
                    </w:rPr>
                    <w:t>色度/（稀释倍数）</w:t>
                  </w:r>
                </w:p>
              </w:tc>
              <w:tc>
                <w:tcPr>
                  <w:tcW w:w="2658" w:type="dxa"/>
                  <w:vAlign w:val="center"/>
                </w:tcPr>
                <w:p>
                  <w:pPr>
                    <w:pStyle w:val="60"/>
                    <w:bidi w:val="0"/>
                    <w:jc w:val="center"/>
                    <w:rPr>
                      <w:rFonts w:hint="default"/>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ascii="Times New Roman" w:hAnsi="Times New Roman" w:eastAsia="宋体" w:cs="宋体"/>
                      <w:color w:val="auto"/>
                      <w:kern w:val="2"/>
                      <w:sz w:val="21"/>
                      <w:szCs w:val="21"/>
                      <w:lang w:val="en-US" w:eastAsia="zh-CN" w:bidi="ar-SA"/>
                    </w:rPr>
                  </w:pPr>
                  <w:r>
                    <w:rPr>
                      <w:rFonts w:hint="eastAsia"/>
                      <w:lang w:val="en-US" w:eastAsia="zh-CN"/>
                    </w:rPr>
                    <w:t>11</w:t>
                  </w:r>
                </w:p>
              </w:tc>
              <w:tc>
                <w:tcPr>
                  <w:tcW w:w="4433" w:type="dxa"/>
                  <w:gridSpan w:val="2"/>
                  <w:vAlign w:val="center"/>
                </w:tcPr>
                <w:p>
                  <w:pPr>
                    <w:pStyle w:val="60"/>
                    <w:bidi w:val="0"/>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挥发酚/（mg/L）</w:t>
                  </w:r>
                </w:p>
              </w:tc>
              <w:tc>
                <w:tcPr>
                  <w:tcW w:w="2658" w:type="dxa"/>
                  <w:vAlign w:val="center"/>
                </w:tcPr>
                <w:p>
                  <w:pPr>
                    <w:pStyle w:val="60"/>
                    <w:bidi w:val="0"/>
                    <w:jc w:val="center"/>
                    <w:rPr>
                      <w:rFonts w:hint="default"/>
                      <w:highlight w:val="none"/>
                      <w:lang w:val="en-US" w:eastAsia="zh-CN"/>
                    </w:rPr>
                  </w:pPr>
                  <w:r>
                    <w:rPr>
                      <w:rFonts w:hint="eastAsia"/>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 w:type="dxa"/>
                  <w:vAlign w:val="center"/>
                </w:tcPr>
                <w:p>
                  <w:pPr>
                    <w:pStyle w:val="60"/>
                    <w:bidi w:val="0"/>
                    <w:jc w:val="center"/>
                    <w:rPr>
                      <w:rFonts w:hint="default"/>
                      <w:lang w:val="en-US" w:eastAsia="zh-CN"/>
                    </w:rPr>
                  </w:pPr>
                  <w:r>
                    <w:rPr>
                      <w:rFonts w:hint="eastAsia"/>
                      <w:lang w:val="en-US" w:eastAsia="zh-CN"/>
                    </w:rPr>
                    <w:t>12</w:t>
                  </w:r>
                </w:p>
              </w:tc>
              <w:tc>
                <w:tcPr>
                  <w:tcW w:w="4433" w:type="dxa"/>
                  <w:gridSpan w:val="2"/>
                  <w:vAlign w:val="center"/>
                </w:tcPr>
                <w:p>
                  <w:pPr>
                    <w:pStyle w:val="60"/>
                    <w:bidi w:val="0"/>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总氰化物/（mg/L）</w:t>
                  </w:r>
                </w:p>
              </w:tc>
              <w:tc>
                <w:tcPr>
                  <w:tcW w:w="2658" w:type="dxa"/>
                  <w:vAlign w:val="center"/>
                </w:tcPr>
                <w:p>
                  <w:pPr>
                    <w:pStyle w:val="60"/>
                    <w:bidi w:val="0"/>
                    <w:jc w:val="center"/>
                    <w:rPr>
                      <w:rFonts w:hint="default"/>
                      <w:highlight w:val="none"/>
                      <w:lang w:val="en-US" w:eastAsia="zh-CN"/>
                    </w:rPr>
                  </w:pPr>
                  <w:r>
                    <w:rPr>
                      <w:rFonts w:hint="eastAsia"/>
                      <w:highlight w:val="none"/>
                      <w:lang w:val="en-US" w:eastAsia="zh-CN"/>
                    </w:rPr>
                    <w:t>0.5</w:t>
                  </w:r>
                </w:p>
              </w:tc>
            </w:tr>
          </w:tbl>
          <w:p>
            <w:pPr>
              <w:pStyle w:val="64"/>
              <w:bidi w:val="0"/>
              <w:rPr>
                <w:rFonts w:hint="default"/>
                <w:lang w:val="en-US" w:eastAsia="zh-CN"/>
              </w:rPr>
            </w:pPr>
            <w:r>
              <w:rPr>
                <w:rFonts w:hint="eastAsia"/>
                <w:lang w:val="en-US" w:eastAsia="zh-CN"/>
              </w:rPr>
              <w:t>3噪声</w:t>
            </w:r>
          </w:p>
          <w:p>
            <w:pPr>
              <w:pStyle w:val="58"/>
              <w:bidi w:val="0"/>
              <w:rPr>
                <w:rFonts w:hint="default"/>
                <w:highlight w:val="none"/>
                <w:lang w:val="en-US" w:eastAsia="zh-CN"/>
              </w:rPr>
            </w:pPr>
            <w:r>
              <w:rPr>
                <w:rFonts w:hint="eastAsia"/>
                <w:highlight w:val="none"/>
                <w:lang w:val="en-US" w:eastAsia="zh-CN"/>
              </w:rPr>
              <w:t>运营期库尔勒市第一人民医院厂界噪声执行《工业企业厂界环境噪声排放标准》（GB12348-2008）</w:t>
            </w:r>
            <w:r>
              <w:rPr>
                <w:rFonts w:hint="default"/>
                <w:highlight w:val="none"/>
                <w:lang w:val="en-US" w:eastAsia="zh-CN"/>
              </w:rPr>
              <w:t>中2类及4类标准，</w:t>
            </w:r>
            <w:r>
              <w:rPr>
                <w:rFonts w:hint="eastAsia"/>
                <w:highlight w:val="none"/>
                <w:lang w:val="en-US" w:eastAsia="zh-CN"/>
              </w:rPr>
              <w:t>其中项目南侧、西侧执行《工业企业厂界环境噪声排放标准》（GB12348-2008）中2类区排放标准；项目东侧、北侧执行《工业企业厂界环境噪声排放标准》（GB12348-2008）中4类区排放标准。营运期噪声执行标准</w:t>
            </w:r>
            <w:r>
              <w:rPr>
                <w:rFonts w:hint="default"/>
                <w:highlight w:val="none"/>
                <w:lang w:val="en-US" w:eastAsia="zh-CN"/>
              </w:rPr>
              <w:t>见表</w:t>
            </w:r>
            <w:r>
              <w:rPr>
                <w:rFonts w:hint="eastAsia"/>
                <w:highlight w:val="none"/>
                <w:lang w:val="en-US" w:eastAsia="zh-CN"/>
              </w:rPr>
              <w:t>3-9</w:t>
            </w:r>
            <w:r>
              <w:rPr>
                <w:rFonts w:hint="default"/>
                <w:highlight w:val="none"/>
                <w:lang w:val="en-US" w:eastAsia="zh-CN"/>
              </w:rPr>
              <w:t>。</w:t>
            </w:r>
          </w:p>
          <w:p>
            <w:pPr>
              <w:pStyle w:val="56"/>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表</w:t>
            </w:r>
            <w:r>
              <w:rPr>
                <w:rFonts w:hint="eastAsia" w:ascii="Times New Roman" w:hAnsi="Times New Roman" w:eastAsia="宋体" w:cs="Times New Roman"/>
                <w:sz w:val="24"/>
                <w:szCs w:val="24"/>
                <w:lang w:val="en-US" w:eastAsia="zh-CN"/>
              </w:rPr>
              <w:t>3-</w:t>
            </w:r>
            <w:r>
              <w:rPr>
                <w:rFonts w:hint="eastAsia" w:cs="Times New Roman"/>
                <w:sz w:val="24"/>
                <w:szCs w:val="24"/>
                <w:lang w:val="en-US" w:eastAsia="zh-CN"/>
              </w:rPr>
              <w:t>9</w:t>
            </w:r>
            <w:r>
              <w:rPr>
                <w:rFonts w:hint="eastAsia" w:ascii="Times New Roman" w:hAnsi="Times New Roman" w:eastAsia="宋体" w:cs="Times New Roman"/>
                <w:sz w:val="24"/>
                <w:szCs w:val="24"/>
                <w:lang w:val="en-US" w:eastAsia="zh-CN"/>
              </w:rPr>
              <w:t xml:space="preserve">    运营期噪声执行标准</w:t>
            </w:r>
          </w:p>
          <w:tbl>
            <w:tblPr>
              <w:tblStyle w:val="26"/>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2658"/>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7" w:type="dxa"/>
                  <w:vMerge w:val="restart"/>
                  <w:noWrap w:val="0"/>
                  <w:vAlign w:val="center"/>
                </w:tcPr>
                <w:p>
                  <w:pPr>
                    <w:pStyle w:val="65"/>
                    <w:bidi w:val="0"/>
                    <w:rPr>
                      <w:rFonts w:hint="default"/>
                      <w:highlight w:val="none"/>
                      <w:lang w:val="en-US" w:eastAsia="zh-CN"/>
                    </w:rPr>
                  </w:pPr>
                  <w:r>
                    <w:rPr>
                      <w:rFonts w:hint="eastAsia"/>
                      <w:highlight w:val="none"/>
                      <w:lang w:val="en-US" w:eastAsia="zh-CN"/>
                    </w:rPr>
                    <w:t>厂界外声环境功能区类别</w:t>
                  </w:r>
                </w:p>
              </w:tc>
              <w:tc>
                <w:tcPr>
                  <w:tcW w:w="5317" w:type="dxa"/>
                  <w:gridSpan w:val="2"/>
                  <w:noWrap w:val="0"/>
                  <w:vAlign w:val="center"/>
                </w:tcPr>
                <w:p>
                  <w:pPr>
                    <w:pStyle w:val="65"/>
                    <w:bidi w:val="0"/>
                    <w:rPr>
                      <w:rFonts w:hint="eastAsia"/>
                      <w:highlight w:val="none"/>
                      <w:lang w:val="en-US" w:eastAsia="zh-CN"/>
                    </w:rPr>
                  </w:pPr>
                  <w:r>
                    <w:rPr>
                      <w:rFonts w:hint="eastAsia"/>
                      <w:highlight w:val="none"/>
                      <w:lang w:val="en-US" w:eastAsia="zh-CN"/>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657" w:type="dxa"/>
                  <w:vMerge w:val="continue"/>
                  <w:noWrap w:val="0"/>
                  <w:vAlign w:val="center"/>
                </w:tcPr>
                <w:p>
                  <w:pPr>
                    <w:pStyle w:val="65"/>
                    <w:bidi w:val="0"/>
                    <w:rPr>
                      <w:rFonts w:hint="eastAsia"/>
                      <w:highlight w:val="none"/>
                      <w:lang w:val="en-US" w:eastAsia="zh-CN"/>
                    </w:rPr>
                  </w:pPr>
                </w:p>
              </w:tc>
              <w:tc>
                <w:tcPr>
                  <w:tcW w:w="2658" w:type="dxa"/>
                  <w:noWrap w:val="0"/>
                  <w:vAlign w:val="center"/>
                </w:tcPr>
                <w:p>
                  <w:pPr>
                    <w:pStyle w:val="65"/>
                    <w:bidi w:val="0"/>
                    <w:rPr>
                      <w:rFonts w:hint="default"/>
                      <w:highlight w:val="none"/>
                      <w:lang w:val="en-US" w:eastAsia="zh-CN"/>
                    </w:rPr>
                  </w:pPr>
                  <w:r>
                    <w:rPr>
                      <w:rFonts w:hint="eastAsia"/>
                      <w:highlight w:val="none"/>
                      <w:lang w:val="en-US" w:eastAsia="zh-CN"/>
                    </w:rPr>
                    <w:t>昼间</w:t>
                  </w:r>
                </w:p>
              </w:tc>
              <w:tc>
                <w:tcPr>
                  <w:tcW w:w="2659" w:type="dxa"/>
                  <w:noWrap w:val="0"/>
                  <w:vAlign w:val="center"/>
                </w:tcPr>
                <w:p>
                  <w:pPr>
                    <w:pStyle w:val="65"/>
                    <w:bidi w:val="0"/>
                    <w:rPr>
                      <w:rFonts w:hint="default"/>
                      <w:highlight w:val="none"/>
                      <w:lang w:val="en-US" w:eastAsia="zh-CN"/>
                    </w:rPr>
                  </w:pPr>
                  <w:r>
                    <w:rPr>
                      <w:rFonts w:hint="eastAsia"/>
                      <w:highlight w:val="no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7" w:type="dxa"/>
                  <w:noWrap w:val="0"/>
                  <w:vAlign w:val="center"/>
                </w:tcPr>
                <w:p>
                  <w:pPr>
                    <w:pStyle w:val="65"/>
                    <w:bidi w:val="0"/>
                    <w:rPr>
                      <w:rFonts w:hint="default"/>
                      <w:highlight w:val="none"/>
                      <w:lang w:val="en-US" w:eastAsia="zh-CN"/>
                    </w:rPr>
                  </w:pPr>
                  <w:r>
                    <w:rPr>
                      <w:rFonts w:hint="eastAsia"/>
                      <w:highlight w:val="none"/>
                      <w:lang w:val="en-US" w:eastAsia="zh-CN"/>
                    </w:rPr>
                    <w:t>2类</w:t>
                  </w:r>
                </w:p>
              </w:tc>
              <w:tc>
                <w:tcPr>
                  <w:tcW w:w="2658" w:type="dxa"/>
                  <w:noWrap w:val="0"/>
                  <w:vAlign w:val="center"/>
                </w:tcPr>
                <w:p>
                  <w:pPr>
                    <w:pStyle w:val="65"/>
                    <w:bidi w:val="0"/>
                    <w:rPr>
                      <w:rFonts w:hint="default"/>
                      <w:highlight w:val="none"/>
                      <w:lang w:val="en-US" w:eastAsia="zh-CN"/>
                    </w:rPr>
                  </w:pPr>
                  <w:r>
                    <w:rPr>
                      <w:rFonts w:hint="eastAsia"/>
                      <w:highlight w:val="none"/>
                      <w:lang w:val="en-US" w:eastAsia="zh-CN"/>
                    </w:rPr>
                    <w:t>60dB（A）</w:t>
                  </w:r>
                </w:p>
              </w:tc>
              <w:tc>
                <w:tcPr>
                  <w:tcW w:w="2659" w:type="dxa"/>
                  <w:noWrap w:val="0"/>
                  <w:vAlign w:val="center"/>
                </w:tcPr>
                <w:p>
                  <w:pPr>
                    <w:pStyle w:val="65"/>
                    <w:bidi w:val="0"/>
                    <w:rPr>
                      <w:rFonts w:hint="default"/>
                      <w:highlight w:val="none"/>
                      <w:lang w:val="en-US" w:eastAsia="zh-CN"/>
                    </w:rPr>
                  </w:pPr>
                  <w:r>
                    <w:rPr>
                      <w:rFonts w:hint="eastAsia"/>
                      <w:highlight w:val="none"/>
                      <w:lang w:val="en-US" w:eastAsia="zh-CN"/>
                    </w:rPr>
                    <w:t>50dB（A）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7" w:type="dxa"/>
                  <w:noWrap w:val="0"/>
                  <w:vAlign w:val="center"/>
                </w:tcPr>
                <w:p>
                  <w:pPr>
                    <w:pStyle w:val="65"/>
                    <w:bidi w:val="0"/>
                    <w:rPr>
                      <w:rFonts w:hint="default"/>
                      <w:highlight w:val="none"/>
                      <w:lang w:val="en-US" w:eastAsia="zh-CN"/>
                    </w:rPr>
                  </w:pPr>
                  <w:r>
                    <w:rPr>
                      <w:rFonts w:hint="eastAsia"/>
                      <w:highlight w:val="none"/>
                      <w:lang w:val="en-US" w:eastAsia="zh-CN"/>
                    </w:rPr>
                    <w:t>4类</w:t>
                  </w:r>
                </w:p>
              </w:tc>
              <w:tc>
                <w:tcPr>
                  <w:tcW w:w="2658" w:type="dxa"/>
                  <w:noWrap w:val="0"/>
                  <w:vAlign w:val="center"/>
                </w:tcPr>
                <w:p>
                  <w:pPr>
                    <w:pStyle w:val="65"/>
                    <w:bidi w:val="0"/>
                    <w:rPr>
                      <w:rFonts w:hint="default"/>
                      <w:highlight w:val="none"/>
                      <w:lang w:val="en-US" w:eastAsia="zh-CN"/>
                    </w:rPr>
                  </w:pPr>
                  <w:r>
                    <w:rPr>
                      <w:rFonts w:hint="eastAsia"/>
                      <w:highlight w:val="none"/>
                      <w:lang w:val="en-US" w:eastAsia="zh-CN"/>
                    </w:rPr>
                    <w:t>70dB（A）</w:t>
                  </w:r>
                </w:p>
              </w:tc>
              <w:tc>
                <w:tcPr>
                  <w:tcW w:w="2659" w:type="dxa"/>
                  <w:noWrap w:val="0"/>
                  <w:vAlign w:val="center"/>
                </w:tcPr>
                <w:p>
                  <w:pPr>
                    <w:pStyle w:val="65"/>
                    <w:bidi w:val="0"/>
                    <w:rPr>
                      <w:rFonts w:hint="default"/>
                      <w:highlight w:val="none"/>
                      <w:lang w:val="en-US" w:eastAsia="zh-CN"/>
                    </w:rPr>
                  </w:pPr>
                  <w:r>
                    <w:rPr>
                      <w:rFonts w:hint="eastAsia"/>
                      <w:highlight w:val="none"/>
                      <w:lang w:val="en-US" w:eastAsia="zh-CN"/>
                    </w:rPr>
                    <w:t>55dB（A）</w:t>
                  </w:r>
                </w:p>
              </w:tc>
            </w:tr>
          </w:tbl>
          <w:p>
            <w:pPr>
              <w:pStyle w:val="47"/>
              <w:bidi w:val="0"/>
              <w:rPr>
                <w:rFonts w:hint="default"/>
                <w:lang w:val="en-US" w:eastAsia="zh-CN"/>
              </w:rPr>
            </w:pPr>
            <w:r>
              <w:rPr>
                <w:rFonts w:hint="eastAsia"/>
                <w:lang w:val="en-US" w:eastAsia="zh-CN"/>
              </w:rPr>
              <w:t>4固废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宋体" w:hAnsi="宋体" w:cs="宋体"/>
                <w:color w:val="000000"/>
                <w:kern w:val="0"/>
                <w:sz w:val="24"/>
                <w:szCs w:val="24"/>
                <w:lang w:val="en-US" w:eastAsia="zh-CN" w:bidi="ar"/>
              </w:rPr>
            </w:pPr>
            <w:r>
              <w:rPr>
                <w:rFonts w:hint="default"/>
                <w:sz w:val="24"/>
                <w:szCs w:val="24"/>
                <w:lang w:val="en-US" w:eastAsia="zh-CN"/>
              </w:rPr>
              <w:t>危险固废</w:t>
            </w:r>
            <w:r>
              <w:rPr>
                <w:rFonts w:hint="eastAsia"/>
                <w:sz w:val="24"/>
                <w:szCs w:val="24"/>
                <w:lang w:val="en-US" w:eastAsia="zh-CN"/>
              </w:rPr>
              <w:t>执行</w:t>
            </w:r>
            <w:r>
              <w:rPr>
                <w:rFonts w:hint="default"/>
                <w:sz w:val="24"/>
                <w:szCs w:val="24"/>
                <w:lang w:val="en-US" w:eastAsia="zh-CN"/>
              </w:rPr>
              <w:t>《危险废物贮存污染控制标准》</w:t>
            </w:r>
            <w:r>
              <w:rPr>
                <w:rFonts w:hint="eastAsia"/>
                <w:sz w:val="24"/>
                <w:szCs w:val="24"/>
                <w:lang w:val="en-US" w:eastAsia="zh-CN"/>
              </w:rPr>
              <w:t>（</w:t>
            </w:r>
            <w:r>
              <w:rPr>
                <w:rFonts w:hint="default"/>
                <w:sz w:val="24"/>
                <w:szCs w:val="24"/>
                <w:lang w:val="en-US" w:eastAsia="zh-CN"/>
              </w:rPr>
              <w:t>GB18597—2023</w:t>
            </w:r>
            <w:r>
              <w:rPr>
                <w:rFonts w:hint="eastAsia"/>
                <w:sz w:val="24"/>
                <w:szCs w:val="24"/>
                <w:lang w:val="en-US" w:eastAsia="zh-CN"/>
              </w:rPr>
              <w:t>）、《医疗废物处理处置污染控制标准》（GB-39707-2020）的有关规定，</w:t>
            </w:r>
            <w:r>
              <w:rPr>
                <w:rFonts w:hint="eastAsia" w:cs="宋体"/>
                <w:bCs/>
                <w:kern w:val="2"/>
                <w:sz w:val="24"/>
                <w:szCs w:val="24"/>
                <w:lang w:val="en-US" w:eastAsia="zh-CN" w:bidi="ar-SA"/>
              </w:rPr>
              <w:t>污水处理站产生的污泥、栅渣执行《医疗机构水污染物排放标准》（GB18466-2005）中表 4 医疗机构污泥控制标准。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1"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总量</w:t>
            </w:r>
          </w:p>
          <w:p>
            <w:pPr>
              <w:adjustRightInd w:val="0"/>
              <w:snapToGrid w:val="0"/>
              <w:jc w:val="center"/>
              <w:rPr>
                <w:rFonts w:hint="eastAsia"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noWrap w:val="0"/>
            <w:vAlign w:val="center"/>
          </w:tcPr>
          <w:p>
            <w:pPr>
              <w:pStyle w:val="58"/>
              <w:bidi w:val="0"/>
              <w:rPr>
                <w:rFonts w:hint="default"/>
                <w:lang w:val="en-US" w:eastAsia="zh-CN"/>
              </w:rPr>
            </w:pPr>
            <w:r>
              <w:rPr>
                <w:rFonts w:hint="eastAsia"/>
                <w:lang w:val="en-US" w:eastAsia="zh-CN"/>
              </w:rPr>
              <w:t>本项目</w:t>
            </w:r>
            <w:r>
              <w:rPr>
                <w:rFonts w:hint="eastAsia"/>
                <w:lang w:eastAsia="zh-CN"/>
              </w:rPr>
              <w:t>涉及</w:t>
            </w:r>
            <w:r>
              <w:rPr>
                <w:rFonts w:hint="eastAsia"/>
                <w:lang w:val="en-US" w:eastAsia="zh-CN"/>
              </w:rPr>
              <w:t>总量控制指标的污染物主要为化学需氧量和氨氮，本项目废水依托2号污水处理站处理达标后通过市政污水管网排入库尔勒市老城区污水处理厂处理。总量控制指标由污水处理厂承担，本项目不设置总量控制指标。</w:t>
            </w:r>
          </w:p>
        </w:tc>
      </w:tr>
    </w:tbl>
    <w:p>
      <w:pPr>
        <w:pStyle w:val="21"/>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2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46" w:type="dxa"/>
            <w:noWrap w:val="0"/>
            <w:tcMar>
              <w:left w:w="28" w:type="dxa"/>
              <w:right w:w="28" w:type="dxa"/>
            </w:tcMar>
            <w:vAlign w:val="center"/>
          </w:tcPr>
          <w:p>
            <w:pPr>
              <w:pStyle w:val="21"/>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pPr>
              <w:pStyle w:val="21"/>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pPr>
              <w:pStyle w:val="21"/>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pPr>
              <w:pStyle w:val="21"/>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pPr>
              <w:pStyle w:val="21"/>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162" w:type="dxa"/>
            <w:noWrap w:val="0"/>
            <w:vAlign w:val="center"/>
          </w:tcPr>
          <w:p>
            <w:pPr>
              <w:pStyle w:val="68"/>
              <w:keepNext w:val="0"/>
              <w:keepLines w:val="0"/>
              <w:pageBreakBefore w:val="0"/>
              <w:widowControl w:val="0"/>
              <w:kinsoku/>
              <w:wordWrap/>
              <w:overflowPunct/>
              <w:topLinePunct w:val="0"/>
              <w:autoSpaceDE/>
              <w:autoSpaceDN/>
              <w:bidi w:val="0"/>
              <w:adjustRightInd w:val="0"/>
              <w:snapToGrid w:val="0"/>
              <w:spacing w:line="520" w:lineRule="exact"/>
              <w:ind w:right="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b/>
                <w:bCs/>
                <w:snapToGrid w:val="0"/>
                <w:color w:val="auto"/>
                <w:spacing w:val="0"/>
                <w:kern w:val="0"/>
                <w:sz w:val="24"/>
                <w:szCs w:val="24"/>
              </w:rPr>
              <w:t>1</w:t>
            </w:r>
            <w:r>
              <w:rPr>
                <w:rFonts w:hint="default" w:ascii="Times New Roman" w:hAnsi="Times New Roman" w:eastAsia="宋体" w:cs="Times New Roman"/>
                <w:b/>
                <w:bCs/>
                <w:snapToGrid w:val="0"/>
                <w:color w:val="auto"/>
                <w:spacing w:val="0"/>
                <w:kern w:val="0"/>
                <w:sz w:val="24"/>
                <w:szCs w:val="24"/>
                <w:highlight w:val="none"/>
              </w:rPr>
              <w:t>施工期大气</w:t>
            </w:r>
            <w:r>
              <w:rPr>
                <w:rFonts w:hint="default" w:ascii="Times New Roman" w:hAnsi="Times New Roman" w:eastAsia="宋体" w:cs="Times New Roman"/>
                <w:b/>
                <w:bCs/>
                <w:snapToGrid w:val="0"/>
                <w:color w:val="auto"/>
                <w:spacing w:val="0"/>
                <w:kern w:val="0"/>
                <w:sz w:val="24"/>
                <w:szCs w:val="24"/>
                <w:highlight w:val="none"/>
                <w:lang w:eastAsia="zh-CN"/>
              </w:rPr>
              <w:t>污染控制措施</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为有效控制施工期间的</w:t>
            </w:r>
            <w:r>
              <w:rPr>
                <w:rFonts w:hint="eastAsia" w:ascii="Times New Roman" w:hAnsi="Times New Roman" w:cs="Times New Roman"/>
                <w:snapToGrid w:val="0"/>
                <w:color w:val="auto"/>
                <w:spacing w:val="0"/>
                <w:kern w:val="0"/>
                <w:sz w:val="24"/>
                <w:szCs w:val="24"/>
                <w:lang w:eastAsia="zh-CN"/>
              </w:rPr>
              <w:t>空气污染物</w:t>
            </w:r>
            <w:r>
              <w:rPr>
                <w:rFonts w:hint="default" w:ascii="Times New Roman" w:hAnsi="Times New Roman" w:eastAsia="宋体" w:cs="Times New Roman"/>
                <w:snapToGrid w:val="0"/>
                <w:color w:val="auto"/>
                <w:spacing w:val="0"/>
                <w:kern w:val="0"/>
                <w:sz w:val="24"/>
                <w:szCs w:val="24"/>
              </w:rPr>
              <w:t>的影响，本次评价要求施工单位在施工</w:t>
            </w:r>
            <w:r>
              <w:rPr>
                <w:rFonts w:hint="eastAsia" w:ascii="Times New Roman" w:hAnsi="Times New Roman" w:cs="Times New Roman"/>
                <w:snapToGrid w:val="0"/>
                <w:color w:val="auto"/>
                <w:spacing w:val="0"/>
                <w:kern w:val="0"/>
                <w:sz w:val="24"/>
                <w:szCs w:val="24"/>
                <w:lang w:eastAsia="zh-CN"/>
              </w:rPr>
              <w:t>期间</w:t>
            </w:r>
            <w:r>
              <w:rPr>
                <w:rFonts w:hint="default" w:ascii="Times New Roman" w:hAnsi="Times New Roman" w:eastAsia="宋体" w:cs="Times New Roman"/>
                <w:snapToGrid w:val="0"/>
                <w:color w:val="auto"/>
                <w:spacing w:val="0"/>
                <w:kern w:val="0"/>
                <w:sz w:val="24"/>
                <w:szCs w:val="24"/>
              </w:rPr>
              <w:t>采取以下污染防治措施：</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1</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散装物料的堆存要加盖苫布，定期对施工场地及运输道路洒水抑尘，以降低扬尘污染。扬尘防治管理应符合《建筑工程绿色施工规范》</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GB/T50905-2014</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的规定，施工现场主要道路、材料堆放场地、露天加工场地应根据用途进行硬化</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裸露的场地和集中堆放的土方应采取密目网进行覆盖、洒水、固化或绿化措施。</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lang w:val="en-US" w:eastAsia="zh-CN"/>
              </w:rPr>
            </w:pPr>
            <w:r>
              <w:rPr>
                <w:rFonts w:hint="eastAsia" w:ascii="Times New Roman" w:hAnsi="Times New Roman"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2）合理布置施工场地，</w:t>
            </w:r>
            <w:r>
              <w:rPr>
                <w:rFonts w:ascii="Segoe UI Emoji" w:hAnsi="Segoe UI Emoji" w:eastAsia="Segoe UI Emoji" w:cs="Segoe UI Emoji"/>
                <w:i w:val="0"/>
                <w:iCs w:val="0"/>
                <w:caps w:val="0"/>
                <w:color w:val="auto"/>
                <w:spacing w:val="0"/>
                <w:sz w:val="24"/>
                <w:szCs w:val="24"/>
                <w:shd w:val="clear" w:fill="FCFCFC"/>
              </w:rPr>
              <w:t>应尽量在远离敏感点一侧布置施工作业区，减少污染物对敏感目标的影响。</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3</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在施工场地设置专人监管建筑垃圾、建筑材料、弃土的堆放、清运和处置，防止二次扬尘污染。</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4</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加强运输管理</w:t>
            </w:r>
            <w:r>
              <w:rPr>
                <w:rFonts w:hint="eastAsia" w:ascii="Times New Roman" w:hAnsi="Times New Roman"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运输车辆应加盖篷布，不能超载过量；严禁车辆在行驶中沿途遗撒建筑材料及建筑废料。</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5</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施工现场对粉状材料必须封闭存放，对易产生扬尘的堆放材料应采取封闭、半封闭和覆盖措施；可能引起扬尘的材料及建筑垃圾搬运时必须有防尘措施。</w:t>
            </w:r>
          </w:p>
          <w:p>
            <w:pPr>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cs="Times New Roman"/>
                <w:snapToGrid w:val="0"/>
                <w:color w:val="auto"/>
                <w:spacing w:val="0"/>
                <w:kern w:val="0"/>
                <w:sz w:val="24"/>
                <w:szCs w:val="24"/>
                <w:lang w:val="en-US" w:eastAsia="zh-CN"/>
              </w:rPr>
              <w:t>6</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在施工过程中应该尽量使用符合国家现行有关标准规定的、低污染排放的车辆和设备，采取控制速度，缩短怠速、减速和加速的时间；并注意设备的日常检修和维护，保证设备在正常工况条件下运转，以减轻尾气污染。</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7</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加强对施工人员的环保教育，提高全体施工人员的环保意识，坚持文明施工、科学施工，减少施工</w:t>
            </w:r>
            <w:r>
              <w:rPr>
                <w:rFonts w:hint="eastAsia" w:ascii="Times New Roman" w:hAnsi="Times New Roman" w:cs="Times New Roman"/>
                <w:snapToGrid w:val="0"/>
                <w:color w:val="auto"/>
                <w:spacing w:val="0"/>
                <w:kern w:val="0"/>
                <w:sz w:val="24"/>
                <w:szCs w:val="24"/>
                <w:lang w:eastAsia="zh-CN"/>
              </w:rPr>
              <w:t>期间</w:t>
            </w:r>
            <w:r>
              <w:rPr>
                <w:rFonts w:hint="default" w:ascii="Times New Roman" w:hAnsi="Times New Roman" w:eastAsia="宋体" w:cs="Times New Roman"/>
                <w:snapToGrid w:val="0"/>
                <w:color w:val="auto"/>
                <w:spacing w:val="0"/>
                <w:kern w:val="0"/>
                <w:sz w:val="24"/>
                <w:szCs w:val="24"/>
              </w:rPr>
              <w:t>的大气污染。</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8</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遇到四级以上大风天气，不应进行土方回填、转运以及</w:t>
            </w:r>
            <w:r>
              <w:rPr>
                <w:rFonts w:hint="eastAsia" w:ascii="Times New Roman" w:hAnsi="Times New Roman" w:cs="Times New Roman"/>
                <w:snapToGrid w:val="0"/>
                <w:color w:val="auto"/>
                <w:spacing w:val="0"/>
                <w:kern w:val="0"/>
                <w:sz w:val="24"/>
                <w:szCs w:val="24"/>
                <w:lang w:eastAsia="zh-CN"/>
              </w:rPr>
              <w:t>其他可能</w:t>
            </w:r>
            <w:r>
              <w:rPr>
                <w:rFonts w:hint="default" w:ascii="Times New Roman" w:hAnsi="Times New Roman" w:eastAsia="宋体" w:cs="Times New Roman"/>
                <w:snapToGrid w:val="0"/>
                <w:color w:val="auto"/>
                <w:spacing w:val="0"/>
                <w:kern w:val="0"/>
                <w:sz w:val="24"/>
                <w:szCs w:val="24"/>
              </w:rPr>
              <w:t>产生扬尘污染的施工；五级及以上大风天气，施工现场应停止工地室外作业及室内喷涂粉刷作业，并对作业面进行覆盖。</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snapToGrid w:val="0"/>
                <w:color w:val="auto"/>
                <w:spacing w:val="0"/>
                <w:kern w:val="0"/>
                <w:sz w:val="24"/>
                <w:szCs w:val="24"/>
                <w:lang w:eastAsia="zh-CN"/>
              </w:rPr>
              <w:t>（</w:t>
            </w:r>
            <w:r>
              <w:rPr>
                <w:rFonts w:hint="eastAsia" w:ascii="Times New Roman" w:hAnsi="Times New Roman" w:cs="Times New Roman"/>
                <w:snapToGrid w:val="0"/>
                <w:color w:val="auto"/>
                <w:spacing w:val="0"/>
                <w:kern w:val="0"/>
                <w:sz w:val="24"/>
                <w:szCs w:val="24"/>
                <w:lang w:val="en-US" w:eastAsia="zh-CN"/>
              </w:rPr>
              <w:t>9</w:t>
            </w:r>
            <w:r>
              <w:rPr>
                <w:rFonts w:hint="eastAsia"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施工现场严禁焚烧各类废弃物。</w:t>
            </w:r>
          </w:p>
          <w:p>
            <w:pPr>
              <w:pStyle w:val="68"/>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通过采取上述防尘、降尘措施，尽量将施工期间产生的废气对周围环境空气的影响降低到最低限度。</w:t>
            </w:r>
          </w:p>
          <w:p>
            <w:pPr>
              <w:pStyle w:val="68"/>
              <w:keepNext w:val="0"/>
              <w:keepLines w:val="0"/>
              <w:pageBreakBefore w:val="0"/>
              <w:kinsoku/>
              <w:wordWrap/>
              <w:overflowPunct/>
              <w:topLinePunct w:val="0"/>
              <w:autoSpaceDE/>
              <w:autoSpaceDN/>
              <w:bidi w:val="0"/>
              <w:adjustRightInd w:val="0"/>
              <w:snapToGrid w:val="0"/>
              <w:spacing w:line="520" w:lineRule="exact"/>
              <w:ind w:right="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b/>
                <w:bCs/>
                <w:snapToGrid w:val="0"/>
                <w:color w:val="auto"/>
                <w:spacing w:val="0"/>
                <w:kern w:val="0"/>
                <w:sz w:val="24"/>
                <w:szCs w:val="24"/>
              </w:rPr>
              <w:t>2水污染防治措施</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jc w:val="both"/>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施工期的废水主要来自建筑施工废水和部分工人的生活污水。建筑废水主要来自施工过程中的养护等施工工序，主要污染物是SS，废水量较少。</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napToGrid w:val="0"/>
                <w:color w:val="auto"/>
                <w:spacing w:val="0"/>
                <w:kern w:val="0"/>
                <w:sz w:val="24"/>
                <w:szCs w:val="24"/>
                <w:highlight w:val="none"/>
                <w:lang w:val="zh-CN" w:eastAsia="zh-CN"/>
              </w:rPr>
            </w:pPr>
            <w:r>
              <w:rPr>
                <w:rFonts w:hint="default" w:ascii="Times New Roman" w:hAnsi="Times New Roman" w:eastAsia="宋体" w:cs="Times New Roman"/>
                <w:snapToGrid w:val="0"/>
                <w:color w:val="auto"/>
                <w:spacing w:val="0"/>
                <w:kern w:val="0"/>
                <w:sz w:val="24"/>
                <w:szCs w:val="24"/>
                <w:highlight w:val="none"/>
                <w:lang w:val="zh-CN" w:eastAsia="zh-CN"/>
              </w:rPr>
              <w:t>本项目施工过程中产生的生活污水</w:t>
            </w:r>
            <w:r>
              <w:rPr>
                <w:rFonts w:hint="eastAsia" w:cs="Times New Roman"/>
                <w:snapToGrid w:val="0"/>
                <w:color w:val="auto"/>
                <w:spacing w:val="0"/>
                <w:kern w:val="0"/>
                <w:sz w:val="24"/>
                <w:szCs w:val="24"/>
                <w:highlight w:val="none"/>
                <w:lang w:val="en-US" w:eastAsia="zh-CN"/>
              </w:rPr>
              <w:t>依托医院现有排水系统</w:t>
            </w:r>
            <w:r>
              <w:rPr>
                <w:rFonts w:hint="default" w:ascii="Times New Roman" w:hAnsi="Times New Roman" w:eastAsia="宋体" w:cs="Times New Roman"/>
                <w:snapToGrid w:val="0"/>
                <w:color w:val="auto"/>
                <w:spacing w:val="0"/>
                <w:kern w:val="0"/>
                <w:sz w:val="24"/>
                <w:szCs w:val="24"/>
                <w:highlight w:val="none"/>
                <w:lang w:val="zh-CN" w:eastAsia="zh-CN"/>
              </w:rPr>
              <w:t>，</w:t>
            </w:r>
            <w:r>
              <w:rPr>
                <w:rFonts w:hint="eastAsia" w:cs="Times New Roman"/>
                <w:snapToGrid w:val="0"/>
                <w:color w:val="auto"/>
                <w:spacing w:val="0"/>
                <w:kern w:val="0"/>
                <w:sz w:val="24"/>
                <w:szCs w:val="24"/>
                <w:highlight w:val="none"/>
                <w:lang w:val="en-US" w:eastAsia="zh-CN"/>
              </w:rPr>
              <w:t>经2#污水处理站处理后排放至市政管网</w:t>
            </w:r>
            <w:r>
              <w:rPr>
                <w:rFonts w:hint="default" w:ascii="Times New Roman" w:hAnsi="Times New Roman" w:eastAsia="宋体" w:cs="Times New Roman"/>
                <w:snapToGrid w:val="0"/>
                <w:color w:val="auto"/>
                <w:spacing w:val="0"/>
                <w:kern w:val="0"/>
                <w:sz w:val="24"/>
                <w:szCs w:val="24"/>
                <w:highlight w:val="none"/>
                <w:lang w:val="zh-CN" w:eastAsia="zh-CN"/>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lang w:val="zh-CN" w:eastAsia="zh-CN"/>
              </w:rPr>
              <w:t>生产废水</w:t>
            </w:r>
            <w:r>
              <w:rPr>
                <w:rFonts w:hint="default" w:ascii="Times New Roman" w:hAnsi="Times New Roman" w:eastAsia="宋体" w:cs="Times New Roman"/>
                <w:snapToGrid w:val="0"/>
                <w:color w:val="auto"/>
                <w:spacing w:val="0"/>
                <w:kern w:val="0"/>
                <w:sz w:val="24"/>
                <w:szCs w:val="24"/>
                <w:highlight w:val="none"/>
              </w:rPr>
              <w:t>施工期间的生产</w:t>
            </w:r>
            <w:r>
              <w:rPr>
                <w:rFonts w:hint="default" w:ascii="Times New Roman" w:hAnsi="Times New Roman" w:eastAsia="宋体" w:cs="Times New Roman"/>
                <w:snapToGrid w:val="0"/>
                <w:color w:val="auto"/>
                <w:spacing w:val="0"/>
                <w:kern w:val="0"/>
                <w:sz w:val="24"/>
                <w:szCs w:val="24"/>
                <w:highlight w:val="none"/>
                <w:lang w:eastAsia="zh-CN"/>
              </w:rPr>
              <w:t>用</w:t>
            </w:r>
            <w:r>
              <w:rPr>
                <w:rFonts w:hint="default" w:ascii="Times New Roman" w:hAnsi="Times New Roman" w:eastAsia="宋体" w:cs="Times New Roman"/>
                <w:snapToGrid w:val="0"/>
                <w:color w:val="auto"/>
                <w:spacing w:val="0"/>
                <w:kern w:val="0"/>
                <w:sz w:val="24"/>
                <w:szCs w:val="24"/>
                <w:highlight w:val="none"/>
              </w:rPr>
              <w:t>水主要为混凝土养护用水</w:t>
            </w:r>
            <w:r>
              <w:rPr>
                <w:rFonts w:hint="default" w:ascii="Times New Roman" w:hAnsi="Times New Roman" w:eastAsia="宋体" w:cs="Times New Roman"/>
                <w:snapToGrid w:val="0"/>
                <w:color w:val="auto"/>
                <w:spacing w:val="0"/>
                <w:kern w:val="0"/>
                <w:sz w:val="24"/>
                <w:szCs w:val="24"/>
                <w:highlight w:val="none"/>
                <w:lang w:eastAsia="zh-CN"/>
              </w:rPr>
              <w:t>和</w:t>
            </w:r>
            <w:r>
              <w:rPr>
                <w:rFonts w:hint="default" w:ascii="Times New Roman" w:hAnsi="Times New Roman" w:eastAsia="宋体" w:cs="Times New Roman"/>
                <w:snapToGrid w:val="0"/>
                <w:color w:val="auto"/>
                <w:spacing w:val="0"/>
                <w:kern w:val="0"/>
                <w:sz w:val="24"/>
                <w:szCs w:val="24"/>
                <w:highlight w:val="none"/>
              </w:rPr>
              <w:t>地面喷洒水，</w:t>
            </w:r>
            <w:r>
              <w:rPr>
                <w:rFonts w:hint="eastAsia" w:cs="Times New Roman"/>
                <w:snapToGrid w:val="0"/>
                <w:color w:val="auto"/>
                <w:spacing w:val="0"/>
                <w:kern w:val="0"/>
                <w:sz w:val="24"/>
                <w:szCs w:val="24"/>
                <w:highlight w:val="none"/>
                <w:lang w:val="en-US" w:eastAsia="zh-CN"/>
              </w:rPr>
              <w:t>施工期设置临时沉淀池，废水经沉淀池沉淀后，用于施工区域洒水抑尘，</w:t>
            </w:r>
            <w:r>
              <w:rPr>
                <w:rFonts w:hint="default" w:ascii="Times New Roman" w:hAnsi="Times New Roman" w:eastAsia="宋体" w:cs="Times New Roman"/>
                <w:snapToGrid w:val="0"/>
                <w:color w:val="auto"/>
                <w:spacing w:val="0"/>
                <w:kern w:val="0"/>
                <w:sz w:val="24"/>
                <w:szCs w:val="24"/>
                <w:highlight w:val="none"/>
                <w:lang w:eastAsia="zh-CN"/>
              </w:rPr>
              <w:t>自然蒸干，不外排，</w:t>
            </w:r>
            <w:r>
              <w:rPr>
                <w:rFonts w:hint="default" w:ascii="Times New Roman" w:hAnsi="Times New Roman" w:eastAsia="宋体" w:cs="Times New Roman"/>
                <w:snapToGrid w:val="0"/>
                <w:color w:val="auto"/>
                <w:spacing w:val="0"/>
                <w:kern w:val="0"/>
                <w:sz w:val="24"/>
                <w:szCs w:val="24"/>
                <w:highlight w:val="none"/>
              </w:rPr>
              <w:t>不会对周围环境造成不利影响。</w:t>
            </w:r>
          </w:p>
          <w:p>
            <w:pPr>
              <w:pStyle w:val="10"/>
              <w:keepNext w:val="0"/>
              <w:keepLines w:val="0"/>
              <w:pageBreakBefore w:val="0"/>
              <w:kinsoku/>
              <w:wordWrap/>
              <w:overflowPunct/>
              <w:topLinePunct w:val="0"/>
              <w:autoSpaceDE/>
              <w:autoSpaceDN/>
              <w:bidi w:val="0"/>
              <w:adjustRightInd w:val="0"/>
              <w:snapToGrid w:val="0"/>
              <w:spacing w:before="0" w:after="0"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采取以上措施，施工期废水对环境影响不大。</w:t>
            </w:r>
          </w:p>
          <w:p>
            <w:pPr>
              <w:pStyle w:val="10"/>
              <w:keepNext w:val="0"/>
              <w:keepLines w:val="0"/>
              <w:pageBreakBefore w:val="0"/>
              <w:kinsoku/>
              <w:wordWrap/>
              <w:overflowPunct/>
              <w:topLinePunct w:val="0"/>
              <w:autoSpaceDE/>
              <w:autoSpaceDN/>
              <w:bidi w:val="0"/>
              <w:adjustRightInd w:val="0"/>
              <w:snapToGrid w:val="0"/>
              <w:spacing w:before="0" w:after="0" w:line="520" w:lineRule="exact"/>
              <w:ind w:right="0"/>
              <w:textAlignment w:val="auto"/>
              <w:outlineLvl w:val="6"/>
              <w:rPr>
                <w:rFonts w:hint="default" w:ascii="Times New Roman" w:hAnsi="Times New Roman" w:eastAsia="宋体" w:cs="Times New Roman"/>
                <w:snapToGrid w:val="0"/>
                <w:color w:val="auto"/>
                <w:spacing w:val="0"/>
                <w:kern w:val="0"/>
                <w:sz w:val="24"/>
                <w:szCs w:val="24"/>
              </w:rPr>
            </w:pPr>
            <w:r>
              <w:rPr>
                <w:rFonts w:hint="eastAsia" w:ascii="Times New Roman" w:hAnsi="Times New Roman" w:eastAsia="宋体" w:cs="Times New Roman"/>
                <w:b/>
                <w:bCs/>
                <w:snapToGrid w:val="0"/>
                <w:color w:val="auto"/>
                <w:spacing w:val="0"/>
                <w:kern w:val="0"/>
                <w:sz w:val="24"/>
                <w:szCs w:val="24"/>
                <w:lang w:val="en-US" w:eastAsia="zh-CN"/>
              </w:rPr>
              <w:t>3</w:t>
            </w:r>
            <w:r>
              <w:rPr>
                <w:rFonts w:hint="default" w:ascii="Times New Roman" w:hAnsi="Times New Roman" w:eastAsia="宋体" w:cs="Times New Roman"/>
                <w:b/>
                <w:bCs/>
                <w:snapToGrid w:val="0"/>
                <w:color w:val="auto"/>
                <w:spacing w:val="0"/>
                <w:kern w:val="0"/>
                <w:sz w:val="24"/>
                <w:szCs w:val="24"/>
              </w:rPr>
              <w:t>噪声控制措施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lang w:val="zh-CN"/>
              </w:rPr>
              <w:t>土石方开挖、</w:t>
            </w:r>
            <w:r>
              <w:rPr>
                <w:rFonts w:hint="default" w:ascii="Times New Roman" w:hAnsi="Times New Roman" w:eastAsia="宋体" w:cs="Times New Roman"/>
                <w:snapToGrid w:val="0"/>
                <w:color w:val="auto"/>
                <w:spacing w:val="0"/>
                <w:kern w:val="0"/>
                <w:sz w:val="24"/>
                <w:szCs w:val="24"/>
                <w:highlight w:val="none"/>
                <w:lang w:val="en-US" w:eastAsia="zh-CN"/>
              </w:rPr>
              <w:t>厂房</w:t>
            </w:r>
            <w:r>
              <w:rPr>
                <w:rFonts w:hint="default" w:ascii="Times New Roman" w:hAnsi="Times New Roman" w:eastAsia="宋体" w:cs="Times New Roman"/>
                <w:snapToGrid w:val="0"/>
                <w:color w:val="auto"/>
                <w:spacing w:val="0"/>
                <w:kern w:val="0"/>
                <w:sz w:val="24"/>
                <w:szCs w:val="24"/>
                <w:highlight w:val="none"/>
              </w:rPr>
              <w:t>、仓库等建构物</w:t>
            </w:r>
            <w:r>
              <w:rPr>
                <w:rFonts w:hint="default" w:ascii="Times New Roman" w:hAnsi="Times New Roman" w:eastAsia="宋体" w:cs="Times New Roman"/>
                <w:snapToGrid w:val="0"/>
                <w:color w:val="auto"/>
                <w:spacing w:val="0"/>
                <w:kern w:val="0"/>
                <w:sz w:val="24"/>
                <w:szCs w:val="24"/>
                <w:highlight w:val="none"/>
                <w:lang w:val="zh-CN"/>
              </w:rPr>
              <w:t>建设和设备安装等过程，特别是大型机械和一些特殊操作环节会产生较强的噪声，对周边声环境造成影响。</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napToGrid w:val="0"/>
                <w:color w:val="auto"/>
                <w:spacing w:val="0"/>
                <w:kern w:val="0"/>
                <w:sz w:val="24"/>
                <w:szCs w:val="24"/>
                <w:highlight w:val="none"/>
              </w:rPr>
            </w:pPr>
            <w:r>
              <w:rPr>
                <w:rFonts w:hint="default" w:ascii="Times New Roman" w:hAnsi="Times New Roman" w:eastAsia="宋体" w:cs="Times New Roman"/>
                <w:snapToGrid w:val="0"/>
                <w:color w:val="auto"/>
                <w:spacing w:val="0"/>
                <w:kern w:val="0"/>
                <w:sz w:val="24"/>
                <w:szCs w:val="24"/>
                <w:highlight w:val="none"/>
              </w:rPr>
              <w:t>施工中应采取以下措施以减少对声环境的影响：</w:t>
            </w:r>
          </w:p>
          <w:p>
            <w:pPr>
              <w:pStyle w:val="10"/>
              <w:keepNext w:val="0"/>
              <w:keepLines w:val="0"/>
              <w:pageBreakBefore w:val="0"/>
              <w:kinsoku/>
              <w:wordWrap/>
              <w:overflowPunct/>
              <w:topLinePunct w:val="0"/>
              <w:autoSpaceDE/>
              <w:autoSpaceDN/>
              <w:bidi w:val="0"/>
              <w:adjustRightInd w:val="0"/>
              <w:snapToGrid w:val="0"/>
              <w:spacing w:before="0" w:after="0"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1</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合理安排好施工时间，尽量缩短施工期。施工作业时间必须严格遵守施工禁令时间规定。本评价要求建设方禁止在午休时间和夜间进行施工，如特殊工序需进行夜间施工，应按相关规定到环保管理部门办理夜间施工许可证，并通告受影响人群，让其早做准备。场界环境噪声排放应符合《建筑施工场界环境噪声排放标准》</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GB12523-2011</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的规定。</w:t>
            </w:r>
          </w:p>
          <w:p>
            <w:pPr>
              <w:pStyle w:val="10"/>
              <w:keepNext w:val="0"/>
              <w:keepLines w:val="0"/>
              <w:pageBreakBefore w:val="0"/>
              <w:kinsoku/>
              <w:wordWrap/>
              <w:overflowPunct/>
              <w:topLinePunct w:val="0"/>
              <w:autoSpaceDE/>
              <w:autoSpaceDN/>
              <w:bidi w:val="0"/>
              <w:adjustRightInd w:val="0"/>
              <w:snapToGrid w:val="0"/>
              <w:spacing w:before="0" w:after="0"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2</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施工现场必须使用低噪音、低振动的机具，并采取隔音与隔振动措施。加强施工机械的维护保养，并加强对现场工作人员进行培训，严格按操作规范使用各类机械设备。</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3</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highlight w:val="none"/>
                <w:lang w:val="zh-CN"/>
              </w:rPr>
              <w:t>强噪声机械采取降噪措施，如安装消声器、减震垫等，从源头减少噪声污染；</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jc w:val="left"/>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4</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highlight w:val="none"/>
              </w:rPr>
              <w:t>合理安排施工布局。</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5</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施工车辆的运行路线应尽量避开噪声敏感区域，严禁夜间装卸物料，材料运输车辆进入场地需安排专人指挥，场内禁止汽车鸣笛，材料装卸采用人工传递，装卸材料应做到轻拿轻放，严禁抛掷或汽车一次性下料。</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综上所述，在采取相应措施并严格按照本评价要求进行施工的前提下，本 项目施工噪声对周围声环境影响可大大减轻，且随施工结束而消除。</w:t>
            </w:r>
          </w:p>
          <w:p>
            <w:pPr>
              <w:pStyle w:val="68"/>
              <w:keepNext w:val="0"/>
              <w:keepLines w:val="0"/>
              <w:pageBreakBefore w:val="0"/>
              <w:kinsoku/>
              <w:wordWrap/>
              <w:overflowPunct/>
              <w:topLinePunct w:val="0"/>
              <w:autoSpaceDE/>
              <w:autoSpaceDN/>
              <w:bidi w:val="0"/>
              <w:adjustRightInd w:val="0"/>
              <w:snapToGrid w:val="0"/>
              <w:spacing w:line="520" w:lineRule="exact"/>
              <w:ind w:right="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b/>
                <w:bCs/>
                <w:snapToGrid w:val="0"/>
                <w:color w:val="auto"/>
                <w:spacing w:val="0"/>
                <w:kern w:val="0"/>
                <w:sz w:val="24"/>
                <w:szCs w:val="24"/>
              </w:rPr>
              <w:t>4固体废物治理措施</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施工中产生的固体废物主要是建筑垃圾</w:t>
            </w:r>
            <w:r>
              <w:rPr>
                <w:rFonts w:hint="default" w:ascii="Times New Roman" w:hAnsi="Times New Roman" w:eastAsia="宋体" w:cs="Times New Roman"/>
                <w:snapToGrid w:val="0"/>
                <w:color w:val="auto"/>
                <w:spacing w:val="0"/>
                <w:kern w:val="0"/>
                <w:sz w:val="24"/>
                <w:szCs w:val="24"/>
                <w:lang w:eastAsia="zh-CN"/>
              </w:rPr>
              <w:t>、</w:t>
            </w:r>
            <w:r>
              <w:rPr>
                <w:rFonts w:hint="default" w:ascii="Times New Roman" w:hAnsi="Times New Roman" w:eastAsia="宋体" w:cs="Times New Roman"/>
                <w:snapToGrid w:val="0"/>
                <w:color w:val="auto"/>
                <w:spacing w:val="0"/>
                <w:kern w:val="0"/>
                <w:sz w:val="24"/>
                <w:szCs w:val="24"/>
              </w:rPr>
              <w:t>地基挖掘产生的弃土和生活垃圾。</w:t>
            </w:r>
          </w:p>
          <w:p>
            <w:pPr>
              <w:pStyle w:val="68"/>
              <w:keepNext w:val="0"/>
              <w:keepLines w:val="0"/>
              <w:pageBreakBefore w:val="0"/>
              <w:kinsoku/>
              <w:wordWrap/>
              <w:overflowPunct/>
              <w:topLinePunct w:val="0"/>
              <w:autoSpaceDE/>
              <w:autoSpaceDN/>
              <w:bidi w:val="0"/>
              <w:adjustRightInd w:val="0"/>
              <w:snapToGrid w:val="0"/>
              <w:spacing w:line="520" w:lineRule="exact"/>
              <w:ind w:left="0" w:right="0" w:firstLine="480" w:firstLineChars="200"/>
              <w:textAlignment w:val="auto"/>
              <w:rPr>
                <w:rFonts w:hint="default" w:ascii="Times New Roman" w:hAnsi="Times New Roman" w:eastAsia="宋体" w:cs="Times New Roman"/>
                <w:snapToGrid w:val="0"/>
                <w:color w:val="auto"/>
                <w:spacing w:val="0"/>
                <w:kern w:val="0"/>
                <w:sz w:val="24"/>
                <w:szCs w:val="24"/>
              </w:rPr>
            </w:pPr>
            <w:r>
              <w:rPr>
                <w:rFonts w:hint="default" w:ascii="Times New Roman" w:hAnsi="Times New Roman" w:eastAsia="宋体" w:cs="Times New Roman"/>
                <w:snapToGrid w:val="0"/>
                <w:color w:val="auto"/>
                <w:spacing w:val="0"/>
                <w:kern w:val="0"/>
                <w:sz w:val="24"/>
                <w:szCs w:val="24"/>
              </w:rPr>
              <w:t>施工过程中产生的固体废物均为一般固体废物。工程中产生的弃土大部分用于回填地基，剩余部分用于厂区沟坑的填埋及厂区的平整，建筑垃圾送市政部门指定地点堆存，不会对环境产生明显影响；生活垃圾产生量较小，收集后统一交由环卫部门处置。</w:t>
            </w:r>
          </w:p>
          <w:p>
            <w:pPr>
              <w:pStyle w:val="55"/>
              <w:bidi w:val="0"/>
              <w:rPr>
                <w:rFonts w:ascii="宋体" w:hAnsi="宋体" w:cs="宋体"/>
                <w:bCs/>
                <w:spacing w:val="-10"/>
                <w:szCs w:val="21"/>
              </w:rPr>
            </w:pPr>
          </w:p>
          <w:p>
            <w:pPr>
              <w:pStyle w:val="55"/>
              <w:bidi w:val="0"/>
              <w:rPr>
                <w:rFonts w:ascii="宋体" w:hAnsi="宋体" w:cs="宋体"/>
                <w:bCs/>
                <w:spacing w:val="-10"/>
                <w:szCs w:val="21"/>
              </w:rPr>
            </w:pPr>
          </w:p>
          <w:p>
            <w:pPr>
              <w:pStyle w:val="55"/>
              <w:bidi w:val="0"/>
              <w:rPr>
                <w:rFonts w:ascii="宋体" w:hAnsi="宋体" w:cs="宋体"/>
                <w:bCs/>
                <w:spacing w:val="-10"/>
                <w:szCs w:val="21"/>
              </w:rPr>
            </w:pPr>
          </w:p>
          <w:p>
            <w:pPr>
              <w:pStyle w:val="55"/>
              <w:bidi w:val="0"/>
              <w:rPr>
                <w:rFonts w:ascii="宋体" w:hAnsi="宋体" w:cs="宋体"/>
                <w:bCs/>
                <w:spacing w:val="-10"/>
                <w:szCs w:val="21"/>
              </w:rPr>
            </w:pPr>
          </w:p>
          <w:p>
            <w:pPr>
              <w:pStyle w:val="55"/>
              <w:bidi w:val="0"/>
              <w:rPr>
                <w:rFonts w:ascii="宋体" w:hAnsi="宋体" w:cs="宋体"/>
                <w:bCs/>
                <w:spacing w:val="-10"/>
                <w:szCs w:val="21"/>
              </w:rPr>
            </w:pPr>
          </w:p>
          <w:p>
            <w:pPr>
              <w:pStyle w:val="55"/>
              <w:bidi w:val="0"/>
              <w:rPr>
                <w:rFonts w:ascii="宋体" w:hAnsi="宋体" w:cs="宋体"/>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szCs w:val="21"/>
              </w:rPr>
            </w:pPr>
            <w:r>
              <w:rPr>
                <w:rFonts w:hint="eastAsia" w:ascii="宋体" w:hAnsi="宋体" w:cs="宋体"/>
                <w:bCs/>
                <w:szCs w:val="21"/>
              </w:rPr>
              <w:t>运营</w:t>
            </w:r>
          </w:p>
          <w:p>
            <w:pPr>
              <w:adjustRightInd w:val="0"/>
              <w:snapToGrid w:val="0"/>
              <w:jc w:val="center"/>
              <w:rPr>
                <w:rFonts w:hint="eastAsia" w:ascii="宋体" w:hAnsi="宋体" w:cs="宋体"/>
                <w:bCs/>
                <w:szCs w:val="21"/>
              </w:rPr>
            </w:pPr>
            <w:r>
              <w:rPr>
                <w:rFonts w:hint="eastAsia" w:ascii="宋体" w:hAnsi="宋体" w:cs="宋体"/>
                <w:bCs/>
                <w:szCs w:val="21"/>
              </w:rPr>
              <w:t>期环</w:t>
            </w:r>
          </w:p>
          <w:p>
            <w:pPr>
              <w:adjustRightInd w:val="0"/>
              <w:snapToGrid w:val="0"/>
              <w:jc w:val="center"/>
              <w:rPr>
                <w:rFonts w:hint="eastAsia" w:ascii="宋体" w:hAnsi="宋体" w:cs="宋体"/>
                <w:bCs/>
                <w:szCs w:val="21"/>
              </w:rPr>
            </w:pPr>
            <w:r>
              <w:rPr>
                <w:rFonts w:hint="eastAsia" w:ascii="宋体" w:hAnsi="宋体" w:cs="宋体"/>
                <w:bCs/>
                <w:szCs w:val="21"/>
              </w:rPr>
              <w:t>境影</w:t>
            </w:r>
          </w:p>
          <w:p>
            <w:pPr>
              <w:adjustRightInd w:val="0"/>
              <w:snapToGrid w:val="0"/>
              <w:jc w:val="center"/>
              <w:rPr>
                <w:rFonts w:hint="eastAsia" w:ascii="宋体" w:hAnsi="宋体" w:cs="宋体"/>
                <w:bCs/>
                <w:szCs w:val="21"/>
              </w:rPr>
            </w:pPr>
            <w:r>
              <w:rPr>
                <w:rFonts w:hint="eastAsia" w:ascii="宋体" w:hAnsi="宋体" w:cs="宋体"/>
                <w:bCs/>
                <w:szCs w:val="21"/>
              </w:rPr>
              <w:t>响和</w:t>
            </w:r>
          </w:p>
          <w:p>
            <w:pPr>
              <w:adjustRightInd w:val="0"/>
              <w:snapToGrid w:val="0"/>
              <w:jc w:val="center"/>
              <w:rPr>
                <w:rFonts w:hint="eastAsia" w:ascii="宋体" w:hAnsi="宋体" w:cs="宋体"/>
                <w:bCs/>
                <w:szCs w:val="21"/>
              </w:rPr>
            </w:pPr>
            <w:r>
              <w:rPr>
                <w:rFonts w:hint="eastAsia" w:ascii="宋体" w:hAnsi="宋体" w:cs="宋体"/>
                <w:bCs/>
                <w:szCs w:val="21"/>
              </w:rPr>
              <w:t>保护</w:t>
            </w:r>
          </w:p>
          <w:p>
            <w:pPr>
              <w:adjustRightInd w:val="0"/>
              <w:snapToGrid w:val="0"/>
              <w:jc w:val="center"/>
              <w:rPr>
                <w:rFonts w:ascii="宋体" w:hAnsi="宋体" w:cs="宋体"/>
                <w:bCs/>
                <w:szCs w:val="21"/>
              </w:rPr>
            </w:pPr>
            <w:r>
              <w:rPr>
                <w:rFonts w:hint="eastAsia" w:ascii="宋体" w:hAnsi="宋体" w:cs="宋体"/>
                <w:bCs/>
                <w:szCs w:val="21"/>
              </w:rPr>
              <w:t>措施</w:t>
            </w:r>
          </w:p>
        </w:tc>
        <w:tc>
          <w:tcPr>
            <w:tcW w:w="8162" w:type="dxa"/>
            <w:noWrap w:val="0"/>
            <w:vAlign w:val="center"/>
          </w:tcPr>
          <w:p>
            <w:pPr>
              <w:pStyle w:val="64"/>
              <w:bidi w:val="0"/>
              <w:rPr>
                <w:rFonts w:hint="default"/>
                <w:highlight w:val="none"/>
                <w:lang w:val="en-US" w:eastAsia="zh-CN"/>
              </w:rPr>
            </w:pPr>
            <w:r>
              <w:rPr>
                <w:rFonts w:hint="eastAsia"/>
                <w:lang w:val="en-US" w:eastAsia="zh-CN"/>
              </w:rPr>
              <w:t>1</w:t>
            </w:r>
            <w:r>
              <w:rPr>
                <w:rFonts w:hint="eastAsia"/>
                <w:highlight w:val="none"/>
                <w:lang w:val="en-US" w:eastAsia="zh-CN"/>
              </w:rPr>
              <w:t>大气环境影响和保护措施</w:t>
            </w:r>
          </w:p>
          <w:p>
            <w:pPr>
              <w:pStyle w:val="51"/>
              <w:keepNext w:val="0"/>
              <w:keepLines w:val="0"/>
              <w:pageBreakBefore w:val="0"/>
              <w:widowControl/>
              <w:kinsoku/>
              <w:wordWrap w:val="0"/>
              <w:overflowPunct/>
              <w:topLinePunct w:val="0"/>
              <w:autoSpaceDE/>
              <w:autoSpaceDN/>
              <w:bidi w:val="0"/>
              <w:adjustRightInd/>
              <w:snapToGrid w:val="0"/>
              <w:ind w:firstLine="482" w:firstLineChars="200"/>
              <w:textAlignment w:val="auto"/>
              <w:rPr>
                <w:rFonts w:hint="eastAsia"/>
                <w:lang w:val="en-US" w:eastAsia="zh-CN"/>
              </w:rPr>
            </w:pPr>
            <w:r>
              <w:rPr>
                <w:rFonts w:hint="eastAsia"/>
                <w:lang w:val="en-US" w:eastAsia="zh-CN"/>
              </w:rPr>
              <w:t>1.1废气治理措施</w:t>
            </w:r>
          </w:p>
          <w:p>
            <w:pPr>
              <w:pStyle w:val="58"/>
              <w:bidi w:val="0"/>
              <w:rPr>
                <w:rFonts w:hint="eastAsia"/>
                <w:highlight w:val="none"/>
                <w:lang w:val="en-US" w:eastAsia="zh-CN"/>
              </w:rPr>
            </w:pPr>
            <w:r>
              <w:rPr>
                <w:rFonts w:hint="eastAsia"/>
                <w:lang w:val="en-US" w:eastAsia="zh-CN"/>
              </w:rPr>
              <w:t>本项目污水处理依托院内现有2号污水处理站，运行过程中产生的废气采用</w:t>
            </w:r>
            <w:r>
              <w:rPr>
                <w:rFonts w:hint="default"/>
                <w:lang w:val="en-US" w:eastAsia="zh-CN"/>
              </w:rPr>
              <w:t>离子除臭装置+紫外线消毒设备</w:t>
            </w:r>
            <w:r>
              <w:rPr>
                <w:rFonts w:hint="eastAsia"/>
                <w:lang w:val="en-US" w:eastAsia="zh-CN"/>
              </w:rPr>
              <w:t>处理后经1根15m高的排气筒进行排放。2号污水处理站于2024年4月进行验收（2号污水处理站处理全院污水），设计处</w:t>
            </w:r>
            <w:r>
              <w:rPr>
                <w:rFonts w:hint="eastAsia"/>
                <w:highlight w:val="none"/>
                <w:lang w:val="en-US" w:eastAsia="zh-CN"/>
              </w:rPr>
              <w:t>理规模为500m</w:t>
            </w:r>
            <w:r>
              <w:rPr>
                <w:rFonts w:hint="eastAsia"/>
                <w:highlight w:val="none"/>
                <w:vertAlign w:val="superscript"/>
                <w:lang w:val="en-US" w:eastAsia="zh-CN"/>
              </w:rPr>
              <w:t>3</w:t>
            </w:r>
            <w:r>
              <w:rPr>
                <w:rFonts w:hint="eastAsia"/>
                <w:highlight w:val="none"/>
                <w:lang w:val="en-US" w:eastAsia="zh-CN"/>
              </w:rPr>
              <w:t>/d。</w:t>
            </w:r>
          </w:p>
          <w:p>
            <w:pPr>
              <w:pStyle w:val="58"/>
              <w:bidi w:val="0"/>
            </w:pPr>
            <w:r>
              <w:rPr>
                <w:rFonts w:hint="eastAsia"/>
                <w:highlight w:val="none"/>
                <w:lang w:val="en-US" w:eastAsia="zh-CN"/>
              </w:rPr>
              <w:t>本项目污水排放量为13.35m</w:t>
            </w:r>
            <w:r>
              <w:rPr>
                <w:rFonts w:hint="eastAsia"/>
                <w:highlight w:val="none"/>
                <w:vertAlign w:val="superscript"/>
                <w:lang w:val="en-US" w:eastAsia="zh-CN"/>
              </w:rPr>
              <w:t>3</w:t>
            </w:r>
            <w:r>
              <w:rPr>
                <w:rFonts w:hint="eastAsia"/>
                <w:highlight w:val="none"/>
                <w:lang w:val="en-US" w:eastAsia="zh-CN"/>
              </w:rPr>
              <w:t>/d，现有工程污水排放量评价为280m</w:t>
            </w:r>
            <w:r>
              <w:rPr>
                <w:rFonts w:hint="eastAsia"/>
                <w:highlight w:val="none"/>
                <w:vertAlign w:val="superscript"/>
                <w:lang w:val="en-US" w:eastAsia="zh-CN"/>
              </w:rPr>
              <w:t>3</w:t>
            </w:r>
            <w:r>
              <w:rPr>
                <w:rFonts w:hint="eastAsia"/>
                <w:highlight w:val="none"/>
                <w:lang w:val="en-US" w:eastAsia="zh-CN"/>
              </w:rPr>
              <w:t>/d，本项目建成后，废水产生量不会超过2号污水处理站处理规模，且废水产生量相对较小，产生的污染物也较少，根据巴州永诚环境检测技术服务有限公司2025年3月20日出具的《库尔勒市第一人民医院3号综合楼项目验收（无组织废气）检测报告》以及《库尔勒市第一人民医院3号综合楼项目验收（有组织废气）检测报告》的检测结果可知，2号污水处理站现状有组织废气满足《恶臭污染物排放标准》（GB14554-1993）中排放限值的要求，厂界污染物浓度满足</w:t>
            </w:r>
            <w:r>
              <w:rPr>
                <w:rFonts w:hint="default"/>
                <w:highlight w:val="none"/>
                <w:lang w:val="en-US" w:eastAsia="zh-CN"/>
              </w:rPr>
              <w:t>《医</w:t>
            </w:r>
            <w:r>
              <w:rPr>
                <w:rFonts w:hint="default" w:ascii="Times New Roman" w:hAnsi="Times New Roman" w:cs="Times New Roman"/>
                <w:highlight w:val="none"/>
                <w:lang w:val="en-US" w:eastAsia="zh-CN"/>
              </w:rPr>
              <w:t>疗机构水污染物排放标准》（GB18466-2005）中排放限值的要求，</w:t>
            </w:r>
            <w:r>
              <w:rPr>
                <w:rFonts w:hint="default" w:ascii="Times New Roman" w:hAnsi="Times New Roman" w:eastAsia="Segoe UI Emoji" w:cs="Times New Roman"/>
                <w:i w:val="0"/>
                <w:iCs w:val="0"/>
                <w:caps w:val="0"/>
                <w:color w:val="000000"/>
                <w:spacing w:val="0"/>
                <w:sz w:val="24"/>
                <w:szCs w:val="24"/>
                <w:shd w:val="clear" w:fill="FCFCFC"/>
              </w:rPr>
              <w:t>本项目废水排放量仅占现有工程的</w:t>
            </w:r>
            <w:r>
              <w:rPr>
                <w:rFonts w:hint="default" w:ascii="Times New Roman" w:hAnsi="Times New Roman" w:eastAsia="宋体" w:cs="Times New Roman"/>
                <w:i w:val="0"/>
                <w:iCs w:val="0"/>
                <w:caps w:val="0"/>
                <w:color w:val="000000"/>
                <w:spacing w:val="0"/>
                <w:sz w:val="24"/>
                <w:szCs w:val="24"/>
                <w:shd w:val="clear" w:fill="FCFCFC"/>
                <w:lang w:val="en-US" w:eastAsia="zh-CN"/>
              </w:rPr>
              <w:t>4.77</w:t>
            </w:r>
            <w:r>
              <w:rPr>
                <w:rFonts w:hint="default" w:ascii="Times New Roman" w:hAnsi="Times New Roman" w:eastAsia="Segoe UI Emoji" w:cs="Times New Roman"/>
                <w:i w:val="0"/>
                <w:iCs w:val="0"/>
                <w:caps w:val="0"/>
                <w:color w:val="000000"/>
                <w:spacing w:val="0"/>
                <w:sz w:val="24"/>
                <w:szCs w:val="24"/>
                <w:shd w:val="clear" w:fill="FCFCFC"/>
              </w:rPr>
              <w:t>%，且污水性质与现有工程一致，新增废水进入2号污水处理站后，</w:t>
            </w:r>
            <w:r>
              <w:rPr>
                <w:rFonts w:ascii="Segoe UI Emoji" w:hAnsi="Segoe UI Emoji" w:eastAsia="Segoe UI Emoji" w:cs="Segoe UI Emoji"/>
                <w:i w:val="0"/>
                <w:iCs w:val="0"/>
                <w:caps w:val="0"/>
                <w:color w:val="000000"/>
                <w:spacing w:val="0"/>
                <w:sz w:val="24"/>
                <w:szCs w:val="24"/>
                <w:shd w:val="clear" w:fill="FCFCFC"/>
              </w:rPr>
              <w:t>不会导致</w:t>
            </w:r>
            <w:r>
              <w:rPr>
                <w:rFonts w:hint="eastAsia" w:ascii="Segoe UI Emoji" w:hAnsi="Segoe UI Emoji" w:eastAsia="宋体" w:cs="Segoe UI Emoji"/>
                <w:i w:val="0"/>
                <w:iCs w:val="0"/>
                <w:caps w:val="0"/>
                <w:color w:val="000000"/>
                <w:spacing w:val="0"/>
                <w:sz w:val="24"/>
                <w:szCs w:val="24"/>
                <w:shd w:val="clear" w:fill="FCFCFC"/>
                <w:lang w:val="en-US" w:eastAsia="zh-CN"/>
              </w:rPr>
              <w:t>污水处理站恶臭</w:t>
            </w:r>
            <w:r>
              <w:rPr>
                <w:rFonts w:ascii="Segoe UI Emoji" w:hAnsi="Segoe UI Emoji" w:eastAsia="Segoe UI Emoji" w:cs="Segoe UI Emoji"/>
                <w:i w:val="0"/>
                <w:iCs w:val="0"/>
                <w:caps w:val="0"/>
                <w:color w:val="000000"/>
                <w:spacing w:val="0"/>
                <w:sz w:val="24"/>
                <w:szCs w:val="24"/>
                <w:shd w:val="clear" w:fill="FCFCFC"/>
              </w:rPr>
              <w:t>污染物排放量</w:t>
            </w:r>
            <w:r>
              <w:rPr>
                <w:rFonts w:hint="eastAsia" w:ascii="Segoe UI Emoji" w:hAnsi="Segoe UI Emoji" w:eastAsia="宋体" w:cs="Segoe UI Emoji"/>
                <w:i w:val="0"/>
                <w:iCs w:val="0"/>
                <w:caps w:val="0"/>
                <w:color w:val="000000"/>
                <w:spacing w:val="0"/>
                <w:sz w:val="24"/>
                <w:szCs w:val="24"/>
                <w:shd w:val="clear" w:fill="FCFCFC"/>
                <w:lang w:val="en-US" w:eastAsia="zh-CN"/>
              </w:rPr>
              <w:t>明显</w:t>
            </w:r>
            <w:r>
              <w:rPr>
                <w:rFonts w:ascii="Segoe UI Emoji" w:hAnsi="Segoe UI Emoji" w:eastAsia="Segoe UI Emoji" w:cs="Segoe UI Emoji"/>
                <w:i w:val="0"/>
                <w:iCs w:val="0"/>
                <w:caps w:val="0"/>
                <w:color w:val="000000"/>
                <w:spacing w:val="0"/>
                <w:sz w:val="24"/>
                <w:szCs w:val="24"/>
                <w:shd w:val="clear" w:fill="FCFCFC"/>
              </w:rPr>
              <w:t>增加</w:t>
            </w:r>
            <w:r>
              <w:rPr>
                <w:rFonts w:hint="default" w:ascii="Times New Roman" w:hAnsi="Times New Roman" w:cs="Times New Roman"/>
                <w:highlight w:val="none"/>
                <w:lang w:val="en-US" w:eastAsia="zh-CN"/>
              </w:rPr>
              <w:t>，因此不对其进行核算。</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1.2废气治理措施可行性</w:t>
            </w:r>
          </w:p>
          <w:p>
            <w:pPr>
              <w:pStyle w:val="55"/>
              <w:bidi w:val="0"/>
              <w:rPr>
                <w:rFonts w:hint="default"/>
                <w:lang w:val="en-US" w:eastAsia="zh-CN"/>
              </w:rPr>
            </w:pPr>
            <w:r>
              <w:rPr>
                <w:rFonts w:hint="default"/>
                <w:lang w:val="en-US" w:eastAsia="zh-CN"/>
              </w:rPr>
              <w:t>医院现有污水处理站已</w:t>
            </w:r>
            <w:r>
              <w:rPr>
                <w:rFonts w:hint="eastAsia"/>
                <w:lang w:val="en-US" w:eastAsia="zh-CN"/>
              </w:rPr>
              <w:t>进行</w:t>
            </w:r>
            <w:r>
              <w:rPr>
                <w:rFonts w:hint="default"/>
                <w:lang w:val="en-US" w:eastAsia="zh-CN"/>
              </w:rPr>
              <w:t>验收，属于本</w:t>
            </w:r>
            <w:r>
              <w:rPr>
                <w:rFonts w:hint="eastAsia"/>
                <w:lang w:val="en-US" w:eastAsia="zh-CN"/>
              </w:rPr>
              <w:t>项目</w:t>
            </w:r>
            <w:r>
              <w:rPr>
                <w:rFonts w:hint="default"/>
                <w:lang w:val="en-US" w:eastAsia="zh-CN"/>
              </w:rPr>
              <w:t>的依托工程。</w:t>
            </w:r>
          </w:p>
          <w:p>
            <w:pPr>
              <w:pStyle w:val="55"/>
              <w:shd w:val="clear"/>
              <w:bidi w:val="0"/>
              <w:rPr>
                <w:rFonts w:hint="default"/>
                <w:shd w:val="clear" w:fill="FABF8F" w:themeFill="accent6" w:themeFillTint="99"/>
                <w:lang w:val="en-US" w:eastAsia="zh-CN"/>
              </w:rPr>
            </w:pPr>
            <w:r>
              <w:rPr>
                <w:rFonts w:hint="default"/>
                <w:lang w:val="en-US" w:eastAsia="zh-CN"/>
              </w:rPr>
              <w:t>污水处理站在长时间运行后会产生恶臭气体。污水处理站恶臭防治最通</w:t>
            </w:r>
            <w:r>
              <w:rPr>
                <w:rFonts w:hint="default"/>
                <w:shd w:val="clear"/>
                <w:lang w:val="en-US" w:eastAsia="zh-CN"/>
              </w:rPr>
              <w:t>用的方法是对产生臭气的设施进</w:t>
            </w:r>
            <w:r>
              <w:rPr>
                <w:rFonts w:hint="default"/>
                <w:color w:val="auto"/>
                <w:shd w:val="clear"/>
                <w:lang w:val="en-US" w:eastAsia="zh-CN"/>
              </w:rPr>
              <w:t>行封闭处理，加强管理，可有效防止恶臭气体外</w:t>
            </w:r>
            <w:r>
              <w:rPr>
                <w:rFonts w:hint="eastAsia"/>
                <w:color w:val="auto"/>
                <w:shd w:val="clear"/>
                <w:lang w:val="en-US" w:eastAsia="zh-CN"/>
              </w:rPr>
              <w:t>溢</w:t>
            </w:r>
            <w:r>
              <w:rPr>
                <w:rFonts w:hint="default"/>
                <w:color w:val="auto"/>
                <w:shd w:val="clear"/>
                <w:lang w:val="en-US" w:eastAsia="zh-CN"/>
              </w:rPr>
              <w:t>，最大限度</w:t>
            </w:r>
            <w:r>
              <w:rPr>
                <w:rFonts w:hint="eastAsia"/>
                <w:color w:val="auto"/>
                <w:shd w:val="clear"/>
                <w:lang w:val="en-US" w:eastAsia="zh-CN"/>
              </w:rPr>
              <w:t>地</w:t>
            </w:r>
            <w:r>
              <w:rPr>
                <w:rFonts w:hint="default"/>
                <w:color w:val="auto"/>
                <w:shd w:val="clear"/>
                <w:lang w:val="en-US" w:eastAsia="zh-CN"/>
              </w:rPr>
              <w:t>减轻对污水处理站周围大气的影响。本项目2#污水处理站采用地埋式一体化设备，池体均加盖密闭，产生的废气经管道收集，通入等离子除臭装置+紫外线消毒设备处理后经1根15m高的排气筒进行排放</w:t>
            </w:r>
            <w:r>
              <w:rPr>
                <w:rFonts w:hint="eastAsia"/>
                <w:color w:val="auto"/>
                <w:shd w:val="clear"/>
                <w:lang w:val="en-US" w:eastAsia="zh-CN"/>
              </w:rPr>
              <w:t>。</w:t>
            </w:r>
            <w:r>
              <w:rPr>
                <w:rFonts w:hint="default"/>
                <w:color w:val="auto"/>
                <w:shd w:val="clear"/>
                <w:lang w:val="en-US" w:eastAsia="zh-CN"/>
              </w:rPr>
              <w:t>定期清理污泥，以减轻恶臭气体的排放，大大降低污染物外排浓度。</w:t>
            </w:r>
            <w:r>
              <w:rPr>
                <w:rFonts w:hint="default"/>
                <w:shd w:val="clear"/>
                <w:lang w:val="en-US" w:eastAsia="zh-CN"/>
              </w:rPr>
              <w:t>采取上述措施后，</w:t>
            </w:r>
            <w:r>
              <w:rPr>
                <w:rFonts w:hint="eastAsia"/>
                <w:highlight w:val="none"/>
                <w:lang w:val="en-US" w:eastAsia="zh-CN"/>
              </w:rPr>
              <w:t>根据巴州永诚环境检测技术服务有限公司2025年3月20日出具的《库尔勒市第一人民医院3号综合楼项目验收（无组织废气）检测报告》以及《库尔勒市第一人民医院3号综合楼项目验收（有组织废气）检测报告》的检测结果可知，2号污水处理站排口现状氨、硫化氢排放速率最大值分别为</w:t>
            </w:r>
            <w:r>
              <w:rPr>
                <w:rFonts w:hint="eastAsia"/>
                <w:sz w:val="24"/>
                <w:szCs w:val="24"/>
                <w:highlight w:val="none"/>
                <w:lang w:val="en-US" w:eastAsia="zh-CN"/>
              </w:rPr>
              <w:t>3.61</w:t>
            </w:r>
            <w:r>
              <w:rPr>
                <w:rFonts w:hint="eastAsia" w:ascii="Times New Roman" w:hAnsi="Times New Roman" w:eastAsia="宋体" w:cs="Times New Roman"/>
                <w:color w:val="auto"/>
                <w:kern w:val="2"/>
                <w:sz w:val="24"/>
                <w:szCs w:val="24"/>
                <w:highlight w:val="none"/>
                <w:lang w:val="en-US" w:eastAsia="zh-CN" w:bidi="ar-SA"/>
              </w:rPr>
              <w:t>×10</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olor w:val="000000"/>
                <w:sz w:val="24"/>
                <w:szCs w:val="24"/>
                <w:highlight w:val="none"/>
                <w:lang w:val="en-US" w:eastAsia="zh-CN"/>
              </w:rPr>
              <w:t>、7.29kg/h，臭气浓度最大排放值为310（无量纲），</w:t>
            </w:r>
            <w:r>
              <w:rPr>
                <w:rFonts w:hint="eastAsia"/>
                <w:highlight w:val="none"/>
                <w:lang w:val="en-US" w:eastAsia="zh-CN"/>
              </w:rPr>
              <w:t>满足《恶臭污染物排放标准》（GB14554-1993）中排放限值的要求；污水处理站周界无组织硫</w:t>
            </w:r>
            <w:r>
              <w:rPr>
                <w:rFonts w:hint="default" w:ascii="Times New Roman" w:hAnsi="Times New Roman" w:cs="Times New Roman"/>
                <w:highlight w:val="none"/>
                <w:lang w:val="en-US" w:eastAsia="zh-CN"/>
              </w:rPr>
              <w:t>化氢</w:t>
            </w:r>
            <w:r>
              <w:rPr>
                <w:rFonts w:hint="default" w:ascii="Times New Roman" w:hAnsi="Times New Roman" w:eastAsia="宋体" w:cs="Times New Roman"/>
                <w:highlight w:val="none"/>
                <w:lang w:val="en-US" w:eastAsia="zh-CN"/>
              </w:rPr>
              <w:t>、氨、氯气最大值分别为3.9</w:t>
            </w:r>
            <w:r>
              <w:rPr>
                <w:rFonts w:hint="default" w:ascii="Times New Roman" w:hAnsi="Times New Roman" w:eastAsia="宋体"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vertAlign w:val="baseline"/>
                <w:lang w:val="en-US" w:eastAsia="zh-CN" w:bidi="ar-SA"/>
              </w:rPr>
              <w:t>、0.89、0.09</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sz w:val="24"/>
                <w:szCs w:val="24"/>
                <w:highlight w:val="none"/>
                <w:lang w:val="en-US" w:eastAsia="zh-CN"/>
              </w:rPr>
              <w:t>，臭气浓度最大值为</w:t>
            </w:r>
            <w:r>
              <w:rPr>
                <w:rFonts w:hint="default" w:ascii="Times New Roman" w:hAnsi="Times New Roman" w:eastAsia="宋体" w:cs="Times New Roman"/>
                <w:szCs w:val="21"/>
                <w:highlight w:val="none"/>
                <w:lang w:val="en-US" w:eastAsia="zh-CN"/>
              </w:rPr>
              <w:t>＜10（无量纲），</w:t>
            </w:r>
            <w:r>
              <w:rPr>
                <w:rFonts w:hint="eastAsia" w:ascii="Times New Roman" w:hAnsi="Times New Roman" w:eastAsia="宋体" w:cs="Times New Roman"/>
                <w:szCs w:val="21"/>
                <w:highlight w:val="none"/>
                <w:lang w:val="en-US" w:eastAsia="zh-CN"/>
              </w:rPr>
              <w:t>站内最大甲烷体积浓度为6.31mg/m</w:t>
            </w:r>
            <w:r>
              <w:rPr>
                <w:rFonts w:hint="eastAsia" w:ascii="Times New Roman" w:hAnsi="Times New Roman" w:eastAsia="宋体" w:cs="Times New Roman"/>
                <w:szCs w:val="21"/>
                <w:highlight w:val="none"/>
                <w:vertAlign w:val="superscript"/>
                <w:lang w:val="en-US" w:eastAsia="zh-CN"/>
              </w:rPr>
              <w:t>3</w:t>
            </w:r>
            <w:r>
              <w:rPr>
                <w:rFonts w:hint="eastAsia" w:ascii="Times New Roman" w:hAnsi="Times New Roman" w:eastAsia="宋体" w:cs="Times New Roman"/>
                <w:szCs w:val="21"/>
                <w:highlight w:val="none"/>
                <w:lang w:val="en-US" w:eastAsia="zh-CN"/>
              </w:rPr>
              <w:t>（8.83×10</w:t>
            </w:r>
            <w:r>
              <w:rPr>
                <w:rFonts w:hint="eastAsia" w:ascii="Times New Roman" w:hAnsi="Times New Roman" w:eastAsia="宋体" w:cs="Times New Roman"/>
                <w:szCs w:val="21"/>
                <w:highlight w:val="none"/>
                <w:vertAlign w:val="superscript"/>
                <w:lang w:val="en-US" w:eastAsia="zh-CN"/>
              </w:rPr>
              <w:t>-4</w:t>
            </w:r>
            <w:r>
              <w:rPr>
                <w:rFonts w:hint="eastAsia" w:ascii="Times New Roman" w:hAnsi="Times New Roman" w:eastAsia="宋体" w:cs="Times New Roman"/>
                <w:szCs w:val="21"/>
                <w:highlight w:val="none"/>
                <w:lang w:val="en-US" w:eastAsia="zh-CN"/>
              </w:rPr>
              <w:t>%）</w:t>
            </w:r>
            <w:r>
              <w:rPr>
                <w:rFonts w:hint="default" w:ascii="Times New Roman" w:hAnsi="Times New Roman" w:eastAsia="宋体" w:cs="Times New Roman"/>
                <w:szCs w:val="21"/>
                <w:highlight w:val="none"/>
                <w:lang w:val="en-US" w:eastAsia="zh-CN"/>
              </w:rPr>
              <w:t>，</w:t>
            </w:r>
            <w:r>
              <w:rPr>
                <w:rFonts w:hint="default" w:ascii="Times New Roman" w:hAnsi="Times New Roman" w:eastAsia="宋体" w:cs="Times New Roman"/>
                <w:highlight w:val="none"/>
                <w:lang w:val="en-US" w:eastAsia="zh-CN"/>
              </w:rPr>
              <w:t>均满</w:t>
            </w:r>
            <w:r>
              <w:rPr>
                <w:rFonts w:hint="eastAsia"/>
                <w:highlight w:val="none"/>
                <w:lang w:val="en-US" w:eastAsia="zh-CN"/>
              </w:rPr>
              <w:t>足</w:t>
            </w:r>
            <w:r>
              <w:rPr>
                <w:rFonts w:hint="default"/>
                <w:highlight w:val="none"/>
                <w:lang w:val="en-US" w:eastAsia="zh-CN"/>
              </w:rPr>
              <w:t>《医</w:t>
            </w:r>
            <w:r>
              <w:rPr>
                <w:rFonts w:hint="default" w:ascii="Times New Roman" w:hAnsi="Times New Roman" w:cs="Times New Roman"/>
                <w:highlight w:val="none"/>
                <w:lang w:val="en-US" w:eastAsia="zh-CN"/>
              </w:rPr>
              <w:t>疗机构水污染物排放标准》（GB18466-2005）中排放限值的要求</w:t>
            </w:r>
            <w:r>
              <w:rPr>
                <w:rFonts w:hint="default"/>
                <w:shd w:val="clear"/>
                <w:lang w:val="en-US" w:eastAsia="zh-CN"/>
              </w:rPr>
              <w:t>，因此，该恶臭污染防治措施可行。</w:t>
            </w:r>
          </w:p>
          <w:p>
            <w:pPr>
              <w:pStyle w:val="51"/>
              <w:keepNext w:val="0"/>
              <w:keepLines w:val="0"/>
              <w:pageBreakBefore w:val="0"/>
              <w:widowControl/>
              <w:kinsoku/>
              <w:wordWrap w:val="0"/>
              <w:overflowPunct/>
              <w:topLinePunct w:val="0"/>
              <w:autoSpaceDE/>
              <w:autoSpaceDN/>
              <w:bidi w:val="0"/>
              <w:adjustRightInd/>
              <w:snapToGrid w:val="0"/>
              <w:ind w:firstLine="482" w:firstLineChars="200"/>
              <w:textAlignment w:val="auto"/>
              <w:rPr>
                <w:rFonts w:hint="eastAsia"/>
                <w:lang w:val="en-US" w:eastAsia="zh-CN"/>
              </w:rPr>
            </w:pPr>
            <w:r>
              <w:rPr>
                <w:rFonts w:hint="eastAsia"/>
                <w:lang w:val="en-US" w:eastAsia="zh-CN"/>
              </w:rPr>
              <w:t>1.3监测要求</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lang w:val="en-US" w:eastAsia="zh-CN"/>
              </w:rPr>
            </w:pPr>
            <w:r>
              <w:rPr>
                <w:rFonts w:hint="default"/>
                <w:lang w:val="en-US" w:eastAsia="zh-CN"/>
              </w:rPr>
              <w:t>根据《排污单位自行</w:t>
            </w:r>
            <w:r>
              <w:rPr>
                <w:rFonts w:hint="eastAsia"/>
                <w:lang w:val="en-US" w:eastAsia="zh-CN"/>
              </w:rPr>
              <w:t>监测</w:t>
            </w:r>
            <w:r>
              <w:rPr>
                <w:rFonts w:hint="default"/>
                <w:lang w:val="en-US" w:eastAsia="zh-CN"/>
              </w:rPr>
              <w:t>技术指南</w:t>
            </w:r>
            <w:r>
              <w:rPr>
                <w:rFonts w:hint="eastAsia"/>
                <w:lang w:val="en-US" w:eastAsia="zh-CN"/>
              </w:rPr>
              <w:t xml:space="preserve"> </w:t>
            </w:r>
            <w:r>
              <w:rPr>
                <w:rFonts w:hint="default"/>
                <w:lang w:val="en-US" w:eastAsia="zh-CN"/>
              </w:rPr>
              <w:t>总则》（HJ819-2017）</w:t>
            </w:r>
            <w:r>
              <w:rPr>
                <w:rFonts w:hint="eastAsia"/>
                <w:lang w:val="en-US" w:eastAsia="zh-CN"/>
              </w:rPr>
              <w:t>以及《排污许可证申请与核发技术规范 医疗机构》（HJ1105—2020）要求，本项目大气监测计划见下表4-1。</w:t>
            </w:r>
          </w:p>
          <w:p>
            <w:pPr>
              <w:pStyle w:val="59"/>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eastAsia"/>
                <w:sz w:val="24"/>
                <w:szCs w:val="24"/>
                <w:lang w:val="en-US" w:eastAsia="zh-CN"/>
              </w:rPr>
              <w:t>表4-1    本项目废气污染物监测计划一览表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28"/>
              <w:gridCol w:w="1457"/>
              <w:gridCol w:w="1839"/>
              <w:gridCol w:w="1293"/>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8"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序号</w:t>
                  </w:r>
                </w:p>
              </w:tc>
              <w:tc>
                <w:tcPr>
                  <w:tcW w:w="58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排放形式</w:t>
                  </w:r>
                </w:p>
              </w:tc>
              <w:tc>
                <w:tcPr>
                  <w:tcW w:w="912"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监测点位</w:t>
                  </w:r>
                </w:p>
              </w:tc>
              <w:tc>
                <w:tcPr>
                  <w:tcW w:w="115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监测因子</w:t>
                  </w:r>
                </w:p>
              </w:tc>
              <w:tc>
                <w:tcPr>
                  <w:tcW w:w="80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监测频次</w:t>
                  </w:r>
                </w:p>
              </w:tc>
              <w:tc>
                <w:tcPr>
                  <w:tcW w:w="1217"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1</w:t>
                  </w:r>
                </w:p>
              </w:tc>
              <w:tc>
                <w:tcPr>
                  <w:tcW w:w="58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有组织</w:t>
                  </w:r>
                </w:p>
              </w:tc>
              <w:tc>
                <w:tcPr>
                  <w:tcW w:w="912"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污水处理站废气排放口</w:t>
                  </w:r>
                </w:p>
              </w:tc>
              <w:tc>
                <w:tcPr>
                  <w:tcW w:w="115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氨、硫化氢、臭气浓度</w:t>
                  </w:r>
                </w:p>
              </w:tc>
              <w:tc>
                <w:tcPr>
                  <w:tcW w:w="80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1次/季度</w:t>
                  </w:r>
                </w:p>
              </w:tc>
              <w:tc>
                <w:tcPr>
                  <w:tcW w:w="1217"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2</w:t>
                  </w:r>
                </w:p>
              </w:tc>
              <w:tc>
                <w:tcPr>
                  <w:tcW w:w="58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无组织</w:t>
                  </w:r>
                </w:p>
              </w:tc>
              <w:tc>
                <w:tcPr>
                  <w:tcW w:w="912"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污水处理站周界</w:t>
                  </w:r>
                </w:p>
              </w:tc>
              <w:tc>
                <w:tcPr>
                  <w:tcW w:w="1151"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氨、硫化氢、臭气浓度、氯气、甲烷</w:t>
                  </w:r>
                </w:p>
              </w:tc>
              <w:tc>
                <w:tcPr>
                  <w:tcW w:w="809"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1次/季度</w:t>
                  </w:r>
                </w:p>
              </w:tc>
              <w:tc>
                <w:tcPr>
                  <w:tcW w:w="1217"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《医疗机构水污染物排放标准》（GB18466-2005）</w:t>
                  </w:r>
                </w:p>
              </w:tc>
            </w:tr>
          </w:tbl>
          <w:p>
            <w:pPr>
              <w:pStyle w:val="64"/>
              <w:bidi w:val="0"/>
              <w:rPr>
                <w:rFonts w:hint="default"/>
                <w:highlight w:val="none"/>
                <w:lang w:val="en-US" w:eastAsia="zh-CN"/>
              </w:rPr>
            </w:pPr>
            <w:r>
              <w:rPr>
                <w:rFonts w:hint="eastAsia"/>
                <w:highlight w:val="none"/>
                <w:lang w:val="en-US" w:eastAsia="zh-CN"/>
              </w:rPr>
              <w:t>2水环境影响和保护措施</w:t>
            </w:r>
          </w:p>
          <w:p>
            <w:pPr>
              <w:pStyle w:val="51"/>
              <w:keepNext w:val="0"/>
              <w:keepLines w:val="0"/>
              <w:pageBreakBefore w:val="0"/>
              <w:widowControl/>
              <w:kinsoku/>
              <w:wordWrap w:val="0"/>
              <w:overflowPunct/>
              <w:topLinePunct w:val="0"/>
              <w:autoSpaceDE/>
              <w:autoSpaceDN/>
              <w:bidi w:val="0"/>
              <w:adjustRightInd/>
              <w:snapToGrid w:val="0"/>
              <w:ind w:firstLine="482" w:firstLineChars="200"/>
              <w:textAlignment w:val="auto"/>
              <w:rPr>
                <w:rFonts w:hint="default"/>
                <w:lang w:val="en-US" w:eastAsia="zh-CN"/>
              </w:rPr>
            </w:pPr>
            <w:r>
              <w:rPr>
                <w:rFonts w:hint="eastAsia"/>
                <w:lang w:val="en-US" w:eastAsia="zh-CN"/>
              </w:rPr>
              <w:t>2.1源强核算</w:t>
            </w:r>
          </w:p>
          <w:p>
            <w:pPr>
              <w:pStyle w:val="51"/>
              <w:keepNext w:val="0"/>
              <w:keepLines w:val="0"/>
              <w:pageBreakBefore w:val="0"/>
              <w:kinsoku/>
              <w:overflowPunct/>
              <w:topLinePunct w:val="0"/>
              <w:autoSpaceDE/>
              <w:autoSpaceDN/>
              <w:bidi w:val="0"/>
              <w:adjustRightInd w:val="0"/>
              <w:snapToGrid w:val="0"/>
              <w:spacing w:line="480" w:lineRule="exact"/>
              <w:ind w:firstLine="480" w:firstLineChars="200"/>
              <w:jc w:val="both"/>
              <w:textAlignment w:val="auto"/>
              <w:rPr>
                <w:rFonts w:hint="default"/>
                <w:b w:val="0"/>
                <w:bCs/>
                <w:sz w:val="24"/>
                <w:szCs w:val="24"/>
                <w:lang w:val="en-US" w:eastAsia="zh-CN"/>
              </w:rPr>
            </w:pPr>
            <w:r>
              <w:rPr>
                <w:rFonts w:hint="default"/>
                <w:b w:val="0"/>
                <w:bCs/>
                <w:sz w:val="24"/>
                <w:szCs w:val="24"/>
                <w:lang w:val="en-US" w:eastAsia="zh-CN"/>
              </w:rPr>
              <w:t>本项目不设传染科、不</w:t>
            </w:r>
            <w:r>
              <w:rPr>
                <w:rFonts w:hint="eastAsia"/>
                <w:b w:val="0"/>
                <w:bCs/>
                <w:sz w:val="24"/>
                <w:szCs w:val="24"/>
                <w:lang w:val="en-US" w:eastAsia="zh-CN"/>
              </w:rPr>
              <w:t>接收</w:t>
            </w:r>
            <w:r>
              <w:rPr>
                <w:rFonts w:hint="default"/>
                <w:b w:val="0"/>
                <w:bCs/>
                <w:sz w:val="24"/>
                <w:szCs w:val="24"/>
                <w:lang w:val="en-US" w:eastAsia="zh-CN"/>
              </w:rPr>
              <w:t>传染病人。主要排水为住院人员、门诊病人、医护人员污水。本项</w:t>
            </w:r>
            <w:r>
              <w:rPr>
                <w:rFonts w:hint="default"/>
                <w:b w:val="0"/>
                <w:bCs/>
                <w:sz w:val="24"/>
                <w:szCs w:val="24"/>
                <w:highlight w:val="none"/>
                <w:lang w:val="en-US" w:eastAsia="zh-CN"/>
              </w:rPr>
              <w:t>目废水总量</w:t>
            </w:r>
            <w:r>
              <w:rPr>
                <w:rFonts w:hint="eastAsia"/>
                <w:b w:val="0"/>
                <w:bCs/>
                <w:sz w:val="24"/>
                <w:szCs w:val="24"/>
                <w:highlight w:val="none"/>
                <w:lang w:val="en-US" w:eastAsia="zh-CN"/>
              </w:rPr>
              <w:t>约</w:t>
            </w:r>
            <w:r>
              <w:rPr>
                <w:rFonts w:hint="default"/>
                <w:b w:val="0"/>
                <w:bCs/>
                <w:sz w:val="24"/>
                <w:szCs w:val="24"/>
                <w:highlight w:val="none"/>
                <w:lang w:val="en-US" w:eastAsia="zh-CN"/>
              </w:rPr>
              <w:t>为</w:t>
            </w:r>
            <w:r>
              <w:rPr>
                <w:rFonts w:hint="eastAsia"/>
                <w:b w:val="0"/>
                <w:bCs/>
                <w:sz w:val="24"/>
                <w:szCs w:val="24"/>
                <w:highlight w:val="none"/>
                <w:lang w:val="en-US" w:eastAsia="zh-CN"/>
              </w:rPr>
              <w:t>13.35</w:t>
            </w:r>
            <w:r>
              <w:rPr>
                <w:rFonts w:hint="default"/>
                <w:b w:val="0"/>
                <w:bCs/>
                <w:sz w:val="24"/>
                <w:szCs w:val="24"/>
                <w:highlight w:val="none"/>
                <w:lang w:val="en-US" w:eastAsia="zh-CN"/>
              </w:rPr>
              <w:t>m</w:t>
            </w:r>
            <w:r>
              <w:rPr>
                <w:rFonts w:hint="eastAsia"/>
                <w:b w:val="0"/>
                <w:bCs/>
                <w:sz w:val="24"/>
                <w:szCs w:val="24"/>
                <w:highlight w:val="none"/>
                <w:vertAlign w:val="superscript"/>
                <w:lang w:val="en-US" w:eastAsia="zh-CN"/>
              </w:rPr>
              <w:t>3</w:t>
            </w:r>
            <w:r>
              <w:rPr>
                <w:rFonts w:hint="default"/>
                <w:b w:val="0"/>
                <w:bCs/>
                <w:sz w:val="24"/>
                <w:szCs w:val="24"/>
                <w:highlight w:val="none"/>
                <w:lang w:val="en-US" w:eastAsia="zh-CN"/>
              </w:rPr>
              <w:t>/d</w:t>
            </w:r>
            <w:r>
              <w:rPr>
                <w:rFonts w:hint="eastAsia"/>
                <w:b w:val="0"/>
                <w:bCs/>
                <w:sz w:val="24"/>
                <w:szCs w:val="24"/>
                <w:highlight w:val="none"/>
                <w:lang w:val="en-US" w:eastAsia="zh-CN"/>
              </w:rPr>
              <w:t>（4872.75</w:t>
            </w:r>
            <w:r>
              <w:rPr>
                <w:rFonts w:hint="default"/>
                <w:b w:val="0"/>
                <w:bCs/>
                <w:sz w:val="24"/>
                <w:szCs w:val="24"/>
                <w:highlight w:val="none"/>
                <w:lang w:val="en-US" w:eastAsia="zh-CN"/>
              </w:rPr>
              <w:t>m</w:t>
            </w:r>
            <w:r>
              <w:rPr>
                <w:rFonts w:hint="eastAsia"/>
                <w:b w:val="0"/>
                <w:bCs/>
                <w:sz w:val="24"/>
                <w:szCs w:val="24"/>
                <w:highlight w:val="none"/>
                <w:vertAlign w:val="superscript"/>
                <w:lang w:val="en-US" w:eastAsia="zh-CN"/>
              </w:rPr>
              <w:t>3</w:t>
            </w:r>
            <w:r>
              <w:rPr>
                <w:rFonts w:hint="default"/>
                <w:b w:val="0"/>
                <w:bCs/>
                <w:sz w:val="24"/>
                <w:szCs w:val="24"/>
                <w:highlight w:val="none"/>
                <w:lang w:val="en-US" w:eastAsia="zh-CN"/>
              </w:rPr>
              <w:t>/</w:t>
            </w:r>
            <w:r>
              <w:rPr>
                <w:rFonts w:hint="eastAsia"/>
                <w:b w:val="0"/>
                <w:bCs/>
                <w:sz w:val="24"/>
                <w:szCs w:val="24"/>
                <w:highlight w:val="none"/>
                <w:lang w:val="en-US" w:eastAsia="zh-CN"/>
              </w:rPr>
              <w:t>a）</w:t>
            </w:r>
            <w:r>
              <w:rPr>
                <w:rFonts w:hint="default"/>
                <w:b w:val="0"/>
                <w:bCs/>
                <w:sz w:val="24"/>
                <w:szCs w:val="24"/>
                <w:highlight w:val="none"/>
                <w:lang w:val="en-US" w:eastAsia="zh-CN"/>
              </w:rPr>
              <w:t>，废水中主要污染因子为COD、SS、NH</w:t>
            </w:r>
            <w:r>
              <w:rPr>
                <w:rFonts w:hint="default"/>
                <w:b w:val="0"/>
                <w:bCs/>
                <w:sz w:val="24"/>
                <w:szCs w:val="24"/>
                <w:highlight w:val="none"/>
                <w:vertAlign w:val="subscript"/>
                <w:lang w:val="en-US" w:eastAsia="zh-CN"/>
              </w:rPr>
              <w:t>3</w:t>
            </w:r>
            <w:r>
              <w:rPr>
                <w:rFonts w:hint="default"/>
                <w:b w:val="0"/>
                <w:bCs/>
                <w:sz w:val="24"/>
                <w:szCs w:val="24"/>
                <w:highlight w:val="none"/>
                <w:lang w:val="en-US" w:eastAsia="zh-CN"/>
              </w:rPr>
              <w:t>-N、BOD</w:t>
            </w:r>
            <w:r>
              <w:rPr>
                <w:rFonts w:hint="eastAsia"/>
                <w:b w:val="0"/>
                <w:bCs/>
                <w:sz w:val="24"/>
                <w:szCs w:val="24"/>
                <w:highlight w:val="none"/>
                <w:vertAlign w:val="subscript"/>
                <w:lang w:val="en-US" w:eastAsia="zh-CN"/>
              </w:rPr>
              <w:t>5</w:t>
            </w:r>
            <w:r>
              <w:rPr>
                <w:rFonts w:hint="default"/>
                <w:b w:val="0"/>
                <w:bCs/>
                <w:sz w:val="24"/>
                <w:szCs w:val="24"/>
                <w:highlight w:val="none"/>
                <w:lang w:val="en-US" w:eastAsia="zh-CN"/>
              </w:rPr>
              <w:t>和粪大肠菌</w:t>
            </w:r>
            <w:r>
              <w:rPr>
                <w:rFonts w:hint="default"/>
                <w:b w:val="0"/>
                <w:bCs/>
                <w:sz w:val="24"/>
                <w:szCs w:val="24"/>
                <w:lang w:val="en-US" w:eastAsia="zh-CN"/>
              </w:rPr>
              <w:t>等。废水进入污水处理站处理，满足《医疗机构水污染物排放标准》</w:t>
            </w:r>
            <w:r>
              <w:rPr>
                <w:rFonts w:hint="eastAsia"/>
                <w:b w:val="0"/>
                <w:bCs/>
                <w:sz w:val="24"/>
                <w:szCs w:val="24"/>
                <w:lang w:val="en-US" w:eastAsia="zh-CN"/>
              </w:rPr>
              <w:t>（</w:t>
            </w:r>
            <w:r>
              <w:rPr>
                <w:rFonts w:hint="default"/>
                <w:b w:val="0"/>
                <w:bCs/>
                <w:sz w:val="24"/>
                <w:szCs w:val="24"/>
                <w:lang w:val="en-US" w:eastAsia="zh-CN"/>
              </w:rPr>
              <w:t>GB18466-2005</w:t>
            </w:r>
            <w:r>
              <w:rPr>
                <w:rFonts w:hint="eastAsia"/>
                <w:b w:val="0"/>
                <w:bCs/>
                <w:sz w:val="24"/>
                <w:szCs w:val="24"/>
                <w:lang w:val="en-US" w:eastAsia="zh-CN"/>
              </w:rPr>
              <w:t>）</w:t>
            </w:r>
            <w:r>
              <w:rPr>
                <w:rFonts w:hint="default"/>
                <w:b w:val="0"/>
                <w:bCs/>
                <w:sz w:val="24"/>
                <w:szCs w:val="24"/>
                <w:lang w:val="en-US" w:eastAsia="zh-CN"/>
              </w:rPr>
              <w:t>中的预处理标准后，</w:t>
            </w:r>
            <w:r>
              <w:rPr>
                <w:rFonts w:hint="eastAsia"/>
                <w:b w:val="0"/>
                <w:bCs/>
                <w:sz w:val="24"/>
                <w:szCs w:val="24"/>
                <w:lang w:val="en-US" w:eastAsia="zh-CN"/>
              </w:rPr>
              <w:t>排入</w:t>
            </w:r>
            <w:r>
              <w:rPr>
                <w:rFonts w:hint="default"/>
                <w:b w:val="0"/>
                <w:bCs/>
                <w:sz w:val="24"/>
                <w:szCs w:val="24"/>
                <w:lang w:val="en-US" w:eastAsia="zh-CN"/>
              </w:rPr>
              <w:t>市政污水管网。</w:t>
            </w:r>
          </w:p>
          <w:p>
            <w:pPr>
              <w:pStyle w:val="51"/>
              <w:keepNext w:val="0"/>
              <w:keepLines w:val="0"/>
              <w:pageBreakBefore w:val="0"/>
              <w:kinsoku/>
              <w:overflowPunct/>
              <w:topLinePunct w:val="0"/>
              <w:autoSpaceDE/>
              <w:autoSpaceDN/>
              <w:bidi w:val="0"/>
              <w:adjustRightInd w:val="0"/>
              <w:snapToGrid w:val="0"/>
              <w:spacing w:line="480" w:lineRule="exact"/>
              <w:ind w:firstLine="480" w:firstLineChars="200"/>
              <w:jc w:val="both"/>
              <w:textAlignment w:val="auto"/>
              <w:rPr>
                <w:rFonts w:hint="eastAsia"/>
                <w:b w:val="0"/>
                <w:bCs/>
                <w:sz w:val="24"/>
                <w:szCs w:val="24"/>
                <w:lang w:val="en-US" w:eastAsia="zh-CN"/>
              </w:rPr>
            </w:pPr>
            <w:r>
              <w:rPr>
                <w:rFonts w:hint="eastAsia"/>
                <w:b w:val="0"/>
                <w:bCs/>
                <w:sz w:val="24"/>
                <w:szCs w:val="24"/>
                <w:lang w:val="en-US" w:eastAsia="zh-CN"/>
              </w:rPr>
              <w:t>污水处理站出水水质参照污水处理站验收报告中污染物浓度，项目</w:t>
            </w:r>
            <w:r>
              <w:rPr>
                <w:rFonts w:hint="eastAsia"/>
                <w:b w:val="0"/>
                <w:bCs/>
                <w:lang w:val="en-US" w:eastAsia="zh-CN"/>
              </w:rPr>
              <w:t>废水污染产生</w:t>
            </w:r>
            <w:r>
              <w:rPr>
                <w:rFonts w:hint="eastAsia"/>
                <w:b w:val="0"/>
                <w:bCs/>
                <w:sz w:val="24"/>
                <w:szCs w:val="24"/>
                <w:lang w:val="en-US" w:eastAsia="zh-CN"/>
              </w:rPr>
              <w:t>排放情况见表4-2。</w:t>
            </w:r>
          </w:p>
          <w:p>
            <w:pPr>
              <w:pStyle w:val="59"/>
              <w:keepNext w:val="0"/>
              <w:keepLines w:val="0"/>
              <w:pageBreakBefore w:val="0"/>
              <w:widowControl w:val="0"/>
              <w:shd w:val="clear"/>
              <w:kinsoku/>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eastAsia"/>
                <w:sz w:val="24"/>
                <w:szCs w:val="24"/>
                <w:lang w:val="en-US" w:eastAsia="zh-CN"/>
              </w:rPr>
              <w:t>表4-2    本项目废水污染产生排放情况一览表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657"/>
              <w:gridCol w:w="2345"/>
              <w:gridCol w:w="151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79" w:type="pct"/>
                  <w:vMerge w:val="restart"/>
                  <w:vAlign w:val="center"/>
                </w:tcPr>
                <w:p>
                  <w:pPr>
                    <w:pStyle w:val="60"/>
                    <w:shd w:val="clear"/>
                    <w:bidi w:val="0"/>
                    <w:jc w:val="center"/>
                    <w:rPr>
                      <w:rFonts w:hint="default"/>
                      <w:lang w:val="en-US" w:eastAsia="zh-CN"/>
                    </w:rPr>
                  </w:pPr>
                  <w:r>
                    <w:rPr>
                      <w:rFonts w:hint="eastAsia"/>
                      <w:lang w:val="en-US" w:eastAsia="zh-CN"/>
                    </w:rPr>
                    <w:t>废水类别</w:t>
                  </w:r>
                </w:p>
              </w:tc>
              <w:tc>
                <w:tcPr>
                  <w:tcW w:w="1037" w:type="pct"/>
                  <w:vMerge w:val="restart"/>
                  <w:vAlign w:val="center"/>
                </w:tcPr>
                <w:p>
                  <w:pPr>
                    <w:pStyle w:val="60"/>
                    <w:shd w:val="clear"/>
                    <w:bidi w:val="0"/>
                    <w:jc w:val="center"/>
                    <w:rPr>
                      <w:rFonts w:hint="default"/>
                      <w:lang w:val="en-US" w:eastAsia="zh-CN"/>
                    </w:rPr>
                  </w:pPr>
                  <w:r>
                    <w:rPr>
                      <w:rFonts w:hint="eastAsia"/>
                      <w:lang w:val="en-US" w:eastAsia="zh-CN"/>
                    </w:rPr>
                    <w:t>污染因子</w:t>
                  </w:r>
                </w:p>
              </w:tc>
              <w:tc>
                <w:tcPr>
                  <w:tcW w:w="2412" w:type="pct"/>
                  <w:gridSpan w:val="2"/>
                  <w:vAlign w:val="center"/>
                </w:tcPr>
                <w:p>
                  <w:pPr>
                    <w:pStyle w:val="60"/>
                    <w:shd w:val="clear"/>
                    <w:bidi w:val="0"/>
                    <w:jc w:val="center"/>
                    <w:rPr>
                      <w:rFonts w:hint="eastAsia"/>
                      <w:lang w:val="en-US" w:eastAsia="zh-CN"/>
                    </w:rPr>
                  </w:pPr>
                  <w:r>
                    <w:rPr>
                      <w:rFonts w:hint="eastAsia"/>
                      <w:lang w:val="en-US" w:eastAsia="zh-CN"/>
                    </w:rPr>
                    <w:t>排放情况</w:t>
                  </w:r>
                </w:p>
              </w:tc>
              <w:tc>
                <w:tcPr>
                  <w:tcW w:w="870" w:type="pct"/>
                  <w:vMerge w:val="restart"/>
                  <w:vAlign w:val="center"/>
                </w:tcPr>
                <w:p>
                  <w:pPr>
                    <w:pStyle w:val="60"/>
                    <w:shd w:val="clear"/>
                    <w:bidi w:val="0"/>
                    <w:jc w:val="center"/>
                    <w:rPr>
                      <w:rFonts w:hint="default"/>
                      <w:lang w:val="en-US" w:eastAsia="zh-CN"/>
                    </w:rPr>
                  </w:pPr>
                  <w:r>
                    <w:rPr>
                      <w:rFonts w:hint="eastAsia"/>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79" w:type="pct"/>
                  <w:vMerge w:val="continue"/>
                  <w:vAlign w:val="center"/>
                </w:tcPr>
                <w:p>
                  <w:pPr>
                    <w:pStyle w:val="60"/>
                    <w:shd w:val="clear"/>
                    <w:bidi w:val="0"/>
                    <w:jc w:val="center"/>
                    <w:rPr>
                      <w:rFonts w:hint="eastAsia"/>
                      <w:lang w:val="en-US" w:eastAsia="zh-CN"/>
                    </w:rPr>
                  </w:pPr>
                </w:p>
              </w:tc>
              <w:tc>
                <w:tcPr>
                  <w:tcW w:w="1037" w:type="pct"/>
                  <w:vMerge w:val="continue"/>
                  <w:vAlign w:val="center"/>
                </w:tcPr>
                <w:p>
                  <w:pPr>
                    <w:pStyle w:val="60"/>
                    <w:shd w:val="clear"/>
                    <w:bidi w:val="0"/>
                    <w:jc w:val="center"/>
                    <w:rPr>
                      <w:rFonts w:hint="eastAsia"/>
                      <w:lang w:val="en-US" w:eastAsia="zh-CN"/>
                    </w:rPr>
                  </w:pPr>
                </w:p>
              </w:tc>
              <w:tc>
                <w:tcPr>
                  <w:tcW w:w="1467" w:type="pct"/>
                  <w:vAlign w:val="center"/>
                </w:tcPr>
                <w:p>
                  <w:pPr>
                    <w:pStyle w:val="60"/>
                    <w:shd w:val="clear"/>
                    <w:bidi w:val="0"/>
                    <w:jc w:val="center"/>
                    <w:rPr>
                      <w:rFonts w:hint="default"/>
                      <w:lang w:val="en-US" w:eastAsia="zh-CN"/>
                    </w:rPr>
                  </w:pPr>
                  <w:r>
                    <w:rPr>
                      <w:rFonts w:hint="eastAsia"/>
                      <w:lang w:val="en-US" w:eastAsia="zh-CN"/>
                    </w:rPr>
                    <w:t>排放浓度mg/L</w:t>
                  </w:r>
                </w:p>
              </w:tc>
              <w:tc>
                <w:tcPr>
                  <w:tcW w:w="945" w:type="pct"/>
                  <w:vAlign w:val="center"/>
                </w:tcPr>
                <w:p>
                  <w:pPr>
                    <w:pStyle w:val="60"/>
                    <w:shd w:val="clear"/>
                    <w:bidi w:val="0"/>
                    <w:jc w:val="center"/>
                    <w:rPr>
                      <w:rFonts w:hint="default"/>
                      <w:lang w:val="en-US" w:eastAsia="zh-CN"/>
                    </w:rPr>
                  </w:pPr>
                  <w:r>
                    <w:rPr>
                      <w:rFonts w:hint="eastAsia"/>
                      <w:lang w:val="en-US" w:eastAsia="zh-CN"/>
                    </w:rPr>
                    <w:t>排放量t/a</w:t>
                  </w:r>
                </w:p>
              </w:tc>
              <w:tc>
                <w:tcPr>
                  <w:tcW w:w="870" w:type="pct"/>
                  <w:vMerge w:val="continue"/>
                  <w:vAlign w:val="center"/>
                </w:tcPr>
                <w:p>
                  <w:pPr>
                    <w:pStyle w:val="60"/>
                    <w:shd w:val="clea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79" w:type="pct"/>
                  <w:vMerge w:val="restart"/>
                  <w:vAlign w:val="center"/>
                </w:tcPr>
                <w:p>
                  <w:pPr>
                    <w:pStyle w:val="60"/>
                    <w:shd w:val="clear"/>
                    <w:bidi w:val="0"/>
                    <w:jc w:val="center"/>
                    <w:rPr>
                      <w:rFonts w:hint="default"/>
                      <w:lang w:val="en-US" w:eastAsia="zh-CN"/>
                    </w:rPr>
                  </w:pPr>
                  <w:r>
                    <w:rPr>
                      <w:rFonts w:hint="eastAsia"/>
                      <w:lang w:val="en-US" w:eastAsia="zh-CN"/>
                    </w:rPr>
                    <w:t>综合废水</w:t>
                  </w:r>
                </w:p>
              </w:tc>
              <w:tc>
                <w:tcPr>
                  <w:tcW w:w="103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COD</w:t>
                  </w:r>
                </w:p>
              </w:tc>
              <w:tc>
                <w:tcPr>
                  <w:tcW w:w="146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59.4</w:t>
                  </w:r>
                </w:p>
              </w:tc>
              <w:tc>
                <w:tcPr>
                  <w:tcW w:w="945" w:type="pct"/>
                  <w:shd w:val="clear" w:color="auto" w:fill="auto"/>
                  <w:vAlign w:val="center"/>
                </w:tcPr>
                <w:p>
                  <w:pPr>
                    <w:pStyle w:val="60"/>
                    <w:shd w:val="clear"/>
                    <w:bidi w:val="0"/>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0.2894</w:t>
                  </w:r>
                </w:p>
              </w:tc>
              <w:tc>
                <w:tcPr>
                  <w:tcW w:w="870" w:type="pct"/>
                  <w:vMerge w:val="restart"/>
                  <w:vAlign w:val="center"/>
                </w:tcPr>
                <w:p>
                  <w:pPr>
                    <w:pStyle w:val="60"/>
                    <w:shd w:val="clear"/>
                    <w:bidi w:val="0"/>
                    <w:jc w:val="center"/>
                    <w:rPr>
                      <w:rFonts w:hint="eastAsia"/>
                      <w:lang w:val="en-US" w:eastAsia="zh-CN"/>
                    </w:rPr>
                  </w:pPr>
                  <w:r>
                    <w:rPr>
                      <w:rFonts w:hint="default"/>
                      <w:lang w:val="en-US" w:eastAsia="zh-CN"/>
                    </w:rPr>
                    <w:t>库尔勒市</w:t>
                  </w:r>
                  <w:r>
                    <w:rPr>
                      <w:rFonts w:hint="eastAsia"/>
                      <w:lang w:val="en-US" w:eastAsia="zh-CN"/>
                    </w:rPr>
                    <w:t>老城区</w:t>
                  </w:r>
                  <w:r>
                    <w:rPr>
                      <w:rFonts w:hint="default"/>
                      <w:lang w:val="en-US" w:eastAsia="zh-CN"/>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pct"/>
                  <w:vMerge w:val="continue"/>
                  <w:vAlign w:val="center"/>
                </w:tcPr>
                <w:p>
                  <w:pPr>
                    <w:pStyle w:val="60"/>
                    <w:shd w:val="clear"/>
                    <w:bidi w:val="0"/>
                    <w:jc w:val="center"/>
                    <w:rPr>
                      <w:rFonts w:hint="default"/>
                      <w:lang w:val="en-US" w:eastAsia="zh-CN"/>
                    </w:rPr>
                  </w:pPr>
                </w:p>
              </w:tc>
              <w:tc>
                <w:tcPr>
                  <w:tcW w:w="103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BOD</w:t>
                  </w:r>
                  <w:r>
                    <w:rPr>
                      <w:rFonts w:hint="eastAsia"/>
                      <w:vertAlign w:val="subscript"/>
                      <w:lang w:val="en-US" w:eastAsia="zh-CN"/>
                    </w:rPr>
                    <w:t>5</w:t>
                  </w:r>
                </w:p>
              </w:tc>
              <w:tc>
                <w:tcPr>
                  <w:tcW w:w="146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21.6</w:t>
                  </w:r>
                </w:p>
              </w:tc>
              <w:tc>
                <w:tcPr>
                  <w:tcW w:w="945" w:type="pct"/>
                  <w:shd w:val="clear" w:color="auto" w:fill="auto"/>
                  <w:vAlign w:val="center"/>
                </w:tcPr>
                <w:p>
                  <w:pPr>
                    <w:pStyle w:val="60"/>
                    <w:shd w:val="clear"/>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0.1053</w:t>
                  </w:r>
                </w:p>
              </w:tc>
              <w:tc>
                <w:tcPr>
                  <w:tcW w:w="870" w:type="pct"/>
                  <w:vMerge w:val="continue"/>
                  <w:vAlign w:val="center"/>
                </w:tcPr>
                <w:p>
                  <w:pPr>
                    <w:pStyle w:val="60"/>
                    <w:shd w:val="clea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pct"/>
                  <w:vMerge w:val="continue"/>
                  <w:vAlign w:val="center"/>
                </w:tcPr>
                <w:p>
                  <w:pPr>
                    <w:pStyle w:val="60"/>
                    <w:shd w:val="clear"/>
                    <w:bidi w:val="0"/>
                    <w:jc w:val="center"/>
                    <w:rPr>
                      <w:rFonts w:hint="eastAsia"/>
                      <w:lang w:val="en-US" w:eastAsia="zh-CN"/>
                    </w:rPr>
                  </w:pPr>
                </w:p>
              </w:tc>
              <w:tc>
                <w:tcPr>
                  <w:tcW w:w="103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NH</w:t>
                  </w:r>
                  <w:r>
                    <w:rPr>
                      <w:rFonts w:hint="eastAsia"/>
                      <w:vertAlign w:val="subscript"/>
                      <w:lang w:val="en-US" w:eastAsia="zh-CN"/>
                    </w:rPr>
                    <w:t>3</w:t>
                  </w:r>
                  <w:r>
                    <w:rPr>
                      <w:rFonts w:hint="eastAsia"/>
                      <w:lang w:val="en-US" w:eastAsia="zh-CN"/>
                    </w:rPr>
                    <w:t>-N</w:t>
                  </w:r>
                </w:p>
              </w:tc>
              <w:tc>
                <w:tcPr>
                  <w:tcW w:w="146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36.0</w:t>
                  </w:r>
                </w:p>
              </w:tc>
              <w:tc>
                <w:tcPr>
                  <w:tcW w:w="945" w:type="pct"/>
                  <w:shd w:val="clear" w:color="auto" w:fill="auto"/>
                  <w:vAlign w:val="center"/>
                </w:tcPr>
                <w:p>
                  <w:pPr>
                    <w:pStyle w:val="60"/>
                    <w:shd w:val="clear"/>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0.1754</w:t>
                  </w:r>
                </w:p>
              </w:tc>
              <w:tc>
                <w:tcPr>
                  <w:tcW w:w="870" w:type="pct"/>
                  <w:vMerge w:val="continue"/>
                  <w:vAlign w:val="center"/>
                </w:tcPr>
                <w:p>
                  <w:pPr>
                    <w:pStyle w:val="60"/>
                    <w:shd w:val="clea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pct"/>
                  <w:vMerge w:val="continue"/>
                  <w:vAlign w:val="center"/>
                </w:tcPr>
                <w:p>
                  <w:pPr>
                    <w:pStyle w:val="60"/>
                    <w:shd w:val="clear"/>
                    <w:bidi w:val="0"/>
                    <w:jc w:val="center"/>
                    <w:rPr>
                      <w:rFonts w:hint="eastAsia"/>
                      <w:lang w:val="en-US" w:eastAsia="zh-CN"/>
                    </w:rPr>
                  </w:pPr>
                </w:p>
              </w:tc>
              <w:tc>
                <w:tcPr>
                  <w:tcW w:w="103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SS</w:t>
                  </w:r>
                </w:p>
              </w:tc>
              <w:tc>
                <w:tcPr>
                  <w:tcW w:w="146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50.5</w:t>
                  </w:r>
                </w:p>
              </w:tc>
              <w:tc>
                <w:tcPr>
                  <w:tcW w:w="945" w:type="pct"/>
                  <w:shd w:val="clear" w:color="auto" w:fill="auto"/>
                  <w:vAlign w:val="center"/>
                </w:tcPr>
                <w:p>
                  <w:pPr>
                    <w:pStyle w:val="60"/>
                    <w:shd w:val="clear"/>
                    <w:bidi w:val="0"/>
                    <w:rPr>
                      <w:rFonts w:hint="default" w:ascii="Times New Roman" w:hAnsi="Times New Roman" w:eastAsiaTheme="minorEastAsia" w:cstheme="minorEastAsia"/>
                      <w:color w:val="auto"/>
                      <w:kern w:val="2"/>
                      <w:sz w:val="21"/>
                      <w:szCs w:val="21"/>
                      <w:lang w:val="en-US" w:eastAsia="zh-CN" w:bidi="ar-SA"/>
                    </w:rPr>
                  </w:pPr>
                  <w:r>
                    <w:rPr>
                      <w:rFonts w:hint="eastAsia" w:cstheme="minorEastAsia"/>
                      <w:color w:val="auto"/>
                      <w:kern w:val="2"/>
                      <w:sz w:val="21"/>
                      <w:szCs w:val="21"/>
                      <w:lang w:val="en-US" w:eastAsia="zh-CN" w:bidi="ar-SA"/>
                    </w:rPr>
                    <w:t>0.2461</w:t>
                  </w:r>
                </w:p>
              </w:tc>
              <w:tc>
                <w:tcPr>
                  <w:tcW w:w="870" w:type="pct"/>
                  <w:vMerge w:val="continue"/>
                  <w:vAlign w:val="center"/>
                </w:tcPr>
                <w:p>
                  <w:pPr>
                    <w:pStyle w:val="60"/>
                    <w:shd w:val="clear"/>
                    <w:bidi w:val="0"/>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pct"/>
                  <w:vMerge w:val="continue"/>
                  <w:vAlign w:val="center"/>
                </w:tcPr>
                <w:p>
                  <w:pPr>
                    <w:pStyle w:val="60"/>
                    <w:shd w:val="clear"/>
                    <w:bidi w:val="0"/>
                    <w:jc w:val="center"/>
                    <w:rPr>
                      <w:rFonts w:hint="eastAsia"/>
                      <w:lang w:val="en-US" w:eastAsia="zh-CN"/>
                    </w:rPr>
                  </w:pPr>
                </w:p>
              </w:tc>
              <w:tc>
                <w:tcPr>
                  <w:tcW w:w="103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粪大肠菌群数</w:t>
                  </w:r>
                </w:p>
              </w:tc>
              <w:tc>
                <w:tcPr>
                  <w:tcW w:w="1467"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&lt;5000</w:t>
                  </w:r>
                  <w:r>
                    <w:rPr>
                      <w:rFonts w:hint="eastAsia" w:ascii="Times New Roman" w:hAnsi="Times New Roman" w:cs="Times New Roman"/>
                      <w:vertAlign w:val="baseline"/>
                      <w:lang w:val="en-US" w:eastAsia="zh-CN"/>
                    </w:rPr>
                    <w:t>MPN/L</w:t>
                  </w:r>
                </w:p>
              </w:tc>
              <w:tc>
                <w:tcPr>
                  <w:tcW w:w="945" w:type="pct"/>
                  <w:shd w:val="clear" w:color="auto" w:fill="auto"/>
                  <w:vAlign w:val="center"/>
                </w:tcPr>
                <w:p>
                  <w:pPr>
                    <w:pStyle w:val="60"/>
                    <w:shd w:val="clear"/>
                    <w:bidi w:val="0"/>
                    <w:jc w:val="center"/>
                    <w:rPr>
                      <w:rFonts w:hint="default" w:ascii="Times New Roman" w:hAnsi="Times New Roman" w:eastAsiaTheme="minorEastAsia" w:cstheme="minorEastAsia"/>
                      <w:color w:val="auto"/>
                      <w:kern w:val="2"/>
                      <w:sz w:val="21"/>
                      <w:szCs w:val="21"/>
                      <w:lang w:val="en-US" w:eastAsia="zh-CN" w:bidi="ar-SA"/>
                    </w:rPr>
                  </w:pPr>
                  <w:r>
                    <w:rPr>
                      <w:rFonts w:hint="eastAsia"/>
                      <w:lang w:val="en-US" w:eastAsia="zh-CN"/>
                    </w:rPr>
                    <w:t>/</w:t>
                  </w:r>
                </w:p>
              </w:tc>
              <w:tc>
                <w:tcPr>
                  <w:tcW w:w="870" w:type="pct"/>
                  <w:vMerge w:val="continue"/>
                  <w:vAlign w:val="center"/>
                </w:tcPr>
                <w:p>
                  <w:pPr>
                    <w:pStyle w:val="60"/>
                    <w:shd w:val="clear"/>
                    <w:bidi w:val="0"/>
                    <w:jc w:val="center"/>
                    <w:rPr>
                      <w:rFonts w:hint="eastAsia"/>
                      <w:lang w:val="en-US" w:eastAsia="zh-CN"/>
                    </w:rPr>
                  </w:pPr>
                </w:p>
              </w:tc>
            </w:tr>
          </w:tbl>
          <w:p>
            <w:pPr>
              <w:pStyle w:val="58"/>
              <w:bidi w:val="0"/>
              <w:rPr>
                <w:rFonts w:hint="default"/>
                <w:lang w:val="en-US" w:eastAsia="zh-CN"/>
              </w:rPr>
            </w:pPr>
            <w:r>
              <w:rPr>
                <w:rFonts w:hint="default"/>
                <w:lang w:val="en-US" w:eastAsia="zh-CN"/>
              </w:rPr>
              <w:t>本项目综合废水排入2号污水处理站处理，经处理后的综合废水达到《医疗机构水污染物排放标准》（GB18466－2005）表2预处理标准限值后通过市政污水管网排入库尔勒市</w:t>
            </w:r>
            <w:r>
              <w:rPr>
                <w:rFonts w:hint="eastAsia"/>
                <w:lang w:val="en-US" w:eastAsia="zh-CN"/>
              </w:rPr>
              <w:t>老城区</w:t>
            </w:r>
            <w:r>
              <w:rPr>
                <w:rFonts w:hint="default"/>
                <w:lang w:val="en-US" w:eastAsia="zh-CN"/>
              </w:rPr>
              <w:t>污水处理厂处理。</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2.2废水污染防治措施可行性</w:t>
            </w:r>
          </w:p>
          <w:p>
            <w:pPr>
              <w:pStyle w:val="58"/>
              <w:bidi w:val="0"/>
              <w:rPr>
                <w:rFonts w:hint="default"/>
                <w:b/>
                <w:bCs w:val="0"/>
                <w:lang w:val="en-US" w:eastAsia="zh-CN"/>
              </w:rPr>
            </w:pPr>
            <w:r>
              <w:rPr>
                <w:rFonts w:hint="eastAsia"/>
                <w:lang w:val="en-US" w:eastAsia="zh-CN"/>
              </w:rPr>
              <w:t>本</w:t>
            </w:r>
            <w:r>
              <w:rPr>
                <w:rFonts w:hint="eastAsia"/>
                <w:highlight w:val="none"/>
                <w:lang w:val="en-US" w:eastAsia="zh-CN"/>
              </w:rPr>
              <w:t>项目废水主要为职工生活污水和医疗废水，综合废水</w:t>
            </w:r>
            <w:r>
              <w:rPr>
                <w:rFonts w:hint="default"/>
                <w:highlight w:val="none"/>
                <w:lang w:val="en-US" w:eastAsia="zh-CN"/>
              </w:rPr>
              <w:t>排入2</w:t>
            </w:r>
            <w:r>
              <w:rPr>
                <w:rFonts w:hint="eastAsia"/>
                <w:highlight w:val="none"/>
                <w:lang w:val="en-US" w:eastAsia="zh-CN"/>
              </w:rPr>
              <w:t>#</w:t>
            </w:r>
            <w:r>
              <w:rPr>
                <w:rFonts w:hint="default"/>
                <w:highlight w:val="none"/>
                <w:lang w:val="en-US" w:eastAsia="zh-CN"/>
              </w:rPr>
              <w:t>污水处理站处理，</w:t>
            </w:r>
            <w:r>
              <w:rPr>
                <w:rFonts w:hint="eastAsia"/>
                <w:highlight w:val="none"/>
                <w:lang w:val="en-US" w:eastAsia="zh-CN"/>
              </w:rPr>
              <w:t>根据巴州永诚环境检测技术服务有限公司2025年3月24日出具的《库尔勒市第一人民医院3号综合楼项目验收（废水）检测报告》的数据可知，</w:t>
            </w:r>
            <w:r>
              <w:rPr>
                <w:rFonts w:hint="default"/>
                <w:highlight w:val="none"/>
                <w:lang w:val="en-US" w:eastAsia="zh-CN"/>
              </w:rPr>
              <w:t>2</w:t>
            </w:r>
            <w:r>
              <w:rPr>
                <w:rFonts w:hint="eastAsia"/>
                <w:highlight w:val="none"/>
                <w:lang w:val="en-US" w:eastAsia="zh-CN"/>
              </w:rPr>
              <w:t>#</w:t>
            </w:r>
            <w:r>
              <w:rPr>
                <w:rFonts w:hint="default"/>
                <w:highlight w:val="none"/>
                <w:lang w:val="en-US" w:eastAsia="zh-CN"/>
              </w:rPr>
              <w:t>污水处理站</w:t>
            </w:r>
            <w:r>
              <w:rPr>
                <w:rFonts w:hint="eastAsia"/>
                <w:highlight w:val="none"/>
                <w:lang w:val="en-US" w:eastAsia="zh-CN"/>
              </w:rPr>
              <w:t>出水口</w:t>
            </w:r>
            <w:r>
              <w:rPr>
                <w:rFonts w:hint="eastAsia"/>
                <w:lang w:val="en-US" w:eastAsia="zh-CN"/>
              </w:rPr>
              <w:t>COD、BOD</w:t>
            </w:r>
            <w:r>
              <w:rPr>
                <w:rFonts w:hint="eastAsia"/>
                <w:vertAlign w:val="subscript"/>
                <w:lang w:val="en-US" w:eastAsia="zh-CN"/>
              </w:rPr>
              <w:t>5</w:t>
            </w:r>
            <w:r>
              <w:rPr>
                <w:rFonts w:hint="eastAsia"/>
                <w:vertAlign w:val="baseline"/>
                <w:lang w:val="en-US" w:eastAsia="zh-CN"/>
              </w:rPr>
              <w:t>、</w:t>
            </w:r>
            <w:r>
              <w:rPr>
                <w:rFonts w:hint="eastAsia"/>
                <w:lang w:val="en-US" w:eastAsia="zh-CN"/>
              </w:rPr>
              <w:t>NH</w:t>
            </w:r>
            <w:r>
              <w:rPr>
                <w:rFonts w:hint="eastAsia"/>
                <w:vertAlign w:val="subscript"/>
                <w:lang w:val="en-US" w:eastAsia="zh-CN"/>
              </w:rPr>
              <w:t>3</w:t>
            </w:r>
            <w:r>
              <w:rPr>
                <w:rFonts w:hint="eastAsia"/>
                <w:lang w:val="en-US" w:eastAsia="zh-CN"/>
              </w:rPr>
              <w:t>-N、SS平均浓度分别为59.4、21.6、36.0、50.5mg/L，均满足</w:t>
            </w:r>
            <w:r>
              <w:rPr>
                <w:rFonts w:hint="default"/>
                <w:lang w:val="en-US" w:eastAsia="zh-CN"/>
              </w:rPr>
              <w:t>《医疗机构水污染物排放标准》（GB18466－2005）表2预处理标准限值</w:t>
            </w:r>
            <w:r>
              <w:rPr>
                <w:rFonts w:hint="eastAsia"/>
                <w:lang w:val="en-US" w:eastAsia="zh-CN"/>
              </w:rPr>
              <w:t>，</w:t>
            </w:r>
            <w:r>
              <w:rPr>
                <w:rFonts w:hint="default"/>
                <w:lang w:val="en-US" w:eastAsia="zh-CN"/>
              </w:rPr>
              <w:t>通过市政污水管网排入库尔勒市</w:t>
            </w:r>
            <w:r>
              <w:rPr>
                <w:rFonts w:hint="eastAsia"/>
                <w:lang w:val="en-US" w:eastAsia="zh-CN"/>
              </w:rPr>
              <w:t>老城区</w:t>
            </w:r>
            <w:r>
              <w:rPr>
                <w:rFonts w:hint="default"/>
                <w:lang w:val="en-US" w:eastAsia="zh-CN"/>
              </w:rPr>
              <w:t>污水处理厂处理。</w:t>
            </w:r>
          </w:p>
          <w:p>
            <w:pPr>
              <w:pStyle w:val="58"/>
              <w:bidi w:val="0"/>
              <w:rPr>
                <w:rFonts w:hint="default"/>
                <w:lang w:val="en-US" w:eastAsia="zh-CN"/>
              </w:rPr>
            </w:pPr>
            <w:r>
              <w:rPr>
                <w:rFonts w:hint="eastAsia"/>
                <w:b/>
                <w:bCs w:val="0"/>
                <w:lang w:val="en-US" w:eastAsia="zh-CN"/>
              </w:rPr>
              <w:t>依托现有污水处理站废水治理设施可行性分析：</w:t>
            </w:r>
            <w:r>
              <w:rPr>
                <w:rFonts w:hint="default"/>
                <w:lang w:val="en-US" w:eastAsia="zh-CN"/>
              </w:rPr>
              <w:t>污水处理站处理工艺详见图4</w:t>
            </w:r>
            <w:r>
              <w:rPr>
                <w:rFonts w:hint="eastAsia"/>
                <w:lang w:val="en-US" w:eastAsia="zh-CN"/>
              </w:rPr>
              <w:t>-1</w:t>
            </w:r>
            <w:r>
              <w:rPr>
                <w:rFonts w:hint="default"/>
                <w:lang w:val="en-US" w:eastAsia="zh-CN"/>
              </w:rPr>
              <w:t>。</w:t>
            </w:r>
          </w:p>
          <w:p>
            <w:pPr>
              <w:pStyle w:val="5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sz w:val="24"/>
                <w:szCs w:val="24"/>
                <w:lang w:val="en-US" w:eastAsia="zh-CN"/>
              </w:rPr>
            </w:pPr>
            <w:r>
              <w:rPr>
                <w:sz w:val="24"/>
                <w:szCs w:val="24"/>
              </w:rPr>
              <w:drawing>
                <wp:anchor distT="0" distB="0" distL="114300" distR="114300" simplePos="0" relativeHeight="251662336" behindDoc="0" locked="0" layoutInCell="1" allowOverlap="1">
                  <wp:simplePos x="0" y="0"/>
                  <wp:positionH relativeFrom="column">
                    <wp:posOffset>385445</wp:posOffset>
                  </wp:positionH>
                  <wp:positionV relativeFrom="paragraph">
                    <wp:posOffset>-7387590</wp:posOffset>
                  </wp:positionV>
                  <wp:extent cx="4516120" cy="2125345"/>
                  <wp:effectExtent l="0" t="0" r="17780" b="825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rcRect l="11991"/>
                          <a:stretch>
                            <a:fillRect/>
                          </a:stretch>
                        </pic:blipFill>
                        <pic:spPr>
                          <a:xfrm>
                            <a:off x="0" y="0"/>
                            <a:ext cx="4516120" cy="2125345"/>
                          </a:xfrm>
                          <a:prstGeom prst="rect">
                            <a:avLst/>
                          </a:prstGeom>
                          <a:noFill/>
                          <a:ln>
                            <a:noFill/>
                          </a:ln>
                        </pic:spPr>
                      </pic:pic>
                    </a:graphicData>
                  </a:graphic>
                </wp:anchor>
              </w:drawing>
            </w:r>
            <w:r>
              <w:rPr>
                <w:rFonts w:hint="default"/>
                <w:sz w:val="24"/>
                <w:szCs w:val="24"/>
                <w:lang w:val="en-US" w:eastAsia="zh-CN"/>
              </w:rPr>
              <w:t>图4</w:t>
            </w:r>
            <w:r>
              <w:rPr>
                <w:rFonts w:hint="eastAsia"/>
                <w:sz w:val="24"/>
                <w:szCs w:val="24"/>
                <w:lang w:val="en-US" w:eastAsia="zh-CN"/>
              </w:rPr>
              <w:t>-1    污水处理站污水处理工艺流程图</w:t>
            </w:r>
          </w:p>
          <w:p>
            <w:pPr>
              <w:pStyle w:val="58"/>
              <w:bidi w:val="0"/>
              <w:rPr>
                <w:rFonts w:hint="eastAsia"/>
                <w:lang w:val="en-US" w:eastAsia="zh-CN"/>
              </w:rPr>
            </w:pPr>
            <w:r>
              <w:rPr>
                <w:rFonts w:hint="eastAsia"/>
                <w:lang w:val="en-US" w:eastAsia="zh-CN"/>
              </w:rPr>
              <w:t>工艺说明：本项目产生的废水经污水收集系统进入污水调节池，用于稳定污水的水质、水量，以保证后续生化处理的效果。调节后的废水进入A</w:t>
            </w:r>
            <w:r>
              <w:rPr>
                <w:rFonts w:hint="eastAsia"/>
                <w:vertAlign w:val="superscript"/>
                <w:lang w:val="en-US" w:eastAsia="zh-CN"/>
              </w:rPr>
              <w:t>2</w:t>
            </w:r>
            <w:r>
              <w:rPr>
                <w:rFonts w:hint="eastAsia"/>
                <w:lang w:val="en-US" w:eastAsia="zh-CN"/>
              </w:rPr>
              <w:t>O生化池（包括厌氧池、缺氧池和好氧池），依靠微生物的吸附和降解将污水中的绝大部分有机物、氮、磷等污染物去除。生化处理后的废水进入沉淀池沉淀，沉淀池是应用自然沉淀去除水中悬浮物，污水中悬浮物的去除主要通过沉淀池沉淀。沉淀后的污水进入消毒池消毒，废水经生化处理后，除部分细菌随污泥沉淀下来外，大部分大肠杆菌、链球菌等致病菌仍然存在污水中，必须进行消毒处理。污水处理站对出水进行消毒，可有效灭杀大肠杆菌、链球菌等。消毒后的废水通过市政污水管网排入库尔勒市老城区污水处理厂。污水处理站运行后，污泥委托有相应危险废物处理资质的单位上门清掏，拉运处置。</w:t>
            </w:r>
          </w:p>
          <w:p>
            <w:pPr>
              <w:pStyle w:val="58"/>
              <w:bidi w:val="0"/>
              <w:rPr>
                <w:rFonts w:hint="eastAsia"/>
                <w:lang w:val="en-US" w:eastAsia="zh-CN"/>
              </w:rPr>
            </w:pPr>
            <w:r>
              <w:rPr>
                <w:rFonts w:hint="eastAsia"/>
                <w:lang w:val="en-US" w:eastAsia="zh-CN"/>
              </w:rPr>
              <w:t>《排污许可证申请 与核发技术规范 医疗机构》（HJ1105—2020）表A.2医疗机构排污单位污水治理可行性技术参照表中排入城镇污水处理厂的医疗废水可行性技术见下表。</w:t>
            </w:r>
          </w:p>
          <w:p>
            <w:pPr>
              <w:pStyle w:val="5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4"/>
                <w:lang w:val="en-US" w:eastAsia="zh-CN"/>
              </w:rPr>
            </w:pPr>
            <w:r>
              <w:rPr>
                <w:rFonts w:hint="eastAsia"/>
                <w:sz w:val="24"/>
                <w:szCs w:val="24"/>
                <w:lang w:val="en-US" w:eastAsia="zh-CN"/>
              </w:rPr>
              <w:t>表4-3    项目采取的废水污染防治措施可行性一览表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482"/>
              <w:gridCol w:w="1371"/>
              <w:gridCol w:w="3667"/>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pStyle w:val="65"/>
                    <w:bidi w:val="0"/>
                    <w:rPr>
                      <w:rFonts w:hint="default"/>
                      <w:lang w:val="en-US" w:eastAsia="zh-CN"/>
                    </w:rPr>
                  </w:pPr>
                  <w:r>
                    <w:rPr>
                      <w:rFonts w:hint="eastAsia"/>
                      <w:lang w:val="en-US" w:eastAsia="zh-CN"/>
                    </w:rPr>
                    <w:t>序号</w:t>
                  </w:r>
                </w:p>
              </w:tc>
              <w:tc>
                <w:tcPr>
                  <w:tcW w:w="927" w:type="pct"/>
                  <w:noWrap w:val="0"/>
                  <w:vAlign w:val="center"/>
                </w:tcPr>
                <w:p>
                  <w:pPr>
                    <w:pStyle w:val="65"/>
                    <w:bidi w:val="0"/>
                    <w:rPr>
                      <w:rFonts w:hint="default"/>
                      <w:lang w:val="en-US" w:eastAsia="zh-CN"/>
                    </w:rPr>
                  </w:pPr>
                  <w:r>
                    <w:rPr>
                      <w:rFonts w:hint="eastAsia"/>
                      <w:lang w:val="en-US" w:eastAsia="zh-CN"/>
                    </w:rPr>
                    <w:t>污水类别</w:t>
                  </w:r>
                </w:p>
              </w:tc>
              <w:tc>
                <w:tcPr>
                  <w:tcW w:w="858" w:type="pct"/>
                  <w:noWrap w:val="0"/>
                  <w:vAlign w:val="center"/>
                </w:tcPr>
                <w:p>
                  <w:pPr>
                    <w:pStyle w:val="65"/>
                    <w:bidi w:val="0"/>
                    <w:rPr>
                      <w:rFonts w:hint="default"/>
                      <w:lang w:val="en-US" w:eastAsia="zh-CN"/>
                    </w:rPr>
                  </w:pPr>
                  <w:r>
                    <w:rPr>
                      <w:rFonts w:hint="eastAsia"/>
                      <w:lang w:val="en-US" w:eastAsia="zh-CN"/>
                    </w:rPr>
                    <w:t>本项目采取的措施</w:t>
                  </w:r>
                </w:p>
              </w:tc>
              <w:tc>
                <w:tcPr>
                  <w:tcW w:w="2294" w:type="pct"/>
                  <w:noWrap w:val="0"/>
                  <w:vAlign w:val="center"/>
                </w:tcPr>
                <w:p>
                  <w:pPr>
                    <w:pStyle w:val="65"/>
                    <w:bidi w:val="0"/>
                    <w:rPr>
                      <w:rFonts w:hint="default"/>
                      <w:lang w:val="en-US" w:eastAsia="zh-CN"/>
                    </w:rPr>
                  </w:pPr>
                  <w:r>
                    <w:rPr>
                      <w:rFonts w:hint="eastAsia"/>
                      <w:lang w:val="en-US" w:eastAsia="zh-CN"/>
                    </w:rPr>
                    <w:t>污染防治可行技术指南或排污许可证申请与核发技术规范中规定</w:t>
                  </w:r>
                </w:p>
              </w:tc>
              <w:tc>
                <w:tcPr>
                  <w:tcW w:w="530" w:type="pct"/>
                  <w:noWrap w:val="0"/>
                  <w:vAlign w:val="center"/>
                </w:tcPr>
                <w:p>
                  <w:pPr>
                    <w:pStyle w:val="65"/>
                    <w:bidi w:val="0"/>
                    <w:rPr>
                      <w:rFonts w:hint="default"/>
                      <w:lang w:val="en-US" w:eastAsia="zh-CN"/>
                    </w:rPr>
                  </w:pPr>
                  <w:r>
                    <w:rPr>
                      <w:rFonts w:hint="eastAsia"/>
                      <w:lang w:val="en-US" w:eastAsia="zh-CN"/>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388" w:type="pct"/>
                  <w:noWrap w:val="0"/>
                  <w:vAlign w:val="center"/>
                </w:tcPr>
                <w:p>
                  <w:pPr>
                    <w:pStyle w:val="65"/>
                    <w:bidi w:val="0"/>
                    <w:rPr>
                      <w:rFonts w:hint="default"/>
                      <w:lang w:val="en-US" w:eastAsia="zh-CN"/>
                    </w:rPr>
                  </w:pPr>
                  <w:r>
                    <w:rPr>
                      <w:rFonts w:hint="eastAsia"/>
                      <w:lang w:val="en-US" w:eastAsia="zh-CN"/>
                    </w:rPr>
                    <w:t>1</w:t>
                  </w:r>
                </w:p>
              </w:tc>
              <w:tc>
                <w:tcPr>
                  <w:tcW w:w="927" w:type="pct"/>
                  <w:noWrap w:val="0"/>
                  <w:vAlign w:val="center"/>
                </w:tcPr>
                <w:p>
                  <w:pPr>
                    <w:pStyle w:val="65"/>
                    <w:bidi w:val="0"/>
                    <w:rPr>
                      <w:rFonts w:hint="eastAsia"/>
                      <w:lang w:val="en-US" w:eastAsia="zh-CN"/>
                    </w:rPr>
                  </w:pPr>
                  <w:r>
                    <w:rPr>
                      <w:rFonts w:hint="eastAsia"/>
                      <w:lang w:val="en-US" w:eastAsia="zh-CN"/>
                    </w:rPr>
                    <w:t>医疗废水</w:t>
                  </w:r>
                </w:p>
              </w:tc>
              <w:tc>
                <w:tcPr>
                  <w:tcW w:w="858" w:type="pct"/>
                  <w:vMerge w:val="restart"/>
                  <w:noWrap w:val="0"/>
                  <w:vAlign w:val="center"/>
                </w:tcPr>
                <w:p>
                  <w:pPr>
                    <w:pStyle w:val="65"/>
                    <w:bidi w:val="0"/>
                    <w:rPr>
                      <w:rFonts w:hint="default"/>
                      <w:lang w:val="en-US" w:eastAsia="zh-CN"/>
                    </w:rPr>
                  </w:pPr>
                  <w:r>
                    <w:rPr>
                      <w:rFonts w:hint="eastAsia"/>
                      <w:lang w:val="en-US" w:eastAsia="zh-CN"/>
                    </w:rPr>
                    <w:t>污水处理站（调节+生化+沉淀+消毒）</w:t>
                  </w:r>
                </w:p>
              </w:tc>
              <w:tc>
                <w:tcPr>
                  <w:tcW w:w="2294" w:type="pct"/>
                  <w:noWrap w:val="0"/>
                  <w:vAlign w:val="center"/>
                </w:tcPr>
                <w:p>
                  <w:pPr>
                    <w:pStyle w:val="65"/>
                    <w:bidi w:val="0"/>
                    <w:jc w:val="both"/>
                    <w:rPr>
                      <w:rFonts w:hint="eastAsia"/>
                      <w:lang w:val="en-US" w:eastAsia="zh-CN"/>
                    </w:rPr>
                  </w:pPr>
                  <w:r>
                    <w:rPr>
                      <w:rFonts w:hint="eastAsia"/>
                      <w:lang w:val="en-US" w:eastAsia="zh-CN"/>
                    </w:rPr>
                    <w:t>一级处理/一级强化处理+消毒工艺。</w:t>
                  </w:r>
                </w:p>
                <w:p>
                  <w:pPr>
                    <w:pStyle w:val="65"/>
                    <w:bidi w:val="0"/>
                    <w:jc w:val="both"/>
                    <w:rPr>
                      <w:rFonts w:hint="eastAsia"/>
                      <w:lang w:val="en-US" w:eastAsia="zh-CN"/>
                    </w:rPr>
                  </w:pPr>
                  <w:r>
                    <w:rPr>
                      <w:rFonts w:hint="eastAsia"/>
                      <w:lang w:val="en-US" w:eastAsia="zh-CN"/>
                    </w:rPr>
                    <w:t>一级处理包括：筛滤法；沉淀法；气浮法；预曝气法。</w:t>
                  </w:r>
                </w:p>
                <w:p>
                  <w:pPr>
                    <w:pStyle w:val="65"/>
                    <w:bidi w:val="0"/>
                    <w:jc w:val="both"/>
                    <w:rPr>
                      <w:rFonts w:hint="eastAsia"/>
                      <w:lang w:val="en-US" w:eastAsia="zh-CN"/>
                    </w:rPr>
                  </w:pPr>
                  <w:r>
                    <w:rPr>
                      <w:rFonts w:hint="eastAsia"/>
                      <w:lang w:val="en-US" w:eastAsia="zh-CN"/>
                    </w:rPr>
                    <w:t>一级强化处理包括：化学混凝处理、机械过滤或不完全生物处理。</w:t>
                  </w:r>
                </w:p>
                <w:p>
                  <w:pPr>
                    <w:pStyle w:val="65"/>
                    <w:bidi w:val="0"/>
                    <w:jc w:val="both"/>
                    <w:rPr>
                      <w:rFonts w:hint="eastAsia"/>
                      <w:lang w:val="en-US" w:eastAsia="zh-CN"/>
                    </w:rPr>
                  </w:pPr>
                  <w:r>
                    <w:rPr>
                      <w:rFonts w:hint="eastAsia"/>
                      <w:lang w:val="en-US" w:eastAsia="zh-CN"/>
                    </w:rPr>
                    <w:t>消毒工艺：加氯消毒，臭氧法消毒，次氯酸钠法、二氧化氯法消毒、紫外线消毒等。</w:t>
                  </w:r>
                </w:p>
              </w:tc>
              <w:tc>
                <w:tcPr>
                  <w:tcW w:w="530" w:type="pct"/>
                  <w:noWrap w:val="0"/>
                  <w:vAlign w:val="center"/>
                </w:tcPr>
                <w:p>
                  <w:pPr>
                    <w:pStyle w:val="65"/>
                    <w:bidi w:val="0"/>
                    <w:rPr>
                      <w:rFonts w:hint="default"/>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88" w:type="pct"/>
                  <w:noWrap w:val="0"/>
                  <w:vAlign w:val="center"/>
                </w:tcPr>
                <w:p>
                  <w:pPr>
                    <w:pStyle w:val="65"/>
                    <w:bidi w:val="0"/>
                    <w:rPr>
                      <w:rFonts w:hint="default"/>
                      <w:lang w:val="en-US" w:eastAsia="zh-CN"/>
                    </w:rPr>
                  </w:pPr>
                  <w:r>
                    <w:rPr>
                      <w:rFonts w:hint="eastAsia"/>
                      <w:lang w:val="en-US" w:eastAsia="zh-CN"/>
                    </w:rPr>
                    <w:t>2</w:t>
                  </w:r>
                </w:p>
              </w:tc>
              <w:tc>
                <w:tcPr>
                  <w:tcW w:w="927" w:type="pct"/>
                  <w:noWrap w:val="0"/>
                  <w:vAlign w:val="center"/>
                </w:tcPr>
                <w:p>
                  <w:pPr>
                    <w:pStyle w:val="65"/>
                    <w:bidi w:val="0"/>
                    <w:rPr>
                      <w:rFonts w:hint="default"/>
                      <w:lang w:val="en-US" w:eastAsia="zh-CN"/>
                    </w:rPr>
                  </w:pPr>
                  <w:r>
                    <w:rPr>
                      <w:rFonts w:hint="eastAsia"/>
                      <w:lang w:val="en-US" w:eastAsia="zh-CN"/>
                    </w:rPr>
                    <w:t>生活污水</w:t>
                  </w:r>
                </w:p>
              </w:tc>
              <w:tc>
                <w:tcPr>
                  <w:tcW w:w="858" w:type="pct"/>
                  <w:vMerge w:val="continue"/>
                  <w:noWrap w:val="0"/>
                  <w:vAlign w:val="center"/>
                </w:tcPr>
                <w:p>
                  <w:pPr>
                    <w:pStyle w:val="65"/>
                    <w:bidi w:val="0"/>
                    <w:rPr>
                      <w:rFonts w:hint="eastAsia"/>
                      <w:lang w:val="en-US" w:eastAsia="zh-CN"/>
                    </w:rPr>
                  </w:pPr>
                </w:p>
              </w:tc>
              <w:tc>
                <w:tcPr>
                  <w:tcW w:w="2294" w:type="pct"/>
                  <w:noWrap w:val="0"/>
                  <w:vAlign w:val="center"/>
                </w:tcPr>
                <w:p>
                  <w:pPr>
                    <w:pStyle w:val="65"/>
                    <w:bidi w:val="0"/>
                    <w:rPr>
                      <w:rFonts w:hint="eastAsia"/>
                      <w:lang w:val="en-US" w:eastAsia="zh-CN"/>
                    </w:rPr>
                  </w:pPr>
                  <w:r>
                    <w:rPr>
                      <w:rFonts w:hint="eastAsia"/>
                      <w:lang w:val="en-US" w:eastAsia="zh-CN"/>
                    </w:rPr>
                    <w:t>/</w:t>
                  </w:r>
                </w:p>
              </w:tc>
              <w:tc>
                <w:tcPr>
                  <w:tcW w:w="530" w:type="pct"/>
                  <w:noWrap w:val="0"/>
                  <w:vAlign w:val="center"/>
                </w:tcPr>
                <w:p>
                  <w:pPr>
                    <w:pStyle w:val="65"/>
                    <w:bidi w:val="0"/>
                    <w:rPr>
                      <w:rFonts w:hint="eastAsia"/>
                      <w:lang w:val="en-US" w:eastAsia="zh-CN"/>
                    </w:rPr>
                  </w:pPr>
                  <w:r>
                    <w:rPr>
                      <w:rFonts w:hint="eastAsia"/>
                      <w:lang w:val="en-US" w:eastAsia="zh-CN"/>
                    </w:rPr>
                    <w:t>是</w:t>
                  </w:r>
                </w:p>
              </w:tc>
            </w:tr>
          </w:tbl>
          <w:p>
            <w:pPr>
              <w:pStyle w:val="58"/>
              <w:bidi w:val="0"/>
              <w:rPr>
                <w:rFonts w:hint="default"/>
                <w:lang w:val="en-US" w:eastAsia="zh-CN"/>
              </w:rPr>
            </w:pPr>
            <w:r>
              <w:rPr>
                <w:rFonts w:hint="eastAsia"/>
                <w:lang w:val="en-US" w:eastAsia="zh-CN"/>
              </w:rPr>
              <w:t>综上所述，本项目产生的综合废水依托现有污水处理站废水治理设施是可行的。</w:t>
            </w:r>
          </w:p>
          <w:p>
            <w:pPr>
              <w:pStyle w:val="58"/>
              <w:bidi w:val="0"/>
              <w:rPr>
                <w:rFonts w:hint="eastAsia"/>
                <w:highlight w:val="none"/>
                <w:lang w:val="en-US" w:eastAsia="zh-CN"/>
              </w:rPr>
            </w:pPr>
            <w:r>
              <w:rPr>
                <w:rFonts w:hint="eastAsia"/>
                <w:b/>
                <w:bCs w:val="0"/>
                <w:lang w:val="en-US" w:eastAsia="zh-CN"/>
              </w:rPr>
              <w:t>依托现有污水处理设施预处理能力的可行性分析：</w:t>
            </w:r>
            <w:r>
              <w:rPr>
                <w:rFonts w:hint="eastAsia"/>
                <w:lang w:val="en-US" w:eastAsia="zh-CN"/>
              </w:rPr>
              <w:t>根据库尔勒市第一人民医院现有</w:t>
            </w:r>
            <w:r>
              <w:rPr>
                <w:rFonts w:hint="eastAsia"/>
                <w:highlight w:val="none"/>
                <w:lang w:val="en-US" w:eastAsia="zh-CN"/>
              </w:rPr>
              <w:t>工程验收资料，2号污水站处理全院污水</w:t>
            </w:r>
            <w:r>
              <w:rPr>
                <w:rFonts w:hint="eastAsia"/>
                <w:b w:val="0"/>
                <w:bCs/>
                <w:highlight w:val="none"/>
                <w:lang w:val="en-US" w:eastAsia="zh-CN"/>
              </w:rPr>
              <w:t>（1号污水处理站为备用）</w:t>
            </w:r>
            <w:r>
              <w:rPr>
                <w:rFonts w:hint="eastAsia"/>
                <w:highlight w:val="none"/>
                <w:lang w:val="en-US" w:eastAsia="zh-CN"/>
              </w:rPr>
              <w:t>，水量约维持在280m</w:t>
            </w:r>
            <w:r>
              <w:rPr>
                <w:rFonts w:hint="eastAsia"/>
                <w:highlight w:val="none"/>
                <w:vertAlign w:val="superscript"/>
                <w:lang w:val="en-US" w:eastAsia="zh-CN"/>
              </w:rPr>
              <w:t>3</w:t>
            </w:r>
            <w:r>
              <w:rPr>
                <w:rFonts w:hint="eastAsia"/>
                <w:highlight w:val="none"/>
                <w:lang w:val="en-US" w:eastAsia="zh-CN"/>
              </w:rPr>
              <w:t>/d。本项目预计污水产生量为</w:t>
            </w:r>
            <w:r>
              <w:rPr>
                <w:rFonts w:hint="eastAsia"/>
                <w:highlight w:val="none"/>
                <w:shd w:val="clear"/>
                <w:lang w:val="en-US" w:eastAsia="zh-CN"/>
              </w:rPr>
              <w:t>13.35m</w:t>
            </w:r>
            <w:r>
              <w:rPr>
                <w:rFonts w:hint="eastAsia"/>
                <w:highlight w:val="none"/>
                <w:shd w:val="clear"/>
                <w:vertAlign w:val="superscript"/>
                <w:lang w:val="en-US" w:eastAsia="zh-CN"/>
              </w:rPr>
              <w:t>3</w:t>
            </w:r>
            <w:r>
              <w:rPr>
                <w:rFonts w:hint="eastAsia"/>
                <w:highlight w:val="none"/>
                <w:shd w:val="clear"/>
                <w:lang w:val="en-US" w:eastAsia="zh-CN"/>
              </w:rPr>
              <w:t>/d，医院内2号污水处理站的设计处理规模为500</w:t>
            </w:r>
            <w:r>
              <w:rPr>
                <w:rFonts w:hint="eastAsia"/>
                <w:b w:val="0"/>
                <w:bCs/>
                <w:highlight w:val="none"/>
                <w:shd w:val="clear"/>
                <w:lang w:val="en-US" w:eastAsia="zh-CN"/>
              </w:rPr>
              <w:t>m</w:t>
            </w:r>
            <w:r>
              <w:rPr>
                <w:rFonts w:hint="eastAsia"/>
                <w:b w:val="0"/>
                <w:bCs/>
                <w:highlight w:val="none"/>
                <w:shd w:val="clear"/>
                <w:vertAlign w:val="superscript"/>
                <w:lang w:val="en-US" w:eastAsia="zh-CN"/>
              </w:rPr>
              <w:t>3</w:t>
            </w:r>
            <w:r>
              <w:rPr>
                <w:rFonts w:hint="eastAsia"/>
                <w:highlight w:val="none"/>
                <w:shd w:val="clear"/>
                <w:lang w:val="en-US" w:eastAsia="zh-CN"/>
              </w:rPr>
              <w:t>/d，</w:t>
            </w:r>
            <w:r>
              <w:rPr>
                <w:rFonts w:hint="default" w:ascii="Times New Roman" w:hAnsi="Times New Roman" w:eastAsia="Segoe UI Emoji" w:cs="Times New Roman"/>
                <w:i w:val="0"/>
                <w:iCs w:val="0"/>
                <w:caps w:val="0"/>
                <w:color w:val="000000"/>
                <w:spacing w:val="0"/>
                <w:sz w:val="24"/>
                <w:szCs w:val="24"/>
                <w:shd w:val="clear" w:fill="FCFCFC"/>
              </w:rPr>
              <w:t>本项目废水排放量仅占</w:t>
            </w:r>
            <w:r>
              <w:rPr>
                <w:rFonts w:hint="eastAsia" w:ascii="Times New Roman" w:hAnsi="Times New Roman" w:eastAsia="宋体" w:cs="Times New Roman"/>
                <w:i w:val="0"/>
                <w:iCs w:val="0"/>
                <w:caps w:val="0"/>
                <w:color w:val="000000"/>
                <w:spacing w:val="0"/>
                <w:sz w:val="24"/>
                <w:szCs w:val="24"/>
                <w:shd w:val="clear" w:fill="FCFCFC"/>
                <w:lang w:val="en-US" w:eastAsia="zh-CN"/>
              </w:rPr>
              <w:t>污水处理站设计规模的2.67</w:t>
            </w:r>
            <w:r>
              <w:rPr>
                <w:rFonts w:hint="default" w:ascii="Times New Roman" w:hAnsi="Times New Roman" w:eastAsia="Segoe UI Emoji" w:cs="Times New Roman"/>
                <w:i w:val="0"/>
                <w:iCs w:val="0"/>
                <w:caps w:val="0"/>
                <w:color w:val="000000"/>
                <w:spacing w:val="0"/>
                <w:sz w:val="24"/>
                <w:szCs w:val="24"/>
                <w:shd w:val="clear" w:fill="FCFCFC"/>
              </w:rPr>
              <w:t>%，且污水性质与现有工程一致，新增废水进入2号污水处理站后，</w:t>
            </w:r>
            <w:r>
              <w:rPr>
                <w:rFonts w:ascii="Segoe UI Emoji" w:hAnsi="Segoe UI Emoji" w:eastAsia="Segoe UI Emoji" w:cs="Segoe UI Emoji"/>
                <w:i w:val="0"/>
                <w:iCs w:val="0"/>
                <w:caps w:val="0"/>
                <w:color w:val="000000"/>
                <w:spacing w:val="0"/>
                <w:sz w:val="24"/>
                <w:szCs w:val="24"/>
                <w:shd w:val="clear" w:fill="FCFCFC"/>
              </w:rPr>
              <w:t>可直接被现有处理系统的</w:t>
            </w:r>
            <w:r>
              <w:rPr>
                <w:rFonts w:hint="eastAsia" w:ascii="Segoe UI Emoji" w:hAnsi="Segoe UI Emoji" w:eastAsia="宋体" w:cs="Segoe UI Emoji"/>
                <w:i w:val="0"/>
                <w:iCs w:val="0"/>
                <w:caps w:val="0"/>
                <w:color w:val="000000"/>
                <w:spacing w:val="0"/>
                <w:sz w:val="24"/>
                <w:szCs w:val="24"/>
                <w:shd w:val="clear" w:fill="FCFCFC"/>
                <w:lang w:eastAsia="zh-CN"/>
              </w:rPr>
              <w:t>“</w:t>
            </w:r>
            <w:r>
              <w:rPr>
                <w:rFonts w:ascii="Segoe UI Emoji" w:hAnsi="Segoe UI Emoji" w:eastAsia="Segoe UI Emoji" w:cs="Segoe UI Emoji"/>
                <w:i w:val="0"/>
                <w:iCs w:val="0"/>
                <w:caps w:val="0"/>
                <w:color w:val="000000"/>
                <w:spacing w:val="0"/>
                <w:sz w:val="24"/>
                <w:szCs w:val="24"/>
                <w:shd w:val="clear" w:fill="FCFCFC"/>
              </w:rPr>
              <w:t>处理余量</w:t>
            </w:r>
            <w:r>
              <w:rPr>
                <w:rFonts w:hint="eastAsia" w:ascii="Segoe UI Emoji" w:hAnsi="Segoe UI Emoji" w:eastAsia="宋体" w:cs="Segoe UI Emoji"/>
                <w:i w:val="0"/>
                <w:iCs w:val="0"/>
                <w:caps w:val="0"/>
                <w:color w:val="000000"/>
                <w:spacing w:val="0"/>
                <w:sz w:val="24"/>
                <w:szCs w:val="24"/>
                <w:shd w:val="clear" w:fill="FCFCFC"/>
                <w:lang w:eastAsia="zh-CN"/>
              </w:rPr>
              <w:t>”</w:t>
            </w:r>
            <w:r>
              <w:rPr>
                <w:rFonts w:ascii="Segoe UI Emoji" w:hAnsi="Segoe UI Emoji" w:eastAsia="Segoe UI Emoji" w:cs="Segoe UI Emoji"/>
                <w:i w:val="0"/>
                <w:iCs w:val="0"/>
                <w:caps w:val="0"/>
                <w:color w:val="000000"/>
                <w:spacing w:val="0"/>
                <w:sz w:val="24"/>
                <w:szCs w:val="24"/>
                <w:shd w:val="clear" w:fill="FCFCFC"/>
              </w:rPr>
              <w:t>消纳，</w:t>
            </w:r>
            <w:r>
              <w:rPr>
                <w:rFonts w:hint="eastAsia"/>
                <w:highlight w:val="none"/>
                <w:shd w:val="clear"/>
                <w:lang w:val="en-US" w:eastAsia="zh-CN"/>
              </w:rPr>
              <w:t>故污水处理站处理能力可以满足</w:t>
            </w:r>
            <w:r>
              <w:rPr>
                <w:rFonts w:hint="eastAsia"/>
                <w:highlight w:val="none"/>
                <w:lang w:val="en-US" w:eastAsia="zh-CN"/>
              </w:rPr>
              <w:t>本项目需求。</w:t>
            </w:r>
          </w:p>
          <w:p>
            <w:pPr>
              <w:pStyle w:val="58"/>
              <w:bidi w:val="0"/>
              <w:rPr>
                <w:rFonts w:hint="eastAsia"/>
                <w:b w:val="0"/>
                <w:bCs/>
                <w:lang w:val="en-US" w:eastAsia="zh-CN"/>
              </w:rPr>
            </w:pPr>
            <w:r>
              <w:rPr>
                <w:rFonts w:hint="eastAsia"/>
                <w:b/>
                <w:bCs w:val="0"/>
                <w:highlight w:val="none"/>
                <w:lang w:val="en-US" w:eastAsia="zh-CN"/>
              </w:rPr>
              <w:t>依托库尔勒市老城区污水处理厂的可行性分</w:t>
            </w:r>
            <w:r>
              <w:rPr>
                <w:rFonts w:hint="eastAsia"/>
                <w:b/>
                <w:bCs w:val="0"/>
                <w:lang w:val="en-US" w:eastAsia="zh-CN"/>
              </w:rPr>
              <w:t>析：</w:t>
            </w:r>
            <w:r>
              <w:rPr>
                <w:rFonts w:hint="eastAsia"/>
                <w:b w:val="0"/>
                <w:bCs/>
                <w:lang w:val="en-US" w:eastAsia="zh-CN"/>
              </w:rPr>
              <w:t>库尔勒市老城区污水处理厂位于兰千路北端9km处，兰千乡结帕尔村以西约2km处，现处理能力为4万立方米/日，处理工艺：粗、细格栅间旋流沉砂池—配水井—调节池—Bardenpho生物池（乙酸钠）—二沉池—深度处理车间—接触池（次氯酸钠）—氧化塘—污水库。出水水质达到《城镇污水处理厂污染物排放标准》（GB18918-2002）中一级A标准限值，同时满足《城市污水再生利用工业用水水质》（GBT19923-2005）标准限值后，回用于库尔勒石油石化产业园工业企业；剩余部分经管网排至污水处理厂西侧的原有污水库（库容230万m</w:t>
            </w:r>
            <w:r>
              <w:rPr>
                <w:rFonts w:hint="eastAsia"/>
                <w:b w:val="0"/>
                <w:bCs/>
                <w:vertAlign w:val="superscript"/>
                <w:lang w:val="en-US" w:eastAsia="zh-CN"/>
              </w:rPr>
              <w:t>3</w:t>
            </w:r>
            <w:r>
              <w:rPr>
                <w:rFonts w:hint="eastAsia"/>
                <w:b w:val="0"/>
                <w:bCs/>
                <w:lang w:val="en-US" w:eastAsia="zh-CN"/>
              </w:rPr>
              <w:t>），冬储夏灌，作为下游生态林建设或上库园区绿化用水。</w:t>
            </w:r>
          </w:p>
          <w:p>
            <w:pPr>
              <w:pStyle w:val="58"/>
              <w:bidi w:val="0"/>
              <w:rPr>
                <w:rFonts w:hint="default"/>
                <w:lang w:val="en-US" w:eastAsia="zh-CN"/>
              </w:rPr>
            </w:pPr>
            <w:r>
              <w:rPr>
                <w:rFonts w:hint="default"/>
                <w:lang w:val="en-US" w:eastAsia="zh-CN"/>
              </w:rPr>
              <w:t>本项目废水排放量为</w:t>
            </w:r>
            <w:r>
              <w:rPr>
                <w:rFonts w:hint="eastAsia"/>
                <w:lang w:val="en-US" w:eastAsia="zh-CN"/>
              </w:rPr>
              <w:t>13.35m</w:t>
            </w:r>
            <w:r>
              <w:rPr>
                <w:rFonts w:hint="eastAsia"/>
                <w:vertAlign w:val="superscript"/>
                <w:lang w:val="en-US" w:eastAsia="zh-CN"/>
              </w:rPr>
              <w:t>3</w:t>
            </w:r>
            <w:r>
              <w:rPr>
                <w:rFonts w:hint="eastAsia"/>
                <w:lang w:val="en-US" w:eastAsia="zh-CN"/>
              </w:rPr>
              <w:t>/d</w:t>
            </w:r>
            <w:r>
              <w:rPr>
                <w:rFonts w:hint="default"/>
                <w:lang w:val="en-US" w:eastAsia="zh-CN"/>
              </w:rPr>
              <w:t>，约为库尔勒市</w:t>
            </w:r>
            <w:r>
              <w:rPr>
                <w:rFonts w:hint="eastAsia"/>
                <w:b w:val="0"/>
                <w:bCs/>
                <w:lang w:val="en-US" w:eastAsia="zh-CN"/>
              </w:rPr>
              <w:t>老城区</w:t>
            </w:r>
            <w:r>
              <w:rPr>
                <w:rFonts w:hint="default"/>
                <w:lang w:val="en-US" w:eastAsia="zh-CN"/>
              </w:rPr>
              <w:t>污水处理厂处理能力的0.</w:t>
            </w:r>
            <w:r>
              <w:rPr>
                <w:rFonts w:hint="eastAsia"/>
                <w:lang w:val="en-US" w:eastAsia="zh-CN"/>
              </w:rPr>
              <w:t>03</w:t>
            </w:r>
            <w:r>
              <w:rPr>
                <w:rFonts w:hint="default"/>
                <w:lang w:val="en-US" w:eastAsia="zh-CN"/>
              </w:rPr>
              <w:t>%</w:t>
            </w:r>
            <w:r>
              <w:rPr>
                <w:rFonts w:hint="eastAsia"/>
                <w:lang w:val="en-US" w:eastAsia="zh-CN"/>
              </w:rPr>
              <w:t>，</w:t>
            </w:r>
            <w:r>
              <w:rPr>
                <w:rFonts w:hint="default"/>
                <w:lang w:val="en-US" w:eastAsia="zh-CN"/>
              </w:rPr>
              <w:t>对污水处理厂的负荷冲击非常小。因此，从接管水量上来说，库尔勒市</w:t>
            </w:r>
            <w:r>
              <w:rPr>
                <w:rFonts w:hint="eastAsia"/>
                <w:b w:val="0"/>
                <w:bCs/>
                <w:lang w:val="en-US" w:eastAsia="zh-CN"/>
              </w:rPr>
              <w:t>老城区</w:t>
            </w:r>
            <w:r>
              <w:rPr>
                <w:rFonts w:hint="default"/>
                <w:lang w:val="en-US" w:eastAsia="zh-CN"/>
              </w:rPr>
              <w:t>污水处理厂完全有能力接纳本项目废水。</w:t>
            </w:r>
          </w:p>
          <w:p>
            <w:pPr>
              <w:pStyle w:val="58"/>
              <w:bidi w:val="0"/>
              <w:rPr>
                <w:rFonts w:hint="default"/>
                <w:lang w:val="en-US" w:eastAsia="zh-CN"/>
              </w:rPr>
            </w:pPr>
            <w:r>
              <w:rPr>
                <w:rFonts w:hint="eastAsia"/>
                <w:b w:val="0"/>
                <w:bCs/>
                <w:lang w:val="en-US" w:eastAsia="zh-CN"/>
              </w:rPr>
              <w:t>综上所述，本项目外排废水主要为职工生活污水和医疗废水，废水水质较简单，各污染因子经医院内自建污水处理站预处理后能达到污水处理厂的监管要求。因此，</w:t>
            </w:r>
            <w:r>
              <w:rPr>
                <w:rFonts w:hint="eastAsia"/>
                <w:lang w:val="en-US" w:eastAsia="zh-CN"/>
              </w:rPr>
              <w:t>不论从水量或水质上均不会对污水处理厂的正常运行造成不良影响。</w:t>
            </w:r>
            <w:r>
              <w:rPr>
                <w:rFonts w:hint="default"/>
                <w:lang w:val="en-US" w:eastAsia="zh-CN"/>
              </w:rPr>
              <w:t>本项目综合污水经</w:t>
            </w:r>
            <w:r>
              <w:rPr>
                <w:rFonts w:hint="eastAsia"/>
                <w:lang w:val="en-US" w:eastAsia="zh-CN"/>
              </w:rPr>
              <w:t>院内</w:t>
            </w:r>
            <w:r>
              <w:rPr>
                <w:rFonts w:hint="default"/>
                <w:lang w:val="en-US" w:eastAsia="zh-CN"/>
              </w:rPr>
              <w:t>污水处理站处理后排入城市排水管网最终进入</w:t>
            </w:r>
            <w:r>
              <w:rPr>
                <w:rFonts w:hint="eastAsia"/>
                <w:b w:val="0"/>
                <w:bCs/>
                <w:lang w:val="en-US" w:eastAsia="zh-CN"/>
              </w:rPr>
              <w:t>老城区</w:t>
            </w:r>
            <w:r>
              <w:rPr>
                <w:rFonts w:hint="default"/>
                <w:lang w:val="en-US" w:eastAsia="zh-CN"/>
              </w:rPr>
              <w:t>污水处理厂合理可行。</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2.3废水排放口基本情况</w:t>
            </w:r>
          </w:p>
          <w:p>
            <w:pPr>
              <w:pStyle w:val="58"/>
              <w:bidi w:val="0"/>
              <w:rPr>
                <w:rFonts w:hint="default"/>
                <w:lang w:val="en-US" w:eastAsia="zh-CN"/>
              </w:rPr>
            </w:pPr>
            <w:r>
              <w:rPr>
                <w:rFonts w:hint="eastAsia"/>
                <w:lang w:val="en-US" w:eastAsia="zh-CN"/>
              </w:rPr>
              <w:t>本项目综合废水经医院内污水处理站预处理后，排入市政污水管网后由</w:t>
            </w:r>
            <w:r>
              <w:rPr>
                <w:rFonts w:hint="default"/>
                <w:lang w:val="en-US" w:eastAsia="zh-CN"/>
              </w:rPr>
              <w:t>库尔勒市</w:t>
            </w:r>
            <w:r>
              <w:rPr>
                <w:rFonts w:hint="eastAsia"/>
                <w:lang w:val="en-US" w:eastAsia="zh-CN"/>
              </w:rPr>
              <w:t>老城区</w:t>
            </w:r>
            <w:r>
              <w:rPr>
                <w:rFonts w:hint="default"/>
                <w:lang w:val="en-US" w:eastAsia="zh-CN"/>
              </w:rPr>
              <w:t>污水处理厂</w:t>
            </w:r>
            <w:r>
              <w:rPr>
                <w:rFonts w:hint="eastAsia"/>
                <w:lang w:val="en-US" w:eastAsia="zh-CN"/>
              </w:rPr>
              <w:t>进行</w:t>
            </w:r>
            <w:r>
              <w:rPr>
                <w:rFonts w:hint="default"/>
                <w:lang w:val="en-US" w:eastAsia="zh-CN"/>
              </w:rPr>
              <w:t>处理。</w:t>
            </w:r>
          </w:p>
          <w:p>
            <w:pPr>
              <w:pStyle w:val="58"/>
              <w:keepNext w:val="0"/>
              <w:keepLines w:val="0"/>
              <w:pageBreakBefore w:val="0"/>
              <w:widowControl w:val="0"/>
              <w:kinsoku/>
              <w:overflowPunct/>
              <w:topLinePunct w:val="0"/>
              <w:autoSpaceDE/>
              <w:autoSpaceDN/>
              <w:bidi w:val="0"/>
              <w:spacing w:line="520" w:lineRule="exact"/>
              <w:ind w:firstLine="480" w:firstLineChars="200"/>
              <w:textAlignment w:val="auto"/>
              <w:rPr>
                <w:rFonts w:hint="eastAsia"/>
                <w:lang w:val="en-US" w:eastAsia="zh-CN"/>
              </w:rPr>
            </w:pPr>
            <w:r>
              <w:rPr>
                <w:rFonts w:hint="eastAsia"/>
                <w:lang w:val="en-US" w:eastAsia="zh-CN"/>
              </w:rPr>
              <w:t>排放口基本情况见表4-3。</w:t>
            </w:r>
          </w:p>
          <w:p>
            <w:pPr>
              <w:pStyle w:val="56"/>
              <w:keepNext w:val="0"/>
              <w:keepLines w:val="0"/>
              <w:pageBreakBefore w:val="0"/>
              <w:widowControl w:val="0"/>
              <w:kinsoku/>
              <w:overflowPunct/>
              <w:topLinePunct w:val="0"/>
              <w:autoSpaceDE/>
              <w:autoSpaceDN/>
              <w:bidi w:val="0"/>
              <w:spacing w:line="520" w:lineRule="exact"/>
              <w:jc w:val="center"/>
              <w:textAlignment w:val="auto"/>
              <w:rPr>
                <w:rFonts w:hint="eastAsia"/>
                <w:sz w:val="24"/>
                <w:szCs w:val="24"/>
                <w:lang w:val="en-US" w:eastAsia="zh-CN"/>
              </w:rPr>
            </w:pPr>
            <w:r>
              <w:rPr>
                <w:rFonts w:hint="eastAsia"/>
                <w:sz w:val="24"/>
                <w:szCs w:val="24"/>
                <w:lang w:val="en-US" w:eastAsia="zh-CN"/>
              </w:rPr>
              <w:t>表4-3    本项目废水排放口基本情况</w:t>
            </w:r>
          </w:p>
          <w:tbl>
            <w:tblPr>
              <w:tblStyle w:val="26"/>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870"/>
              <w:gridCol w:w="1811"/>
              <w:gridCol w:w="673"/>
              <w:gridCol w:w="916"/>
              <w:gridCol w:w="951"/>
              <w:gridCol w:w="940"/>
              <w:gridCol w:w="704"/>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restart"/>
                  <w:vAlign w:val="center"/>
                </w:tcPr>
                <w:p>
                  <w:pPr>
                    <w:pStyle w:val="65"/>
                    <w:bidi w:val="0"/>
                    <w:rPr>
                      <w:rFonts w:hint="default"/>
                      <w:lang w:val="en-US" w:eastAsia="zh-CN"/>
                    </w:rPr>
                  </w:pPr>
                  <w:r>
                    <w:rPr>
                      <w:rFonts w:hint="eastAsia"/>
                      <w:lang w:val="en-US" w:eastAsia="zh-CN"/>
                    </w:rPr>
                    <w:t>废水类别</w:t>
                  </w:r>
                </w:p>
              </w:tc>
              <w:tc>
                <w:tcPr>
                  <w:tcW w:w="870" w:type="dxa"/>
                  <w:vMerge w:val="restart"/>
                  <w:vAlign w:val="center"/>
                </w:tcPr>
                <w:p>
                  <w:pPr>
                    <w:pStyle w:val="65"/>
                    <w:bidi w:val="0"/>
                    <w:rPr>
                      <w:rFonts w:hint="default"/>
                      <w:lang w:val="en-US" w:eastAsia="zh-CN"/>
                    </w:rPr>
                  </w:pPr>
                  <w:r>
                    <w:rPr>
                      <w:rFonts w:hint="eastAsia"/>
                      <w:lang w:val="en-US" w:eastAsia="zh-CN"/>
                    </w:rPr>
                    <w:t>污染物种类</w:t>
                  </w:r>
                </w:p>
              </w:tc>
              <w:tc>
                <w:tcPr>
                  <w:tcW w:w="1811" w:type="dxa"/>
                  <w:vMerge w:val="restart"/>
                  <w:vAlign w:val="center"/>
                </w:tcPr>
                <w:p>
                  <w:pPr>
                    <w:pStyle w:val="65"/>
                    <w:bidi w:val="0"/>
                    <w:rPr>
                      <w:rFonts w:hint="default"/>
                      <w:lang w:val="en-US" w:eastAsia="zh-CN"/>
                    </w:rPr>
                  </w:pPr>
                  <w:r>
                    <w:rPr>
                      <w:rFonts w:hint="eastAsia"/>
                      <w:lang w:val="en-US" w:eastAsia="zh-CN"/>
                    </w:rPr>
                    <w:t>排放口坐标</w:t>
                  </w:r>
                </w:p>
              </w:tc>
              <w:tc>
                <w:tcPr>
                  <w:tcW w:w="673" w:type="dxa"/>
                  <w:vMerge w:val="restart"/>
                  <w:vAlign w:val="center"/>
                </w:tcPr>
                <w:p>
                  <w:pPr>
                    <w:pStyle w:val="65"/>
                    <w:bidi w:val="0"/>
                    <w:rPr>
                      <w:rFonts w:hint="eastAsia"/>
                      <w:lang w:val="en-US" w:eastAsia="zh-CN"/>
                    </w:rPr>
                  </w:pPr>
                  <w:r>
                    <w:rPr>
                      <w:rFonts w:hint="eastAsia"/>
                      <w:lang w:val="en-US" w:eastAsia="zh-CN"/>
                    </w:rPr>
                    <w:t>排放规律</w:t>
                  </w:r>
                </w:p>
              </w:tc>
              <w:tc>
                <w:tcPr>
                  <w:tcW w:w="1867" w:type="dxa"/>
                  <w:gridSpan w:val="2"/>
                  <w:vAlign w:val="center"/>
                </w:tcPr>
                <w:p>
                  <w:pPr>
                    <w:pStyle w:val="65"/>
                    <w:bidi w:val="0"/>
                    <w:rPr>
                      <w:rFonts w:hint="eastAsia"/>
                      <w:lang w:val="en-US" w:eastAsia="zh-CN"/>
                    </w:rPr>
                  </w:pPr>
                  <w:r>
                    <w:rPr>
                      <w:rFonts w:hint="eastAsia"/>
                      <w:lang w:val="en-US" w:eastAsia="zh-CN"/>
                    </w:rPr>
                    <w:t>治理措施</w:t>
                  </w:r>
                </w:p>
              </w:tc>
              <w:tc>
                <w:tcPr>
                  <w:tcW w:w="940" w:type="dxa"/>
                  <w:vMerge w:val="restart"/>
                  <w:vAlign w:val="center"/>
                </w:tcPr>
                <w:p>
                  <w:pPr>
                    <w:pStyle w:val="65"/>
                    <w:bidi w:val="0"/>
                    <w:rPr>
                      <w:rFonts w:hint="default"/>
                      <w:lang w:val="en-US" w:eastAsia="zh-CN"/>
                    </w:rPr>
                  </w:pPr>
                  <w:r>
                    <w:rPr>
                      <w:rFonts w:hint="eastAsia"/>
                      <w:lang w:val="en-US" w:eastAsia="zh-CN"/>
                    </w:rPr>
                    <w:t>排放口编号</w:t>
                  </w:r>
                </w:p>
              </w:tc>
              <w:tc>
                <w:tcPr>
                  <w:tcW w:w="704" w:type="dxa"/>
                  <w:vMerge w:val="restart"/>
                  <w:vAlign w:val="center"/>
                </w:tcPr>
                <w:p>
                  <w:pPr>
                    <w:pStyle w:val="65"/>
                    <w:bidi w:val="0"/>
                    <w:rPr>
                      <w:rFonts w:hint="eastAsia"/>
                      <w:lang w:val="en-US" w:eastAsia="zh-CN"/>
                    </w:rPr>
                  </w:pPr>
                  <w:r>
                    <w:rPr>
                      <w:rFonts w:hint="eastAsia"/>
                      <w:lang w:val="en-US" w:eastAsia="zh-CN"/>
                    </w:rPr>
                    <w:t>排放口设施是否符合要求</w:t>
                  </w:r>
                </w:p>
              </w:tc>
              <w:tc>
                <w:tcPr>
                  <w:tcW w:w="655" w:type="dxa"/>
                  <w:vMerge w:val="restart"/>
                  <w:vAlign w:val="center"/>
                </w:tcPr>
                <w:p>
                  <w:pPr>
                    <w:pStyle w:val="65"/>
                    <w:bidi w:val="0"/>
                    <w:rPr>
                      <w:rFonts w:hint="eastAsia"/>
                      <w:lang w:val="en-US" w:eastAsia="zh-CN"/>
                    </w:rPr>
                  </w:pPr>
                  <w:r>
                    <w:rPr>
                      <w:rFonts w:hint="eastAsia"/>
                      <w:lang w:val="en-US" w:eastAsia="zh-CN"/>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eastAsia"/>
                      <w:lang w:val="en-US" w:eastAsia="zh-CN"/>
                    </w:rPr>
                  </w:pPr>
                </w:p>
              </w:tc>
              <w:tc>
                <w:tcPr>
                  <w:tcW w:w="870" w:type="dxa"/>
                  <w:vMerge w:val="continue"/>
                  <w:vAlign w:val="center"/>
                </w:tcPr>
                <w:p>
                  <w:pPr>
                    <w:pStyle w:val="65"/>
                    <w:bidi w:val="0"/>
                    <w:rPr>
                      <w:rFonts w:hint="eastAsia"/>
                      <w:lang w:val="en-US" w:eastAsia="zh-CN"/>
                    </w:rPr>
                  </w:pP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Align w:val="center"/>
                </w:tcPr>
                <w:p>
                  <w:pPr>
                    <w:pStyle w:val="65"/>
                    <w:bidi w:val="0"/>
                    <w:rPr>
                      <w:rFonts w:hint="default"/>
                      <w:lang w:val="en-US" w:eastAsia="zh-CN"/>
                    </w:rPr>
                  </w:pPr>
                  <w:r>
                    <w:rPr>
                      <w:rFonts w:hint="eastAsia"/>
                      <w:lang w:val="en-US" w:eastAsia="zh-CN"/>
                    </w:rPr>
                    <w:t>治理设施编号</w:t>
                  </w:r>
                </w:p>
              </w:tc>
              <w:tc>
                <w:tcPr>
                  <w:tcW w:w="951" w:type="dxa"/>
                  <w:vAlign w:val="center"/>
                </w:tcPr>
                <w:p>
                  <w:pPr>
                    <w:pStyle w:val="65"/>
                    <w:bidi w:val="0"/>
                    <w:rPr>
                      <w:rFonts w:hint="default"/>
                      <w:lang w:val="en-US" w:eastAsia="zh-CN"/>
                    </w:rPr>
                  </w:pPr>
                  <w:r>
                    <w:rPr>
                      <w:rFonts w:hint="eastAsia"/>
                      <w:lang w:val="en-US" w:eastAsia="zh-CN"/>
                    </w:rPr>
                    <w:t>治理设施名称</w:t>
                  </w:r>
                </w:p>
              </w:tc>
              <w:tc>
                <w:tcPr>
                  <w:tcW w:w="940" w:type="dxa"/>
                  <w:vMerge w:val="continue"/>
                  <w:vAlign w:val="center"/>
                </w:tcPr>
                <w:p>
                  <w:pPr>
                    <w:pStyle w:val="65"/>
                    <w:bidi w:val="0"/>
                    <w:rPr>
                      <w:rFonts w:hint="eastAsia"/>
                      <w:lang w:val="en-US" w:eastAsia="zh-CN"/>
                    </w:rPr>
                  </w:pPr>
                </w:p>
              </w:tc>
              <w:tc>
                <w:tcPr>
                  <w:tcW w:w="704" w:type="dxa"/>
                  <w:vMerge w:val="continue"/>
                  <w:vAlign w:val="center"/>
                </w:tcPr>
                <w:p>
                  <w:pPr>
                    <w:pStyle w:val="65"/>
                    <w:bidi w:val="0"/>
                    <w:rPr>
                      <w:rFonts w:hint="eastAsia"/>
                      <w:lang w:val="en-US" w:eastAsia="zh-CN"/>
                    </w:rPr>
                  </w:pPr>
                </w:p>
              </w:tc>
              <w:tc>
                <w:tcPr>
                  <w:tcW w:w="655" w:type="dxa"/>
                  <w:vMerge w:val="continue"/>
                  <w:vAlign w:val="center"/>
                </w:tcPr>
                <w:p>
                  <w:pPr>
                    <w:pStyle w:val="65"/>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restart"/>
                  <w:vAlign w:val="center"/>
                </w:tcPr>
                <w:p>
                  <w:pPr>
                    <w:pStyle w:val="65"/>
                    <w:bidi w:val="0"/>
                    <w:rPr>
                      <w:rFonts w:hint="default"/>
                      <w:lang w:val="en-US" w:eastAsia="zh-CN"/>
                    </w:rPr>
                  </w:pPr>
                  <w:r>
                    <w:rPr>
                      <w:rFonts w:hint="eastAsia"/>
                      <w:lang w:val="en-US" w:eastAsia="zh-CN"/>
                    </w:rPr>
                    <w:t>综合废水</w:t>
                  </w:r>
                </w:p>
              </w:tc>
              <w:tc>
                <w:tcPr>
                  <w:tcW w:w="870" w:type="dxa"/>
                  <w:vAlign w:val="center"/>
                </w:tcPr>
                <w:p>
                  <w:pPr>
                    <w:pStyle w:val="65"/>
                    <w:bidi w:val="0"/>
                    <w:rPr>
                      <w:rFonts w:hint="default"/>
                      <w:lang w:val="en-US" w:eastAsia="zh-CN"/>
                    </w:rPr>
                  </w:pPr>
                  <w:r>
                    <w:rPr>
                      <w:rFonts w:hint="eastAsia"/>
                      <w:lang w:val="en-US" w:eastAsia="zh-CN"/>
                    </w:rPr>
                    <w:t>pH</w:t>
                  </w:r>
                </w:p>
              </w:tc>
              <w:tc>
                <w:tcPr>
                  <w:tcW w:w="1811" w:type="dxa"/>
                  <w:vMerge w:val="restart"/>
                  <w:vAlign w:val="center"/>
                </w:tcPr>
                <w:p>
                  <w:pPr>
                    <w:pStyle w:val="65"/>
                    <w:bidi w:val="0"/>
                    <w:rPr>
                      <w:rFonts w:hint="default"/>
                      <w:lang w:val="en-US" w:eastAsia="zh-CN"/>
                    </w:rPr>
                  </w:pPr>
                  <w:r>
                    <w:rPr>
                      <w:rFonts w:hint="default"/>
                      <w:lang w:val="en-US" w:eastAsia="zh-CN"/>
                    </w:rPr>
                    <w:t>E：86°</w:t>
                  </w:r>
                  <w:r>
                    <w:rPr>
                      <w:rFonts w:hint="eastAsia"/>
                      <w:lang w:val="en-US" w:eastAsia="zh-CN"/>
                    </w:rPr>
                    <w:t>0</w:t>
                  </w:r>
                  <w:r>
                    <w:rPr>
                      <w:rFonts w:hint="default"/>
                      <w:lang w:val="en-US" w:eastAsia="zh-CN"/>
                    </w:rPr>
                    <w:t>8′26.175″</w:t>
                  </w:r>
                </w:p>
                <w:p>
                  <w:pPr>
                    <w:pStyle w:val="65"/>
                    <w:bidi w:val="0"/>
                    <w:rPr>
                      <w:rFonts w:hint="default"/>
                      <w:lang w:val="en-US" w:eastAsia="zh-CN"/>
                    </w:rPr>
                  </w:pPr>
                  <w:r>
                    <w:rPr>
                      <w:rFonts w:hint="default"/>
                      <w:lang w:val="en-US" w:eastAsia="zh-CN"/>
                    </w:rPr>
                    <w:t>N：41°44′18.590″</w:t>
                  </w:r>
                </w:p>
              </w:tc>
              <w:tc>
                <w:tcPr>
                  <w:tcW w:w="673" w:type="dxa"/>
                  <w:vMerge w:val="restart"/>
                  <w:vAlign w:val="center"/>
                </w:tcPr>
                <w:p>
                  <w:pPr>
                    <w:pStyle w:val="65"/>
                    <w:bidi w:val="0"/>
                    <w:rPr>
                      <w:rFonts w:hint="eastAsia"/>
                      <w:lang w:val="en-US" w:eastAsia="zh-CN"/>
                    </w:rPr>
                  </w:pPr>
                  <w:r>
                    <w:rPr>
                      <w:rFonts w:hint="eastAsia"/>
                      <w:lang w:val="en-US" w:eastAsia="zh-CN"/>
                    </w:rPr>
                    <w:t>连续排放流量不稳定</w:t>
                  </w:r>
                </w:p>
              </w:tc>
              <w:tc>
                <w:tcPr>
                  <w:tcW w:w="916" w:type="dxa"/>
                  <w:vMerge w:val="restart"/>
                  <w:vAlign w:val="center"/>
                </w:tcPr>
                <w:p>
                  <w:pPr>
                    <w:pStyle w:val="65"/>
                    <w:bidi w:val="0"/>
                    <w:rPr>
                      <w:rFonts w:hint="default"/>
                      <w:lang w:val="en-US" w:eastAsia="zh-CN"/>
                    </w:rPr>
                  </w:pPr>
                  <w:r>
                    <w:rPr>
                      <w:rFonts w:hint="eastAsia"/>
                      <w:lang w:val="en-US" w:eastAsia="zh-CN"/>
                    </w:rPr>
                    <w:t>TW-002</w:t>
                  </w:r>
                </w:p>
              </w:tc>
              <w:tc>
                <w:tcPr>
                  <w:tcW w:w="951" w:type="dxa"/>
                  <w:vMerge w:val="restart"/>
                  <w:vAlign w:val="center"/>
                </w:tcPr>
                <w:p>
                  <w:pPr>
                    <w:pStyle w:val="65"/>
                    <w:bidi w:val="0"/>
                    <w:rPr>
                      <w:rFonts w:hint="default"/>
                      <w:lang w:val="en-US" w:eastAsia="zh-CN"/>
                    </w:rPr>
                  </w:pPr>
                  <w:r>
                    <w:rPr>
                      <w:rFonts w:hint="eastAsia"/>
                      <w:lang w:val="en-US" w:eastAsia="zh-CN"/>
                    </w:rPr>
                    <w:t>污水处理站</w:t>
                  </w:r>
                </w:p>
              </w:tc>
              <w:tc>
                <w:tcPr>
                  <w:tcW w:w="940" w:type="dxa"/>
                  <w:vMerge w:val="restart"/>
                  <w:vAlign w:val="center"/>
                </w:tcPr>
                <w:p>
                  <w:pPr>
                    <w:pStyle w:val="65"/>
                    <w:bidi w:val="0"/>
                    <w:rPr>
                      <w:rFonts w:hint="default"/>
                      <w:lang w:val="en-US" w:eastAsia="zh-CN"/>
                    </w:rPr>
                  </w:pPr>
                  <w:r>
                    <w:rPr>
                      <w:rFonts w:hint="eastAsia"/>
                      <w:lang w:val="en-US" w:eastAsia="zh-CN"/>
                    </w:rPr>
                    <w:t>DW-002</w:t>
                  </w:r>
                </w:p>
              </w:tc>
              <w:tc>
                <w:tcPr>
                  <w:tcW w:w="704" w:type="dxa"/>
                  <w:vMerge w:val="restart"/>
                  <w:vAlign w:val="center"/>
                </w:tcPr>
                <w:p>
                  <w:pPr>
                    <w:pStyle w:val="65"/>
                    <w:bidi w:val="0"/>
                    <w:rPr>
                      <w:rFonts w:hint="default"/>
                      <w:lang w:val="en-US" w:eastAsia="zh-CN"/>
                    </w:rPr>
                  </w:pPr>
                  <w:r>
                    <w:rPr>
                      <w:rFonts w:hint="eastAsia"/>
                      <w:lang w:val="en-US" w:eastAsia="zh-CN"/>
                    </w:rPr>
                    <w:t>是</w:t>
                  </w:r>
                </w:p>
              </w:tc>
              <w:tc>
                <w:tcPr>
                  <w:tcW w:w="655" w:type="dxa"/>
                  <w:vMerge w:val="restart"/>
                  <w:vAlign w:val="center"/>
                </w:tcPr>
                <w:p>
                  <w:pPr>
                    <w:pStyle w:val="65"/>
                    <w:bidi w:val="0"/>
                    <w:rPr>
                      <w:rFonts w:hint="default"/>
                      <w:lang w:val="en-US" w:eastAsia="zh-CN"/>
                    </w:rPr>
                  </w:pPr>
                  <w:r>
                    <w:rPr>
                      <w:rFonts w:hint="eastAsia"/>
                      <w:lang w:val="en-US" w:eastAsia="zh-CN"/>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default"/>
                      <w:lang w:val="en-US" w:eastAsia="zh-CN"/>
                    </w:rPr>
                  </w:pPr>
                </w:p>
              </w:tc>
              <w:tc>
                <w:tcPr>
                  <w:tcW w:w="870" w:type="dxa"/>
                  <w:vAlign w:val="center"/>
                </w:tcPr>
                <w:p>
                  <w:pPr>
                    <w:pStyle w:val="65"/>
                    <w:bidi w:val="0"/>
                    <w:rPr>
                      <w:rFonts w:hint="eastAsia"/>
                      <w:lang w:val="en-US" w:eastAsia="zh-CN"/>
                    </w:rPr>
                  </w:pPr>
                  <w:r>
                    <w:rPr>
                      <w:lang w:val="en-US" w:eastAsia="zh-CN"/>
                    </w:rPr>
                    <w:t>COD</w:t>
                  </w: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Merge w:val="continue"/>
                  <w:vAlign w:val="center"/>
                </w:tcPr>
                <w:p>
                  <w:pPr>
                    <w:pStyle w:val="65"/>
                    <w:bidi w:val="0"/>
                    <w:rPr>
                      <w:rFonts w:hint="default"/>
                      <w:lang w:val="en-US" w:eastAsia="zh-CN"/>
                    </w:rPr>
                  </w:pPr>
                </w:p>
              </w:tc>
              <w:tc>
                <w:tcPr>
                  <w:tcW w:w="951" w:type="dxa"/>
                  <w:vMerge w:val="continue"/>
                  <w:vAlign w:val="center"/>
                </w:tcPr>
                <w:p>
                  <w:pPr>
                    <w:pStyle w:val="65"/>
                    <w:bidi w:val="0"/>
                    <w:rPr>
                      <w:rFonts w:hint="eastAsia"/>
                      <w:lang w:val="en-US" w:eastAsia="zh-CN"/>
                    </w:rPr>
                  </w:pPr>
                </w:p>
              </w:tc>
              <w:tc>
                <w:tcPr>
                  <w:tcW w:w="940" w:type="dxa"/>
                  <w:vMerge w:val="continue"/>
                  <w:vAlign w:val="center"/>
                </w:tcPr>
                <w:p>
                  <w:pPr>
                    <w:pStyle w:val="65"/>
                    <w:bidi w:val="0"/>
                    <w:rPr>
                      <w:rFonts w:hint="default"/>
                      <w:lang w:val="en-US" w:eastAsia="zh-CN"/>
                    </w:rPr>
                  </w:pPr>
                </w:p>
              </w:tc>
              <w:tc>
                <w:tcPr>
                  <w:tcW w:w="704" w:type="dxa"/>
                  <w:vMerge w:val="continue"/>
                  <w:vAlign w:val="center"/>
                </w:tcPr>
                <w:p>
                  <w:pPr>
                    <w:pStyle w:val="65"/>
                    <w:bidi w:val="0"/>
                    <w:rPr>
                      <w:rFonts w:hint="default"/>
                      <w:lang w:val="en-US" w:eastAsia="zh-CN"/>
                    </w:rPr>
                  </w:pPr>
                </w:p>
              </w:tc>
              <w:tc>
                <w:tcPr>
                  <w:tcW w:w="655" w:type="dxa"/>
                  <w:vMerge w:val="continue"/>
                  <w:vAlign w:val="center"/>
                </w:tcPr>
                <w:p>
                  <w:pPr>
                    <w:pStyle w:val="65"/>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eastAsia"/>
                      <w:lang w:val="en-US" w:eastAsia="zh-CN"/>
                    </w:rPr>
                  </w:pPr>
                </w:p>
              </w:tc>
              <w:tc>
                <w:tcPr>
                  <w:tcW w:w="870" w:type="dxa"/>
                  <w:vAlign w:val="center"/>
                </w:tcPr>
                <w:p>
                  <w:pPr>
                    <w:pStyle w:val="65"/>
                    <w:bidi w:val="0"/>
                    <w:rPr>
                      <w:rFonts w:hint="eastAsia"/>
                      <w:lang w:val="en-US" w:eastAsia="zh-CN"/>
                    </w:rPr>
                  </w:pPr>
                  <w:r>
                    <w:rPr>
                      <w:lang w:val="en-US" w:eastAsia="zh-CN"/>
                    </w:rPr>
                    <w:t>BOD</w:t>
                  </w:r>
                  <w:r>
                    <w:rPr>
                      <w:rFonts w:hint="eastAsia"/>
                      <w:vertAlign w:val="subscript"/>
                      <w:lang w:val="en-US" w:eastAsia="zh-CN"/>
                    </w:rPr>
                    <w:t>5</w:t>
                  </w: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Merge w:val="continue"/>
                  <w:vAlign w:val="center"/>
                </w:tcPr>
                <w:p>
                  <w:pPr>
                    <w:pStyle w:val="65"/>
                    <w:bidi w:val="0"/>
                    <w:rPr>
                      <w:rFonts w:hint="eastAsia"/>
                      <w:lang w:val="en-US" w:eastAsia="zh-CN"/>
                    </w:rPr>
                  </w:pPr>
                </w:p>
              </w:tc>
              <w:tc>
                <w:tcPr>
                  <w:tcW w:w="951" w:type="dxa"/>
                  <w:vMerge w:val="continue"/>
                  <w:vAlign w:val="center"/>
                </w:tcPr>
                <w:p>
                  <w:pPr>
                    <w:pStyle w:val="65"/>
                    <w:bidi w:val="0"/>
                    <w:rPr>
                      <w:rFonts w:hint="eastAsia"/>
                      <w:lang w:val="en-US" w:eastAsia="zh-CN"/>
                    </w:rPr>
                  </w:pPr>
                </w:p>
              </w:tc>
              <w:tc>
                <w:tcPr>
                  <w:tcW w:w="940" w:type="dxa"/>
                  <w:vMerge w:val="continue"/>
                  <w:vAlign w:val="center"/>
                </w:tcPr>
                <w:p>
                  <w:pPr>
                    <w:pStyle w:val="65"/>
                    <w:bidi w:val="0"/>
                    <w:rPr>
                      <w:rFonts w:hint="eastAsia"/>
                      <w:lang w:val="en-US" w:eastAsia="zh-CN"/>
                    </w:rPr>
                  </w:pPr>
                </w:p>
              </w:tc>
              <w:tc>
                <w:tcPr>
                  <w:tcW w:w="704" w:type="dxa"/>
                  <w:vMerge w:val="continue"/>
                  <w:vAlign w:val="center"/>
                </w:tcPr>
                <w:p>
                  <w:pPr>
                    <w:pStyle w:val="65"/>
                    <w:bidi w:val="0"/>
                    <w:rPr>
                      <w:rFonts w:hint="eastAsia"/>
                      <w:lang w:val="en-US" w:eastAsia="zh-CN"/>
                    </w:rPr>
                  </w:pPr>
                </w:p>
              </w:tc>
              <w:tc>
                <w:tcPr>
                  <w:tcW w:w="655" w:type="dxa"/>
                  <w:vMerge w:val="continue"/>
                  <w:vAlign w:val="center"/>
                </w:tcPr>
                <w:p>
                  <w:pPr>
                    <w:pStyle w:val="65"/>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eastAsia"/>
                      <w:lang w:val="en-US" w:eastAsia="zh-CN"/>
                    </w:rPr>
                  </w:pPr>
                </w:p>
              </w:tc>
              <w:tc>
                <w:tcPr>
                  <w:tcW w:w="870" w:type="dxa"/>
                  <w:vAlign w:val="center"/>
                </w:tcPr>
                <w:p>
                  <w:pPr>
                    <w:pStyle w:val="65"/>
                    <w:bidi w:val="0"/>
                    <w:rPr>
                      <w:rFonts w:hint="eastAsia"/>
                      <w:lang w:val="en-US" w:eastAsia="zh-CN"/>
                    </w:rPr>
                  </w:pPr>
                  <w:r>
                    <w:rPr>
                      <w:lang w:val="en-US" w:eastAsia="zh-CN"/>
                    </w:rPr>
                    <w:t>SS</w:t>
                  </w: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Merge w:val="continue"/>
                  <w:vAlign w:val="center"/>
                </w:tcPr>
                <w:p>
                  <w:pPr>
                    <w:pStyle w:val="65"/>
                    <w:bidi w:val="0"/>
                    <w:rPr>
                      <w:rFonts w:hint="eastAsia"/>
                      <w:lang w:val="en-US" w:eastAsia="zh-CN"/>
                    </w:rPr>
                  </w:pPr>
                </w:p>
              </w:tc>
              <w:tc>
                <w:tcPr>
                  <w:tcW w:w="951" w:type="dxa"/>
                  <w:vMerge w:val="continue"/>
                  <w:vAlign w:val="center"/>
                </w:tcPr>
                <w:p>
                  <w:pPr>
                    <w:pStyle w:val="65"/>
                    <w:bidi w:val="0"/>
                    <w:rPr>
                      <w:rFonts w:hint="eastAsia"/>
                      <w:lang w:val="en-US" w:eastAsia="zh-CN"/>
                    </w:rPr>
                  </w:pPr>
                </w:p>
              </w:tc>
              <w:tc>
                <w:tcPr>
                  <w:tcW w:w="940" w:type="dxa"/>
                  <w:vMerge w:val="continue"/>
                  <w:vAlign w:val="center"/>
                </w:tcPr>
                <w:p>
                  <w:pPr>
                    <w:pStyle w:val="65"/>
                    <w:bidi w:val="0"/>
                    <w:rPr>
                      <w:rFonts w:hint="eastAsia"/>
                      <w:lang w:val="en-US" w:eastAsia="zh-CN"/>
                    </w:rPr>
                  </w:pPr>
                </w:p>
              </w:tc>
              <w:tc>
                <w:tcPr>
                  <w:tcW w:w="704" w:type="dxa"/>
                  <w:vMerge w:val="continue"/>
                  <w:vAlign w:val="center"/>
                </w:tcPr>
                <w:p>
                  <w:pPr>
                    <w:pStyle w:val="65"/>
                    <w:bidi w:val="0"/>
                    <w:rPr>
                      <w:rFonts w:hint="eastAsia"/>
                      <w:lang w:val="en-US" w:eastAsia="zh-CN"/>
                    </w:rPr>
                  </w:pPr>
                </w:p>
              </w:tc>
              <w:tc>
                <w:tcPr>
                  <w:tcW w:w="655" w:type="dxa"/>
                  <w:vMerge w:val="continue"/>
                  <w:vAlign w:val="center"/>
                </w:tcPr>
                <w:p>
                  <w:pPr>
                    <w:pStyle w:val="65"/>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eastAsia"/>
                      <w:lang w:val="en-US" w:eastAsia="zh-CN"/>
                    </w:rPr>
                  </w:pPr>
                </w:p>
              </w:tc>
              <w:tc>
                <w:tcPr>
                  <w:tcW w:w="870" w:type="dxa"/>
                  <w:vAlign w:val="center"/>
                </w:tcPr>
                <w:p>
                  <w:pPr>
                    <w:pStyle w:val="65"/>
                    <w:bidi w:val="0"/>
                    <w:rPr>
                      <w:rFonts w:hint="eastAsia"/>
                      <w:lang w:val="en-US" w:eastAsia="zh-CN"/>
                    </w:rPr>
                  </w:pPr>
                  <w:r>
                    <w:rPr>
                      <w:lang w:val="en-US" w:eastAsia="zh-CN"/>
                    </w:rPr>
                    <w:t>氨氮</w:t>
                  </w: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Merge w:val="continue"/>
                  <w:vAlign w:val="center"/>
                </w:tcPr>
                <w:p>
                  <w:pPr>
                    <w:pStyle w:val="65"/>
                    <w:bidi w:val="0"/>
                    <w:rPr>
                      <w:rFonts w:hint="eastAsia"/>
                      <w:lang w:val="en-US" w:eastAsia="zh-CN"/>
                    </w:rPr>
                  </w:pPr>
                </w:p>
              </w:tc>
              <w:tc>
                <w:tcPr>
                  <w:tcW w:w="951" w:type="dxa"/>
                  <w:vMerge w:val="continue"/>
                  <w:vAlign w:val="center"/>
                </w:tcPr>
                <w:p>
                  <w:pPr>
                    <w:pStyle w:val="65"/>
                    <w:bidi w:val="0"/>
                    <w:rPr>
                      <w:rFonts w:hint="eastAsia"/>
                      <w:lang w:val="en-US" w:eastAsia="zh-CN"/>
                    </w:rPr>
                  </w:pPr>
                </w:p>
              </w:tc>
              <w:tc>
                <w:tcPr>
                  <w:tcW w:w="940" w:type="dxa"/>
                  <w:vMerge w:val="continue"/>
                  <w:vAlign w:val="center"/>
                </w:tcPr>
                <w:p>
                  <w:pPr>
                    <w:pStyle w:val="65"/>
                    <w:bidi w:val="0"/>
                    <w:rPr>
                      <w:rFonts w:hint="eastAsia"/>
                      <w:lang w:val="en-US" w:eastAsia="zh-CN"/>
                    </w:rPr>
                  </w:pPr>
                </w:p>
              </w:tc>
              <w:tc>
                <w:tcPr>
                  <w:tcW w:w="704" w:type="dxa"/>
                  <w:vMerge w:val="continue"/>
                  <w:vAlign w:val="center"/>
                </w:tcPr>
                <w:p>
                  <w:pPr>
                    <w:pStyle w:val="65"/>
                    <w:bidi w:val="0"/>
                    <w:rPr>
                      <w:rFonts w:hint="eastAsia"/>
                      <w:lang w:val="en-US" w:eastAsia="zh-CN"/>
                    </w:rPr>
                  </w:pPr>
                </w:p>
              </w:tc>
              <w:tc>
                <w:tcPr>
                  <w:tcW w:w="655" w:type="dxa"/>
                  <w:vMerge w:val="continue"/>
                  <w:vAlign w:val="center"/>
                </w:tcPr>
                <w:p>
                  <w:pPr>
                    <w:pStyle w:val="65"/>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0" w:type="dxa"/>
                  <w:vMerge w:val="continue"/>
                  <w:vAlign w:val="center"/>
                </w:tcPr>
                <w:p>
                  <w:pPr>
                    <w:pStyle w:val="65"/>
                    <w:bidi w:val="0"/>
                    <w:rPr>
                      <w:rFonts w:hint="eastAsia"/>
                      <w:lang w:val="en-US" w:eastAsia="zh-CN"/>
                    </w:rPr>
                  </w:pPr>
                </w:p>
              </w:tc>
              <w:tc>
                <w:tcPr>
                  <w:tcW w:w="870" w:type="dxa"/>
                  <w:vAlign w:val="center"/>
                </w:tcPr>
                <w:p>
                  <w:pPr>
                    <w:pStyle w:val="65"/>
                    <w:bidi w:val="0"/>
                    <w:rPr>
                      <w:rFonts w:hint="default"/>
                      <w:lang w:val="en-US" w:eastAsia="zh-CN"/>
                    </w:rPr>
                  </w:pPr>
                  <w:r>
                    <w:rPr>
                      <w:rFonts w:hint="eastAsia"/>
                      <w:lang w:val="en-US" w:eastAsia="zh-CN"/>
                    </w:rPr>
                    <w:t>粪大肠杆菌</w:t>
                  </w:r>
                </w:p>
              </w:tc>
              <w:tc>
                <w:tcPr>
                  <w:tcW w:w="1811" w:type="dxa"/>
                  <w:vMerge w:val="continue"/>
                  <w:vAlign w:val="center"/>
                </w:tcPr>
                <w:p>
                  <w:pPr>
                    <w:pStyle w:val="65"/>
                    <w:bidi w:val="0"/>
                    <w:rPr>
                      <w:rFonts w:hint="eastAsia"/>
                      <w:lang w:val="en-US" w:eastAsia="zh-CN"/>
                    </w:rPr>
                  </w:pPr>
                </w:p>
              </w:tc>
              <w:tc>
                <w:tcPr>
                  <w:tcW w:w="673" w:type="dxa"/>
                  <w:vMerge w:val="continue"/>
                  <w:vAlign w:val="center"/>
                </w:tcPr>
                <w:p>
                  <w:pPr>
                    <w:pStyle w:val="65"/>
                    <w:bidi w:val="0"/>
                    <w:rPr>
                      <w:rFonts w:hint="eastAsia"/>
                      <w:lang w:val="en-US" w:eastAsia="zh-CN"/>
                    </w:rPr>
                  </w:pPr>
                </w:p>
              </w:tc>
              <w:tc>
                <w:tcPr>
                  <w:tcW w:w="916" w:type="dxa"/>
                  <w:vMerge w:val="continue"/>
                  <w:vAlign w:val="center"/>
                </w:tcPr>
                <w:p>
                  <w:pPr>
                    <w:pStyle w:val="65"/>
                    <w:bidi w:val="0"/>
                    <w:rPr>
                      <w:rFonts w:hint="eastAsia"/>
                      <w:lang w:val="en-US" w:eastAsia="zh-CN"/>
                    </w:rPr>
                  </w:pPr>
                </w:p>
              </w:tc>
              <w:tc>
                <w:tcPr>
                  <w:tcW w:w="951" w:type="dxa"/>
                  <w:vMerge w:val="continue"/>
                  <w:vAlign w:val="center"/>
                </w:tcPr>
                <w:p>
                  <w:pPr>
                    <w:pStyle w:val="65"/>
                    <w:bidi w:val="0"/>
                    <w:rPr>
                      <w:rFonts w:hint="eastAsia"/>
                      <w:lang w:val="en-US" w:eastAsia="zh-CN"/>
                    </w:rPr>
                  </w:pPr>
                </w:p>
              </w:tc>
              <w:tc>
                <w:tcPr>
                  <w:tcW w:w="940" w:type="dxa"/>
                  <w:vMerge w:val="continue"/>
                  <w:vAlign w:val="center"/>
                </w:tcPr>
                <w:p>
                  <w:pPr>
                    <w:pStyle w:val="65"/>
                    <w:bidi w:val="0"/>
                    <w:rPr>
                      <w:rFonts w:hint="eastAsia"/>
                      <w:lang w:val="en-US" w:eastAsia="zh-CN"/>
                    </w:rPr>
                  </w:pPr>
                </w:p>
              </w:tc>
              <w:tc>
                <w:tcPr>
                  <w:tcW w:w="704" w:type="dxa"/>
                  <w:vMerge w:val="continue"/>
                  <w:vAlign w:val="center"/>
                </w:tcPr>
                <w:p>
                  <w:pPr>
                    <w:pStyle w:val="65"/>
                    <w:bidi w:val="0"/>
                    <w:rPr>
                      <w:rFonts w:hint="eastAsia"/>
                      <w:lang w:val="en-US" w:eastAsia="zh-CN"/>
                    </w:rPr>
                  </w:pPr>
                </w:p>
              </w:tc>
              <w:tc>
                <w:tcPr>
                  <w:tcW w:w="655" w:type="dxa"/>
                  <w:vMerge w:val="continue"/>
                  <w:vAlign w:val="center"/>
                </w:tcPr>
                <w:p>
                  <w:pPr>
                    <w:pStyle w:val="65"/>
                    <w:bidi w:val="0"/>
                    <w:rPr>
                      <w:rFonts w:hint="eastAsia"/>
                      <w:lang w:val="en-US" w:eastAsia="zh-CN"/>
                    </w:rPr>
                  </w:pPr>
                </w:p>
              </w:tc>
            </w:tr>
          </w:tbl>
          <w:p>
            <w:pPr>
              <w:pStyle w:val="64"/>
              <w:bidi w:val="0"/>
              <w:rPr>
                <w:rFonts w:hint="eastAsia"/>
                <w:lang w:val="en-US" w:eastAsia="zh-CN"/>
              </w:rPr>
            </w:pPr>
            <w:r>
              <w:rPr>
                <w:rFonts w:hint="eastAsia"/>
                <w:lang w:val="en-US" w:eastAsia="zh-CN"/>
              </w:rPr>
              <w:t>2.4废水监测要求</w:t>
            </w:r>
          </w:p>
          <w:p>
            <w:pPr>
              <w:pStyle w:val="55"/>
              <w:bidi w:val="0"/>
              <w:rPr>
                <w:rFonts w:hint="eastAsia"/>
                <w:lang w:val="en-US" w:eastAsia="zh-CN"/>
              </w:rPr>
            </w:pPr>
            <w:r>
              <w:rPr>
                <w:rFonts w:hint="default"/>
                <w:lang w:val="en-US" w:eastAsia="zh-CN"/>
              </w:rPr>
              <w:t>根据</w:t>
            </w:r>
            <w:r>
              <w:rPr>
                <w:rFonts w:hint="eastAsia"/>
                <w:lang w:val="en-US" w:eastAsia="zh-CN"/>
              </w:rPr>
              <w:t>本</w:t>
            </w:r>
            <w:r>
              <w:rPr>
                <w:rFonts w:hint="default"/>
                <w:lang w:val="en-US" w:eastAsia="zh-CN"/>
              </w:rPr>
              <w:t>项目特点，本项目废水污染物监测方法及频次按照《排污许可证申请与核发技术规范 医疗机构》（HJ1105—2020）要求，</w:t>
            </w:r>
            <w:r>
              <w:rPr>
                <w:rFonts w:hint="eastAsia"/>
                <w:lang w:val="en-US" w:eastAsia="zh-CN"/>
              </w:rPr>
              <w:t>废水</w:t>
            </w:r>
            <w:r>
              <w:rPr>
                <w:rFonts w:hint="default"/>
                <w:lang w:val="en-US" w:eastAsia="zh-CN"/>
              </w:rPr>
              <w:t>监测计划见表</w:t>
            </w:r>
            <w:r>
              <w:rPr>
                <w:rFonts w:hint="eastAsia"/>
                <w:lang w:val="en-US" w:eastAsia="zh-CN"/>
              </w:rPr>
              <w:t>4-4。</w:t>
            </w:r>
          </w:p>
          <w:p>
            <w:pPr>
              <w:pStyle w:val="56"/>
              <w:bidi w:val="0"/>
              <w:rPr>
                <w:rFonts w:hint="eastAsia"/>
                <w:lang w:val="en-US" w:eastAsia="zh-CN"/>
              </w:rPr>
            </w:pPr>
            <w:r>
              <w:rPr>
                <w:rFonts w:hint="eastAsia"/>
                <w:lang w:val="en-US" w:eastAsia="zh-CN"/>
              </w:rPr>
              <w:t>表4-4    废水监测计划</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209"/>
              <w:gridCol w:w="2210"/>
              <w:gridCol w:w="19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28" w:type="pct"/>
                  <w:vAlign w:val="center"/>
                </w:tcPr>
                <w:p>
                  <w:pPr>
                    <w:pStyle w:val="65"/>
                    <w:bidi w:val="0"/>
                    <w:jc w:val="center"/>
                    <w:rPr>
                      <w:rFonts w:hint="default"/>
                      <w:lang w:val="en-US" w:eastAsia="zh-CN"/>
                    </w:rPr>
                  </w:pPr>
                  <w:r>
                    <w:rPr>
                      <w:rFonts w:hint="eastAsia"/>
                      <w:lang w:val="en-US" w:eastAsia="zh-CN"/>
                    </w:rPr>
                    <w:t>项目</w:t>
                  </w:r>
                </w:p>
              </w:tc>
              <w:tc>
                <w:tcPr>
                  <w:tcW w:w="756" w:type="pct"/>
                  <w:vAlign w:val="center"/>
                </w:tcPr>
                <w:p>
                  <w:pPr>
                    <w:pStyle w:val="65"/>
                    <w:bidi w:val="0"/>
                    <w:jc w:val="center"/>
                    <w:rPr>
                      <w:rFonts w:hint="default"/>
                      <w:lang w:val="en-US" w:eastAsia="zh-CN"/>
                    </w:rPr>
                  </w:pPr>
                  <w:r>
                    <w:rPr>
                      <w:rFonts w:hint="eastAsia"/>
                      <w:lang w:val="en-US" w:eastAsia="zh-CN"/>
                    </w:rPr>
                    <w:t>监测点位</w:t>
                  </w:r>
                </w:p>
              </w:tc>
              <w:tc>
                <w:tcPr>
                  <w:tcW w:w="1382" w:type="pct"/>
                  <w:vAlign w:val="center"/>
                </w:tcPr>
                <w:p>
                  <w:pPr>
                    <w:pStyle w:val="65"/>
                    <w:bidi w:val="0"/>
                    <w:jc w:val="center"/>
                    <w:rPr>
                      <w:rFonts w:hint="default"/>
                      <w:lang w:val="en-US" w:eastAsia="zh-CN"/>
                    </w:rPr>
                  </w:pPr>
                  <w:r>
                    <w:rPr>
                      <w:rFonts w:hint="eastAsia"/>
                      <w:lang w:val="en-US" w:eastAsia="zh-CN"/>
                    </w:rPr>
                    <w:t>监测项目</w:t>
                  </w:r>
                </w:p>
              </w:tc>
              <w:tc>
                <w:tcPr>
                  <w:tcW w:w="1192" w:type="pct"/>
                  <w:vAlign w:val="center"/>
                </w:tcPr>
                <w:p>
                  <w:pPr>
                    <w:pStyle w:val="65"/>
                    <w:bidi w:val="0"/>
                    <w:jc w:val="center"/>
                    <w:rPr>
                      <w:rFonts w:hint="default"/>
                      <w:lang w:val="en-US" w:eastAsia="zh-CN"/>
                    </w:rPr>
                  </w:pPr>
                  <w:r>
                    <w:rPr>
                      <w:rFonts w:hint="eastAsia"/>
                      <w:lang w:val="en-US" w:eastAsia="zh-CN"/>
                    </w:rPr>
                    <w:t>监测频次</w:t>
                  </w:r>
                </w:p>
              </w:tc>
              <w:tc>
                <w:tcPr>
                  <w:tcW w:w="1239" w:type="pct"/>
                  <w:vAlign w:val="center"/>
                </w:tcPr>
                <w:p>
                  <w:pPr>
                    <w:pStyle w:val="65"/>
                    <w:bidi w:val="0"/>
                    <w:jc w:val="center"/>
                    <w:rPr>
                      <w:rFonts w:hint="default"/>
                      <w:lang w:val="en-US" w:eastAsia="zh-CN"/>
                    </w:rPr>
                  </w:pPr>
                  <w:r>
                    <w:rPr>
                      <w:rFonts w:hint="eastAsia"/>
                      <w:lang w:val="en-US"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restart"/>
                  <w:vAlign w:val="center"/>
                </w:tcPr>
                <w:p>
                  <w:pPr>
                    <w:pStyle w:val="65"/>
                    <w:bidi w:val="0"/>
                    <w:jc w:val="center"/>
                    <w:rPr>
                      <w:rFonts w:hint="default"/>
                      <w:lang w:val="en-US" w:eastAsia="zh-CN"/>
                    </w:rPr>
                  </w:pPr>
                  <w:r>
                    <w:rPr>
                      <w:rFonts w:hint="eastAsia"/>
                      <w:lang w:val="en-US" w:eastAsia="zh-CN"/>
                    </w:rPr>
                    <w:t>废水</w:t>
                  </w:r>
                </w:p>
              </w:tc>
              <w:tc>
                <w:tcPr>
                  <w:tcW w:w="756" w:type="pct"/>
                  <w:vMerge w:val="restart"/>
                  <w:vAlign w:val="center"/>
                </w:tcPr>
                <w:p>
                  <w:pPr>
                    <w:pStyle w:val="65"/>
                    <w:bidi w:val="0"/>
                    <w:jc w:val="center"/>
                    <w:rPr>
                      <w:rFonts w:hint="default"/>
                      <w:lang w:val="en-US" w:eastAsia="zh-CN"/>
                    </w:rPr>
                  </w:pPr>
                  <w:r>
                    <w:rPr>
                      <w:rFonts w:hint="eastAsia"/>
                      <w:lang w:val="en-US" w:eastAsia="zh-CN"/>
                    </w:rPr>
                    <w:t>污水处理站排放口</w:t>
                  </w:r>
                </w:p>
              </w:tc>
              <w:tc>
                <w:tcPr>
                  <w:tcW w:w="1382" w:type="pct"/>
                  <w:vAlign w:val="center"/>
                </w:tcPr>
                <w:p>
                  <w:pPr>
                    <w:pStyle w:val="65"/>
                    <w:bidi w:val="0"/>
                    <w:jc w:val="center"/>
                    <w:rPr>
                      <w:rFonts w:hint="default"/>
                      <w:lang w:val="en-US" w:eastAsia="zh-CN"/>
                    </w:rPr>
                  </w:pPr>
                  <w:r>
                    <w:rPr>
                      <w:rFonts w:hint="eastAsia"/>
                      <w:lang w:val="en-US" w:eastAsia="zh-CN"/>
                    </w:rPr>
                    <w:t>流量</w:t>
                  </w:r>
                </w:p>
              </w:tc>
              <w:tc>
                <w:tcPr>
                  <w:tcW w:w="1192" w:type="pct"/>
                  <w:vAlign w:val="center"/>
                </w:tcPr>
                <w:p>
                  <w:pPr>
                    <w:pStyle w:val="65"/>
                    <w:bidi w:val="0"/>
                    <w:jc w:val="center"/>
                    <w:rPr>
                      <w:rFonts w:hint="default"/>
                      <w:lang w:val="en-US" w:eastAsia="zh-CN"/>
                    </w:rPr>
                  </w:pPr>
                  <w:r>
                    <w:rPr>
                      <w:rFonts w:hint="eastAsia"/>
                      <w:lang w:val="en-US" w:eastAsia="zh-CN"/>
                    </w:rPr>
                    <w:t>自动监测</w:t>
                  </w:r>
                </w:p>
              </w:tc>
              <w:tc>
                <w:tcPr>
                  <w:tcW w:w="1239" w:type="pct"/>
                  <w:vMerge w:val="restart"/>
                  <w:vAlign w:val="center"/>
                </w:tcPr>
                <w:p>
                  <w:pPr>
                    <w:pStyle w:val="60"/>
                    <w:bidi w:val="0"/>
                    <w:rPr>
                      <w:rFonts w:hint="default"/>
                      <w:lang w:val="en-US" w:eastAsia="zh-CN"/>
                    </w:rPr>
                  </w:pPr>
                  <w:r>
                    <w:rPr>
                      <w:rFonts w:hint="eastAsia"/>
                      <w:lang w:val="en-US" w:eastAsia="zh-CN"/>
                    </w:rPr>
                    <w:t>《医疗机构水污染物排放标准》（</w:t>
                  </w:r>
                  <w:r>
                    <w:rPr>
                      <w:rFonts w:hint="default"/>
                      <w:lang w:val="en-US" w:eastAsia="zh-CN"/>
                    </w:rPr>
                    <w:t>GB18466-2005</w:t>
                  </w:r>
                  <w:r>
                    <w:rPr>
                      <w:rFonts w:hint="eastAsia"/>
                      <w:lang w:val="en-US" w:eastAsia="zh-CN"/>
                    </w:rPr>
                    <w:t>）表</w:t>
                  </w:r>
                  <w:r>
                    <w:rPr>
                      <w:rFonts w:hint="default"/>
                      <w:lang w:val="en-US" w:eastAsia="zh-CN"/>
                    </w:rPr>
                    <w:t>2</w:t>
                  </w:r>
                  <w:r>
                    <w:rPr>
                      <w:rFonts w:hint="eastAsia"/>
                      <w:lang w:val="en-US" w:eastAsia="zh-CN"/>
                    </w:rPr>
                    <w:t>中预处理标准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vAlign w:val="center"/>
                </w:tcPr>
                <w:p>
                  <w:pPr>
                    <w:pStyle w:val="65"/>
                    <w:bidi w:val="0"/>
                    <w:jc w:val="center"/>
                    <w:rPr>
                      <w:rFonts w:hint="default"/>
                      <w:lang w:val="en-US" w:eastAsia="zh-CN"/>
                    </w:rPr>
                  </w:pPr>
                </w:p>
              </w:tc>
              <w:tc>
                <w:tcPr>
                  <w:tcW w:w="756" w:type="pct"/>
                  <w:vMerge w:val="continue"/>
                  <w:vAlign w:val="center"/>
                </w:tcPr>
                <w:p>
                  <w:pPr>
                    <w:pStyle w:val="65"/>
                    <w:bidi w:val="0"/>
                    <w:jc w:val="center"/>
                    <w:rPr>
                      <w:rFonts w:hint="default"/>
                      <w:lang w:val="en-US" w:eastAsia="zh-CN"/>
                    </w:rPr>
                  </w:pPr>
                </w:p>
              </w:tc>
              <w:tc>
                <w:tcPr>
                  <w:tcW w:w="1382" w:type="pct"/>
                  <w:vAlign w:val="center"/>
                </w:tcPr>
                <w:p>
                  <w:pPr>
                    <w:pStyle w:val="65"/>
                    <w:bidi w:val="0"/>
                    <w:jc w:val="center"/>
                    <w:rPr>
                      <w:rFonts w:hint="default"/>
                      <w:lang w:val="en-US" w:eastAsia="zh-CN"/>
                    </w:rPr>
                  </w:pPr>
                  <w:r>
                    <w:rPr>
                      <w:rFonts w:hint="eastAsia"/>
                      <w:lang w:val="en-US" w:eastAsia="zh-CN"/>
                    </w:rPr>
                    <w:t>pH</w:t>
                  </w:r>
                </w:p>
              </w:tc>
              <w:tc>
                <w:tcPr>
                  <w:tcW w:w="1192" w:type="pct"/>
                  <w:vAlign w:val="center"/>
                </w:tcPr>
                <w:p>
                  <w:pPr>
                    <w:pStyle w:val="65"/>
                    <w:bidi w:val="0"/>
                    <w:jc w:val="center"/>
                    <w:rPr>
                      <w:rFonts w:hint="default"/>
                      <w:lang w:val="en-US" w:eastAsia="zh-CN"/>
                    </w:rPr>
                  </w:pPr>
                  <w:r>
                    <w:rPr>
                      <w:rFonts w:hint="eastAsia"/>
                      <w:lang w:val="en-US" w:eastAsia="zh-CN"/>
                    </w:rPr>
                    <w:t>12小时监测1次</w:t>
                  </w:r>
                </w:p>
              </w:tc>
              <w:tc>
                <w:tcPr>
                  <w:tcW w:w="1239" w:type="pct"/>
                  <w:vMerge w:val="continue"/>
                  <w:vAlign w:val="center"/>
                </w:tcPr>
                <w:p>
                  <w:pPr>
                    <w:pStyle w:val="65"/>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vAlign w:val="center"/>
                </w:tcPr>
                <w:p>
                  <w:pPr>
                    <w:pStyle w:val="65"/>
                    <w:bidi w:val="0"/>
                    <w:jc w:val="center"/>
                    <w:rPr>
                      <w:rFonts w:hint="default"/>
                      <w:lang w:val="en-US" w:eastAsia="zh-CN"/>
                    </w:rPr>
                  </w:pPr>
                </w:p>
              </w:tc>
              <w:tc>
                <w:tcPr>
                  <w:tcW w:w="756" w:type="pct"/>
                  <w:vMerge w:val="continue"/>
                  <w:vAlign w:val="center"/>
                </w:tcPr>
                <w:p>
                  <w:pPr>
                    <w:pStyle w:val="65"/>
                    <w:bidi w:val="0"/>
                    <w:jc w:val="center"/>
                    <w:rPr>
                      <w:rFonts w:hint="default"/>
                      <w:lang w:val="en-US" w:eastAsia="zh-CN"/>
                    </w:rPr>
                  </w:pPr>
                </w:p>
              </w:tc>
              <w:tc>
                <w:tcPr>
                  <w:tcW w:w="1382" w:type="pct"/>
                  <w:vAlign w:val="center"/>
                </w:tcPr>
                <w:p>
                  <w:pPr>
                    <w:pStyle w:val="65"/>
                    <w:bidi w:val="0"/>
                    <w:jc w:val="center"/>
                    <w:rPr>
                      <w:rFonts w:hint="default"/>
                      <w:lang w:val="en-US" w:eastAsia="zh-CN"/>
                    </w:rPr>
                  </w:pPr>
                  <w:r>
                    <w:rPr>
                      <w:rFonts w:hint="default"/>
                      <w:lang w:val="en-US" w:eastAsia="zh-CN"/>
                    </w:rPr>
                    <w:t>COD</w:t>
                  </w:r>
                  <w:r>
                    <w:rPr>
                      <w:rFonts w:hint="eastAsia"/>
                      <w:lang w:val="en-US" w:eastAsia="zh-CN"/>
                    </w:rPr>
                    <w:t>、</w:t>
                  </w:r>
                  <w:r>
                    <w:rPr>
                      <w:rFonts w:hint="default"/>
                      <w:lang w:val="en-US" w:eastAsia="zh-CN"/>
                    </w:rPr>
                    <w:t>SS</w:t>
                  </w:r>
                </w:p>
              </w:tc>
              <w:tc>
                <w:tcPr>
                  <w:tcW w:w="1192" w:type="pct"/>
                  <w:vAlign w:val="center"/>
                </w:tcPr>
                <w:p>
                  <w:pPr>
                    <w:pStyle w:val="65"/>
                    <w:bidi w:val="0"/>
                    <w:jc w:val="center"/>
                    <w:rPr>
                      <w:rFonts w:hint="default"/>
                      <w:lang w:val="en-US" w:eastAsia="zh-CN"/>
                    </w:rPr>
                  </w:pPr>
                  <w:r>
                    <w:rPr>
                      <w:rFonts w:hint="eastAsia"/>
                      <w:lang w:val="en-US" w:eastAsia="zh-CN"/>
                    </w:rPr>
                    <w:t>1次/周</w:t>
                  </w:r>
                </w:p>
              </w:tc>
              <w:tc>
                <w:tcPr>
                  <w:tcW w:w="1239" w:type="pct"/>
                  <w:vMerge w:val="continue"/>
                  <w:vAlign w:val="center"/>
                </w:tcPr>
                <w:p>
                  <w:pPr>
                    <w:pStyle w:val="65"/>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vAlign w:val="center"/>
                </w:tcPr>
                <w:p>
                  <w:pPr>
                    <w:pStyle w:val="65"/>
                    <w:bidi w:val="0"/>
                    <w:jc w:val="center"/>
                    <w:rPr>
                      <w:rFonts w:hint="default"/>
                      <w:lang w:val="en-US" w:eastAsia="zh-CN"/>
                    </w:rPr>
                  </w:pPr>
                </w:p>
              </w:tc>
              <w:tc>
                <w:tcPr>
                  <w:tcW w:w="756" w:type="pct"/>
                  <w:vMerge w:val="continue"/>
                  <w:vAlign w:val="center"/>
                </w:tcPr>
                <w:p>
                  <w:pPr>
                    <w:pStyle w:val="65"/>
                    <w:bidi w:val="0"/>
                    <w:jc w:val="center"/>
                    <w:rPr>
                      <w:rFonts w:hint="default"/>
                      <w:lang w:val="en-US" w:eastAsia="zh-CN"/>
                    </w:rPr>
                  </w:pPr>
                </w:p>
              </w:tc>
              <w:tc>
                <w:tcPr>
                  <w:tcW w:w="1382" w:type="pct"/>
                  <w:vAlign w:val="center"/>
                </w:tcPr>
                <w:p>
                  <w:pPr>
                    <w:pStyle w:val="65"/>
                    <w:bidi w:val="0"/>
                    <w:jc w:val="center"/>
                    <w:rPr>
                      <w:rFonts w:hint="default"/>
                      <w:lang w:val="en-US" w:eastAsia="zh-CN"/>
                    </w:rPr>
                  </w:pPr>
                  <w:r>
                    <w:rPr>
                      <w:rFonts w:hint="default"/>
                      <w:lang w:val="en-US" w:eastAsia="zh-CN"/>
                    </w:rPr>
                    <w:t>粪大肠菌群</w:t>
                  </w:r>
                  <w:r>
                    <w:rPr>
                      <w:rFonts w:hint="eastAsia"/>
                      <w:lang w:val="en-US" w:eastAsia="zh-CN"/>
                    </w:rPr>
                    <w:t>数</w:t>
                  </w:r>
                </w:p>
              </w:tc>
              <w:tc>
                <w:tcPr>
                  <w:tcW w:w="1192" w:type="pct"/>
                  <w:vAlign w:val="center"/>
                </w:tcPr>
                <w:p>
                  <w:pPr>
                    <w:pStyle w:val="65"/>
                    <w:bidi w:val="0"/>
                    <w:jc w:val="center"/>
                    <w:rPr>
                      <w:rFonts w:hint="default"/>
                      <w:lang w:val="en-US" w:eastAsia="zh-CN"/>
                    </w:rPr>
                  </w:pPr>
                  <w:r>
                    <w:rPr>
                      <w:rFonts w:hint="eastAsia"/>
                      <w:lang w:val="en-US" w:eastAsia="zh-CN"/>
                    </w:rPr>
                    <w:t>1次/月</w:t>
                  </w:r>
                </w:p>
              </w:tc>
              <w:tc>
                <w:tcPr>
                  <w:tcW w:w="1239" w:type="pct"/>
                  <w:vMerge w:val="continue"/>
                  <w:vAlign w:val="center"/>
                </w:tcPr>
                <w:p>
                  <w:pPr>
                    <w:pStyle w:val="65"/>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vAlign w:val="center"/>
                </w:tcPr>
                <w:p>
                  <w:pPr>
                    <w:pStyle w:val="65"/>
                    <w:bidi w:val="0"/>
                    <w:jc w:val="center"/>
                    <w:rPr>
                      <w:rFonts w:hint="default"/>
                      <w:lang w:val="en-US" w:eastAsia="zh-CN"/>
                    </w:rPr>
                  </w:pPr>
                </w:p>
              </w:tc>
              <w:tc>
                <w:tcPr>
                  <w:tcW w:w="756" w:type="pct"/>
                  <w:vMerge w:val="continue"/>
                  <w:vAlign w:val="center"/>
                </w:tcPr>
                <w:p>
                  <w:pPr>
                    <w:pStyle w:val="65"/>
                    <w:bidi w:val="0"/>
                    <w:jc w:val="center"/>
                    <w:rPr>
                      <w:rFonts w:hint="default"/>
                      <w:lang w:val="en-US" w:eastAsia="zh-CN"/>
                    </w:rPr>
                  </w:pPr>
                </w:p>
              </w:tc>
              <w:tc>
                <w:tcPr>
                  <w:tcW w:w="1382" w:type="pct"/>
                  <w:vAlign w:val="center"/>
                </w:tcPr>
                <w:p>
                  <w:pPr>
                    <w:pStyle w:val="65"/>
                    <w:bidi w:val="0"/>
                    <w:jc w:val="center"/>
                    <w:rPr>
                      <w:rFonts w:hint="default"/>
                      <w:lang w:val="en-US" w:eastAsia="zh-CN"/>
                    </w:rPr>
                  </w:pPr>
                  <w:r>
                    <w:rPr>
                      <w:rFonts w:hint="eastAsia"/>
                      <w:lang w:val="en-US" w:eastAsia="zh-CN"/>
                    </w:rPr>
                    <w:t>BOD</w:t>
                  </w:r>
                  <w:r>
                    <w:rPr>
                      <w:rFonts w:hint="eastAsia"/>
                      <w:vertAlign w:val="subscript"/>
                      <w:lang w:val="en-US" w:eastAsia="zh-CN"/>
                    </w:rPr>
                    <w:t>5</w:t>
                  </w:r>
                  <w:r>
                    <w:rPr>
                      <w:rFonts w:hint="eastAsia"/>
                      <w:vertAlign w:val="baseline"/>
                      <w:lang w:val="en-US" w:eastAsia="zh-CN"/>
                    </w:rPr>
                    <w:t>、石油类、挥发酚、动植物油、阴离子表面活性剂、总氰化物</w:t>
                  </w:r>
                </w:p>
              </w:tc>
              <w:tc>
                <w:tcPr>
                  <w:tcW w:w="1192" w:type="pct"/>
                  <w:vAlign w:val="center"/>
                </w:tcPr>
                <w:p>
                  <w:pPr>
                    <w:pStyle w:val="65"/>
                    <w:bidi w:val="0"/>
                    <w:jc w:val="center"/>
                    <w:rPr>
                      <w:rFonts w:hint="default"/>
                      <w:lang w:val="en-US" w:eastAsia="zh-CN"/>
                    </w:rPr>
                  </w:pPr>
                  <w:r>
                    <w:rPr>
                      <w:rFonts w:hint="eastAsia"/>
                      <w:lang w:val="en-US" w:eastAsia="zh-CN"/>
                    </w:rPr>
                    <w:t>1次/季度</w:t>
                  </w:r>
                </w:p>
              </w:tc>
              <w:tc>
                <w:tcPr>
                  <w:tcW w:w="1239" w:type="pct"/>
                  <w:vMerge w:val="continue"/>
                  <w:vAlign w:val="center"/>
                </w:tcPr>
                <w:p>
                  <w:pPr>
                    <w:pStyle w:val="65"/>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8" w:type="pct"/>
                  <w:vMerge w:val="continue"/>
                  <w:vAlign w:val="center"/>
                </w:tcPr>
                <w:p>
                  <w:pPr>
                    <w:pStyle w:val="65"/>
                    <w:bidi w:val="0"/>
                    <w:jc w:val="center"/>
                    <w:rPr>
                      <w:rFonts w:hint="default"/>
                      <w:lang w:val="en-US" w:eastAsia="zh-CN"/>
                    </w:rPr>
                  </w:pPr>
                </w:p>
              </w:tc>
              <w:tc>
                <w:tcPr>
                  <w:tcW w:w="756" w:type="pct"/>
                  <w:vMerge w:val="continue"/>
                  <w:vAlign w:val="center"/>
                </w:tcPr>
                <w:p>
                  <w:pPr>
                    <w:pStyle w:val="65"/>
                    <w:bidi w:val="0"/>
                    <w:jc w:val="center"/>
                    <w:rPr>
                      <w:rFonts w:hint="default"/>
                      <w:lang w:val="en-US" w:eastAsia="zh-CN"/>
                    </w:rPr>
                  </w:pPr>
                </w:p>
              </w:tc>
              <w:tc>
                <w:tcPr>
                  <w:tcW w:w="1382" w:type="pct"/>
                  <w:vAlign w:val="center"/>
                </w:tcPr>
                <w:p>
                  <w:pPr>
                    <w:pStyle w:val="65"/>
                    <w:bidi w:val="0"/>
                    <w:jc w:val="center"/>
                    <w:rPr>
                      <w:rFonts w:hint="default"/>
                      <w:lang w:val="en-US" w:eastAsia="zh-CN"/>
                    </w:rPr>
                  </w:pPr>
                  <w:r>
                    <w:rPr>
                      <w:rFonts w:hint="eastAsia"/>
                      <w:lang w:val="en-US" w:eastAsia="zh-CN"/>
                    </w:rPr>
                    <w:t>肠道致病菌（沙门氏菌）、色度、氨氮、总余氯</w:t>
                  </w:r>
                </w:p>
              </w:tc>
              <w:tc>
                <w:tcPr>
                  <w:tcW w:w="1192" w:type="pct"/>
                  <w:vAlign w:val="center"/>
                </w:tcPr>
                <w:p>
                  <w:pPr>
                    <w:pStyle w:val="65"/>
                    <w:bidi w:val="0"/>
                    <w:jc w:val="center"/>
                    <w:rPr>
                      <w:rFonts w:hint="default"/>
                      <w:lang w:val="en-US" w:eastAsia="zh-CN"/>
                    </w:rPr>
                  </w:pPr>
                  <w:r>
                    <w:rPr>
                      <w:rFonts w:hint="eastAsia"/>
                      <w:lang w:val="en-US" w:eastAsia="zh-CN"/>
                    </w:rPr>
                    <w:t>/</w:t>
                  </w:r>
                </w:p>
              </w:tc>
              <w:tc>
                <w:tcPr>
                  <w:tcW w:w="1239" w:type="pct"/>
                  <w:vMerge w:val="continue"/>
                  <w:vAlign w:val="center"/>
                </w:tcPr>
                <w:p>
                  <w:pPr>
                    <w:pStyle w:val="65"/>
                    <w:bidi w:val="0"/>
                    <w:jc w:val="center"/>
                    <w:rPr>
                      <w:rFonts w:hint="default"/>
                      <w:lang w:val="en-US" w:eastAsia="zh-CN"/>
                    </w:rPr>
                  </w:pPr>
                </w:p>
              </w:tc>
            </w:tr>
          </w:tbl>
          <w:p>
            <w:pPr>
              <w:pStyle w:val="58"/>
              <w:bidi w:val="0"/>
              <w:rPr>
                <w:rFonts w:hint="default"/>
                <w:lang w:val="en-US" w:eastAsia="zh-CN"/>
              </w:rPr>
            </w:pPr>
            <w:r>
              <w:rPr>
                <w:rFonts w:hint="eastAsia"/>
                <w:lang w:val="en-US" w:eastAsia="zh-CN"/>
              </w:rPr>
              <w:t>本项目废水依托现有污水处理设施，根据现场调查，2号污水处理站流量自动监测已安装完成，库尔勒市第一人民医院自行监测满足</w:t>
            </w:r>
            <w:r>
              <w:rPr>
                <w:rFonts w:hint="default"/>
                <w:lang w:val="en-US" w:eastAsia="zh-CN"/>
              </w:rPr>
              <w:t>《排污许可证申请与核发技术规范 医疗机构》（HJ1105—2020）</w:t>
            </w:r>
            <w:r>
              <w:rPr>
                <w:rFonts w:hint="eastAsia"/>
                <w:lang w:val="en-US" w:eastAsia="zh-CN"/>
              </w:rPr>
              <w:t>中的相关</w:t>
            </w:r>
            <w:r>
              <w:rPr>
                <w:rFonts w:hint="default"/>
                <w:lang w:val="en-US" w:eastAsia="zh-CN"/>
              </w:rPr>
              <w:t>要求</w:t>
            </w:r>
            <w:r>
              <w:rPr>
                <w:rFonts w:hint="eastAsia"/>
                <w:lang w:val="en-US" w:eastAsia="zh-CN"/>
              </w:rPr>
              <w:t>，本项目自行监测纳入库尔勒市第一人民医院自行监测管理。</w:t>
            </w:r>
          </w:p>
          <w:p>
            <w:pPr>
              <w:pStyle w:val="64"/>
              <w:bidi w:val="0"/>
              <w:rPr>
                <w:rFonts w:hint="default"/>
                <w:lang w:val="en-US" w:eastAsia="zh-CN"/>
              </w:rPr>
            </w:pPr>
            <w:r>
              <w:rPr>
                <w:rFonts w:hint="eastAsia"/>
                <w:lang w:val="en-US" w:eastAsia="zh-CN"/>
              </w:rPr>
              <w:t>3声环境影响和保护措施</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highlight w:val="none"/>
                <w:lang w:val="en-US" w:eastAsia="zh-CN"/>
              </w:rPr>
            </w:pPr>
            <w:r>
              <w:rPr>
                <w:rFonts w:hint="eastAsia"/>
                <w:highlight w:val="none"/>
                <w:lang w:val="en-US" w:eastAsia="zh-CN"/>
              </w:rPr>
              <w:t>3.1噪声来源</w:t>
            </w:r>
          </w:p>
          <w:p>
            <w:pPr>
              <w:pStyle w:val="55"/>
              <w:bidi w:val="0"/>
              <w:rPr>
                <w:rFonts w:hint="eastAsia"/>
                <w:lang w:val="en-US" w:eastAsia="zh-CN"/>
              </w:rPr>
            </w:pPr>
            <w:r>
              <w:rPr>
                <w:rFonts w:hint="eastAsia"/>
                <w:highlight w:val="none"/>
                <w:shd w:val="clear"/>
                <w:lang w:val="en-US" w:eastAsia="zh-CN"/>
              </w:rPr>
              <w:t>库尔勒市第一人民医院已稳定运行多年，根据巴州永诚环境检测技术服务有限公司</w:t>
            </w:r>
            <w:r>
              <w:rPr>
                <w:rFonts w:hint="eastAsia"/>
                <w:highlight w:val="none"/>
                <w:lang w:val="en-US" w:eastAsia="zh-CN"/>
              </w:rPr>
              <w:t>2025年3月20日出具的《库尔勒市第一人民医院3号综合楼项目验收检测报告》中</w:t>
            </w:r>
            <w:r>
              <w:rPr>
                <w:rFonts w:hint="eastAsia"/>
                <w:highlight w:val="none"/>
                <w:shd w:val="clear"/>
                <w:lang w:val="en-US" w:eastAsia="zh-CN"/>
              </w:rPr>
              <w:t>医院厂界噪声检测结果（检测报告详见附件），可知库尔勒市第一人民医院现有工程产生的噪声可满足《工业企业厂界环境噪声排放标准》（GB1</w:t>
            </w:r>
            <w:r>
              <w:rPr>
                <w:rFonts w:hint="eastAsia"/>
                <w:highlight w:val="none"/>
                <w:lang w:val="en-US" w:eastAsia="zh-CN"/>
              </w:rPr>
              <w:t>2348-2008）中2类及4类标准限值要求。本项目位于</w:t>
            </w:r>
            <w:r>
              <w:rPr>
                <w:rFonts w:hint="eastAsia"/>
                <w:highlight w:val="none"/>
                <w:shd w:val="clear"/>
                <w:lang w:val="en-US" w:eastAsia="zh-CN"/>
              </w:rPr>
              <w:t>库尔勒市第一人民医院院内，建成后由库尔勒市第一人民医院进行管理，</w:t>
            </w:r>
            <w:r>
              <w:rPr>
                <w:rFonts w:hint="default"/>
                <w:highlight w:val="none"/>
                <w:shd w:val="clear"/>
                <w:lang w:val="en-US" w:eastAsia="zh-CN"/>
              </w:rPr>
              <w:t>根据工程分析，</w:t>
            </w:r>
            <w:r>
              <w:rPr>
                <w:rFonts w:hint="eastAsia"/>
                <w:highlight w:val="none"/>
                <w:shd w:val="clear"/>
                <w:lang w:val="en-US" w:eastAsia="zh-CN"/>
              </w:rPr>
              <w:t>本</w:t>
            </w:r>
            <w:r>
              <w:rPr>
                <w:rFonts w:hint="default"/>
                <w:highlight w:val="none"/>
                <w:shd w:val="clear"/>
                <w:lang w:val="en-US" w:eastAsia="zh-CN"/>
              </w:rPr>
              <w:t>项目噪声主要来自空调主机、人员活动</w:t>
            </w:r>
            <w:r>
              <w:rPr>
                <w:rFonts w:hint="eastAsia"/>
                <w:highlight w:val="none"/>
                <w:shd w:val="clear"/>
                <w:lang w:val="en-US" w:eastAsia="zh-CN"/>
              </w:rPr>
              <w:t>等，</w:t>
            </w:r>
            <w:r>
              <w:rPr>
                <w:rFonts w:hint="eastAsia"/>
                <w:highlight w:val="none"/>
                <w:lang w:val="en-US" w:eastAsia="zh-CN"/>
              </w:rPr>
              <w:t>无明显产噪设</w:t>
            </w:r>
            <w:r>
              <w:rPr>
                <w:rFonts w:hint="eastAsia"/>
                <w:lang w:val="en-US" w:eastAsia="zh-CN"/>
              </w:rPr>
              <w:t>施</w:t>
            </w:r>
            <w:r>
              <w:rPr>
                <w:rFonts w:hint="eastAsia"/>
                <w:shd w:val="clear"/>
                <w:lang w:val="en-US" w:eastAsia="zh-CN"/>
              </w:rPr>
              <w:t>。</w:t>
            </w:r>
            <w:r>
              <w:rPr>
                <w:rFonts w:hint="default"/>
                <w:shd w:val="clear"/>
                <w:lang w:val="en-US" w:eastAsia="zh-CN"/>
              </w:rPr>
              <w:t>项目</w:t>
            </w:r>
            <w:r>
              <w:rPr>
                <w:rFonts w:hint="eastAsia"/>
                <w:shd w:val="clear"/>
                <w:lang w:val="en-US" w:eastAsia="zh-CN"/>
              </w:rPr>
              <w:t>采取基础减震、</w:t>
            </w:r>
            <w:r>
              <w:rPr>
                <w:rFonts w:hint="default"/>
                <w:shd w:val="clear"/>
                <w:lang w:val="en-US" w:eastAsia="zh-CN"/>
              </w:rPr>
              <w:t>合理布局、建筑墙体隔声</w:t>
            </w:r>
            <w:r>
              <w:rPr>
                <w:rFonts w:hint="eastAsia"/>
                <w:shd w:val="clear"/>
                <w:lang w:val="en-US" w:eastAsia="zh-CN"/>
              </w:rPr>
              <w:t>、距离衰减</w:t>
            </w:r>
            <w:r>
              <w:rPr>
                <w:rFonts w:hint="default"/>
                <w:shd w:val="clear"/>
                <w:lang w:val="en-US" w:eastAsia="zh-CN"/>
              </w:rPr>
              <w:t>以及绿化吸收等</w:t>
            </w:r>
            <w:r>
              <w:rPr>
                <w:rFonts w:hint="eastAsia"/>
                <w:shd w:val="clear"/>
                <w:lang w:val="en-US" w:eastAsia="zh-CN"/>
              </w:rPr>
              <w:t>措施对噪声进行控制，不会对医院厂界声环境造成影响</w:t>
            </w:r>
            <w:r>
              <w:rPr>
                <w:rFonts w:hint="eastAsia"/>
                <w:lang w:val="en-US" w:eastAsia="zh-CN"/>
              </w:rPr>
              <w:t>。</w:t>
            </w:r>
          </w:p>
          <w:p>
            <w:pPr>
              <w:pStyle w:val="55"/>
              <w:bidi w:val="0"/>
              <w:ind w:left="0" w:leftChars="0" w:firstLine="0" w:firstLineChars="0"/>
              <w:jc w:val="center"/>
              <w:rPr>
                <w:rFonts w:hint="eastAsia"/>
                <w:b/>
                <w:bCs/>
                <w:lang w:val="en-US" w:eastAsia="zh-CN"/>
              </w:rPr>
            </w:pPr>
            <w:r>
              <w:rPr>
                <w:rFonts w:hint="eastAsia"/>
                <w:b/>
                <w:bCs/>
                <w:lang w:val="en-US" w:eastAsia="zh-CN"/>
              </w:rPr>
              <w:t>表4-5   库尔勒市第一人民医院周界声环境现状</w:t>
            </w:r>
          </w:p>
          <w:tbl>
            <w:tblPr>
              <w:tblStyle w:val="26"/>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73"/>
              <w:gridCol w:w="1159"/>
              <w:gridCol w:w="753"/>
              <w:gridCol w:w="637"/>
              <w:gridCol w:w="616"/>
              <w:gridCol w:w="681"/>
              <w:gridCol w:w="654"/>
              <w:gridCol w:w="7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66" w:type="pct"/>
                  <w:vMerge w:val="restar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监测点位</w:t>
                  </w:r>
                </w:p>
              </w:tc>
              <w:tc>
                <w:tcPr>
                  <w:tcW w:w="298" w:type="pct"/>
                  <w:vMerge w:val="restar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监测项目</w:t>
                  </w:r>
                </w:p>
              </w:tc>
              <w:tc>
                <w:tcPr>
                  <w:tcW w:w="733" w:type="pct"/>
                  <w:vMerge w:val="restar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检测时间</w:t>
                  </w:r>
                </w:p>
              </w:tc>
              <w:tc>
                <w:tcPr>
                  <w:tcW w:w="475" w:type="pct"/>
                  <w:vMerge w:val="restar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222" w:type="pct"/>
                  <w:gridSpan w:val="3"/>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昼间检测结果</w:t>
                  </w:r>
                </w:p>
              </w:tc>
              <w:tc>
                <w:tcPr>
                  <w:tcW w:w="1303" w:type="pct"/>
                  <w:gridSpan w:val="3"/>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66" w:type="pct"/>
                  <w:vMerge w:val="continue"/>
                  <w:vAlign w:val="center"/>
                </w:tcPr>
                <w:p>
                  <w:pPr>
                    <w:widowControl/>
                    <w:jc w:val="center"/>
                    <w:rPr>
                      <w:rFonts w:hint="default" w:ascii="Times New Roman" w:hAnsi="Times New Roman" w:eastAsia="宋体" w:cs="Times New Roman"/>
                      <w:color w:val="auto"/>
                      <w:sz w:val="21"/>
                      <w:szCs w:val="21"/>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Merge w:val="continue"/>
                  <w:vAlign w:val="center"/>
                </w:tcPr>
                <w:p>
                  <w:pPr>
                    <w:widowControl/>
                    <w:jc w:val="center"/>
                    <w:rPr>
                      <w:rFonts w:hint="default" w:ascii="Times New Roman" w:hAnsi="Times New Roman" w:eastAsia="宋体" w:cs="Times New Roman"/>
                      <w:color w:val="auto"/>
                      <w:sz w:val="21"/>
                      <w:szCs w:val="21"/>
                    </w:rPr>
                  </w:pP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监测值</w:t>
                  </w:r>
                </w:p>
              </w:tc>
              <w:tc>
                <w:tcPr>
                  <w:tcW w:w="38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评价结果</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监测值</w:t>
                  </w:r>
                </w:p>
              </w:tc>
              <w:tc>
                <w:tcPr>
                  <w:tcW w:w="477"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6" w:type="pct"/>
                  <w:vMerge w:val="restar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东厂界外1m</w:t>
                  </w:r>
                </w:p>
              </w:tc>
              <w:tc>
                <w:tcPr>
                  <w:tcW w:w="298" w:type="pct"/>
                  <w:vMerge w:val="restart"/>
                  <w:vAlign w:val="center"/>
                </w:tcPr>
                <w:p>
                  <w:pPr>
                    <w:widowControl/>
                    <w:jc w:val="center"/>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eq</w:t>
                  </w:r>
                </w:p>
              </w:tc>
              <w:tc>
                <w:tcPr>
                  <w:tcW w:w="73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2025.3.5</w:t>
                  </w:r>
                </w:p>
              </w:tc>
              <w:tc>
                <w:tcPr>
                  <w:tcW w:w="475" w:type="pct"/>
                  <w:vMerge w:val="restar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dB(A)</w:t>
                  </w: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60.1</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54.4</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6" w:type="pct"/>
                  <w:vMerge w:val="continue"/>
                  <w:vAlign w:val="center"/>
                </w:tcPr>
                <w:p>
                  <w:pPr>
                    <w:widowControl/>
                    <w:jc w:val="center"/>
                    <w:rPr>
                      <w:rFonts w:hint="default" w:ascii="Times New Roman" w:hAnsi="Times New Roman" w:eastAsia="宋体" w:cs="Times New Roman"/>
                      <w:color w:val="auto"/>
                      <w:sz w:val="21"/>
                      <w:szCs w:val="21"/>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2025.3.6</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62.9</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53.5</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66" w:type="pct"/>
                  <w:vMerge w:val="restar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北厂界外1m</w:t>
                  </w: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2025.3.5</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58.5</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53.9</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6" w:type="pct"/>
                  <w:vMerge w:val="continue"/>
                  <w:vAlign w:val="center"/>
                </w:tcPr>
                <w:p>
                  <w:pPr>
                    <w:widowControl/>
                    <w:jc w:val="center"/>
                    <w:rPr>
                      <w:rFonts w:hint="default" w:ascii="Times New Roman" w:hAnsi="Times New Roman" w:eastAsia="宋体" w:cs="Times New Roman"/>
                      <w:color w:val="auto"/>
                      <w:sz w:val="21"/>
                      <w:szCs w:val="21"/>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2025.3.6</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61.2</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53.8</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6" w:type="pct"/>
                  <w:vMerge w:val="restar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西厂界外1m</w:t>
                  </w: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2025.3.5</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46.1</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43.9</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66" w:type="pct"/>
                  <w:vMerge w:val="continue"/>
                  <w:vAlign w:val="center"/>
                </w:tcPr>
                <w:p>
                  <w:pPr>
                    <w:widowControl/>
                    <w:jc w:val="center"/>
                    <w:rPr>
                      <w:rFonts w:hint="default" w:ascii="Times New Roman" w:hAnsi="Times New Roman" w:eastAsia="宋体" w:cs="Times New Roman"/>
                      <w:color w:val="auto"/>
                      <w:sz w:val="21"/>
                      <w:szCs w:val="21"/>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2025.3.6</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47.3</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45.2</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66" w:type="pct"/>
                  <w:vMerge w:val="restar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南厂界外1m</w:t>
                  </w: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2025.3.5</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47.0</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45.6</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6" w:type="pct"/>
                  <w:vMerge w:val="continue"/>
                  <w:vAlign w:val="center"/>
                </w:tcPr>
                <w:p>
                  <w:pPr>
                    <w:widowControl/>
                    <w:jc w:val="center"/>
                    <w:rPr>
                      <w:rFonts w:hint="default" w:ascii="Times New Roman" w:hAnsi="Times New Roman" w:eastAsia="宋体" w:cs="Times New Roman"/>
                      <w:color w:val="auto"/>
                      <w:sz w:val="21"/>
                      <w:szCs w:val="21"/>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bidi="ar-SA"/>
                    </w:rPr>
                    <w:t>2025.3.6</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47.2</w:t>
                  </w:r>
                </w:p>
              </w:tc>
              <w:tc>
                <w:tcPr>
                  <w:tcW w:w="38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429"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46.5</w:t>
                  </w:r>
                </w:p>
              </w:tc>
              <w:tc>
                <w:tcPr>
                  <w:tcW w:w="477"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413" w:type="pct"/>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6" w:type="pct"/>
                  <w:vMerge w:val="restart"/>
                  <w:vAlign w:val="center"/>
                </w:tcPr>
                <w:p>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南侧居民楼2楼窗户外1m</w:t>
                  </w: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eastAsia" w:ascii="Times New Roman" w:hAnsi="Times New Roman" w:eastAsia="仿宋_GB2312" w:cs="Times New Roman"/>
                      <w:szCs w:val="21"/>
                      <w:lang w:val="en-US" w:eastAsia="zh-CN"/>
                    </w:rPr>
                  </w:pPr>
                  <w:r>
                    <w:rPr>
                      <w:rFonts w:hint="eastAsia" w:ascii="Times New Roman" w:hAnsi="Times New Roman" w:eastAsia="宋体" w:cs="Times New Roman"/>
                      <w:color w:val="auto"/>
                      <w:sz w:val="21"/>
                      <w:szCs w:val="21"/>
                      <w:lang w:val="en-US" w:eastAsia="zh-CN"/>
                    </w:rPr>
                    <w:t>2025.3.5</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45.2</w:t>
                  </w:r>
                </w:p>
              </w:tc>
              <w:tc>
                <w:tcPr>
                  <w:tcW w:w="612" w:type="dxa"/>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675" w:type="dxa"/>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42.5</w:t>
                  </w:r>
                </w:p>
              </w:tc>
              <w:tc>
                <w:tcPr>
                  <w:tcW w:w="750" w:type="dxa"/>
                  <w:vAlign w:val="center"/>
                </w:tcPr>
                <w:p>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649" w:type="dxa"/>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6" w:type="pct"/>
                  <w:vMerge w:val="continue"/>
                  <w:vAlign w:val="center"/>
                </w:tcPr>
                <w:p>
                  <w:pPr>
                    <w:widowControl/>
                    <w:jc w:val="center"/>
                    <w:rPr>
                      <w:rFonts w:hint="eastAsia" w:ascii="Times New Roman" w:hAnsi="Times New Roman" w:eastAsia="宋体" w:cs="Times New Roman"/>
                      <w:color w:val="auto"/>
                      <w:sz w:val="21"/>
                      <w:szCs w:val="21"/>
                      <w:lang w:val="en-US" w:eastAsia="zh-CN"/>
                    </w:rPr>
                  </w:pPr>
                </w:p>
              </w:tc>
              <w:tc>
                <w:tcPr>
                  <w:tcW w:w="298" w:type="pct"/>
                  <w:vMerge w:val="continue"/>
                  <w:vAlign w:val="center"/>
                </w:tcPr>
                <w:p>
                  <w:pPr>
                    <w:widowControl/>
                    <w:jc w:val="center"/>
                    <w:rPr>
                      <w:rFonts w:hint="default" w:ascii="Times New Roman" w:hAnsi="Times New Roman" w:eastAsia="宋体" w:cs="Times New Roman"/>
                      <w:color w:val="auto"/>
                      <w:sz w:val="21"/>
                      <w:szCs w:val="21"/>
                    </w:rPr>
                  </w:pPr>
                </w:p>
              </w:tc>
              <w:tc>
                <w:tcPr>
                  <w:tcW w:w="733" w:type="pct"/>
                  <w:vAlign w:val="center"/>
                </w:tcPr>
                <w:p>
                  <w:pPr>
                    <w:widowControl/>
                    <w:jc w:val="center"/>
                    <w:rPr>
                      <w:rFonts w:hint="eastAsia" w:ascii="Times New Roman" w:hAnsi="Times New Roman" w:eastAsia="仿宋_GB2312" w:cs="Times New Roman"/>
                      <w:szCs w:val="21"/>
                      <w:lang w:val="en-US" w:eastAsia="zh-CN"/>
                    </w:rPr>
                  </w:pPr>
                  <w:r>
                    <w:rPr>
                      <w:rFonts w:hint="eastAsia" w:ascii="Times New Roman" w:hAnsi="Times New Roman" w:eastAsia="宋体" w:cs="Times New Roman"/>
                      <w:color w:val="auto"/>
                      <w:sz w:val="21"/>
                      <w:szCs w:val="21"/>
                      <w:lang w:val="en-US" w:eastAsia="zh-CN" w:bidi="ar-SA"/>
                    </w:rPr>
                    <w:t>2025.3.6</w:t>
                  </w:r>
                </w:p>
              </w:tc>
              <w:tc>
                <w:tcPr>
                  <w:tcW w:w="475" w:type="pct"/>
                  <w:vMerge w:val="continue"/>
                  <w:vAlign w:val="center"/>
                </w:tcPr>
                <w:p>
                  <w:pPr>
                    <w:widowControl/>
                    <w:jc w:val="center"/>
                    <w:rPr>
                      <w:rFonts w:hint="default" w:ascii="Times New Roman" w:hAnsi="Times New Roman" w:eastAsia="宋体" w:cs="Times New Roman"/>
                      <w:color w:val="auto"/>
                      <w:sz w:val="21"/>
                      <w:szCs w:val="21"/>
                    </w:rPr>
                  </w:pPr>
                </w:p>
              </w:tc>
              <w:tc>
                <w:tcPr>
                  <w:tcW w:w="40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46.1</w:t>
                  </w:r>
                </w:p>
              </w:tc>
              <w:tc>
                <w:tcPr>
                  <w:tcW w:w="612" w:type="dxa"/>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675" w:type="dxa"/>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413"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45.3</w:t>
                  </w:r>
                </w:p>
              </w:tc>
              <w:tc>
                <w:tcPr>
                  <w:tcW w:w="750" w:type="dxa"/>
                  <w:vAlign w:val="center"/>
                </w:tcPr>
                <w:p>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649" w:type="dxa"/>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3.2噪声污染防治措施可行性分析</w:t>
            </w:r>
          </w:p>
          <w:p>
            <w:pPr>
              <w:pStyle w:val="58"/>
              <w:bidi w:val="0"/>
              <w:rPr>
                <w:rFonts w:hint="default"/>
                <w:lang w:val="en-US" w:eastAsia="zh-CN"/>
              </w:rPr>
            </w:pPr>
            <w:r>
              <w:rPr>
                <w:rFonts w:hint="default"/>
                <w:lang w:val="en-US" w:eastAsia="zh-CN"/>
              </w:rPr>
              <w:t>本项目对于空调设备、电梯电机加装隔振机座或减振垫，连接的管道用橡胶软接管或曲挠橡胶接头连接。在管道穿过墙壁，地板处使用橡胶管或弹性垫。空调送回风管等空气动力性噪声高的部位安装相应的消声材料。建设单位对进入医院就诊人员进行提醒，设置禁止喧哗标识，加强医院门前进出车辆启停噪声的管理，设置禁鸣、限速等措施可进一步降低营业活动噪声对外环境的影响。</w:t>
            </w:r>
          </w:p>
          <w:p>
            <w:pPr>
              <w:pStyle w:val="58"/>
              <w:bidi w:val="0"/>
              <w:ind w:left="0" w:leftChars="0" w:firstLine="0" w:firstLineChars="0"/>
              <w:rPr>
                <w:rFonts w:hint="default"/>
                <w:lang w:val="en-US" w:eastAsia="zh-C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8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pPr>
              <w:adjustRightInd w:val="0"/>
              <w:snapToGrid w:val="0"/>
              <w:spacing w:line="360" w:lineRule="auto"/>
              <w:rPr>
                <w:rFonts w:hint="eastAsia" w:ascii="宋体" w:cs="宋体"/>
                <w:b/>
                <w:kern w:val="0"/>
                <w:sz w:val="28"/>
                <w:szCs w:val="28"/>
                <w:vertAlign w:val="baseline"/>
              </w:rPr>
            </w:pPr>
          </w:p>
        </w:tc>
        <w:tc>
          <w:tcPr>
            <w:tcW w:w="8405" w:type="dxa"/>
          </w:tcPr>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3.3自行监测计划</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default" w:ascii="Times New Roman" w:hAnsi="Times New Roman" w:eastAsia="宋体" w:cs="Times New Roman"/>
                <w:bCs/>
                <w:color w:val="auto"/>
                <w:sz w:val="24"/>
                <w:highlight w:val="none"/>
              </w:rPr>
              <w:t>根据《排污单位自行监测技术指南 总则》</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HJ 819-2017</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w:t>
            </w:r>
            <w:r>
              <w:rPr>
                <w:rFonts w:hint="eastAsia" w:cs="Times New Roman"/>
                <w:bCs/>
                <w:color w:val="auto"/>
                <w:sz w:val="24"/>
                <w:highlight w:val="none"/>
                <w:lang w:eastAsia="zh-CN"/>
              </w:rPr>
              <w:t>排污许可证申请与核发技术规范 工业噪声</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 xml:space="preserve">HJ </w:t>
            </w:r>
            <w:r>
              <w:rPr>
                <w:rFonts w:hint="default" w:ascii="Times New Roman" w:hAnsi="Times New Roman" w:eastAsia="宋体" w:cs="Times New Roman"/>
                <w:bCs/>
                <w:color w:val="auto"/>
                <w:sz w:val="24"/>
                <w:highlight w:val="none"/>
                <w:lang w:val="en-US" w:eastAsia="zh-CN"/>
              </w:rPr>
              <w:t>1301</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2023</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中的有关规定要求，</w:t>
            </w:r>
            <w:r>
              <w:rPr>
                <w:rFonts w:hint="default"/>
                <w:lang w:val="en-US" w:eastAsia="zh-CN"/>
              </w:rPr>
              <w:t>结合项目运营期间污染物排放特点，制定本项目的污染源监测计划，建设单位需保证按监测计划实施。监测分析方法按照现行国家标准和有关规定执行。</w:t>
            </w:r>
            <w:r>
              <w:rPr>
                <w:rFonts w:hint="eastAsia"/>
                <w:lang w:val="en-US" w:eastAsia="zh-CN"/>
              </w:rPr>
              <w:t>厂界噪声自行监测方案见</w:t>
            </w:r>
            <w:r>
              <w:rPr>
                <w:rFonts w:hint="eastAsia"/>
                <w:sz w:val="24"/>
                <w:szCs w:val="24"/>
                <w:lang w:val="en-US" w:eastAsia="zh-CN"/>
              </w:rPr>
              <w:t>表4-5。</w:t>
            </w:r>
          </w:p>
          <w:p>
            <w:pPr>
              <w:pStyle w:val="59"/>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表4-5    厂界噪声自行监测方案</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840"/>
              <w:gridCol w:w="1129"/>
              <w:gridCol w:w="1237"/>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pPr>
                    <w:pStyle w:val="60"/>
                    <w:bidi w:val="0"/>
                    <w:jc w:val="center"/>
                    <w:rPr>
                      <w:rFonts w:hint="default"/>
                      <w:lang w:val="en-US" w:eastAsia="zh-CN"/>
                    </w:rPr>
                  </w:pPr>
                  <w:r>
                    <w:rPr>
                      <w:rFonts w:hint="eastAsia"/>
                      <w:lang w:val="en-US" w:eastAsia="zh-CN"/>
                    </w:rPr>
                    <w:t>环境监测项目</w:t>
                  </w:r>
                </w:p>
              </w:tc>
              <w:tc>
                <w:tcPr>
                  <w:tcW w:w="1125" w:type="pct"/>
                  <w:vAlign w:val="center"/>
                </w:tcPr>
                <w:p>
                  <w:pPr>
                    <w:pStyle w:val="60"/>
                    <w:bidi w:val="0"/>
                    <w:jc w:val="center"/>
                    <w:rPr>
                      <w:rFonts w:hint="default"/>
                      <w:lang w:val="en-US" w:eastAsia="zh-CN"/>
                    </w:rPr>
                  </w:pPr>
                  <w:r>
                    <w:rPr>
                      <w:rFonts w:hint="default"/>
                      <w:lang w:val="en-US" w:eastAsia="zh-CN"/>
                    </w:rPr>
                    <w:t>监测点位</w:t>
                  </w:r>
                </w:p>
              </w:tc>
              <w:tc>
                <w:tcPr>
                  <w:tcW w:w="690" w:type="pct"/>
                  <w:vAlign w:val="center"/>
                </w:tcPr>
                <w:p>
                  <w:pPr>
                    <w:pStyle w:val="60"/>
                    <w:bidi w:val="0"/>
                    <w:jc w:val="center"/>
                    <w:rPr>
                      <w:rFonts w:hint="default"/>
                      <w:lang w:val="en-US" w:eastAsia="zh-CN"/>
                    </w:rPr>
                  </w:pPr>
                  <w:r>
                    <w:rPr>
                      <w:rFonts w:hint="default"/>
                      <w:lang w:val="en-US" w:eastAsia="zh-CN"/>
                    </w:rPr>
                    <w:t>监测指标</w:t>
                  </w:r>
                </w:p>
              </w:tc>
              <w:tc>
                <w:tcPr>
                  <w:tcW w:w="756" w:type="pct"/>
                  <w:vAlign w:val="center"/>
                </w:tcPr>
                <w:p>
                  <w:pPr>
                    <w:pStyle w:val="60"/>
                    <w:bidi w:val="0"/>
                    <w:jc w:val="center"/>
                    <w:rPr>
                      <w:rFonts w:hint="default"/>
                      <w:lang w:val="en-US" w:eastAsia="zh-CN"/>
                    </w:rPr>
                  </w:pPr>
                  <w:r>
                    <w:rPr>
                      <w:rFonts w:hint="default"/>
                      <w:lang w:val="en-US" w:eastAsia="zh-CN"/>
                    </w:rPr>
                    <w:t>监测频次</w:t>
                  </w:r>
                </w:p>
              </w:tc>
              <w:tc>
                <w:tcPr>
                  <w:tcW w:w="1764" w:type="pct"/>
                  <w:vAlign w:val="center"/>
                </w:tcPr>
                <w:p>
                  <w:pPr>
                    <w:pStyle w:val="60"/>
                    <w:bidi w:val="0"/>
                    <w:jc w:val="center"/>
                    <w:rPr>
                      <w:rFonts w:hint="default"/>
                      <w:lang w:val="en-US" w:eastAsia="zh-CN"/>
                    </w:rPr>
                  </w:pPr>
                  <w:r>
                    <w:rPr>
                      <w:rFonts w:hint="default"/>
                      <w:lang w:val="en-US"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噪声</w:t>
                  </w:r>
                </w:p>
              </w:tc>
              <w:tc>
                <w:tcPr>
                  <w:tcW w:w="1125"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ascii="Times New Roman" w:hAnsi="Times New Roman" w:eastAsia="宋体" w:cs="Times New Roman"/>
                      <w:color w:val="auto"/>
                      <w:sz w:val="21"/>
                      <w:szCs w:val="21"/>
                      <w:lang w:val="en-US" w:eastAsia="zh-CN"/>
                    </w:rPr>
                    <w:t>各</w:t>
                  </w:r>
                  <w:r>
                    <w:rPr>
                      <w:rFonts w:hint="default" w:ascii="Times New Roman" w:hAnsi="Times New Roman" w:eastAsia="宋体" w:cs="Times New Roman"/>
                      <w:color w:val="auto"/>
                      <w:sz w:val="21"/>
                      <w:szCs w:val="21"/>
                    </w:rPr>
                    <w:t>厂界</w:t>
                  </w:r>
                  <w:r>
                    <w:rPr>
                      <w:rFonts w:hint="default" w:ascii="Times New Roman" w:hAnsi="Times New Roman" w:eastAsia="宋体" w:cs="Times New Roman"/>
                      <w:color w:val="auto"/>
                      <w:sz w:val="21"/>
                      <w:szCs w:val="21"/>
                      <w:lang w:val="en-US" w:eastAsia="zh-CN"/>
                    </w:rPr>
                    <w:t>1m处环境噪声</w:t>
                  </w:r>
                </w:p>
              </w:tc>
              <w:tc>
                <w:tcPr>
                  <w:tcW w:w="690"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ascii="Times New Roman" w:hAnsi="Times New Roman" w:eastAsia="宋体" w:cs="Times New Roman"/>
                      <w:color w:val="auto"/>
                      <w:sz w:val="21"/>
                      <w:szCs w:val="21"/>
                      <w:lang w:val="en-US" w:eastAsia="zh-CN"/>
                    </w:rPr>
                    <w:t>噪声</w:t>
                  </w:r>
                </w:p>
              </w:tc>
              <w:tc>
                <w:tcPr>
                  <w:tcW w:w="756"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eastAsia" w:ascii="Times New Roman" w:eastAsia="宋体" w:cs="Times New Roman"/>
                      <w:color w:val="auto"/>
                      <w:sz w:val="21"/>
                      <w:szCs w:val="21"/>
                      <w:lang w:val="en-US" w:eastAsia="zh-CN"/>
                    </w:rPr>
                    <w:t>1次/季</w:t>
                  </w:r>
                </w:p>
              </w:tc>
              <w:tc>
                <w:tcPr>
                  <w:tcW w:w="1764" w:type="pct"/>
                  <w:vAlign w:val="center"/>
                </w:tcPr>
                <w:p>
                  <w:pPr>
                    <w:pStyle w:val="60"/>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《工业企业厂界环境噪声排放标准》（GB12348-2008）2、4类标准</w:t>
                  </w:r>
                </w:p>
              </w:tc>
            </w:tr>
          </w:tbl>
          <w:p>
            <w:pPr>
              <w:pStyle w:val="64"/>
              <w:bidi w:val="0"/>
              <w:rPr>
                <w:rFonts w:hint="default"/>
                <w:lang w:val="en-US" w:eastAsia="zh-CN"/>
              </w:rPr>
            </w:pPr>
            <w:r>
              <w:rPr>
                <w:rFonts w:hint="eastAsia"/>
                <w:lang w:val="en-US" w:eastAsia="zh-CN"/>
              </w:rPr>
              <w:t>4固体废物环境影响和保护措施</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lang w:val="en-US" w:eastAsia="zh-CN"/>
              </w:rPr>
              <w:t>4.1固体废物产生及处置情况</w:t>
            </w:r>
          </w:p>
          <w:p>
            <w:pPr>
              <w:pStyle w:val="58"/>
              <w:bidi w:val="0"/>
              <w:rPr>
                <w:rFonts w:hint="default"/>
                <w:lang w:val="en-US" w:eastAsia="zh-CN"/>
              </w:rPr>
            </w:pPr>
            <w:r>
              <w:rPr>
                <w:rFonts w:hint="default"/>
                <w:lang w:val="en-US" w:eastAsia="zh-CN"/>
              </w:rPr>
              <w:t>本项目固体废物包括</w:t>
            </w:r>
            <w:r>
              <w:rPr>
                <w:rFonts w:hint="eastAsia"/>
                <w:lang w:val="en-US" w:eastAsia="zh-CN"/>
              </w:rPr>
              <w:t>生活垃圾和</w:t>
            </w:r>
            <w:r>
              <w:rPr>
                <w:rFonts w:hint="default"/>
                <w:lang w:val="en-US" w:eastAsia="zh-CN"/>
              </w:rPr>
              <w:t>医疗废物。</w:t>
            </w:r>
          </w:p>
          <w:p>
            <w:pPr>
              <w:pStyle w:val="58"/>
              <w:bidi w:val="0"/>
              <w:rPr>
                <w:rFonts w:hint="default"/>
                <w:lang w:val="en-US" w:eastAsia="zh-CN"/>
              </w:rPr>
            </w:pPr>
            <w:r>
              <w:rPr>
                <w:rFonts w:hint="default"/>
                <w:lang w:val="en-US" w:eastAsia="zh-CN"/>
              </w:rPr>
              <w:t>（</w:t>
            </w:r>
            <w:r>
              <w:rPr>
                <w:rFonts w:hint="eastAsia"/>
                <w:lang w:val="en-US" w:eastAsia="zh-CN"/>
              </w:rPr>
              <w:t>1</w:t>
            </w:r>
            <w:r>
              <w:rPr>
                <w:rFonts w:hint="default"/>
                <w:lang w:val="en-US" w:eastAsia="zh-CN"/>
              </w:rPr>
              <w:t>）生活垃圾</w:t>
            </w:r>
          </w:p>
          <w:p>
            <w:pPr>
              <w:pStyle w:val="58"/>
              <w:shd w:val="clear"/>
              <w:bidi w:val="0"/>
              <w:rPr>
                <w:rFonts w:hint="default"/>
                <w:highlight w:val="none"/>
                <w:lang w:val="en-US" w:eastAsia="zh-CN"/>
              </w:rPr>
            </w:pPr>
            <w:r>
              <w:rPr>
                <w:rFonts w:hint="default"/>
                <w:lang w:val="en-US" w:eastAsia="zh-CN"/>
              </w:rPr>
              <w:t>生活垃</w:t>
            </w:r>
            <w:r>
              <w:rPr>
                <w:rFonts w:hint="default"/>
                <w:highlight w:val="none"/>
                <w:lang w:val="en-US" w:eastAsia="zh-CN"/>
              </w:rPr>
              <w:t>圾来源于医院医护人员及病人日常生活，本项目最大常驻人员按照</w:t>
            </w:r>
            <w:r>
              <w:rPr>
                <w:rFonts w:hint="eastAsia"/>
                <w:highlight w:val="none"/>
                <w:lang w:val="en-US" w:eastAsia="zh-CN"/>
              </w:rPr>
              <w:t>200</w:t>
            </w:r>
            <w:r>
              <w:rPr>
                <w:rFonts w:hint="default"/>
                <w:highlight w:val="none"/>
                <w:lang w:val="en-US" w:eastAsia="zh-CN"/>
              </w:rPr>
              <w:t>人</w:t>
            </w:r>
            <w:r>
              <w:rPr>
                <w:rFonts w:hint="eastAsia"/>
                <w:highlight w:val="none"/>
                <w:lang w:val="en-US" w:eastAsia="zh-CN"/>
              </w:rPr>
              <w:t>计算</w:t>
            </w:r>
            <w:r>
              <w:rPr>
                <w:rFonts w:hint="default"/>
                <w:highlight w:val="none"/>
                <w:lang w:val="en-US" w:eastAsia="zh-CN"/>
              </w:rPr>
              <w:t>，年运营365天，生活垃圾产生量按照0.5kg/人·天计算，则生活垃圾产生量为</w:t>
            </w:r>
            <w:r>
              <w:rPr>
                <w:rFonts w:hint="eastAsia"/>
                <w:highlight w:val="none"/>
                <w:lang w:val="en-US" w:eastAsia="zh-CN"/>
              </w:rPr>
              <w:t>36.5</w:t>
            </w:r>
            <w:r>
              <w:rPr>
                <w:rFonts w:hint="default"/>
                <w:highlight w:val="none"/>
                <w:lang w:val="en-US" w:eastAsia="zh-CN"/>
              </w:rPr>
              <w:t>t/a。生活垃圾由环卫部门统一处理。</w:t>
            </w:r>
          </w:p>
          <w:p>
            <w:pPr>
              <w:pStyle w:val="58"/>
              <w:numPr>
                <w:ilvl w:val="0"/>
                <w:numId w:val="5"/>
              </w:numPr>
              <w:shd w:val="clear"/>
              <w:bidi w:val="0"/>
              <w:rPr>
                <w:rFonts w:hint="eastAsia"/>
                <w:lang w:val="en-US" w:eastAsia="zh-CN"/>
              </w:rPr>
            </w:pPr>
            <w:r>
              <w:rPr>
                <w:rFonts w:hint="eastAsia"/>
                <w:lang w:val="en-US" w:eastAsia="zh-CN"/>
              </w:rPr>
              <w:t>各种药盒、药箱等包装材料及使用说明材料等</w:t>
            </w:r>
          </w:p>
          <w:p>
            <w:pPr>
              <w:pStyle w:val="58"/>
              <w:shd w:val="clear"/>
              <w:bidi w:val="0"/>
              <w:rPr>
                <w:rFonts w:hint="default"/>
                <w:lang w:val="en-US" w:eastAsia="zh-CN"/>
              </w:rPr>
            </w:pPr>
            <w:r>
              <w:rPr>
                <w:rFonts w:hint="eastAsia"/>
                <w:lang w:val="en-US" w:eastAsia="zh-CN"/>
              </w:rPr>
              <w:t>本项目会产生各种药盒、药箱等包装材料及使用说明材料等，此类废物大约有1.5t/a，</w:t>
            </w:r>
            <w:r>
              <w:rPr>
                <w:rFonts w:hint="default"/>
                <w:lang w:val="en-US" w:eastAsia="zh-CN"/>
              </w:rPr>
              <w:t>外售至物资回收单位</w:t>
            </w:r>
            <w:r>
              <w:rPr>
                <w:rFonts w:hint="eastAsia"/>
                <w:lang w:val="en-US" w:eastAsia="zh-CN"/>
              </w:rPr>
              <w:t>进行处理。</w:t>
            </w:r>
          </w:p>
          <w:p>
            <w:pPr>
              <w:pStyle w:val="58"/>
              <w:bidi w:val="0"/>
              <w:rPr>
                <w:rFonts w:hint="default"/>
                <w:lang w:val="en-US" w:eastAsia="zh-CN"/>
              </w:rPr>
            </w:pPr>
            <w:r>
              <w:rPr>
                <w:rFonts w:hint="default"/>
                <w:lang w:val="en-US" w:eastAsia="zh-CN"/>
              </w:rPr>
              <w:t>（</w:t>
            </w:r>
            <w:r>
              <w:rPr>
                <w:rFonts w:hint="eastAsia"/>
                <w:lang w:val="en-US" w:eastAsia="zh-CN"/>
              </w:rPr>
              <w:t>3</w:t>
            </w:r>
            <w:r>
              <w:rPr>
                <w:rFonts w:hint="default"/>
                <w:lang w:val="en-US" w:eastAsia="zh-CN"/>
              </w:rPr>
              <w:t>）医疗废物</w:t>
            </w:r>
          </w:p>
          <w:p>
            <w:pPr>
              <w:pStyle w:val="58"/>
              <w:bidi w:val="0"/>
              <w:rPr>
                <w:rFonts w:hint="default"/>
                <w:lang w:val="en-US" w:eastAsia="zh-CN"/>
              </w:rPr>
            </w:pPr>
            <w:r>
              <w:rPr>
                <w:rFonts w:hint="eastAsia"/>
                <w:lang w:val="en-US" w:eastAsia="zh-CN"/>
              </w:rPr>
              <w:t>病房及门诊会产生的医疗废物，根据《关于印发医疗废物分类目录（2021年版）的通知》（国卫医函〔2021〕238号），本项目产生的医疗废物主要包括损伤性废物、病理性废物、药物性废物、化学性废物。本项目医疗废物产生量参考</w:t>
            </w:r>
            <w:r>
              <w:rPr>
                <w:rFonts w:hint="default"/>
                <w:lang w:val="en-US" w:eastAsia="zh-CN"/>
              </w:rPr>
              <w:t>《第一次全国污染源普查城镇生活源产排污系数手册》中公布的医院医疗废物的核算系数与校核系数，结合建设单位实际情况确定本项目急救综合楼住院</w:t>
            </w:r>
            <w:r>
              <w:rPr>
                <w:rFonts w:hint="eastAsia"/>
                <w:lang w:val="en-US" w:eastAsia="zh-CN"/>
              </w:rPr>
              <w:t>区医疗废物排放核算系数为</w:t>
            </w:r>
            <w:r>
              <w:rPr>
                <w:rFonts w:hint="default"/>
                <w:lang w:val="en-US" w:eastAsia="zh-CN"/>
              </w:rPr>
              <w:t>0.39kg/（床·d）计</w:t>
            </w:r>
            <w:r>
              <w:rPr>
                <w:rFonts w:hint="eastAsia"/>
                <w:lang w:val="en-US" w:eastAsia="zh-CN"/>
              </w:rPr>
              <w:t>，门诊区医疗废物排放核算系数为0.2</w:t>
            </w:r>
            <w:r>
              <w:rPr>
                <w:rFonts w:hint="default"/>
                <w:lang w:val="en-US" w:eastAsia="zh-CN"/>
              </w:rPr>
              <w:t>kg/</w:t>
            </w:r>
            <w:r>
              <w:rPr>
                <w:rFonts w:hint="eastAsia"/>
                <w:lang w:val="en-US" w:eastAsia="zh-CN"/>
              </w:rPr>
              <w:t>人，项目设置床位64张，除去住院病人，平均每天接诊人数90人，则本项目医疗废物的产生量为15.68t/a。</w:t>
            </w:r>
            <w:r>
              <w:rPr>
                <w:rFonts w:hint="default"/>
                <w:lang w:val="en-US" w:eastAsia="zh-CN"/>
              </w:rPr>
              <w:t>医疗废物必须严格按照《危险废物贮存污染控制标准》（GB18597-20</w:t>
            </w:r>
            <w:r>
              <w:rPr>
                <w:rFonts w:hint="eastAsia"/>
                <w:lang w:val="en-US" w:eastAsia="zh-CN"/>
              </w:rPr>
              <w:t>23</w:t>
            </w:r>
            <w:r>
              <w:rPr>
                <w:rFonts w:hint="default"/>
                <w:lang w:val="en-US" w:eastAsia="zh-CN"/>
              </w:rPr>
              <w:t>）</w:t>
            </w:r>
            <w:r>
              <w:rPr>
                <w:rFonts w:hint="eastAsia"/>
                <w:lang w:val="en-US" w:eastAsia="zh-CN"/>
              </w:rPr>
              <w:t>、</w:t>
            </w:r>
            <w:r>
              <w:rPr>
                <w:rFonts w:hint="eastAsia"/>
                <w:sz w:val="24"/>
                <w:szCs w:val="24"/>
                <w:lang w:val="en-US" w:eastAsia="zh-CN"/>
              </w:rPr>
              <w:t>《医疗废物处理处置污染控制标准》（GB-39707-2020）</w:t>
            </w:r>
            <w:r>
              <w:rPr>
                <w:rFonts w:hint="default"/>
                <w:lang w:val="en-US" w:eastAsia="zh-CN"/>
              </w:rPr>
              <w:t>中相关规定执行，项目产生的医疗废物收集至</w:t>
            </w:r>
            <w:r>
              <w:rPr>
                <w:rFonts w:hint="eastAsia"/>
                <w:lang w:val="en-US" w:eastAsia="zh-CN"/>
              </w:rPr>
              <w:t>医疗废物贮存库</w:t>
            </w:r>
            <w:r>
              <w:rPr>
                <w:rFonts w:hint="default"/>
                <w:lang w:val="en-US" w:eastAsia="zh-CN"/>
              </w:rPr>
              <w:t>（75m</w:t>
            </w:r>
            <w:r>
              <w:rPr>
                <w:rFonts w:hint="default"/>
                <w:vertAlign w:val="superscript"/>
                <w:lang w:val="en-US" w:eastAsia="zh-CN"/>
              </w:rPr>
              <w:t>3</w:t>
            </w:r>
            <w:r>
              <w:rPr>
                <w:rFonts w:hint="default"/>
                <w:lang w:val="en-US" w:eastAsia="zh-CN"/>
              </w:rPr>
              <w:t>）暂存，并定期交由库尔勒天达环卫有限责任公司处置。</w:t>
            </w:r>
          </w:p>
          <w:p>
            <w:pPr>
              <w:pStyle w:val="58"/>
              <w:bidi w:val="0"/>
              <w:rPr>
                <w:rFonts w:hint="eastAsia"/>
                <w:lang w:eastAsia="zh-CN"/>
              </w:rPr>
            </w:pPr>
            <w:r>
              <w:rPr>
                <w:rFonts w:hint="eastAsia"/>
                <w:lang w:eastAsia="zh-CN"/>
              </w:rPr>
              <w:t>（</w:t>
            </w:r>
            <w:r>
              <w:rPr>
                <w:rFonts w:hint="eastAsia"/>
                <w:lang w:val="en-US" w:eastAsia="zh-CN"/>
              </w:rPr>
              <w:t>4</w:t>
            </w:r>
            <w:r>
              <w:rPr>
                <w:rFonts w:hint="eastAsia"/>
                <w:lang w:eastAsia="zh-CN"/>
              </w:rPr>
              <w:t>）栅渣</w:t>
            </w:r>
          </w:p>
          <w:p>
            <w:pPr>
              <w:pStyle w:val="58"/>
              <w:bidi w:val="0"/>
              <w:rPr>
                <w:rFonts w:hint="eastAsia"/>
                <w:lang w:eastAsia="zh-CN"/>
              </w:rPr>
            </w:pPr>
            <w:r>
              <w:rPr>
                <w:rFonts w:hint="eastAsia"/>
                <w:lang w:eastAsia="zh-CN"/>
              </w:rPr>
              <w:t>栅渣主要来源于污水处理站格栅拦截的较大杂物。根据《水处理工程师手册》（化学工业出版社），棚渣产污系数取0.1m</w:t>
            </w:r>
            <w:r>
              <w:rPr>
                <w:rFonts w:hint="eastAsia"/>
                <w:vertAlign w:val="superscript"/>
                <w:lang w:eastAsia="zh-CN"/>
              </w:rPr>
              <w:t>3</w:t>
            </w:r>
            <w:r>
              <w:rPr>
                <w:rFonts w:hint="eastAsia"/>
                <w:lang w:eastAsia="zh-CN"/>
              </w:rPr>
              <w:t>渣/1000m</w:t>
            </w:r>
            <w:r>
              <w:rPr>
                <w:rFonts w:hint="eastAsia"/>
                <w:vertAlign w:val="superscript"/>
                <w:lang w:eastAsia="zh-CN"/>
              </w:rPr>
              <w:t>3</w:t>
            </w:r>
            <w:r>
              <w:rPr>
                <w:rFonts w:hint="eastAsia"/>
                <w:lang w:eastAsia="zh-CN"/>
              </w:rPr>
              <w:t>污水，</w:t>
            </w:r>
            <w:r>
              <w:rPr>
                <w:rFonts w:hint="eastAsia"/>
                <w:lang w:val="en-US" w:eastAsia="zh-CN"/>
              </w:rPr>
              <w:t>本</w:t>
            </w:r>
            <w:r>
              <w:rPr>
                <w:rFonts w:hint="eastAsia"/>
                <w:lang w:eastAsia="zh-CN"/>
              </w:rPr>
              <w:t>项目污水处理量为</w:t>
            </w:r>
            <w:r>
              <w:rPr>
                <w:rFonts w:hint="eastAsia"/>
                <w:lang w:val="en-US" w:eastAsia="zh-CN"/>
              </w:rPr>
              <w:t>4872.75</w:t>
            </w:r>
            <w:r>
              <w:rPr>
                <w:rFonts w:hint="eastAsia"/>
                <w:lang w:eastAsia="zh-CN"/>
              </w:rPr>
              <w:t>m</w:t>
            </w:r>
            <w:r>
              <w:rPr>
                <w:rFonts w:hint="eastAsia"/>
                <w:vertAlign w:val="superscript"/>
                <w:lang w:eastAsia="zh-CN"/>
              </w:rPr>
              <w:t>3</w:t>
            </w:r>
            <w:r>
              <w:rPr>
                <w:rFonts w:hint="eastAsia"/>
                <w:lang w:eastAsia="zh-CN"/>
              </w:rPr>
              <w:t>/a，则栅渣产生量为</w:t>
            </w:r>
            <w:r>
              <w:rPr>
                <w:rFonts w:hint="eastAsia"/>
                <w:lang w:val="en-US" w:eastAsia="zh-CN"/>
              </w:rPr>
              <w:t>0.4873</w:t>
            </w:r>
            <w:r>
              <w:rPr>
                <w:rFonts w:hint="eastAsia"/>
                <w:lang w:eastAsia="zh-CN"/>
              </w:rPr>
              <w:t>m</w:t>
            </w:r>
            <w:r>
              <w:rPr>
                <w:rFonts w:hint="eastAsia"/>
                <w:vertAlign w:val="superscript"/>
                <w:lang w:eastAsia="zh-CN"/>
              </w:rPr>
              <w:t>3</w:t>
            </w:r>
            <w:r>
              <w:rPr>
                <w:rFonts w:hint="eastAsia"/>
                <w:lang w:eastAsia="zh-CN"/>
              </w:rPr>
              <w:t>/a（栅渣含水率80%，密度约为960kg/m</w:t>
            </w:r>
            <w:r>
              <w:rPr>
                <w:rFonts w:hint="eastAsia"/>
                <w:vertAlign w:val="superscript"/>
                <w:lang w:eastAsia="zh-CN"/>
              </w:rPr>
              <w:t>3</w:t>
            </w:r>
            <w:r>
              <w:rPr>
                <w:rFonts w:hint="eastAsia"/>
                <w:lang w:eastAsia="zh-CN"/>
              </w:rPr>
              <w:t>）。</w:t>
            </w:r>
            <w:r>
              <w:rPr>
                <w:rFonts w:hint="eastAsia"/>
                <w:lang w:val="en-US" w:eastAsia="zh-CN"/>
              </w:rPr>
              <w:t>则本项目产生2.339t/a</w:t>
            </w:r>
            <w:r>
              <w:rPr>
                <w:rFonts w:hint="eastAsia"/>
                <w:lang w:eastAsia="zh-CN"/>
              </w:rPr>
              <w:t>栅渣。根据《医院污水处理工程技术规范》（HJ2029-2013），栅渣属于危险废物</w:t>
            </w:r>
            <w:r>
              <w:rPr>
                <w:rFonts w:hint="eastAsia"/>
                <w:sz w:val="24"/>
                <w:szCs w:val="24"/>
                <w:lang w:eastAsia="zh-CN"/>
              </w:rPr>
              <w:t>，项目栅渣</w:t>
            </w:r>
            <w:r>
              <w:rPr>
                <w:rFonts w:hint="eastAsia"/>
                <w:sz w:val="24"/>
                <w:szCs w:val="24"/>
                <w:lang w:val="en-US" w:eastAsia="zh-CN"/>
              </w:rPr>
              <w:t>定期</w:t>
            </w:r>
            <w:r>
              <w:rPr>
                <w:rFonts w:hint="eastAsia"/>
                <w:sz w:val="24"/>
                <w:szCs w:val="24"/>
                <w:lang w:eastAsia="zh-CN"/>
              </w:rPr>
              <w:t>委托</w:t>
            </w:r>
            <w:r>
              <w:rPr>
                <w:rFonts w:hint="eastAsia"/>
                <w:sz w:val="24"/>
                <w:szCs w:val="24"/>
                <w:lang w:val="en-US" w:eastAsia="zh-CN"/>
              </w:rPr>
              <w:t>新疆狮岭能源环保集团有限公司（原名为新疆贝肯能源环保有限公司）清运处置</w:t>
            </w:r>
            <w:r>
              <w:rPr>
                <w:rFonts w:hint="eastAsia"/>
                <w:sz w:val="24"/>
                <w:szCs w:val="24"/>
                <w:lang w:eastAsia="zh-CN"/>
              </w:rPr>
              <w:t>，</w:t>
            </w:r>
            <w:r>
              <w:rPr>
                <w:rFonts w:hint="eastAsia"/>
                <w:sz w:val="24"/>
                <w:szCs w:val="24"/>
                <w:lang w:val="en-US" w:eastAsia="zh-CN"/>
              </w:rPr>
              <w:t>不在院</w:t>
            </w:r>
            <w:r>
              <w:rPr>
                <w:rFonts w:hint="eastAsia"/>
                <w:lang w:val="en-US" w:eastAsia="zh-CN"/>
              </w:rPr>
              <w:t>内暂存</w:t>
            </w:r>
            <w:r>
              <w:rPr>
                <w:rFonts w:hint="eastAsia"/>
                <w:lang w:eastAsia="zh-CN"/>
              </w:rPr>
              <w:t>。</w:t>
            </w:r>
          </w:p>
          <w:p>
            <w:pPr>
              <w:pStyle w:val="58"/>
              <w:bidi w:val="0"/>
              <w:rPr>
                <w:rFonts w:hint="default"/>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污水处理站污泥</w:t>
            </w:r>
          </w:p>
          <w:p>
            <w:pPr>
              <w:pStyle w:val="58"/>
              <w:keepNext w:val="0"/>
              <w:keepLines w:val="0"/>
              <w:pageBreakBefore w:val="0"/>
              <w:widowControl w:val="0"/>
              <w:kinsoku/>
              <w:overflowPunct/>
              <w:topLinePunct w:val="0"/>
              <w:autoSpaceDE/>
              <w:autoSpaceDN/>
              <w:bidi w:val="0"/>
              <w:spacing w:line="520" w:lineRule="exact"/>
              <w:textAlignment w:val="auto"/>
              <w:rPr>
                <w:rFonts w:hint="eastAsia"/>
                <w:sz w:val="24"/>
                <w:szCs w:val="24"/>
                <w:lang w:eastAsia="zh-CN"/>
              </w:rPr>
            </w:pPr>
            <w:r>
              <w:rPr>
                <w:rFonts w:hint="eastAsia"/>
                <w:lang w:eastAsia="zh-CN"/>
              </w:rPr>
              <w:t>污水处理站产生的污泥量与污水中悬浮固体含量及处理工艺有关，其污泥主要来源自调节池、混凝沉淀池。污泥产生量系数按0.2kg/kgBOD</w:t>
            </w:r>
            <w:r>
              <w:rPr>
                <w:rFonts w:hint="eastAsia"/>
                <w:vertAlign w:val="subscript"/>
                <w:lang w:eastAsia="zh-CN"/>
              </w:rPr>
              <w:t>5</w:t>
            </w:r>
            <w:r>
              <w:rPr>
                <w:rFonts w:hint="eastAsia"/>
                <w:lang w:eastAsia="zh-CN"/>
              </w:rPr>
              <w:t>计。</w:t>
            </w:r>
            <w:r>
              <w:rPr>
                <w:rFonts w:hint="eastAsia"/>
                <w:lang w:val="en-US" w:eastAsia="zh-CN"/>
              </w:rPr>
              <w:t>污水处理站BOD处理效率按85%计，</w:t>
            </w:r>
            <w:r>
              <w:rPr>
                <w:rFonts w:hint="eastAsia"/>
                <w:lang w:eastAsia="zh-CN"/>
              </w:rPr>
              <w:t>核算污水处理站污泥产生量（干重）为</w:t>
            </w:r>
            <w:r>
              <w:rPr>
                <w:rFonts w:hint="eastAsia"/>
                <w:lang w:val="en-US" w:eastAsia="zh-CN"/>
              </w:rPr>
              <w:t>0.140</w:t>
            </w:r>
            <w:r>
              <w:rPr>
                <w:rFonts w:hint="eastAsia"/>
                <w:lang w:eastAsia="zh-CN"/>
              </w:rPr>
              <w:t>t/a，湿污泥量按“污泥干重÷（1</w:t>
            </w:r>
            <w:r>
              <w:rPr>
                <w:rFonts w:hint="eastAsia"/>
                <w:lang w:val="en-US" w:eastAsia="zh-CN"/>
              </w:rPr>
              <w:t>-</w:t>
            </w:r>
            <w:r>
              <w:rPr>
                <w:rFonts w:hint="eastAsia"/>
                <w:lang w:eastAsia="zh-CN"/>
              </w:rPr>
              <w:t>污泥含水率）”核算，污泥含水率为95%，则污泥量为</w:t>
            </w:r>
            <w:r>
              <w:rPr>
                <w:rFonts w:hint="eastAsia"/>
                <w:lang w:val="en-US" w:eastAsia="zh-CN"/>
              </w:rPr>
              <w:t>2.808</w:t>
            </w:r>
            <w:r>
              <w:rPr>
                <w:rFonts w:hint="eastAsia"/>
                <w:lang w:eastAsia="zh-CN"/>
              </w:rPr>
              <w:t>t/a，</w:t>
            </w:r>
            <w:r>
              <w:rPr>
                <w:rFonts w:hint="eastAsia"/>
                <w:lang w:val="en-US" w:eastAsia="zh-CN"/>
              </w:rPr>
              <w:t>定期委托</w:t>
            </w:r>
            <w:r>
              <w:rPr>
                <w:rFonts w:hint="eastAsia"/>
                <w:sz w:val="24"/>
                <w:szCs w:val="24"/>
                <w:lang w:val="en-US" w:eastAsia="zh-CN"/>
              </w:rPr>
              <w:t>新疆狮岭能源环保集团有限公司（原名为新疆贝肯能源环保有限公司）</w:t>
            </w:r>
            <w:r>
              <w:rPr>
                <w:rFonts w:hint="eastAsia"/>
                <w:lang w:val="en-US" w:eastAsia="zh-CN"/>
              </w:rPr>
              <w:t>清运处置</w:t>
            </w:r>
            <w:r>
              <w:rPr>
                <w:rFonts w:hint="eastAsia"/>
                <w:sz w:val="24"/>
                <w:szCs w:val="24"/>
                <w:lang w:eastAsia="zh-CN"/>
              </w:rPr>
              <w:t>。</w:t>
            </w:r>
            <w:r>
              <w:rPr>
                <w:rFonts w:hint="eastAsia"/>
                <w:sz w:val="24"/>
                <w:szCs w:val="24"/>
                <w:highlight w:val="none"/>
                <w:lang w:val="en-US" w:eastAsia="zh-CN"/>
              </w:rPr>
              <w:t>本</w:t>
            </w:r>
            <w:r>
              <w:rPr>
                <w:sz w:val="24"/>
                <w:szCs w:val="24"/>
                <w:highlight w:val="none"/>
              </w:rPr>
              <w:t>项目</w:t>
            </w:r>
            <w:r>
              <w:rPr>
                <w:rFonts w:hint="eastAsia"/>
                <w:sz w:val="24"/>
                <w:szCs w:val="24"/>
                <w:highlight w:val="none"/>
              </w:rPr>
              <w:t>固废</w:t>
            </w:r>
            <w:r>
              <w:rPr>
                <w:sz w:val="24"/>
                <w:szCs w:val="24"/>
                <w:highlight w:val="none"/>
              </w:rPr>
              <w:t>产生明细</w:t>
            </w:r>
            <w:r>
              <w:rPr>
                <w:rFonts w:hint="eastAsia"/>
                <w:sz w:val="24"/>
                <w:szCs w:val="24"/>
                <w:highlight w:val="none"/>
                <w:lang w:eastAsia="zh-CN"/>
              </w:rPr>
              <w:t>见表</w:t>
            </w:r>
            <w:r>
              <w:rPr>
                <w:rFonts w:hint="eastAsia"/>
                <w:sz w:val="24"/>
                <w:szCs w:val="24"/>
                <w:highlight w:val="none"/>
                <w:lang w:val="en-US" w:eastAsia="zh-CN"/>
              </w:rPr>
              <w:t>4-6</w:t>
            </w:r>
            <w:r>
              <w:rPr>
                <w:rFonts w:hint="eastAsia"/>
                <w:sz w:val="24"/>
                <w:szCs w:val="24"/>
                <w:highlight w:val="none"/>
              </w:rPr>
              <w:t>。</w:t>
            </w:r>
          </w:p>
          <w:p>
            <w:pPr>
              <w:pStyle w:val="56"/>
              <w:keepNext w:val="0"/>
              <w:keepLines w:val="0"/>
              <w:pageBreakBefore w:val="0"/>
              <w:widowControl w:val="0"/>
              <w:kinsoku/>
              <w:overflowPunct/>
              <w:topLinePunct w:val="0"/>
              <w:autoSpaceDE/>
              <w:autoSpaceDN/>
              <w:bidi w:val="0"/>
              <w:spacing w:line="520" w:lineRule="exact"/>
              <w:textAlignment w:val="auto"/>
              <w:rPr>
                <w:rFonts w:hint="eastAsia"/>
                <w:sz w:val="24"/>
                <w:szCs w:val="24"/>
              </w:rPr>
            </w:pPr>
            <w:r>
              <w:rPr>
                <w:rFonts w:hint="eastAsia"/>
                <w:sz w:val="24"/>
                <w:szCs w:val="24"/>
                <w:lang w:eastAsia="zh-CN"/>
              </w:rPr>
              <w:t>表</w:t>
            </w:r>
            <w:r>
              <w:rPr>
                <w:rFonts w:hint="eastAsia"/>
                <w:sz w:val="24"/>
                <w:szCs w:val="24"/>
                <w:lang w:val="en-US" w:eastAsia="zh-CN"/>
              </w:rPr>
              <w:t>4-6    项目固体废物产生情况明细</w:t>
            </w:r>
          </w:p>
          <w:tbl>
            <w:tblPr>
              <w:tblStyle w:val="26"/>
              <w:tblW w:w="7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313"/>
              <w:gridCol w:w="1170"/>
              <w:gridCol w:w="1755"/>
              <w:gridCol w:w="133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73" w:type="dxa"/>
                  <w:vAlign w:val="center"/>
                </w:tcPr>
                <w:p>
                  <w:pPr>
                    <w:pStyle w:val="60"/>
                    <w:bidi w:val="0"/>
                    <w:jc w:val="center"/>
                    <w:rPr>
                      <w:rFonts w:hint="default"/>
                      <w:lang w:val="en-US" w:eastAsia="zh-CN"/>
                    </w:rPr>
                  </w:pPr>
                  <w:r>
                    <w:rPr>
                      <w:rFonts w:hint="eastAsia"/>
                      <w:lang w:val="en-US" w:eastAsia="zh-CN"/>
                    </w:rPr>
                    <w:t>废物属性</w:t>
                  </w:r>
                </w:p>
              </w:tc>
              <w:tc>
                <w:tcPr>
                  <w:tcW w:w="1313" w:type="dxa"/>
                  <w:vAlign w:val="center"/>
                </w:tcPr>
                <w:p>
                  <w:pPr>
                    <w:pStyle w:val="60"/>
                    <w:bidi w:val="0"/>
                    <w:jc w:val="center"/>
                    <w:rPr>
                      <w:rFonts w:hint="default"/>
                      <w:lang w:val="en-US" w:eastAsia="zh-CN"/>
                    </w:rPr>
                  </w:pPr>
                  <w:r>
                    <w:rPr>
                      <w:rFonts w:hint="eastAsia"/>
                      <w:lang w:val="en-US" w:eastAsia="zh-CN"/>
                    </w:rPr>
                    <w:t>名称</w:t>
                  </w:r>
                </w:p>
              </w:tc>
              <w:tc>
                <w:tcPr>
                  <w:tcW w:w="1170" w:type="dxa"/>
                  <w:vAlign w:val="center"/>
                </w:tcPr>
                <w:p>
                  <w:pPr>
                    <w:pStyle w:val="60"/>
                    <w:bidi w:val="0"/>
                    <w:jc w:val="center"/>
                    <w:rPr>
                      <w:rFonts w:hint="default"/>
                      <w:lang w:val="en-US" w:eastAsia="zh-CN"/>
                    </w:rPr>
                  </w:pPr>
                  <w:r>
                    <w:rPr>
                      <w:rFonts w:hint="eastAsia"/>
                      <w:lang w:val="en-US" w:eastAsia="zh-CN"/>
                    </w:rPr>
                    <w:t>废物类别</w:t>
                  </w:r>
                </w:p>
              </w:tc>
              <w:tc>
                <w:tcPr>
                  <w:tcW w:w="1755" w:type="dxa"/>
                  <w:vAlign w:val="center"/>
                </w:tcPr>
                <w:p>
                  <w:pPr>
                    <w:pStyle w:val="60"/>
                    <w:bidi w:val="0"/>
                    <w:jc w:val="center"/>
                    <w:rPr>
                      <w:rFonts w:hint="default"/>
                      <w:lang w:val="en-US" w:eastAsia="zh-CN"/>
                    </w:rPr>
                  </w:pPr>
                  <w:r>
                    <w:rPr>
                      <w:rFonts w:hint="eastAsia"/>
                      <w:lang w:val="en-US" w:eastAsia="zh-CN"/>
                    </w:rPr>
                    <w:t>废物代码</w:t>
                  </w:r>
                </w:p>
              </w:tc>
              <w:tc>
                <w:tcPr>
                  <w:tcW w:w="1335" w:type="dxa"/>
                  <w:vAlign w:val="center"/>
                </w:tcPr>
                <w:p>
                  <w:pPr>
                    <w:pStyle w:val="60"/>
                    <w:bidi w:val="0"/>
                    <w:jc w:val="center"/>
                    <w:rPr>
                      <w:rFonts w:hint="default"/>
                      <w:lang w:val="en-US" w:eastAsia="zh-CN"/>
                    </w:rPr>
                  </w:pPr>
                  <w:r>
                    <w:rPr>
                      <w:rFonts w:hint="eastAsia"/>
                      <w:lang w:val="en-US" w:eastAsia="zh-CN"/>
                    </w:rPr>
                    <w:t>产生量（t/a）</w:t>
                  </w:r>
                </w:p>
              </w:tc>
              <w:tc>
                <w:tcPr>
                  <w:tcW w:w="1300" w:type="dxa"/>
                  <w:vAlign w:val="center"/>
                </w:tcPr>
                <w:p>
                  <w:pPr>
                    <w:pStyle w:val="60"/>
                    <w:bidi w:val="0"/>
                    <w:jc w:val="center"/>
                    <w:rPr>
                      <w:rFonts w:hint="default"/>
                      <w:lang w:val="en-US" w:eastAsia="zh-CN"/>
                    </w:rPr>
                  </w:pPr>
                  <w:r>
                    <w:rPr>
                      <w:rFonts w:hint="eastAsia"/>
                      <w:lang w:val="en-US" w:eastAsia="zh-CN"/>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3" w:type="dxa"/>
                  <w:vAlign w:val="center"/>
                </w:tcPr>
                <w:p>
                  <w:pPr>
                    <w:pStyle w:val="60"/>
                    <w:bidi w:val="0"/>
                    <w:jc w:val="center"/>
                    <w:rPr>
                      <w:rFonts w:hint="default"/>
                      <w:lang w:val="en-US" w:eastAsia="zh-CN"/>
                    </w:rPr>
                  </w:pPr>
                  <w:r>
                    <w:rPr>
                      <w:rFonts w:hint="eastAsia"/>
                      <w:lang w:val="en-US" w:eastAsia="zh-CN"/>
                    </w:rPr>
                    <w:t>生活垃圾</w:t>
                  </w:r>
                </w:p>
              </w:tc>
              <w:tc>
                <w:tcPr>
                  <w:tcW w:w="1313" w:type="dxa"/>
                  <w:vAlign w:val="center"/>
                </w:tcPr>
                <w:p>
                  <w:pPr>
                    <w:pStyle w:val="60"/>
                    <w:bidi w:val="0"/>
                    <w:jc w:val="center"/>
                    <w:rPr>
                      <w:rFonts w:hint="default"/>
                      <w:lang w:val="en-US" w:eastAsia="zh-CN"/>
                    </w:rPr>
                  </w:pPr>
                  <w:r>
                    <w:rPr>
                      <w:rFonts w:hint="eastAsia"/>
                      <w:lang w:val="en-US" w:eastAsia="zh-CN"/>
                    </w:rPr>
                    <w:t>生活垃圾</w:t>
                  </w:r>
                </w:p>
              </w:tc>
              <w:tc>
                <w:tcPr>
                  <w:tcW w:w="1170" w:type="dxa"/>
                  <w:vAlign w:val="center"/>
                </w:tcPr>
                <w:p>
                  <w:pPr>
                    <w:pStyle w:val="60"/>
                    <w:bidi w:val="0"/>
                    <w:jc w:val="center"/>
                    <w:rPr>
                      <w:rFonts w:hint="eastAsia"/>
                      <w:lang w:val="en-US" w:eastAsia="zh-CN"/>
                    </w:rPr>
                  </w:pPr>
                  <w:r>
                    <w:rPr>
                      <w:rFonts w:hint="eastAsia"/>
                      <w:lang w:val="en-US" w:eastAsia="zh-CN"/>
                    </w:rPr>
                    <w:t>SW61</w:t>
                  </w:r>
                </w:p>
                <w:p>
                  <w:pPr>
                    <w:pStyle w:val="60"/>
                    <w:bidi w:val="0"/>
                    <w:jc w:val="center"/>
                    <w:rPr>
                      <w:rFonts w:hint="default"/>
                      <w:lang w:val="en-US" w:eastAsia="zh-CN"/>
                    </w:rPr>
                  </w:pPr>
                  <w:r>
                    <w:rPr>
                      <w:rFonts w:hint="eastAsia"/>
                      <w:lang w:val="en-US" w:eastAsia="zh-CN"/>
                    </w:rPr>
                    <w:t>SW62</w:t>
                  </w:r>
                </w:p>
              </w:tc>
              <w:tc>
                <w:tcPr>
                  <w:tcW w:w="1755" w:type="dxa"/>
                  <w:vAlign w:val="center"/>
                </w:tcPr>
                <w:p>
                  <w:pPr>
                    <w:pStyle w:val="60"/>
                    <w:bidi w:val="0"/>
                    <w:jc w:val="center"/>
                    <w:rPr>
                      <w:rFonts w:hint="eastAsia"/>
                      <w:lang w:val="en-US" w:eastAsia="zh-CN"/>
                    </w:rPr>
                  </w:pPr>
                  <w:r>
                    <w:rPr>
                      <w:rFonts w:hint="eastAsia"/>
                      <w:lang w:val="en-US" w:eastAsia="zh-CN"/>
                    </w:rPr>
                    <w:t>900-001-S61</w:t>
                  </w:r>
                </w:p>
                <w:p>
                  <w:pPr>
                    <w:pStyle w:val="60"/>
                    <w:bidi w:val="0"/>
                    <w:jc w:val="center"/>
                    <w:rPr>
                      <w:rFonts w:hint="eastAsia"/>
                      <w:lang w:val="en-US" w:eastAsia="zh-CN"/>
                    </w:rPr>
                  </w:pPr>
                  <w:r>
                    <w:rPr>
                      <w:rFonts w:hint="eastAsia"/>
                      <w:lang w:val="en-US" w:eastAsia="zh-CN"/>
                    </w:rPr>
                    <w:t>900-001-S62</w:t>
                  </w:r>
                </w:p>
                <w:p>
                  <w:pPr>
                    <w:pStyle w:val="60"/>
                    <w:bidi w:val="0"/>
                    <w:jc w:val="center"/>
                    <w:rPr>
                      <w:rFonts w:hint="default"/>
                      <w:lang w:val="en-US" w:eastAsia="zh-CN"/>
                    </w:rPr>
                  </w:pPr>
                  <w:r>
                    <w:rPr>
                      <w:rFonts w:hint="eastAsia"/>
                      <w:lang w:val="en-US" w:eastAsia="zh-CN"/>
                    </w:rPr>
                    <w:t>900-002-S62</w:t>
                  </w:r>
                </w:p>
              </w:tc>
              <w:tc>
                <w:tcPr>
                  <w:tcW w:w="1335" w:type="dxa"/>
                  <w:vAlign w:val="center"/>
                </w:tcPr>
                <w:p>
                  <w:pPr>
                    <w:pStyle w:val="60"/>
                    <w:bidi w:val="0"/>
                    <w:jc w:val="center"/>
                    <w:rPr>
                      <w:rFonts w:hint="default"/>
                      <w:lang w:val="en-US" w:eastAsia="zh-CN"/>
                    </w:rPr>
                  </w:pPr>
                  <w:r>
                    <w:rPr>
                      <w:rFonts w:hint="eastAsia"/>
                      <w:lang w:val="en-US" w:eastAsia="zh-CN"/>
                    </w:rPr>
                    <w:t>36.5</w:t>
                  </w:r>
                </w:p>
              </w:tc>
              <w:tc>
                <w:tcPr>
                  <w:tcW w:w="1300" w:type="dxa"/>
                  <w:vAlign w:val="center"/>
                </w:tcPr>
                <w:p>
                  <w:pPr>
                    <w:pStyle w:val="60"/>
                    <w:bidi w:val="0"/>
                    <w:jc w:val="center"/>
                    <w:rPr>
                      <w:rFonts w:hint="default"/>
                      <w:lang w:val="en-US" w:eastAsia="zh-CN"/>
                    </w:rPr>
                  </w:pPr>
                  <w:r>
                    <w:rPr>
                      <w:rFonts w:hint="default"/>
                      <w:lang w:val="en-US" w:eastAsia="zh-CN"/>
                    </w:rPr>
                    <w:t>交由环卫部门统一处理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3" w:type="dxa"/>
                  <w:vAlign w:val="center"/>
                </w:tcPr>
                <w:p>
                  <w:pPr>
                    <w:pStyle w:val="60"/>
                    <w:bidi w:val="0"/>
                    <w:jc w:val="center"/>
                    <w:rPr>
                      <w:rFonts w:hint="default"/>
                      <w:lang w:val="en-US" w:eastAsia="zh-CN"/>
                    </w:rPr>
                  </w:pPr>
                  <w:r>
                    <w:rPr>
                      <w:rFonts w:hint="eastAsia"/>
                      <w:lang w:val="en-US" w:eastAsia="zh-CN"/>
                    </w:rPr>
                    <w:t>一般固废</w:t>
                  </w:r>
                </w:p>
              </w:tc>
              <w:tc>
                <w:tcPr>
                  <w:tcW w:w="1313" w:type="dxa"/>
                  <w:shd w:val="clear" w:color="auto" w:fill="auto"/>
                  <w:vAlign w:val="center"/>
                </w:tcPr>
                <w:p>
                  <w:pPr>
                    <w:pStyle w:val="60"/>
                    <w:bidi w:val="0"/>
                    <w:jc w:val="center"/>
                    <w:rPr>
                      <w:rFonts w:hint="eastAsia"/>
                      <w:lang w:val="en-US" w:eastAsia="zh-CN"/>
                    </w:rPr>
                  </w:pPr>
                  <w:r>
                    <w:rPr>
                      <w:rFonts w:hint="eastAsia"/>
                      <w:lang w:val="en-US" w:eastAsia="zh-CN"/>
                    </w:rPr>
                    <w:t>各种药盒、药箱等包装材料及使用说明材料等</w:t>
                  </w:r>
                </w:p>
              </w:tc>
              <w:tc>
                <w:tcPr>
                  <w:tcW w:w="1170" w:type="dxa"/>
                  <w:shd w:val="clear" w:color="auto" w:fill="auto"/>
                  <w:vAlign w:val="center"/>
                </w:tcPr>
                <w:p>
                  <w:pPr>
                    <w:pStyle w:val="60"/>
                    <w:bidi w:val="0"/>
                    <w:jc w:val="center"/>
                    <w:rPr>
                      <w:rFonts w:hint="eastAsia"/>
                      <w:lang w:val="en-US" w:eastAsia="zh-CN"/>
                    </w:rPr>
                  </w:pPr>
                  <w:r>
                    <w:rPr>
                      <w:rFonts w:hint="eastAsia"/>
                      <w:lang w:val="en-US" w:eastAsia="zh-CN"/>
                    </w:rPr>
                    <w:t>SW62</w:t>
                  </w:r>
                </w:p>
              </w:tc>
              <w:tc>
                <w:tcPr>
                  <w:tcW w:w="1755" w:type="dxa"/>
                  <w:shd w:val="clear" w:color="auto" w:fill="auto"/>
                  <w:vAlign w:val="center"/>
                </w:tcPr>
                <w:p>
                  <w:pPr>
                    <w:pStyle w:val="60"/>
                    <w:bidi w:val="0"/>
                    <w:jc w:val="center"/>
                    <w:rPr>
                      <w:rFonts w:hint="eastAsia"/>
                      <w:lang w:val="en-US" w:eastAsia="zh-CN"/>
                    </w:rPr>
                  </w:pPr>
                  <w:r>
                    <w:rPr>
                      <w:rFonts w:hint="eastAsia"/>
                      <w:lang w:val="en-US" w:eastAsia="zh-CN"/>
                    </w:rPr>
                    <w:t>900-001-S62</w:t>
                  </w:r>
                </w:p>
              </w:tc>
              <w:tc>
                <w:tcPr>
                  <w:tcW w:w="1335" w:type="dxa"/>
                  <w:shd w:val="clear" w:color="auto" w:fill="auto"/>
                  <w:vAlign w:val="center"/>
                </w:tcPr>
                <w:p>
                  <w:pPr>
                    <w:pStyle w:val="60"/>
                    <w:bidi w:val="0"/>
                    <w:jc w:val="center"/>
                    <w:rPr>
                      <w:rFonts w:hint="default"/>
                      <w:lang w:val="en-US" w:eastAsia="zh-CN"/>
                    </w:rPr>
                  </w:pPr>
                  <w:r>
                    <w:rPr>
                      <w:rFonts w:hint="eastAsia"/>
                      <w:lang w:val="en-US" w:eastAsia="zh-CN"/>
                    </w:rPr>
                    <w:t>1.5</w:t>
                  </w:r>
                </w:p>
              </w:tc>
              <w:tc>
                <w:tcPr>
                  <w:tcW w:w="1300" w:type="dxa"/>
                  <w:shd w:val="clear" w:color="auto" w:fill="auto"/>
                  <w:vAlign w:val="center"/>
                </w:tcPr>
                <w:p>
                  <w:pPr>
                    <w:pStyle w:val="60"/>
                    <w:bidi w:val="0"/>
                    <w:jc w:val="center"/>
                    <w:rPr>
                      <w:rFonts w:hint="default"/>
                      <w:lang w:val="en-US" w:eastAsia="zh-CN"/>
                    </w:rPr>
                  </w:pPr>
                  <w:r>
                    <w:rPr>
                      <w:rFonts w:hint="default"/>
                      <w:lang w:val="en-US" w:eastAsia="zh-CN"/>
                    </w:rPr>
                    <w:t>外售至物资回收单位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3" w:type="dxa"/>
                  <w:vMerge w:val="restart"/>
                  <w:vAlign w:val="center"/>
                </w:tcPr>
                <w:p>
                  <w:pPr>
                    <w:pStyle w:val="60"/>
                    <w:bidi w:val="0"/>
                    <w:jc w:val="center"/>
                    <w:rPr>
                      <w:rFonts w:hint="default"/>
                      <w:lang w:val="en-US" w:eastAsia="zh-CN"/>
                    </w:rPr>
                  </w:pPr>
                  <w:r>
                    <w:rPr>
                      <w:rFonts w:hint="eastAsia"/>
                      <w:lang w:val="en-US" w:eastAsia="zh-CN"/>
                    </w:rPr>
                    <w:t>危险废物</w:t>
                  </w:r>
                </w:p>
              </w:tc>
              <w:tc>
                <w:tcPr>
                  <w:tcW w:w="1313" w:type="dxa"/>
                  <w:vAlign w:val="center"/>
                </w:tcPr>
                <w:p>
                  <w:pPr>
                    <w:pStyle w:val="60"/>
                    <w:bidi w:val="0"/>
                    <w:jc w:val="center"/>
                    <w:rPr>
                      <w:rFonts w:hint="default"/>
                      <w:lang w:val="en-US" w:eastAsia="zh-CN"/>
                    </w:rPr>
                  </w:pPr>
                  <w:r>
                    <w:rPr>
                      <w:rFonts w:hint="default"/>
                      <w:lang w:val="en-US" w:eastAsia="zh-CN"/>
                    </w:rPr>
                    <w:t>医疗废物</w:t>
                  </w:r>
                </w:p>
              </w:tc>
              <w:tc>
                <w:tcPr>
                  <w:tcW w:w="1170" w:type="dxa"/>
                  <w:vAlign w:val="center"/>
                </w:tcPr>
                <w:p>
                  <w:pPr>
                    <w:pStyle w:val="60"/>
                    <w:bidi w:val="0"/>
                    <w:jc w:val="center"/>
                    <w:rPr>
                      <w:rFonts w:hint="default"/>
                      <w:lang w:val="en-US" w:eastAsia="zh-CN"/>
                    </w:rPr>
                  </w:pPr>
                  <w:r>
                    <w:rPr>
                      <w:rFonts w:hint="default"/>
                      <w:lang w:val="en-US" w:eastAsia="zh-CN"/>
                    </w:rPr>
                    <w:t>HW01</w:t>
                  </w:r>
                </w:p>
              </w:tc>
              <w:tc>
                <w:tcPr>
                  <w:tcW w:w="1755" w:type="dxa"/>
                  <w:vAlign w:val="center"/>
                </w:tcPr>
                <w:p>
                  <w:pPr>
                    <w:pStyle w:val="60"/>
                    <w:bidi w:val="0"/>
                    <w:jc w:val="center"/>
                    <w:rPr>
                      <w:rFonts w:hint="eastAsia"/>
                      <w:lang w:val="en-US" w:eastAsia="zh-CN"/>
                    </w:rPr>
                  </w:pPr>
                  <w:r>
                    <w:rPr>
                      <w:rFonts w:hint="eastAsia"/>
                      <w:lang w:val="en-US" w:eastAsia="zh-CN"/>
                    </w:rPr>
                    <w:t>841-002-01</w:t>
                  </w:r>
                </w:p>
                <w:p>
                  <w:pPr>
                    <w:pStyle w:val="60"/>
                    <w:bidi w:val="0"/>
                    <w:jc w:val="center"/>
                    <w:rPr>
                      <w:rFonts w:hint="eastAsia"/>
                      <w:lang w:val="en-US" w:eastAsia="zh-CN"/>
                    </w:rPr>
                  </w:pPr>
                  <w:r>
                    <w:rPr>
                      <w:rFonts w:hint="eastAsia"/>
                      <w:lang w:val="en-US" w:eastAsia="zh-CN"/>
                    </w:rPr>
                    <w:t>841-003-01</w:t>
                  </w:r>
                </w:p>
                <w:p>
                  <w:pPr>
                    <w:pStyle w:val="60"/>
                    <w:bidi w:val="0"/>
                    <w:jc w:val="center"/>
                    <w:rPr>
                      <w:rFonts w:hint="default"/>
                      <w:lang w:val="en-US" w:eastAsia="zh-CN"/>
                    </w:rPr>
                  </w:pPr>
                  <w:r>
                    <w:rPr>
                      <w:rFonts w:hint="eastAsia"/>
                      <w:lang w:val="en-US" w:eastAsia="zh-CN"/>
                    </w:rPr>
                    <w:t>841-004-01</w:t>
                  </w:r>
                </w:p>
                <w:p>
                  <w:pPr>
                    <w:pStyle w:val="60"/>
                    <w:bidi w:val="0"/>
                    <w:jc w:val="center"/>
                    <w:rPr>
                      <w:rFonts w:hint="default"/>
                      <w:lang w:val="en-US" w:eastAsia="zh-CN"/>
                    </w:rPr>
                  </w:pPr>
                  <w:r>
                    <w:rPr>
                      <w:rFonts w:hint="default"/>
                      <w:lang w:val="en-US" w:eastAsia="zh-CN"/>
                    </w:rPr>
                    <w:t>841-005-01</w:t>
                  </w:r>
                </w:p>
              </w:tc>
              <w:tc>
                <w:tcPr>
                  <w:tcW w:w="1335" w:type="dxa"/>
                  <w:vAlign w:val="center"/>
                </w:tcPr>
                <w:p>
                  <w:pPr>
                    <w:pStyle w:val="60"/>
                    <w:bidi w:val="0"/>
                    <w:jc w:val="center"/>
                    <w:rPr>
                      <w:rFonts w:hint="default"/>
                      <w:lang w:val="en-US" w:eastAsia="zh-CN"/>
                    </w:rPr>
                  </w:pPr>
                  <w:r>
                    <w:rPr>
                      <w:rFonts w:hint="eastAsia"/>
                      <w:lang w:val="en-US" w:eastAsia="zh-CN"/>
                    </w:rPr>
                    <w:t>15.68</w:t>
                  </w:r>
                </w:p>
              </w:tc>
              <w:tc>
                <w:tcPr>
                  <w:tcW w:w="1300" w:type="dxa"/>
                  <w:vMerge w:val="restart"/>
                  <w:vAlign w:val="center"/>
                </w:tcPr>
                <w:p>
                  <w:pPr>
                    <w:pStyle w:val="60"/>
                    <w:bidi w:val="0"/>
                    <w:jc w:val="center"/>
                    <w:rPr>
                      <w:rFonts w:hint="default"/>
                      <w:lang w:val="en-US" w:eastAsia="zh-CN"/>
                    </w:rPr>
                  </w:pPr>
                  <w:r>
                    <w:rPr>
                      <w:rFonts w:hint="default"/>
                      <w:lang w:val="en-US" w:eastAsia="zh-CN"/>
                    </w:rPr>
                    <w:t>委托资质单位进行处置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73" w:type="dxa"/>
                  <w:vMerge w:val="continue"/>
                  <w:vAlign w:val="center"/>
                </w:tcPr>
                <w:p>
                  <w:pPr>
                    <w:pStyle w:val="60"/>
                    <w:bidi w:val="0"/>
                    <w:jc w:val="center"/>
                    <w:rPr>
                      <w:rFonts w:hint="eastAsia"/>
                      <w:lang w:val="en-US" w:eastAsia="zh-CN"/>
                    </w:rPr>
                  </w:pPr>
                </w:p>
              </w:tc>
              <w:tc>
                <w:tcPr>
                  <w:tcW w:w="1313" w:type="dxa"/>
                  <w:vAlign w:val="center"/>
                </w:tcPr>
                <w:p>
                  <w:pPr>
                    <w:pStyle w:val="60"/>
                    <w:bidi w:val="0"/>
                    <w:jc w:val="center"/>
                    <w:rPr>
                      <w:rFonts w:hint="default"/>
                      <w:lang w:val="en-US" w:eastAsia="zh-CN"/>
                    </w:rPr>
                  </w:pPr>
                  <w:r>
                    <w:rPr>
                      <w:rFonts w:hint="eastAsia"/>
                      <w:lang w:eastAsia="zh-CN"/>
                    </w:rPr>
                    <w:t>栅渣</w:t>
                  </w:r>
                </w:p>
              </w:tc>
              <w:tc>
                <w:tcPr>
                  <w:tcW w:w="1170" w:type="dxa"/>
                  <w:vMerge w:val="restart"/>
                  <w:vAlign w:val="center"/>
                </w:tcPr>
                <w:p>
                  <w:pPr>
                    <w:pStyle w:val="60"/>
                    <w:bidi w:val="0"/>
                    <w:jc w:val="center"/>
                    <w:rPr>
                      <w:rFonts w:hint="default"/>
                      <w:lang w:val="en-US" w:eastAsia="zh-CN"/>
                    </w:rPr>
                  </w:pPr>
                  <w:r>
                    <w:rPr>
                      <w:rFonts w:hint="eastAsia"/>
                      <w:lang w:val="en-US" w:eastAsia="zh-CN"/>
                    </w:rPr>
                    <w:t>HW49</w:t>
                  </w:r>
                </w:p>
              </w:tc>
              <w:tc>
                <w:tcPr>
                  <w:tcW w:w="1755" w:type="dxa"/>
                  <w:vMerge w:val="restart"/>
                  <w:vAlign w:val="center"/>
                </w:tcPr>
                <w:p>
                  <w:pPr>
                    <w:pStyle w:val="60"/>
                    <w:bidi w:val="0"/>
                    <w:jc w:val="center"/>
                    <w:rPr>
                      <w:rFonts w:hint="default"/>
                      <w:lang w:val="en-US" w:eastAsia="zh-CN"/>
                    </w:rPr>
                  </w:pPr>
                  <w:r>
                    <w:rPr>
                      <w:rFonts w:hint="default"/>
                      <w:lang w:val="en-US" w:eastAsia="zh-CN"/>
                    </w:rPr>
                    <w:t>772-006-49</w:t>
                  </w:r>
                </w:p>
              </w:tc>
              <w:tc>
                <w:tcPr>
                  <w:tcW w:w="1335" w:type="dxa"/>
                  <w:vAlign w:val="center"/>
                </w:tcPr>
                <w:p>
                  <w:pPr>
                    <w:pStyle w:val="60"/>
                    <w:bidi w:val="0"/>
                    <w:jc w:val="center"/>
                    <w:rPr>
                      <w:rFonts w:hint="default"/>
                      <w:lang w:val="en-US" w:eastAsia="zh-CN"/>
                    </w:rPr>
                  </w:pPr>
                  <w:r>
                    <w:rPr>
                      <w:rFonts w:hint="eastAsia"/>
                      <w:lang w:val="en-US" w:eastAsia="zh-CN"/>
                    </w:rPr>
                    <w:t>2.339</w:t>
                  </w:r>
                </w:p>
              </w:tc>
              <w:tc>
                <w:tcPr>
                  <w:tcW w:w="1300" w:type="dxa"/>
                  <w:vMerge w:val="continue"/>
                  <w:vAlign w:val="center"/>
                </w:tcPr>
                <w:p>
                  <w:pPr>
                    <w:pStyle w:val="60"/>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vMerge w:val="continue"/>
                  <w:vAlign w:val="center"/>
                </w:tcPr>
                <w:p>
                  <w:pPr>
                    <w:pStyle w:val="60"/>
                    <w:bidi w:val="0"/>
                    <w:jc w:val="center"/>
                    <w:rPr>
                      <w:rFonts w:hint="eastAsia"/>
                      <w:lang w:val="en-US" w:eastAsia="zh-CN"/>
                    </w:rPr>
                  </w:pPr>
                </w:p>
              </w:tc>
              <w:tc>
                <w:tcPr>
                  <w:tcW w:w="1313" w:type="dxa"/>
                  <w:vAlign w:val="center"/>
                </w:tcPr>
                <w:p>
                  <w:pPr>
                    <w:pStyle w:val="60"/>
                    <w:bidi w:val="0"/>
                    <w:jc w:val="center"/>
                    <w:rPr>
                      <w:rFonts w:hint="default"/>
                      <w:lang w:val="en-US" w:eastAsia="zh-CN"/>
                    </w:rPr>
                  </w:pPr>
                  <w:r>
                    <w:rPr>
                      <w:rFonts w:hint="eastAsia"/>
                      <w:lang w:val="en-US" w:eastAsia="zh-CN"/>
                    </w:rPr>
                    <w:t>污水处理站污泥</w:t>
                  </w:r>
                </w:p>
              </w:tc>
              <w:tc>
                <w:tcPr>
                  <w:tcW w:w="1170" w:type="dxa"/>
                  <w:vMerge w:val="continue"/>
                  <w:vAlign w:val="center"/>
                </w:tcPr>
                <w:p>
                  <w:pPr>
                    <w:pStyle w:val="60"/>
                    <w:bidi w:val="0"/>
                    <w:jc w:val="center"/>
                    <w:rPr>
                      <w:rFonts w:hint="default"/>
                      <w:lang w:val="en-US" w:eastAsia="zh-CN"/>
                    </w:rPr>
                  </w:pPr>
                </w:p>
              </w:tc>
              <w:tc>
                <w:tcPr>
                  <w:tcW w:w="1755" w:type="dxa"/>
                  <w:vMerge w:val="continue"/>
                  <w:vAlign w:val="center"/>
                </w:tcPr>
                <w:p>
                  <w:pPr>
                    <w:pStyle w:val="60"/>
                    <w:bidi w:val="0"/>
                    <w:jc w:val="center"/>
                    <w:rPr>
                      <w:rFonts w:hint="default"/>
                      <w:lang w:val="en-US" w:eastAsia="zh-CN"/>
                    </w:rPr>
                  </w:pPr>
                </w:p>
              </w:tc>
              <w:tc>
                <w:tcPr>
                  <w:tcW w:w="1335" w:type="dxa"/>
                  <w:vAlign w:val="center"/>
                </w:tcPr>
                <w:p>
                  <w:pPr>
                    <w:pStyle w:val="60"/>
                    <w:bidi w:val="0"/>
                    <w:jc w:val="center"/>
                    <w:rPr>
                      <w:rFonts w:hint="default"/>
                      <w:lang w:val="en-US" w:eastAsia="zh-CN"/>
                    </w:rPr>
                  </w:pPr>
                  <w:r>
                    <w:rPr>
                      <w:rFonts w:hint="eastAsia"/>
                      <w:lang w:val="en-US" w:eastAsia="zh-CN"/>
                    </w:rPr>
                    <w:t>2.808</w:t>
                  </w:r>
                </w:p>
              </w:tc>
              <w:tc>
                <w:tcPr>
                  <w:tcW w:w="1300" w:type="dxa"/>
                  <w:vMerge w:val="continue"/>
                  <w:vAlign w:val="center"/>
                </w:tcPr>
                <w:p>
                  <w:pPr>
                    <w:pStyle w:val="60"/>
                    <w:bidi w:val="0"/>
                    <w:jc w:val="center"/>
                    <w:rPr>
                      <w:rFonts w:hint="default"/>
                      <w:lang w:val="en-US" w:eastAsia="zh-CN"/>
                    </w:rPr>
                  </w:pPr>
                </w:p>
              </w:tc>
            </w:tr>
          </w:tbl>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4.2依托现有医疗废物贮存库可行性分析</w:t>
            </w:r>
          </w:p>
          <w:p>
            <w:pPr>
              <w:pStyle w:val="58"/>
              <w:bidi w:val="0"/>
              <w:rPr>
                <w:rFonts w:hint="default"/>
                <w:lang w:val="en-US" w:eastAsia="zh-CN"/>
              </w:rPr>
            </w:pPr>
            <w:r>
              <w:rPr>
                <w:rFonts w:hint="default"/>
                <w:lang w:val="en-US" w:eastAsia="zh-CN"/>
              </w:rPr>
              <w:t>建设单位现有</w:t>
            </w:r>
            <w:r>
              <w:rPr>
                <w:rFonts w:hint="eastAsia"/>
                <w:lang w:val="en-US" w:eastAsia="zh-CN"/>
              </w:rPr>
              <w:t>2#医疗废物贮存库</w:t>
            </w:r>
            <w:r>
              <w:rPr>
                <w:rFonts w:hint="default"/>
                <w:lang w:val="en-US" w:eastAsia="zh-CN"/>
              </w:rPr>
              <w:t>，建筑面积</w:t>
            </w:r>
            <w:r>
              <w:rPr>
                <w:rFonts w:hint="eastAsia"/>
                <w:lang w:val="en-US" w:eastAsia="zh-CN"/>
              </w:rPr>
              <w:t>为</w:t>
            </w:r>
            <w:r>
              <w:rPr>
                <w:rFonts w:hint="default"/>
                <w:lang w:val="en-US" w:eastAsia="zh-CN"/>
              </w:rPr>
              <w:t>75m</w:t>
            </w:r>
            <w:r>
              <w:rPr>
                <w:rFonts w:hint="default"/>
                <w:vertAlign w:val="superscript"/>
                <w:lang w:val="en-US" w:eastAsia="zh-CN"/>
              </w:rPr>
              <w:t>2</w:t>
            </w:r>
            <w:r>
              <w:rPr>
                <w:rFonts w:hint="default"/>
                <w:lang w:val="en-US" w:eastAsia="zh-CN"/>
              </w:rPr>
              <w:t>，现有</w:t>
            </w:r>
            <w:r>
              <w:rPr>
                <w:rFonts w:hint="eastAsia"/>
                <w:lang w:val="en-US" w:eastAsia="zh-CN"/>
              </w:rPr>
              <w:t>医疗废物贮存库</w:t>
            </w:r>
            <w:r>
              <w:rPr>
                <w:rFonts w:hint="default"/>
                <w:lang w:val="en-US" w:eastAsia="zh-CN"/>
              </w:rPr>
              <w:t>内医疗废物每日进行清运，日常使用不到可用空间的30%，</w:t>
            </w:r>
            <w:r>
              <w:rPr>
                <w:rFonts w:hint="eastAsia"/>
                <w:lang w:val="en-US" w:eastAsia="zh-CN"/>
              </w:rPr>
              <w:t>医疗废物贮存库剩余空间</w:t>
            </w:r>
            <w:r>
              <w:rPr>
                <w:rFonts w:hint="default"/>
                <w:lang w:val="en-US" w:eastAsia="zh-CN"/>
              </w:rPr>
              <w:t>可满足本项目医疗废物的容积需求。因此，采取措施后，本项目医疗废物分类收集后依托医院现有</w:t>
            </w:r>
            <w:r>
              <w:rPr>
                <w:rFonts w:hint="eastAsia"/>
                <w:lang w:val="en-US" w:eastAsia="zh-CN"/>
              </w:rPr>
              <w:t>医疗废物贮存库</w:t>
            </w:r>
            <w:r>
              <w:rPr>
                <w:rFonts w:hint="default"/>
                <w:lang w:val="en-US" w:eastAsia="zh-CN"/>
              </w:rPr>
              <w:t>暂存是可行的。</w:t>
            </w:r>
          </w:p>
          <w:p>
            <w:pPr>
              <w:pStyle w:val="58"/>
              <w:bidi w:val="0"/>
              <w:rPr>
                <w:rFonts w:hint="default"/>
                <w:lang w:val="en-US" w:eastAsia="zh-CN"/>
              </w:rPr>
            </w:pPr>
            <w:r>
              <w:rPr>
                <w:rFonts w:hint="default"/>
                <w:lang w:val="en-US" w:eastAsia="zh-CN"/>
              </w:rPr>
              <w:t>①对</w:t>
            </w:r>
            <w:r>
              <w:rPr>
                <w:rFonts w:hint="eastAsia"/>
                <w:lang w:val="en-US" w:eastAsia="zh-CN"/>
              </w:rPr>
              <w:t>医疗废物贮存库</w:t>
            </w:r>
            <w:r>
              <w:rPr>
                <w:rFonts w:hint="default"/>
                <w:lang w:val="en-US" w:eastAsia="zh-CN"/>
              </w:rPr>
              <w:t>的要求</w:t>
            </w:r>
          </w:p>
          <w:p>
            <w:pPr>
              <w:pStyle w:val="58"/>
              <w:bidi w:val="0"/>
              <w:rPr>
                <w:rFonts w:hint="default"/>
                <w:lang w:val="en-US" w:eastAsia="zh-CN"/>
              </w:rPr>
            </w:pPr>
            <w:r>
              <w:rPr>
                <w:rFonts w:hint="default"/>
                <w:lang w:val="en-US" w:eastAsia="zh-CN"/>
              </w:rPr>
              <w:t>本项目</w:t>
            </w:r>
            <w:r>
              <w:rPr>
                <w:rFonts w:hint="eastAsia"/>
                <w:lang w:val="en-US" w:eastAsia="zh-CN"/>
              </w:rPr>
              <w:t>医疗废物</w:t>
            </w:r>
            <w:r>
              <w:rPr>
                <w:rFonts w:hint="default"/>
                <w:lang w:val="en-US" w:eastAsia="zh-CN"/>
              </w:rPr>
              <w:t>必须装入专用容器储存，禁止将</w:t>
            </w:r>
            <w:r>
              <w:rPr>
                <w:rFonts w:hint="eastAsia"/>
                <w:lang w:val="en-US" w:eastAsia="zh-CN"/>
              </w:rPr>
              <w:t>不相容</w:t>
            </w:r>
            <w:r>
              <w:rPr>
                <w:rFonts w:hint="default"/>
                <w:lang w:val="en-US" w:eastAsia="zh-CN"/>
              </w:rPr>
              <w:t>（相互反应）的</w:t>
            </w:r>
            <w:r>
              <w:rPr>
                <w:rFonts w:hint="eastAsia"/>
                <w:lang w:val="en-US" w:eastAsia="zh-CN"/>
              </w:rPr>
              <w:t>医疗废物</w:t>
            </w:r>
            <w:r>
              <w:rPr>
                <w:rFonts w:hint="default"/>
                <w:lang w:val="en-US" w:eastAsia="zh-CN"/>
              </w:rPr>
              <w:t>在同一容器内混装。容器上必须粘贴符合规定的标签，容器内须留足够空间，装载有</w:t>
            </w:r>
            <w:r>
              <w:rPr>
                <w:rFonts w:hint="eastAsia"/>
                <w:lang w:val="en-US" w:eastAsia="zh-CN"/>
              </w:rPr>
              <w:t>医疗废物</w:t>
            </w:r>
            <w:r>
              <w:rPr>
                <w:rFonts w:hint="default"/>
                <w:lang w:val="en-US" w:eastAsia="zh-CN"/>
              </w:rPr>
              <w:t>的容器必须完好无损。盛装有</w:t>
            </w:r>
            <w:r>
              <w:rPr>
                <w:rFonts w:hint="eastAsia"/>
                <w:lang w:val="en-US" w:eastAsia="zh-CN"/>
              </w:rPr>
              <w:t>医疗废物</w:t>
            </w:r>
            <w:r>
              <w:rPr>
                <w:rFonts w:hint="default"/>
                <w:lang w:val="en-US" w:eastAsia="zh-CN"/>
              </w:rPr>
              <w:t>的容器材质和衬里要与所装的危险废物相容（不相互反应）。</w:t>
            </w:r>
            <w:r>
              <w:rPr>
                <w:rFonts w:hint="eastAsia"/>
                <w:lang w:val="en-US" w:eastAsia="zh-CN"/>
              </w:rPr>
              <w:t>医疗废物贮存库</w:t>
            </w:r>
            <w:r>
              <w:rPr>
                <w:rFonts w:hint="default"/>
                <w:lang w:val="en-US" w:eastAsia="zh-CN"/>
              </w:rPr>
              <w:t>地面必须经过硬化防渗处理。</w:t>
            </w:r>
          </w:p>
          <w:p>
            <w:pPr>
              <w:pStyle w:val="58"/>
              <w:bidi w:val="0"/>
              <w:rPr>
                <w:rFonts w:hint="default"/>
                <w:lang w:val="en-US" w:eastAsia="zh-CN"/>
              </w:rPr>
            </w:pPr>
            <w:r>
              <w:rPr>
                <w:rFonts w:hint="default"/>
                <w:lang w:val="en-US" w:eastAsia="zh-CN"/>
              </w:rPr>
              <w:t>②医疗废物</w:t>
            </w:r>
            <w:r>
              <w:rPr>
                <w:rFonts w:hint="eastAsia"/>
                <w:lang w:val="en-US" w:eastAsia="zh-CN"/>
              </w:rPr>
              <w:t>收集、运送、贮存、处置要求</w:t>
            </w:r>
          </w:p>
          <w:p>
            <w:pPr>
              <w:pStyle w:val="58"/>
              <w:bidi w:val="0"/>
              <w:rPr>
                <w:rFonts w:hint="eastAsia"/>
                <w:lang w:val="en-US" w:eastAsia="zh-CN"/>
              </w:rPr>
            </w:pPr>
            <w:r>
              <w:rPr>
                <w:rFonts w:hint="eastAsia"/>
                <w:lang w:val="en-US" w:eastAsia="zh-CN"/>
              </w:rPr>
              <w:t>根据《医疗废物管理条例》（2011-10-17），本项目医疗废物收集至医疗废物贮存库内，并按照类别分置于防渗漏、防锐器穿透的专用包装物或者密闭的容器内，医疗废物专用包装物、容器，有明显的警示标识和警示说明。本医院使用防渗漏、防遗撒的专用运送工具，按照本单位确定的内部医疗废物运送时间、路线，将医疗废物收集、运送至医疗废物暂存设施内，并对运送工具及时消毒和清洁。本项目医疗废物交由库尔勒天达环卫有限公司进行处置（处置单位具有符合环境保护和卫生要求的医疗废物贮存、处置设施或者设备；具有经过培训的技术人员以及相应的技术工人；具有保证医疗废物安全处置的规章制度），医疗废物集中处置符合国家规定的环境保护、卫生标准、规范。并且本单位和库尔勒天达环卫有限公司，会对医疗废物进行登记，登记内容包括医疗废物的来源、种类、重量或者数量、交接时间、处置方法、最终去向以及经办人签名等项目。登记资料至少保存3年。</w:t>
            </w:r>
          </w:p>
          <w:p>
            <w:pPr>
              <w:pStyle w:val="58"/>
              <w:bidi w:val="0"/>
              <w:rPr>
                <w:rFonts w:hint="default"/>
                <w:lang w:val="en-US" w:eastAsia="zh-CN"/>
              </w:rPr>
            </w:pPr>
            <w:r>
              <w:rPr>
                <w:rFonts w:hint="default"/>
                <w:lang w:val="en-US" w:eastAsia="zh-CN"/>
              </w:rPr>
              <w:t>③</w:t>
            </w:r>
            <w:r>
              <w:rPr>
                <w:rFonts w:hint="eastAsia"/>
                <w:lang w:val="en-US" w:eastAsia="zh-CN"/>
              </w:rPr>
              <w:t>选址、污染控制可行性分析</w:t>
            </w:r>
          </w:p>
          <w:p>
            <w:pPr>
              <w:pStyle w:val="58"/>
              <w:bidi w:val="0"/>
              <w:rPr>
                <w:rFonts w:hint="eastAsia"/>
                <w:lang w:val="en-US" w:eastAsia="zh-CN"/>
              </w:rPr>
            </w:pPr>
            <w:r>
              <w:rPr>
                <w:rFonts w:hint="eastAsia"/>
                <w:lang w:val="en-US" w:eastAsia="zh-CN"/>
              </w:rPr>
              <w:t>根据《危险废物贮存污染控制标准》（GB18597-2023）中的相关要求，</w:t>
            </w:r>
          </w:p>
          <w:p>
            <w:pPr>
              <w:pStyle w:val="58"/>
              <w:bidi w:val="0"/>
              <w:ind w:left="0" w:leftChars="0" w:firstLine="0" w:firstLineChars="0"/>
              <w:rPr>
                <w:rFonts w:hint="eastAsia"/>
                <w:lang w:val="en-US" w:eastAsia="zh-CN"/>
              </w:rPr>
            </w:pPr>
            <w:r>
              <w:rPr>
                <w:rFonts w:hint="eastAsia"/>
                <w:lang w:val="en-US" w:eastAsia="zh-CN"/>
              </w:rPr>
              <w:t>医疗废物贮存库选址满足生态环境保护法律法规、规划和“三线一单”生态环境分区管控的要求；未建设在生态保护红线区域、永久基本农田和其他需要特别保护的区域内，未建设在溶洞区或易遭受洪水、滑坡、泥石流、潮汐等严重自然灾害影响的地区；未建设在江河、湖泊、运河、渠道、水库及其最高水位线以下的滩地和岸坡，以及法律法规规定禁止贮存危险废物的其他地点。</w:t>
            </w:r>
          </w:p>
          <w:p>
            <w:pPr>
              <w:pStyle w:val="58"/>
              <w:bidi w:val="0"/>
              <w:rPr>
                <w:rFonts w:hint="default"/>
                <w:lang w:val="en-US" w:eastAsia="zh-CN"/>
              </w:rPr>
            </w:pPr>
            <w:r>
              <w:rPr>
                <w:rFonts w:hint="eastAsia"/>
                <w:lang w:val="en-US" w:eastAsia="zh-CN"/>
              </w:rPr>
              <w:t>医疗废物贮存库</w:t>
            </w:r>
            <w:r>
              <w:rPr>
                <w:rFonts w:hint="default"/>
                <w:lang w:val="en-US" w:eastAsia="zh-CN"/>
              </w:rPr>
              <w:t>根据</w:t>
            </w:r>
            <w:r>
              <w:rPr>
                <w:rFonts w:hint="eastAsia"/>
                <w:lang w:val="en-US" w:eastAsia="zh-CN"/>
              </w:rPr>
              <w:t>医疗废物</w:t>
            </w:r>
            <w:r>
              <w:rPr>
                <w:rFonts w:hint="default"/>
                <w:lang w:val="en-US" w:eastAsia="zh-CN"/>
              </w:rPr>
              <w:t>的形态、物理化学性质、包装形式和污染物迁移途径，采取防风、防晒、防雨、防漏、防渗、防腐的污染防治措施；</w:t>
            </w:r>
            <w:r>
              <w:rPr>
                <w:rFonts w:hint="eastAsia"/>
                <w:lang w:val="en-US" w:eastAsia="zh-CN"/>
              </w:rPr>
              <w:t>医疗废物贮存库</w:t>
            </w:r>
            <w:r>
              <w:rPr>
                <w:rFonts w:hint="default"/>
                <w:lang w:val="en-US" w:eastAsia="zh-CN"/>
              </w:rPr>
              <w:t>设置贮存分区，避免不相容的危险废物接触、混合；的墙体采用坚固的材料建造，表面无裂缝；</w:t>
            </w:r>
            <w:r>
              <w:rPr>
                <w:rFonts w:hint="eastAsia"/>
                <w:lang w:val="en-US" w:eastAsia="zh-CN"/>
              </w:rPr>
              <w:t>医疗废物贮存库</w:t>
            </w:r>
            <w:r>
              <w:rPr>
                <w:rFonts w:hint="default"/>
                <w:lang w:val="en-US" w:eastAsia="zh-CN"/>
              </w:rPr>
              <w:t>地面与裙角使用环氧树脂防渗性材料，从而达到表面防渗的效果，渗透系数不大于10</w:t>
            </w:r>
            <w:r>
              <w:rPr>
                <w:rFonts w:hint="default"/>
                <w:vertAlign w:val="superscript"/>
                <w:lang w:val="en-US" w:eastAsia="zh-CN"/>
              </w:rPr>
              <w:t>-7</w:t>
            </w:r>
            <w:r>
              <w:rPr>
                <w:rFonts w:hint="default"/>
                <w:lang w:val="en-US" w:eastAsia="zh-CN"/>
              </w:rPr>
              <w:t>cm/s。</w:t>
            </w:r>
            <w:r>
              <w:rPr>
                <w:rFonts w:hint="eastAsia"/>
                <w:lang w:val="en-US" w:eastAsia="zh-CN"/>
              </w:rPr>
              <w:t>医疗废物贮存库</w:t>
            </w:r>
            <w:r>
              <w:rPr>
                <w:rFonts w:hint="default"/>
                <w:lang w:val="en-US" w:eastAsia="zh-CN"/>
              </w:rPr>
              <w:t>满足《危险废物贮存污染控制标准》（GB18597-2023）中贮存设施污染控制的要求，</w:t>
            </w:r>
            <w:r>
              <w:rPr>
                <w:rFonts w:hint="eastAsia"/>
                <w:lang w:val="en-US" w:eastAsia="zh-CN"/>
              </w:rPr>
              <w:t>医疗</w:t>
            </w:r>
            <w:r>
              <w:rPr>
                <w:rFonts w:hint="default"/>
                <w:lang w:val="en-US" w:eastAsia="zh-CN"/>
              </w:rPr>
              <w:t>废物贮存间</w:t>
            </w:r>
            <w:r>
              <w:rPr>
                <w:rFonts w:hint="eastAsia"/>
                <w:lang w:val="en-US" w:eastAsia="zh-CN"/>
              </w:rPr>
              <w:t>选址、</w:t>
            </w:r>
            <w:r>
              <w:rPr>
                <w:rFonts w:hint="default"/>
                <w:lang w:val="en-US" w:eastAsia="zh-CN"/>
              </w:rPr>
              <w:t>污染控制可行。</w:t>
            </w:r>
          </w:p>
          <w:p>
            <w:pPr>
              <w:pStyle w:val="58"/>
              <w:bidi w:val="0"/>
              <w:rPr>
                <w:rFonts w:hint="default"/>
                <w:lang w:val="en-US" w:eastAsia="zh-CN"/>
              </w:rPr>
            </w:pPr>
            <w:r>
              <w:rPr>
                <w:rFonts w:hint="default"/>
                <w:lang w:val="en-US" w:eastAsia="zh-CN"/>
              </w:rPr>
              <w:t>建设单位认真落实上述处置方法，项目固体废弃物对周围环境不会产生明显影响。</w:t>
            </w:r>
          </w:p>
          <w:p>
            <w:pPr>
              <w:pStyle w:val="64"/>
              <w:bidi w:val="0"/>
              <w:rPr>
                <w:rFonts w:hint="eastAsia"/>
                <w:highlight w:val="none"/>
                <w:lang w:val="en-US" w:eastAsia="zh-CN"/>
              </w:rPr>
            </w:pPr>
            <w:r>
              <w:rPr>
                <w:rFonts w:hint="eastAsia"/>
                <w:lang w:val="en-US" w:eastAsia="zh-CN"/>
              </w:rPr>
              <w:t>5</w:t>
            </w:r>
            <w:r>
              <w:rPr>
                <w:rFonts w:hint="eastAsia"/>
                <w:highlight w:val="none"/>
                <w:lang w:val="en-US" w:eastAsia="zh-CN"/>
              </w:rPr>
              <w:t>地下水、土壤环境影响分析</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eastAsia"/>
                <w:lang w:val="en-US" w:eastAsia="zh-CN"/>
              </w:rPr>
              <w:t>控制措施：为防止项目运行期间废水渗入地下，对项目区土壤及地下水造成影响，应对项目区实施分区防渗措施。污水处理站和医疗废物贮存间为重点防渗；住院区、门诊医疗区，道路等为简单防渗区。本项目地下水、土壤污染环节及污染防</w:t>
            </w:r>
            <w:r>
              <w:rPr>
                <w:rFonts w:hint="eastAsia"/>
                <w:sz w:val="24"/>
                <w:szCs w:val="24"/>
                <w:lang w:val="en-US" w:eastAsia="zh-CN"/>
              </w:rPr>
              <w:t>控措施见下表4-7。</w:t>
            </w:r>
          </w:p>
          <w:p>
            <w:pPr>
              <w:pStyle w:val="59"/>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sz w:val="24"/>
                <w:szCs w:val="24"/>
                <w:lang w:val="en-US" w:eastAsia="zh-CN"/>
              </w:rPr>
            </w:pPr>
            <w:r>
              <w:rPr>
                <w:rFonts w:hint="eastAsia"/>
                <w:sz w:val="24"/>
                <w:szCs w:val="24"/>
                <w:lang w:val="en-US" w:eastAsia="zh-CN"/>
              </w:rPr>
              <w:t>表4-7    地下水、土壤污染环节及污染防控措施一览表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346"/>
              <w:gridCol w:w="2027"/>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pStyle w:val="60"/>
                    <w:bidi w:val="0"/>
                    <w:rPr>
                      <w:rFonts w:hint="default"/>
                      <w:lang w:val="en-US" w:eastAsia="zh-CN"/>
                    </w:rPr>
                  </w:pPr>
                  <w:r>
                    <w:rPr>
                      <w:rFonts w:hint="eastAsia"/>
                      <w:lang w:val="en-US" w:eastAsia="zh-CN"/>
                    </w:rPr>
                    <w:t>序号</w:t>
                  </w:r>
                </w:p>
              </w:tc>
              <w:tc>
                <w:tcPr>
                  <w:tcW w:w="823" w:type="pct"/>
                  <w:noWrap w:val="0"/>
                  <w:vAlign w:val="center"/>
                </w:tcPr>
                <w:p>
                  <w:pPr>
                    <w:pStyle w:val="60"/>
                    <w:bidi w:val="0"/>
                    <w:rPr>
                      <w:rFonts w:hint="eastAsia"/>
                      <w:lang w:val="en-US" w:eastAsia="zh-CN"/>
                    </w:rPr>
                  </w:pPr>
                  <w:r>
                    <w:rPr>
                      <w:rFonts w:hint="eastAsia"/>
                      <w:lang w:val="en-US" w:eastAsia="zh-CN"/>
                    </w:rPr>
                    <w:t>污染防控类别</w:t>
                  </w:r>
                </w:p>
              </w:tc>
              <w:tc>
                <w:tcPr>
                  <w:tcW w:w="1239" w:type="pct"/>
                  <w:noWrap w:val="0"/>
                  <w:vAlign w:val="center"/>
                </w:tcPr>
                <w:p>
                  <w:pPr>
                    <w:pStyle w:val="60"/>
                    <w:bidi w:val="0"/>
                    <w:rPr>
                      <w:rFonts w:hint="default"/>
                      <w:lang w:val="en-US" w:eastAsia="zh-CN"/>
                    </w:rPr>
                  </w:pPr>
                  <w:r>
                    <w:rPr>
                      <w:rFonts w:hint="eastAsia"/>
                      <w:lang w:val="en-US" w:eastAsia="zh-CN"/>
                    </w:rPr>
                    <w:t>污染环节</w:t>
                  </w:r>
                </w:p>
              </w:tc>
              <w:tc>
                <w:tcPr>
                  <w:tcW w:w="2589" w:type="pct"/>
                  <w:noWrap w:val="0"/>
                  <w:vAlign w:val="center"/>
                </w:tcPr>
                <w:p>
                  <w:pPr>
                    <w:pStyle w:val="60"/>
                    <w:bidi w:val="0"/>
                    <w:rPr>
                      <w:rFonts w:hint="default"/>
                      <w:lang w:val="en-US" w:eastAsia="zh-CN"/>
                    </w:rPr>
                  </w:pPr>
                  <w:r>
                    <w:rPr>
                      <w:rFonts w:hint="eastAsia"/>
                      <w:lang w:val="en-US" w:eastAsia="zh-CN"/>
                    </w:rPr>
                    <w:t>污染防控措施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47" w:type="pct"/>
                  <w:noWrap w:val="0"/>
                  <w:vAlign w:val="center"/>
                </w:tcPr>
                <w:p>
                  <w:pPr>
                    <w:pStyle w:val="60"/>
                    <w:bidi w:val="0"/>
                    <w:rPr>
                      <w:rFonts w:hint="default"/>
                      <w:lang w:val="en-US" w:eastAsia="zh-CN"/>
                    </w:rPr>
                  </w:pPr>
                  <w:r>
                    <w:rPr>
                      <w:rFonts w:hint="eastAsia"/>
                      <w:lang w:val="en-US" w:eastAsia="zh-CN"/>
                    </w:rPr>
                    <w:t>1</w:t>
                  </w:r>
                </w:p>
              </w:tc>
              <w:tc>
                <w:tcPr>
                  <w:tcW w:w="823" w:type="pct"/>
                  <w:noWrap w:val="0"/>
                  <w:vAlign w:val="center"/>
                </w:tcPr>
                <w:p>
                  <w:pPr>
                    <w:pStyle w:val="60"/>
                    <w:bidi w:val="0"/>
                    <w:rPr>
                      <w:rFonts w:hint="default"/>
                      <w:lang w:val="en-US" w:eastAsia="zh-CN"/>
                    </w:rPr>
                  </w:pPr>
                  <w:r>
                    <w:rPr>
                      <w:rFonts w:hint="eastAsia"/>
                      <w:lang w:val="en-US" w:eastAsia="zh-CN"/>
                    </w:rPr>
                    <w:t>简单防渗区</w:t>
                  </w:r>
                </w:p>
              </w:tc>
              <w:tc>
                <w:tcPr>
                  <w:tcW w:w="1239" w:type="pct"/>
                  <w:noWrap w:val="0"/>
                  <w:vAlign w:val="center"/>
                </w:tcPr>
                <w:p>
                  <w:pPr>
                    <w:pStyle w:val="60"/>
                    <w:bidi w:val="0"/>
                    <w:rPr>
                      <w:rFonts w:hint="default"/>
                      <w:lang w:val="en-US" w:eastAsia="zh-CN"/>
                    </w:rPr>
                  </w:pPr>
                  <w:r>
                    <w:rPr>
                      <w:rFonts w:hint="eastAsia"/>
                      <w:lang w:val="en-US" w:eastAsia="zh-CN"/>
                    </w:rPr>
                    <w:t>住院区、医技区、道路</w:t>
                  </w:r>
                </w:p>
              </w:tc>
              <w:tc>
                <w:tcPr>
                  <w:tcW w:w="2589" w:type="pct"/>
                  <w:noWrap w:val="0"/>
                  <w:vAlign w:val="center"/>
                </w:tcPr>
                <w:p>
                  <w:pPr>
                    <w:pStyle w:val="60"/>
                    <w:bidi w:val="0"/>
                    <w:rPr>
                      <w:rFonts w:hint="default"/>
                      <w:lang w:val="en-US" w:eastAsia="zh-CN"/>
                    </w:rPr>
                  </w:pPr>
                  <w:r>
                    <w:rPr>
                      <w:rFonts w:hint="eastAsia"/>
                      <w:lang w:val="en-US" w:eastAsia="zh-CN"/>
                    </w:rPr>
                    <w:t>地面硬化。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noWrap w:val="0"/>
                  <w:vAlign w:val="center"/>
                </w:tcPr>
                <w:p>
                  <w:pPr>
                    <w:pStyle w:val="60"/>
                    <w:bidi w:val="0"/>
                    <w:rPr>
                      <w:rFonts w:hint="default"/>
                      <w:lang w:val="en-US" w:eastAsia="zh-CN"/>
                    </w:rPr>
                  </w:pPr>
                  <w:r>
                    <w:rPr>
                      <w:rFonts w:hint="eastAsia"/>
                      <w:lang w:val="en-US" w:eastAsia="zh-CN"/>
                    </w:rPr>
                    <w:t>2</w:t>
                  </w:r>
                </w:p>
              </w:tc>
              <w:tc>
                <w:tcPr>
                  <w:tcW w:w="823" w:type="pct"/>
                  <w:noWrap w:val="0"/>
                  <w:vAlign w:val="center"/>
                </w:tcPr>
                <w:p>
                  <w:pPr>
                    <w:pStyle w:val="60"/>
                    <w:bidi w:val="0"/>
                    <w:rPr>
                      <w:rFonts w:hint="default"/>
                      <w:lang w:val="en-US" w:eastAsia="zh-CN"/>
                    </w:rPr>
                  </w:pPr>
                  <w:r>
                    <w:rPr>
                      <w:rFonts w:hint="eastAsia"/>
                      <w:lang w:val="en-US" w:eastAsia="zh-CN"/>
                    </w:rPr>
                    <w:t>重点防渗区</w:t>
                  </w:r>
                </w:p>
              </w:tc>
              <w:tc>
                <w:tcPr>
                  <w:tcW w:w="1239" w:type="pct"/>
                  <w:noWrap w:val="0"/>
                  <w:vAlign w:val="center"/>
                </w:tcPr>
                <w:p>
                  <w:pPr>
                    <w:pStyle w:val="60"/>
                    <w:bidi w:val="0"/>
                    <w:rPr>
                      <w:rFonts w:hint="default"/>
                      <w:lang w:val="en-US" w:eastAsia="zh-CN"/>
                    </w:rPr>
                  </w:pPr>
                  <w:r>
                    <w:rPr>
                      <w:rFonts w:hint="default"/>
                      <w:lang w:val="en-US" w:eastAsia="zh-CN"/>
                    </w:rPr>
                    <w:t>污水处理站、</w:t>
                  </w:r>
                  <w:r>
                    <w:rPr>
                      <w:rFonts w:hint="eastAsia"/>
                      <w:lang w:val="en-US" w:eastAsia="zh-CN"/>
                    </w:rPr>
                    <w:t>医疗废物贮存库</w:t>
                  </w:r>
                </w:p>
              </w:tc>
              <w:tc>
                <w:tcPr>
                  <w:tcW w:w="2589" w:type="pct"/>
                  <w:noWrap w:val="0"/>
                  <w:vAlign w:val="center"/>
                </w:tcPr>
                <w:p>
                  <w:pPr>
                    <w:pStyle w:val="60"/>
                    <w:bidi w:val="0"/>
                    <w:rPr>
                      <w:rFonts w:hint="default"/>
                      <w:lang w:val="en-US" w:eastAsia="zh-CN"/>
                    </w:rPr>
                  </w:pPr>
                  <w:r>
                    <w:rPr>
                      <w:rFonts w:hint="eastAsia"/>
                      <w:lang w:val="en-US" w:eastAsia="zh-CN"/>
                    </w:rPr>
                    <w:t>防渗层为至少</w:t>
                  </w:r>
                  <w:r>
                    <w:rPr>
                      <w:rFonts w:hint="default"/>
                      <w:lang w:val="en-US" w:eastAsia="zh-CN"/>
                    </w:rPr>
                    <w:t>1m</w:t>
                  </w:r>
                  <w:r>
                    <w:rPr>
                      <w:rFonts w:hint="eastAsia"/>
                      <w:lang w:val="en-US" w:eastAsia="zh-CN"/>
                    </w:rPr>
                    <w:t>厚粘土层（渗透系数</w:t>
                  </w:r>
                  <w:r>
                    <w:rPr>
                      <w:rFonts w:hint="default"/>
                      <w:lang w:val="en-US" w:eastAsia="zh-CN"/>
                    </w:rPr>
                    <w:t>≤10</w:t>
                  </w:r>
                  <w:r>
                    <w:rPr>
                      <w:rFonts w:hint="eastAsia"/>
                      <w:vertAlign w:val="superscript"/>
                      <w:lang w:val="en-US" w:eastAsia="zh-CN"/>
                    </w:rPr>
                    <w:t>-7</w:t>
                  </w:r>
                  <w:r>
                    <w:rPr>
                      <w:rFonts w:hint="default"/>
                      <w:lang w:val="en-US" w:eastAsia="zh-CN"/>
                    </w:rPr>
                    <w:t>cm/s</w:t>
                  </w:r>
                  <w:r>
                    <w:rPr>
                      <w:rFonts w:hint="eastAsia"/>
                      <w:lang w:val="en-US" w:eastAsia="zh-CN"/>
                    </w:rPr>
                    <w:t>），或</w:t>
                  </w:r>
                  <w:r>
                    <w:rPr>
                      <w:rFonts w:hint="default"/>
                      <w:lang w:val="en-US" w:eastAsia="zh-CN"/>
                    </w:rPr>
                    <w:t>2mm</w:t>
                  </w:r>
                  <w:r>
                    <w:rPr>
                      <w:rFonts w:hint="eastAsia"/>
                      <w:lang w:val="en-US" w:eastAsia="zh-CN"/>
                    </w:rPr>
                    <w:t>厚高密度聚乙烯，或至少</w:t>
                  </w:r>
                  <w:r>
                    <w:rPr>
                      <w:rFonts w:hint="default"/>
                      <w:lang w:val="en-US" w:eastAsia="zh-CN"/>
                    </w:rPr>
                    <w:t>2mm</w:t>
                  </w:r>
                  <w:r>
                    <w:rPr>
                      <w:rFonts w:hint="eastAsia"/>
                      <w:lang w:val="en-US" w:eastAsia="zh-CN"/>
                    </w:rPr>
                    <w:t>厚的其他人工材料，渗透系数</w:t>
                  </w:r>
                  <w:r>
                    <w:rPr>
                      <w:rFonts w:hint="default"/>
                      <w:lang w:val="en-US" w:eastAsia="zh-CN"/>
                    </w:rPr>
                    <w:t>≤10</w:t>
                  </w:r>
                  <w:r>
                    <w:rPr>
                      <w:rFonts w:hint="default"/>
                      <w:vertAlign w:val="superscript"/>
                      <w:lang w:val="en-US" w:eastAsia="zh-CN"/>
                    </w:rPr>
                    <w:t>-</w:t>
                  </w:r>
                  <w:r>
                    <w:rPr>
                      <w:rFonts w:hint="eastAsia"/>
                      <w:vertAlign w:val="superscript"/>
                      <w:lang w:val="en-US" w:eastAsia="zh-CN"/>
                    </w:rPr>
                    <w:t>10</w:t>
                  </w:r>
                  <w:r>
                    <w:rPr>
                      <w:rFonts w:hint="default"/>
                      <w:lang w:val="en-US" w:eastAsia="zh-CN"/>
                    </w:rPr>
                    <w:t>cm/s</w:t>
                  </w:r>
                  <w:r>
                    <w:rPr>
                      <w:rFonts w:hint="eastAsia"/>
                      <w:lang w:val="en-US" w:eastAsia="zh-CN"/>
                    </w:rPr>
                    <w:t>。地面及裙角应做耐腐蚀硬化、防渗漏处理，且表面无裂隙，所使用的材料要与危险废物相容。</w:t>
                  </w:r>
                </w:p>
              </w:tc>
            </w:tr>
          </w:tbl>
          <w:p>
            <w:pPr>
              <w:pStyle w:val="58"/>
              <w:bidi w:val="0"/>
              <w:rPr>
                <w:rFonts w:hint="eastAsia"/>
                <w:lang w:val="en-US" w:eastAsia="zh-CN"/>
              </w:rPr>
            </w:pPr>
            <w:r>
              <w:rPr>
                <w:rFonts w:hint="eastAsia"/>
                <w:lang w:val="en-US" w:eastAsia="zh-CN"/>
              </w:rPr>
              <w:t>跟踪监测要求：本项目在采取落实上述防控措施后，基本不会通过渗透的途径进入地下水、土壤环境。因此，本评价不提出地下水、土壤跟踪监测要求。</w:t>
            </w:r>
          </w:p>
          <w:p>
            <w:pPr>
              <w:pStyle w:val="64"/>
              <w:bidi w:val="0"/>
              <w:rPr>
                <w:rFonts w:hint="default"/>
                <w:lang w:val="en-US" w:eastAsia="zh-CN"/>
              </w:rPr>
            </w:pPr>
            <w:r>
              <w:rPr>
                <w:rFonts w:hint="eastAsia"/>
                <w:lang w:val="en-US" w:eastAsia="zh-CN"/>
              </w:rPr>
              <w:t>6环境风险分析</w:t>
            </w:r>
          </w:p>
          <w:p>
            <w:pPr>
              <w:pStyle w:val="58"/>
              <w:bidi w:val="0"/>
              <w:rPr>
                <w:rFonts w:hint="default"/>
                <w:lang w:val="en-US" w:eastAsia="zh-CN"/>
              </w:rPr>
            </w:pPr>
            <w:r>
              <w:rPr>
                <w:rFonts w:hint="default"/>
                <w:lang w:val="en-US" w:eastAsia="zh-CN"/>
              </w:rPr>
              <w:t>环境风险评价的目的是分析和预测建设项目存在的潜在危险、有害因素，建设项目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lang w:val="en-US" w:eastAsia="zh-CN"/>
              </w:rPr>
              <w:t>6.1风险调查</w:t>
            </w:r>
          </w:p>
          <w:p>
            <w:pPr>
              <w:pStyle w:val="58"/>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lang w:val="en-US" w:eastAsia="zh-CN"/>
              </w:rPr>
              <w:t>项目医疗过程中可能用到的化学品</w:t>
            </w:r>
            <w:r>
              <w:rPr>
                <w:rFonts w:hint="eastAsia"/>
                <w:sz w:val="24"/>
                <w:szCs w:val="24"/>
                <w:lang w:val="en-US" w:eastAsia="zh-CN"/>
              </w:rPr>
              <w:t>见表4-8。</w:t>
            </w:r>
          </w:p>
          <w:p>
            <w:pPr>
              <w:pStyle w:val="59"/>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sz w:val="24"/>
                <w:szCs w:val="24"/>
                <w:lang w:val="en-US" w:eastAsia="zh-CN"/>
              </w:rPr>
            </w:pPr>
            <w:r>
              <w:rPr>
                <w:rFonts w:hint="eastAsia"/>
                <w:sz w:val="24"/>
                <w:szCs w:val="24"/>
                <w:lang w:val="en-US" w:eastAsia="zh-CN"/>
              </w:rPr>
              <w:t>表4-8    项目主要化学品危险源识别</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2044"/>
              <w:gridCol w:w="2044"/>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60"/>
                    <w:bidi w:val="0"/>
                    <w:rPr>
                      <w:rFonts w:hint="default"/>
                      <w:lang w:val="en-US" w:eastAsia="zh-CN"/>
                    </w:rPr>
                  </w:pPr>
                  <w:r>
                    <w:rPr>
                      <w:rFonts w:hint="eastAsia"/>
                      <w:lang w:val="en-US" w:eastAsia="zh-CN"/>
                    </w:rPr>
                    <w:t>化学品名称</w:t>
                  </w:r>
                </w:p>
              </w:tc>
              <w:tc>
                <w:tcPr>
                  <w:tcW w:w="1249" w:type="pct"/>
                </w:tcPr>
                <w:p>
                  <w:pPr>
                    <w:pStyle w:val="60"/>
                    <w:bidi w:val="0"/>
                    <w:rPr>
                      <w:rFonts w:hint="default"/>
                      <w:lang w:val="en-US" w:eastAsia="zh-CN"/>
                    </w:rPr>
                  </w:pPr>
                  <w:r>
                    <w:rPr>
                      <w:rFonts w:hint="eastAsia"/>
                      <w:lang w:val="en-US" w:eastAsia="zh-CN"/>
                    </w:rPr>
                    <w:t>最大储存量（t）</w:t>
                  </w:r>
                </w:p>
              </w:tc>
              <w:tc>
                <w:tcPr>
                  <w:tcW w:w="1249" w:type="pct"/>
                </w:tcPr>
                <w:p>
                  <w:pPr>
                    <w:pStyle w:val="60"/>
                    <w:bidi w:val="0"/>
                    <w:rPr>
                      <w:rFonts w:hint="default"/>
                      <w:lang w:val="en-US" w:eastAsia="zh-CN"/>
                    </w:rPr>
                  </w:pPr>
                  <w:r>
                    <w:rPr>
                      <w:rFonts w:hint="eastAsia"/>
                      <w:lang w:val="en-US" w:eastAsia="zh-CN"/>
                    </w:rPr>
                    <w:t>临界量（t）</w:t>
                  </w:r>
                </w:p>
              </w:tc>
              <w:tc>
                <w:tcPr>
                  <w:tcW w:w="1250" w:type="pct"/>
                </w:tcPr>
                <w:p>
                  <w:pPr>
                    <w:pStyle w:val="60"/>
                    <w:bidi w:val="0"/>
                    <w:rPr>
                      <w:rFonts w:hint="default"/>
                      <w:lang w:val="en-US" w:eastAsia="zh-CN"/>
                    </w:rPr>
                  </w:pPr>
                  <w:r>
                    <w:rPr>
                      <w:rFonts w:hint="eastAsia"/>
                      <w:lang w:val="en-US" w:eastAsia="zh-CN"/>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60"/>
                    <w:bidi w:val="0"/>
                    <w:rPr>
                      <w:rFonts w:hint="default"/>
                      <w:lang w:val="en-US" w:eastAsia="zh-CN"/>
                    </w:rPr>
                  </w:pPr>
                  <w:r>
                    <w:rPr>
                      <w:rFonts w:hint="eastAsia"/>
                      <w:lang w:val="en-US" w:eastAsia="zh-CN"/>
                    </w:rPr>
                    <w:t>乙醇（医用酒精）</w:t>
                  </w:r>
                </w:p>
              </w:tc>
              <w:tc>
                <w:tcPr>
                  <w:tcW w:w="1249" w:type="pct"/>
                </w:tcPr>
                <w:p>
                  <w:pPr>
                    <w:pStyle w:val="60"/>
                    <w:bidi w:val="0"/>
                    <w:rPr>
                      <w:rFonts w:hint="default"/>
                      <w:lang w:val="en-US" w:eastAsia="zh-CN"/>
                    </w:rPr>
                  </w:pPr>
                  <w:r>
                    <w:rPr>
                      <w:rFonts w:hint="eastAsia"/>
                      <w:lang w:val="en-US" w:eastAsia="zh-CN"/>
                    </w:rPr>
                    <w:t>0.5</w:t>
                  </w:r>
                </w:p>
              </w:tc>
              <w:tc>
                <w:tcPr>
                  <w:tcW w:w="1249" w:type="pct"/>
                </w:tcPr>
                <w:p>
                  <w:pPr>
                    <w:pStyle w:val="60"/>
                    <w:bidi w:val="0"/>
                    <w:rPr>
                      <w:rFonts w:hint="default"/>
                      <w:lang w:val="en-US" w:eastAsia="zh-CN"/>
                    </w:rPr>
                  </w:pPr>
                  <w:r>
                    <w:rPr>
                      <w:rFonts w:hint="eastAsia"/>
                      <w:lang w:val="en-US" w:eastAsia="zh-CN"/>
                    </w:rPr>
                    <w:t>500</w:t>
                  </w:r>
                </w:p>
              </w:tc>
              <w:tc>
                <w:tcPr>
                  <w:tcW w:w="1250" w:type="pct"/>
                </w:tcPr>
                <w:p>
                  <w:pPr>
                    <w:pStyle w:val="60"/>
                    <w:bidi w:val="0"/>
                    <w:rPr>
                      <w:rFonts w:hint="default"/>
                      <w:lang w:val="en-US" w:eastAsia="zh-CN"/>
                    </w:rPr>
                  </w:pPr>
                  <w:r>
                    <w:rPr>
                      <w:rFonts w:hint="eastAsia"/>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60"/>
                    <w:bidi w:val="0"/>
                    <w:rPr>
                      <w:rFonts w:hint="default"/>
                      <w:lang w:val="en-US" w:eastAsia="zh-CN"/>
                    </w:rPr>
                  </w:pPr>
                  <w:r>
                    <w:rPr>
                      <w:rFonts w:hint="eastAsia"/>
                      <w:lang w:val="en-US" w:eastAsia="zh-CN"/>
                    </w:rPr>
                    <w:t>甲醛</w:t>
                  </w:r>
                </w:p>
              </w:tc>
              <w:tc>
                <w:tcPr>
                  <w:tcW w:w="1249" w:type="pct"/>
                </w:tcPr>
                <w:p>
                  <w:pPr>
                    <w:pStyle w:val="60"/>
                    <w:bidi w:val="0"/>
                    <w:rPr>
                      <w:rFonts w:hint="default"/>
                      <w:lang w:val="en-US" w:eastAsia="zh-CN"/>
                    </w:rPr>
                  </w:pPr>
                  <w:r>
                    <w:rPr>
                      <w:rFonts w:hint="eastAsia"/>
                      <w:lang w:val="en-US" w:eastAsia="zh-CN"/>
                    </w:rPr>
                    <w:t>0.02</w:t>
                  </w:r>
                </w:p>
              </w:tc>
              <w:tc>
                <w:tcPr>
                  <w:tcW w:w="1249" w:type="pct"/>
                </w:tcPr>
                <w:p>
                  <w:pPr>
                    <w:pStyle w:val="60"/>
                    <w:bidi w:val="0"/>
                    <w:rPr>
                      <w:rFonts w:hint="default"/>
                      <w:lang w:val="en-US" w:eastAsia="zh-CN"/>
                    </w:rPr>
                  </w:pPr>
                  <w:r>
                    <w:rPr>
                      <w:rFonts w:hint="eastAsia"/>
                      <w:lang w:val="en-US" w:eastAsia="zh-CN"/>
                    </w:rPr>
                    <w:t>50</w:t>
                  </w:r>
                </w:p>
              </w:tc>
              <w:tc>
                <w:tcPr>
                  <w:tcW w:w="1250" w:type="pct"/>
                </w:tcPr>
                <w:p>
                  <w:pPr>
                    <w:pStyle w:val="60"/>
                    <w:bidi w:val="0"/>
                    <w:rPr>
                      <w:rFonts w:hint="default"/>
                      <w:lang w:val="en-US" w:eastAsia="zh-CN"/>
                    </w:rPr>
                  </w:pPr>
                  <w:r>
                    <w:rPr>
                      <w:rFonts w:hint="eastAsia"/>
                      <w:lang w:val="en-US" w:eastAsia="zh-CN"/>
                    </w:rPr>
                    <w:t>0.004</w:t>
                  </w:r>
                </w:p>
              </w:tc>
            </w:tr>
          </w:tbl>
          <w:p>
            <w:pPr>
              <w:pStyle w:val="58"/>
              <w:bidi w:val="0"/>
              <w:rPr>
                <w:rFonts w:hint="default"/>
                <w:lang w:val="en-US" w:eastAsia="zh-CN"/>
              </w:rPr>
            </w:pPr>
            <w:r>
              <w:rPr>
                <w:rFonts w:hint="eastAsia"/>
                <w:lang w:val="en-US" w:eastAsia="zh-CN"/>
              </w:rPr>
              <w:t>根据《建设项目环境风险评价技术导则》（HJ169-2018）附录B重点关注的危险物质及临界量以及《危险化学品重大危险源辨识》（GB18218-2018），本项目所用到的乙醇属于易燃液体，甲醛为有毒物质。由表4-4可知，Q=0.002+0.0006=0.0026&lt;1，该项目环境风险潜势为</w:t>
            </w:r>
            <w:r>
              <w:rPr>
                <w:rFonts w:hint="default" w:ascii="Times New Roman" w:hAnsi="Times New Roman" w:cs="Times New Roman"/>
                <w:lang w:val="en-US" w:eastAsia="zh-CN"/>
              </w:rPr>
              <w:t>Ⅰ</w:t>
            </w:r>
            <w:r>
              <w:rPr>
                <w:rFonts w:hint="eastAsia"/>
                <w:lang w:val="en-US" w:eastAsia="zh-CN"/>
              </w:rPr>
              <w:t>。因此，项目不存在重大危险源。项目为一般医疗基础设施建设，其使用的化学品均为常规医药用品。</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宋体"/>
                <w:highlight w:val="none"/>
                <w:lang w:val="en-US" w:eastAsia="zh-CN"/>
              </w:rPr>
            </w:pPr>
            <w:r>
              <w:rPr>
                <w:rFonts w:hint="eastAsia"/>
                <w:highlight w:val="none"/>
                <w:lang w:val="en-US" w:eastAsia="zh-CN"/>
              </w:rPr>
              <w:t>6.2</w:t>
            </w:r>
            <w:r>
              <w:rPr>
                <w:rFonts w:hint="eastAsia"/>
                <w:highlight w:val="none"/>
              </w:rPr>
              <w:t>环境风险源影响途径</w:t>
            </w:r>
            <w:r>
              <w:rPr>
                <w:rFonts w:hint="eastAsia"/>
                <w:highlight w:val="none"/>
                <w:lang w:val="en-US" w:eastAsia="zh-CN"/>
              </w:rPr>
              <w:t>识别</w:t>
            </w:r>
          </w:p>
          <w:p>
            <w:pPr>
              <w:pStyle w:val="58"/>
              <w:bidi w:val="0"/>
              <w:rPr>
                <w:rFonts w:hint="eastAsia"/>
                <w:lang w:val="en-US" w:eastAsia="zh-CN"/>
              </w:rPr>
            </w:pPr>
            <w:r>
              <w:rPr>
                <w:rFonts w:hint="default"/>
                <w:lang w:val="en-US" w:eastAsia="zh-CN"/>
              </w:rPr>
              <w:t>医用化学品储存风险识别</w:t>
            </w:r>
            <w:r>
              <w:rPr>
                <w:rFonts w:hint="eastAsia"/>
                <w:lang w:val="en-US" w:eastAsia="zh-CN"/>
              </w:rPr>
              <w:t>：医院某些科室会使用较多化学试剂及酒精等消毒剂，这些化学品在储存和使用过程中出现事故，造成泄漏或引起火灾爆炸，而对周围人群人身安全造成影响并污染周围大气/水体环境。出现化学品储存和使用过程中的事故因素主要是人为因素，包括：无专人、专库、专账管理化学品；缺乏相关的操作规范知识及自然因素等自然灾害。</w:t>
            </w:r>
          </w:p>
          <w:p>
            <w:pPr>
              <w:pStyle w:val="58"/>
              <w:bidi w:val="0"/>
              <w:rPr>
                <w:rFonts w:hint="default" w:ascii="Times New Roman" w:hAnsi="Times New Roman" w:cs="Times New Roman"/>
                <w:lang w:val="en-US" w:eastAsia="zh-CN"/>
              </w:rPr>
            </w:pPr>
            <w:r>
              <w:rPr>
                <w:rFonts w:hint="eastAsia"/>
                <w:lang w:val="en-US" w:eastAsia="zh-CN"/>
              </w:rPr>
              <w:t>致病性微生物环境风险识别：</w:t>
            </w:r>
            <w:r>
              <w:rPr>
                <w:rFonts w:hint="default" w:ascii="Times New Roman" w:hAnsi="Times New Roman" w:cs="Times New Roman"/>
                <w:lang w:val="en-US" w:eastAsia="zh-CN"/>
              </w:rPr>
              <w:t>①</w:t>
            </w:r>
            <w:r>
              <w:rPr>
                <w:rFonts w:hint="eastAsia"/>
                <w:lang w:val="en-US" w:eastAsia="zh-CN"/>
              </w:rPr>
              <w:t>医院污水（门诊、病房、诊疗、生活与办公等排水）经医院污水处理站处理后，再通过市政排污管网，排入库尔勒老城区污水处理厂处理，最后达标尾水回用。废水处理设施事故排污主要为管网破裂引起的废水泄漏或污水处理系统故障引起的事故性排放。</w:t>
            </w:r>
            <w:r>
              <w:rPr>
                <w:rFonts w:hint="default" w:ascii="Times New Roman" w:hAnsi="Times New Roman" w:cs="Times New Roman"/>
                <w:lang w:val="en-US" w:eastAsia="zh-CN"/>
              </w:rPr>
              <w:t>②医疗废物未经妥善收集处理直接排入环境。</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6.3环境风险管理</w:t>
            </w:r>
          </w:p>
          <w:p>
            <w:pPr>
              <w:pStyle w:val="58"/>
              <w:bidi w:val="0"/>
              <w:rPr>
                <w:rFonts w:hint="default"/>
                <w:lang w:val="en-US" w:eastAsia="zh-CN"/>
              </w:rPr>
            </w:pPr>
            <w:r>
              <w:rPr>
                <w:rFonts w:hint="default"/>
                <w:lang w:val="en-US" w:eastAsia="zh-CN"/>
              </w:rPr>
              <w:t>环境风险管理是采用最低合理可行原则管控环境风险。采取的环境风险防范措施应与社会经济技术发展水平相适应，运用科学的技术手段和管理方法，对环境风险进行有效</w:t>
            </w:r>
            <w:r>
              <w:rPr>
                <w:rFonts w:hint="eastAsia"/>
                <w:lang w:val="en-US" w:eastAsia="zh-CN"/>
              </w:rPr>
              <w:t>地</w:t>
            </w:r>
            <w:r>
              <w:rPr>
                <w:rFonts w:hint="default"/>
                <w:lang w:val="en-US" w:eastAsia="zh-CN"/>
              </w:rPr>
              <w:t>预防、监控、响应。</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6.3.1化学试剂的防范措施</w:t>
            </w:r>
          </w:p>
          <w:p>
            <w:pPr>
              <w:pStyle w:val="55"/>
              <w:bidi w:val="0"/>
              <w:rPr>
                <w:rFonts w:hint="default"/>
                <w:lang w:val="en-US" w:eastAsia="zh-CN"/>
              </w:rPr>
            </w:pPr>
            <w:r>
              <w:rPr>
                <w:rFonts w:hint="eastAsia"/>
                <w:lang w:val="en-US" w:eastAsia="zh-CN"/>
              </w:rPr>
              <w:t>本项目使用的</w:t>
            </w:r>
            <w:r>
              <w:rPr>
                <w:rFonts w:hint="default"/>
                <w:lang w:val="en-US" w:eastAsia="zh-CN"/>
              </w:rPr>
              <w:t>化学试剂主要包括乙醇</w:t>
            </w:r>
            <w:r>
              <w:rPr>
                <w:rFonts w:hint="eastAsia"/>
                <w:lang w:val="en-US" w:eastAsia="zh-CN"/>
              </w:rPr>
              <w:t>和甲醛</w:t>
            </w:r>
            <w:r>
              <w:rPr>
                <w:rFonts w:hint="default"/>
                <w:lang w:val="en-US" w:eastAsia="zh-CN"/>
              </w:rPr>
              <w:t>等试剂，其储存量和使用量均很小，化学试剂管理不善发生泄漏对环境和周围人群产生影响。</w:t>
            </w:r>
          </w:p>
          <w:p>
            <w:pPr>
              <w:pStyle w:val="55"/>
              <w:bidi w:val="0"/>
              <w:rPr>
                <w:rFonts w:hint="default"/>
                <w:lang w:val="en-US" w:eastAsia="zh-CN"/>
              </w:rPr>
            </w:pPr>
            <w:r>
              <w:rPr>
                <w:rFonts w:hint="eastAsia"/>
                <w:lang w:val="en-US" w:eastAsia="zh-CN"/>
              </w:rPr>
              <w:t>建议其储存区域，禁止使用烟火，并配备消防器材；对相关工作人员进行消防知识和技能培训；</w:t>
            </w:r>
            <w:r>
              <w:rPr>
                <w:rFonts w:hint="default"/>
                <w:lang w:val="en-US" w:eastAsia="zh-CN"/>
              </w:rPr>
              <w:t>做好防盗工作，库房建立与110联网的报警系统，每天上班开防，下班设防，有专人检查</w:t>
            </w:r>
            <w:r>
              <w:rPr>
                <w:rFonts w:hint="eastAsia"/>
                <w:lang w:val="en-US" w:eastAsia="zh-CN"/>
              </w:rPr>
              <w:t>；</w:t>
            </w:r>
            <w:r>
              <w:rPr>
                <w:rFonts w:hint="default"/>
                <w:lang w:val="en-US" w:eastAsia="zh-CN"/>
              </w:rPr>
              <w:t>闲杂人员一律不得进入库房重地</w:t>
            </w:r>
            <w:r>
              <w:rPr>
                <w:rFonts w:hint="eastAsia"/>
                <w:lang w:val="en-US" w:eastAsia="zh-CN"/>
              </w:rPr>
              <w:t>等。</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6.3.2医院污水排放风险防范措施</w:t>
            </w:r>
          </w:p>
          <w:p>
            <w:pPr>
              <w:pStyle w:val="58"/>
              <w:bidi w:val="0"/>
            </w:pPr>
            <w:r>
              <w:rPr>
                <w:rFonts w:hint="default"/>
                <w:lang w:val="en-US" w:eastAsia="zh-CN"/>
              </w:rPr>
              <w:t>①</w:t>
            </w:r>
            <w:r>
              <w:rPr>
                <w:rFonts w:hint="eastAsia"/>
                <w:lang w:val="en-US" w:eastAsia="zh-CN"/>
              </w:rPr>
              <w:t>医院必须加强污水治理设施的运行管理。加强对生产设备、各种输液管道的维护保养，及时处理隐患、杜绝病区污水收集和处理过程中的跑、冒、滴、漏，确保废水处理系统正常运行。</w:t>
            </w:r>
          </w:p>
          <w:p>
            <w:pPr>
              <w:pStyle w:val="58"/>
              <w:bidi w:val="0"/>
            </w:pPr>
            <w:r>
              <w:rPr>
                <w:rFonts w:hint="default"/>
                <w:lang w:val="en-US" w:eastAsia="zh-CN"/>
              </w:rPr>
              <w:t>②</w:t>
            </w:r>
            <w:r>
              <w:rPr>
                <w:rFonts w:hint="eastAsia"/>
                <w:lang w:val="en-US" w:eastAsia="zh-CN"/>
              </w:rPr>
              <w:t>加强污水处理效果的监控设施建设，主要为消毒剂投加自动控制措施的监控，消毒剂的投加量需根据实际水质水量进行调整，严禁医院污水不经处理直接排放。</w:t>
            </w:r>
          </w:p>
          <w:p>
            <w:pPr>
              <w:pStyle w:val="58"/>
              <w:bidi w:val="0"/>
              <w:rPr>
                <w:rFonts w:hint="eastAsia"/>
                <w:lang w:val="en-US" w:eastAsia="zh-CN"/>
              </w:rPr>
            </w:pPr>
            <w:r>
              <w:rPr>
                <w:rFonts w:hint="default"/>
                <w:lang w:val="en-US" w:eastAsia="zh-CN"/>
              </w:rPr>
              <w:t>③</w:t>
            </w:r>
            <w:r>
              <w:rPr>
                <w:rFonts w:hint="eastAsia"/>
                <w:lang w:val="en-US" w:eastAsia="zh-CN"/>
              </w:rPr>
              <w:t>处理后出水指标要按照环境管理工作制度的要求，定期、定时进行监测，以保证污水稳定达标排放。</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6.3.3医疗固废的防范措施</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lang w:val="en-US" w:eastAsia="zh-CN"/>
              </w:rPr>
            </w:pPr>
            <w:r>
              <w:rPr>
                <w:rFonts w:hint="default"/>
                <w:lang w:val="en-US" w:eastAsia="zh-CN"/>
              </w:rPr>
              <w:t>医疗废物的极大危害性，医院在收集、贮存、运送医疗废物的过程中存在着一定的风险。为保证医院产生的医疗废物得到安全处置，使其风险减少到</w:t>
            </w:r>
            <w:r>
              <w:rPr>
                <w:rFonts w:hint="eastAsia"/>
                <w:lang w:val="en-US" w:eastAsia="zh-CN"/>
              </w:rPr>
              <w:t>最低程度</w:t>
            </w:r>
            <w:r>
              <w:rPr>
                <w:rFonts w:hint="default"/>
                <w:lang w:val="en-US" w:eastAsia="zh-CN"/>
              </w:rPr>
              <w:t>，而不会对周围环境造成不良影响，应具体采取</w:t>
            </w:r>
            <w:r>
              <w:rPr>
                <w:rFonts w:hint="eastAsia"/>
                <w:lang w:val="en-US" w:eastAsia="zh-CN"/>
              </w:rPr>
              <w:t>如下</w:t>
            </w:r>
            <w:r>
              <w:rPr>
                <w:rFonts w:hint="default"/>
                <w:lang w:val="en-US" w:eastAsia="zh-CN"/>
              </w:rPr>
              <w:t>措施进行防范。</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lang w:val="en-US" w:eastAsia="zh-CN"/>
              </w:rPr>
            </w:pPr>
            <w:r>
              <w:rPr>
                <w:rFonts w:hint="default"/>
                <w:lang w:val="en-US" w:eastAsia="zh-CN"/>
              </w:rPr>
              <w:t>①应对医院产生的医疗废物进行科学的分类收集科学的分类是消除</w:t>
            </w:r>
            <w:r>
              <w:rPr>
                <w:rFonts w:hint="eastAsia"/>
                <w:lang w:val="en-US" w:eastAsia="zh-CN"/>
              </w:rPr>
              <w:t>污染</w:t>
            </w:r>
            <w:r>
              <w:rPr>
                <w:rFonts w:hint="default"/>
                <w:lang w:val="en-US" w:eastAsia="zh-CN"/>
              </w:rPr>
              <w:t>、无害化处置的保证，要采用专用容器，明确各类废弃物标识，分类包装，分类堆放，并本着及时、方便、安全、快捷的原则，进行收集。感染性废物、病理性废物、损伤性废物、药物性废物及化学性</w:t>
            </w:r>
            <w:r>
              <w:rPr>
                <w:rFonts w:hint="eastAsia"/>
                <w:lang w:val="en-US" w:eastAsia="zh-CN"/>
              </w:rPr>
              <w:t>废物</w:t>
            </w:r>
            <w:r>
              <w:rPr>
                <w:rFonts w:hint="default"/>
                <w:lang w:val="en-US" w:eastAsia="zh-CN"/>
              </w:rPr>
              <w:t>不能混合收集；放入包装物或者容器内的感染性废物、病理性废物、损伤性废物不得取出。当盛装的医疗废物达到包装物或者容器的3/4时，应当使用有效的封口方式，使包装物或者容器的封口紧实、严密。</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lang w:val="en-US" w:eastAsia="zh-CN"/>
              </w:rPr>
            </w:pPr>
            <w:r>
              <w:rPr>
                <w:rFonts w:hint="default"/>
                <w:lang w:val="en-US" w:eastAsia="zh-CN"/>
              </w:rPr>
              <w:t>②医院产生的医疗废物中病原体的培养基、标本和菌种、毒种保存液等高危险废物，由检验科、病理科等产生单位首先在产生地点进行压力蒸汽灭菌或者化学消毒处理，然后按感染性废物收集处理；化学性废物中批量的废化学试剂、废消毒剂应当由药剂科交由专门机构处置；批量的含有汞的体温计、血压计等医疗器具报废时，应当由设备科交由专门机构处置。</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lang w:val="en-US" w:eastAsia="zh-CN"/>
              </w:rPr>
            </w:pPr>
            <w:r>
              <w:rPr>
                <w:rFonts w:hint="default"/>
                <w:lang w:val="en-US" w:eastAsia="zh-CN"/>
              </w:rPr>
              <w:t>③对感染性废物必须采取安全、有效、经济的隔离和处理方法。操作感染性或任何有潜在危害的废物时，必须穿戴手套和防护服。对有</w:t>
            </w:r>
            <w:r>
              <w:rPr>
                <w:rFonts w:hint="eastAsia"/>
                <w:lang w:val="en-US" w:eastAsia="zh-CN"/>
              </w:rPr>
              <w:t>多种成分混合</w:t>
            </w:r>
            <w:r>
              <w:rPr>
                <w:rFonts w:hint="default"/>
                <w:lang w:val="en-US" w:eastAsia="zh-CN"/>
              </w:rPr>
              <w:t>的医学废料，应按危害等级较高者处理。感染性废物应分类丢入垃圾袋，还必须由专业人员严格区分感染性和非感染性废物，一旦分开后，感染性废物必须加以隔离。根据有关规定，所有收集感染性废物的容器都应有“生物危害”标志。有液体的感染性废料时，应确保容器无泄漏。</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④所有锐利物都必须单独存放，并统一按医学废物处理。收集锐利物体包装容器必须使用硬质、防漏、防刺破材料。针或刀应保存在有明显标记、防泄漏、防刺破的容器内。处理含有锐利物品的感染性废料时应使用防刺破手套。</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⑤有害化学废物不能与一般废物、无害化学废物或感染性废物相混合。稀释通常不能使有害化学废物的毒性减低。有害化学废物在产生后应分别收集、运输、贮存和处理；必须混合时，应注意不兼容性。为保证有害废料在产生、堆积和保存期间不发生意外、泄漏、破损等，应采取必要的控制措施，如：通风措施、相对封闭及隔离系统、安全措施、防火措施和安全通道。在化学废料的产生、处理、堆集和保存期间，对其包装及标签要求如下：根据废物种类使用废物容器、使用“有害废物”的标签或标记、在任何时候都确保废物容器的密闭性。采用有皱的包装材料包装易碎的玻璃和塑料制品，在包装中同时加入吸附性材料。</w:t>
            </w:r>
          </w:p>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lang w:val="en-US" w:eastAsia="zh-CN"/>
              </w:rPr>
            </w:pPr>
            <w:r>
              <w:rPr>
                <w:rFonts w:hint="default"/>
                <w:lang w:val="en-US" w:eastAsia="zh-CN"/>
              </w:rPr>
              <w:t>在转交及运送过程中，应当严格执行国家环境保护总局第5号令《危险废物转移联单管理办法》中的相关条款，确保危废安全转移运输。禁止在运送过程中丢弃医疗废物，禁止在非储存地点倾倒、堆放医疗废物或将医疗废物混入其他废物和生活垃圾。本项目医疗废物必须委托有资质单位处理。禁止转让、买卖医疗废物，在运营期间，院方应当将医疗废物妥善收集、封存后，放入</w:t>
            </w:r>
            <w:r>
              <w:rPr>
                <w:rFonts w:hint="eastAsia"/>
                <w:lang w:val="en-US" w:eastAsia="zh-CN"/>
              </w:rPr>
              <w:t>医疗废物贮存库</w:t>
            </w:r>
            <w:r>
              <w:rPr>
                <w:rFonts w:hint="default"/>
                <w:lang w:val="en-US" w:eastAsia="zh-CN"/>
              </w:rPr>
              <w:t>，由医疗废物处置公司的车辆进行运输，运输过程采用全封闭方式。</w:t>
            </w:r>
          </w:p>
          <w:p>
            <w:pPr>
              <w:pStyle w:val="6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lang w:val="en-US" w:eastAsia="zh-CN"/>
              </w:rPr>
              <w:t>6.3.4医院发生传染、疫情等突发情况的防范措施</w:t>
            </w:r>
          </w:p>
          <w:p>
            <w:pPr>
              <w:pStyle w:val="55"/>
              <w:bidi w:val="0"/>
              <w:rPr>
                <w:rFonts w:hint="default"/>
                <w:lang w:val="en-US" w:eastAsia="zh-CN"/>
              </w:rPr>
            </w:pPr>
            <w:r>
              <w:rPr>
                <w:rFonts w:hint="eastAsia"/>
                <w:lang w:val="en-US" w:eastAsia="zh-CN"/>
              </w:rPr>
              <w:t>医院可能发生传染、疫情等突发环境事件，医院各部门应做好防范措施，具体措施如下。</w:t>
            </w:r>
          </w:p>
          <w:p>
            <w:pPr>
              <w:pStyle w:val="58"/>
              <w:bidi w:val="0"/>
              <w:rPr>
                <w:rFonts w:hint="default"/>
                <w:lang w:val="en-US" w:eastAsia="zh-CN"/>
              </w:rPr>
            </w:pPr>
            <w:r>
              <w:rPr>
                <w:rFonts w:hint="default"/>
                <w:lang w:val="en-US" w:eastAsia="zh-CN"/>
              </w:rPr>
              <w:t>加强医疗机构内部管理</w:t>
            </w:r>
            <w:r>
              <w:rPr>
                <w:rFonts w:hint="eastAsia"/>
                <w:lang w:val="en-US" w:eastAsia="zh-CN"/>
              </w:rPr>
              <w:t>：坚持“人、物同防”“医、患同防”的思路，把好医疗机构的人员、车辆和物资“入口关”，在满足正常通行需求的前提下，严格控制医疗机构入口开放数量。进入医疗机构的所有人员均应当测量体温、正确佩戴口罩，保持安全距离，注意咳嗽礼仪和手卫生。加强医疗机构食堂等场所以及快递外卖、维修、物流配送等外来人员和物品的管理，需要时开展环境监测。</w:t>
            </w:r>
          </w:p>
          <w:p>
            <w:pPr>
              <w:pStyle w:val="58"/>
              <w:bidi w:val="0"/>
              <w:rPr>
                <w:rFonts w:hint="default"/>
                <w:lang w:val="en-US" w:eastAsia="zh-CN"/>
              </w:rPr>
            </w:pPr>
            <w:r>
              <w:rPr>
                <w:rFonts w:hint="eastAsia"/>
                <w:lang w:val="en-US" w:eastAsia="zh-CN"/>
              </w:rPr>
              <w:t>优化医疗管理制度：医疗机构要将感染防控管理融入医疗管理的全流程，并加强制度建设。原则上，门诊患者及陪同人员应当全程佩戴口罩并做好手卫生；住院患者在病情允许时应当佩戴口罩，外出检查、查房会诊时重点做好戴口罩、手卫生等防护措施。医疗机构应当在急诊抢救室、手术部（室）、病区设置一定数量的隔离区域或过渡病室，用于收治暂无核酸检测结果的急诊患者或者隔离排查可疑的住院患者，并实行单间安置。</w:t>
            </w:r>
          </w:p>
          <w:p>
            <w:pPr>
              <w:pStyle w:val="58"/>
              <w:bidi w:val="0"/>
              <w:rPr>
                <w:rFonts w:hint="default"/>
                <w:lang w:val="en-US" w:eastAsia="zh-CN"/>
              </w:rPr>
            </w:pPr>
            <w:r>
              <w:rPr>
                <w:rFonts w:hint="default"/>
                <w:lang w:val="en-US" w:eastAsia="zh-CN"/>
              </w:rPr>
              <w:t>做好环境清洁消毒</w:t>
            </w:r>
            <w:r>
              <w:rPr>
                <w:rFonts w:hint="eastAsia"/>
                <w:lang w:val="en-US" w:eastAsia="zh-CN"/>
              </w:rPr>
              <w:t>：医疗机构按照《医院空气净化管理规范》要求，加强诊疗环境的通风管理，有条件的可进行空气消毒。严格执行《医疗机构消毒技术规范》，做好医疗器械、器具和物品等的清洁消毒，做到一人一用一消毒；加强对诊疗环境（物体表面、地面等）的消毒管理，对于重点部门高频率接触的物体表面要增加消毒次数。</w:t>
            </w:r>
          </w:p>
          <w:p>
            <w:pPr>
              <w:pStyle w:val="58"/>
              <w:bidi w:val="0"/>
              <w:rPr>
                <w:rFonts w:hint="eastAsia"/>
                <w:lang w:val="en-US" w:eastAsia="zh-CN"/>
              </w:rPr>
            </w:pPr>
            <w:r>
              <w:rPr>
                <w:rFonts w:hint="default"/>
                <w:lang w:val="en-US" w:eastAsia="zh-CN"/>
              </w:rPr>
              <w:t>制定应急预案并开展演练</w:t>
            </w:r>
            <w:r>
              <w:rPr>
                <w:rFonts w:hint="eastAsia"/>
                <w:lang w:val="en-US" w:eastAsia="zh-CN"/>
              </w:rPr>
              <w:t>：医疗机构要增强预见性和主动性，制定不同情形下的应急预案，要细化每种情形、每个环节的流程措施，具体到责任部门和责任人，开展桌面推演和现场演练，查找漏洞短板，持续优化应急预案，提高实战能力。</w:t>
            </w:r>
          </w:p>
          <w:p>
            <w:pPr>
              <w:pStyle w:val="6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宋体" w:cs="Times New Roman"/>
                <w:b/>
                <w:bCs/>
                <w:snapToGrid/>
                <w:color w:val="auto"/>
                <w:spacing w:val="0"/>
                <w:kern w:val="2"/>
                <w:sz w:val="24"/>
                <w:szCs w:val="24"/>
                <w:highlight w:val="none"/>
                <w:lang w:val="en-US" w:eastAsia="zh-CN" w:bidi="ar-SA"/>
              </w:rPr>
            </w:pPr>
            <w:r>
              <w:rPr>
                <w:rFonts w:hint="eastAsia"/>
                <w:b/>
                <w:bCs/>
                <w:lang w:val="en-US" w:eastAsia="zh-CN"/>
              </w:rPr>
              <w:t>7</w:t>
            </w:r>
            <w:r>
              <w:rPr>
                <w:rFonts w:hint="eastAsia" w:ascii="Times New Roman" w:hAnsi="Times New Roman" w:eastAsia="宋体" w:cs="Times New Roman"/>
                <w:b/>
                <w:bCs/>
                <w:snapToGrid/>
                <w:color w:val="auto"/>
                <w:spacing w:val="0"/>
                <w:kern w:val="2"/>
                <w:sz w:val="24"/>
                <w:szCs w:val="24"/>
                <w:highlight w:val="none"/>
                <w:lang w:val="en-US" w:eastAsia="zh-CN" w:bidi="ar-SA"/>
              </w:rPr>
              <w:t>营运期“三本账”排放量统计表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highlight w:val="none"/>
              </w:rPr>
            </w:pPr>
            <w:r>
              <w:rPr>
                <w:sz w:val="24"/>
                <w:highlight w:val="none"/>
              </w:rPr>
              <w:t>项目</w:t>
            </w:r>
            <w:r>
              <w:rPr>
                <w:rFonts w:hint="eastAsia"/>
                <w:sz w:val="24"/>
                <w:highlight w:val="none"/>
              </w:rPr>
              <w:t>营运期“三本账</w:t>
            </w:r>
            <w:r>
              <w:rPr>
                <w:rFonts w:hint="eastAsia"/>
                <w:sz w:val="24"/>
                <w:highlight w:val="none"/>
                <w:lang w:eastAsia="zh-CN"/>
              </w:rPr>
              <w:t>”</w:t>
            </w:r>
            <w:r>
              <w:rPr>
                <w:rFonts w:hint="eastAsia"/>
                <w:sz w:val="24"/>
                <w:highlight w:val="none"/>
              </w:rPr>
              <w:t>排放</w:t>
            </w:r>
            <w:r>
              <w:rPr>
                <w:sz w:val="24"/>
                <w:highlight w:val="none"/>
              </w:rPr>
              <w:t>统计见表</w:t>
            </w:r>
            <w:r>
              <w:rPr>
                <w:rFonts w:hint="eastAsia"/>
                <w:sz w:val="24"/>
                <w:highlight w:val="none"/>
                <w:lang w:val="en-US" w:eastAsia="zh-CN"/>
              </w:rPr>
              <w:t>4-9</w:t>
            </w:r>
            <w:r>
              <w:rPr>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b/>
                <w:bCs/>
                <w:sz w:val="24"/>
                <w:highlight w:val="none"/>
              </w:rPr>
            </w:pPr>
            <w:r>
              <w:rPr>
                <w:rFonts w:hint="eastAsia"/>
                <w:b/>
                <w:bCs/>
                <w:sz w:val="24"/>
                <w:highlight w:val="none"/>
              </w:rPr>
              <w:t>表</w:t>
            </w:r>
            <w:r>
              <w:rPr>
                <w:rFonts w:hint="eastAsia"/>
                <w:b/>
                <w:bCs/>
                <w:sz w:val="24"/>
                <w:highlight w:val="none"/>
                <w:lang w:val="en-US" w:eastAsia="zh-CN"/>
              </w:rPr>
              <w:t>4-9</w:t>
            </w:r>
            <w:r>
              <w:rPr>
                <w:rFonts w:hint="eastAsia"/>
                <w:b/>
                <w:bCs/>
                <w:sz w:val="24"/>
                <w:highlight w:val="none"/>
              </w:rPr>
              <w:t xml:space="preserve">     工程“三本账”排放统计表 </w:t>
            </w:r>
          </w:p>
          <w:tbl>
            <w:tblPr>
              <w:tblStyle w:val="25"/>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137"/>
              <w:gridCol w:w="1240"/>
              <w:gridCol w:w="1220"/>
              <w:gridCol w:w="1229"/>
              <w:gridCol w:w="1441"/>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4" w:type="dxa"/>
                  <w:noWrap w:val="0"/>
                  <w:vAlign w:val="center"/>
                </w:tcPr>
                <w:p>
                  <w:pPr>
                    <w:adjustRightInd w:val="0"/>
                    <w:snapToGrid w:val="0"/>
                    <w:jc w:val="center"/>
                    <w:rPr>
                      <w:rFonts w:hint="eastAsia"/>
                      <w:szCs w:val="21"/>
                      <w:highlight w:val="none"/>
                    </w:rPr>
                  </w:pPr>
                  <w:r>
                    <w:rPr>
                      <w:rFonts w:hint="eastAsia"/>
                      <w:szCs w:val="21"/>
                      <w:highlight w:val="none"/>
                    </w:rPr>
                    <w:t>类别</w:t>
                  </w:r>
                </w:p>
              </w:tc>
              <w:tc>
                <w:tcPr>
                  <w:tcW w:w="1137" w:type="dxa"/>
                  <w:noWrap w:val="0"/>
                  <w:vAlign w:val="center"/>
                </w:tcPr>
                <w:p>
                  <w:pPr>
                    <w:adjustRightInd w:val="0"/>
                    <w:snapToGrid w:val="0"/>
                    <w:jc w:val="center"/>
                    <w:rPr>
                      <w:rFonts w:hint="eastAsia"/>
                      <w:szCs w:val="21"/>
                      <w:highlight w:val="none"/>
                    </w:rPr>
                  </w:pPr>
                  <w:r>
                    <w:rPr>
                      <w:rFonts w:hint="eastAsia"/>
                      <w:szCs w:val="21"/>
                      <w:highlight w:val="none"/>
                    </w:rPr>
                    <w:t>污染物</w:t>
                  </w:r>
                </w:p>
              </w:tc>
              <w:tc>
                <w:tcPr>
                  <w:tcW w:w="1240" w:type="dxa"/>
                  <w:noWrap w:val="0"/>
                  <w:vAlign w:val="center"/>
                </w:tcPr>
                <w:p>
                  <w:pPr>
                    <w:adjustRightInd w:val="0"/>
                    <w:snapToGrid w:val="0"/>
                    <w:jc w:val="center"/>
                    <w:rPr>
                      <w:rFonts w:hint="eastAsia"/>
                      <w:szCs w:val="21"/>
                      <w:highlight w:val="none"/>
                    </w:rPr>
                  </w:pPr>
                  <w:r>
                    <w:rPr>
                      <w:rFonts w:hint="eastAsia"/>
                      <w:szCs w:val="21"/>
                      <w:highlight w:val="none"/>
                      <w:lang w:eastAsia="zh-CN"/>
                    </w:rPr>
                    <w:t>现有</w:t>
                  </w:r>
                  <w:r>
                    <w:rPr>
                      <w:rFonts w:hint="eastAsia"/>
                      <w:szCs w:val="21"/>
                      <w:highlight w:val="none"/>
                      <w:lang w:val="en-US" w:eastAsia="zh-CN"/>
                    </w:rPr>
                    <w:t>工程</w:t>
                  </w:r>
                  <w:r>
                    <w:rPr>
                      <w:rFonts w:hint="eastAsia"/>
                      <w:szCs w:val="21"/>
                      <w:highlight w:val="none"/>
                    </w:rPr>
                    <w:t>排放量</w:t>
                  </w:r>
                </w:p>
              </w:tc>
              <w:tc>
                <w:tcPr>
                  <w:tcW w:w="1220" w:type="dxa"/>
                  <w:noWrap w:val="0"/>
                  <w:vAlign w:val="center"/>
                </w:tcPr>
                <w:p>
                  <w:pPr>
                    <w:adjustRightInd w:val="0"/>
                    <w:snapToGrid w:val="0"/>
                    <w:jc w:val="center"/>
                    <w:rPr>
                      <w:rFonts w:hint="default"/>
                      <w:szCs w:val="21"/>
                      <w:highlight w:val="none"/>
                      <w:lang w:val="en-US" w:eastAsia="zh-CN"/>
                    </w:rPr>
                  </w:pPr>
                  <w:r>
                    <w:rPr>
                      <w:rFonts w:hint="eastAsia"/>
                      <w:szCs w:val="21"/>
                      <w:highlight w:val="none"/>
                      <w:lang w:val="en-US" w:eastAsia="zh-CN"/>
                    </w:rPr>
                    <w:t>拟建工程排放量</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rPr>
                    <w:t>“以新带老”消减量</w:t>
                  </w:r>
                </w:p>
              </w:tc>
              <w:tc>
                <w:tcPr>
                  <w:tcW w:w="1441"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建成后全厂</w:t>
                  </w:r>
                  <w:r>
                    <w:rPr>
                      <w:rFonts w:hint="eastAsia"/>
                      <w:szCs w:val="21"/>
                      <w:highlight w:val="none"/>
                    </w:rPr>
                    <w:t>排放量</w:t>
                  </w:r>
                </w:p>
              </w:tc>
              <w:tc>
                <w:tcPr>
                  <w:tcW w:w="1294" w:type="dxa"/>
                  <w:noWrap w:val="0"/>
                  <w:vAlign w:val="center"/>
                </w:tcPr>
                <w:p>
                  <w:pPr>
                    <w:adjustRightInd w:val="0"/>
                    <w:snapToGrid w:val="0"/>
                    <w:jc w:val="center"/>
                    <w:rPr>
                      <w:rFonts w:hint="eastAsia" w:eastAsia="宋体"/>
                      <w:szCs w:val="21"/>
                      <w:highlight w:val="none"/>
                      <w:lang w:eastAsia="zh-CN"/>
                    </w:rPr>
                  </w:pPr>
                  <w:r>
                    <w:rPr>
                      <w:rFonts w:hint="eastAsia"/>
                      <w:szCs w:val="21"/>
                      <w:highlight w:val="none"/>
                      <w:lang w:val="en-US" w:eastAsia="zh-CN"/>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4" w:type="dxa"/>
                  <w:vMerge w:val="restart"/>
                  <w:noWrap w:val="0"/>
                  <w:vAlign w:val="center"/>
                </w:tcPr>
                <w:p>
                  <w:pPr>
                    <w:adjustRightInd w:val="0"/>
                    <w:snapToGrid w:val="0"/>
                    <w:jc w:val="center"/>
                    <w:rPr>
                      <w:rFonts w:hint="eastAsia" w:eastAsia="宋体"/>
                      <w:szCs w:val="21"/>
                      <w:highlight w:val="none"/>
                      <w:lang w:eastAsia="zh-CN"/>
                    </w:rPr>
                  </w:pPr>
                  <w:r>
                    <w:rPr>
                      <w:rFonts w:hint="eastAsia"/>
                      <w:szCs w:val="21"/>
                      <w:highlight w:val="none"/>
                      <w:lang w:eastAsia="zh-CN"/>
                    </w:rPr>
                    <w:t>废气</w:t>
                  </w:r>
                </w:p>
              </w:tc>
              <w:tc>
                <w:tcPr>
                  <w:tcW w:w="1137" w:type="dxa"/>
                  <w:noWrap w:val="0"/>
                  <w:vAlign w:val="center"/>
                </w:tcPr>
                <w:p>
                  <w:pPr>
                    <w:pStyle w:val="42"/>
                    <w:spacing w:beforeLines="0" w:afterLines="0" w:line="240" w:lineRule="auto"/>
                    <w:rPr>
                      <w:rFonts w:hint="eastAsia" w:eastAsia="宋体"/>
                      <w:szCs w:val="21"/>
                      <w:highlight w:val="none"/>
                      <w:lang w:eastAsia="zh-CN"/>
                    </w:rPr>
                  </w:pPr>
                  <w:r>
                    <w:rPr>
                      <w:rFonts w:hint="default" w:ascii="Times New Roman" w:hAnsi="Times New Roman" w:cs="Times New Roman"/>
                      <w:snapToGrid w:val="0"/>
                      <w:color w:val="000000"/>
                      <w:kern w:val="21"/>
                      <w:szCs w:val="21"/>
                      <w:lang w:val="en-US" w:eastAsia="zh-CN"/>
                    </w:rPr>
                    <w:t>NO</w:t>
                  </w:r>
                  <w:r>
                    <w:rPr>
                      <w:rFonts w:hint="default" w:ascii="Times New Roman" w:hAnsi="Times New Roman" w:cs="Times New Roman"/>
                      <w:snapToGrid w:val="0"/>
                      <w:color w:val="000000"/>
                      <w:kern w:val="21"/>
                      <w:szCs w:val="21"/>
                      <w:vertAlign w:val="subscript"/>
                      <w:lang w:val="en-US" w:eastAsia="zh-CN"/>
                    </w:rPr>
                    <w:t>X</w:t>
                  </w:r>
                </w:p>
              </w:tc>
              <w:tc>
                <w:tcPr>
                  <w:tcW w:w="1240" w:type="dxa"/>
                  <w:noWrap w:val="0"/>
                  <w:vAlign w:val="center"/>
                </w:tcPr>
                <w:p>
                  <w:pPr>
                    <w:pStyle w:val="42"/>
                    <w:spacing w:beforeLines="0" w:afterLines="0" w:line="240" w:lineRule="auto"/>
                    <w:rPr>
                      <w:rFonts w:hint="default"/>
                      <w:szCs w:val="21"/>
                      <w:highlight w:val="none"/>
                      <w:lang w:val="en-US" w:eastAsia="zh-CN"/>
                    </w:rPr>
                  </w:pPr>
                  <w:r>
                    <w:rPr>
                      <w:rFonts w:hint="eastAsia" w:ascii="Times New Roman" w:cs="Times New Roman"/>
                      <w:snapToGrid w:val="0"/>
                      <w:color w:val="000000"/>
                      <w:kern w:val="21"/>
                      <w:szCs w:val="21"/>
                      <w:lang w:val="en-US" w:eastAsia="zh-CN"/>
                    </w:rPr>
                    <w:t>0.13</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adjustRightInd w:val="0"/>
                    <w:snapToGrid w:val="0"/>
                    <w:jc w:val="center"/>
                    <w:rPr>
                      <w:rFonts w:hint="eastAsia"/>
                      <w:szCs w:val="21"/>
                      <w:highlight w:val="none"/>
                      <w:lang w:val="en-US" w:eastAsia="zh-CN"/>
                    </w:rPr>
                  </w:pPr>
                  <w:r>
                    <w:rPr>
                      <w:rFonts w:hint="eastAsia"/>
                      <w:szCs w:val="21"/>
                      <w:highlight w:val="none"/>
                      <w:lang w:val="en-US" w:eastAsia="zh-CN"/>
                    </w:rPr>
                    <w:t>/</w:t>
                  </w:r>
                </w:p>
              </w:tc>
              <w:tc>
                <w:tcPr>
                  <w:tcW w:w="1229" w:type="dxa"/>
                  <w:noWrap w:val="0"/>
                  <w:vAlign w:val="center"/>
                </w:tcPr>
                <w:p>
                  <w:pPr>
                    <w:adjustRightInd w:val="0"/>
                    <w:snapToGrid w:val="0"/>
                    <w:jc w:val="center"/>
                    <w:rPr>
                      <w:rFonts w:hint="default" w:eastAsia="宋体"/>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default"/>
                      <w:szCs w:val="21"/>
                      <w:highlight w:val="none"/>
                      <w:lang w:val="en-US" w:eastAsia="zh-CN"/>
                    </w:rPr>
                  </w:pPr>
                  <w:r>
                    <w:rPr>
                      <w:rFonts w:hint="eastAsia" w:ascii="Times New Roman" w:cs="Times New Roman"/>
                      <w:snapToGrid w:val="0"/>
                      <w:color w:val="000000"/>
                      <w:kern w:val="21"/>
                      <w:szCs w:val="21"/>
                      <w:lang w:val="en-US" w:eastAsia="zh-CN"/>
                    </w:rPr>
                    <w:t>0.13</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pStyle w:val="42"/>
                    <w:spacing w:beforeLines="0" w:afterLines="0" w:line="240" w:lineRule="auto"/>
                    <w:rPr>
                      <w:rFonts w:hint="default" w:eastAsia="宋体"/>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4" w:type="dxa"/>
                  <w:vMerge w:val="continue"/>
                  <w:noWrap w:val="0"/>
                  <w:vAlign w:val="center"/>
                </w:tcPr>
                <w:p>
                  <w:pPr>
                    <w:adjustRightInd w:val="0"/>
                    <w:snapToGrid w:val="0"/>
                    <w:jc w:val="center"/>
                    <w:rPr>
                      <w:rFonts w:hint="eastAsia"/>
                      <w:szCs w:val="21"/>
                      <w:highlight w:val="none"/>
                      <w:lang w:eastAsia="zh-CN"/>
                    </w:rPr>
                  </w:pPr>
                </w:p>
              </w:tc>
              <w:tc>
                <w:tcPr>
                  <w:tcW w:w="1137" w:type="dxa"/>
                  <w:noWrap w:val="0"/>
                  <w:vAlign w:val="center"/>
                </w:tcPr>
                <w:p>
                  <w:pPr>
                    <w:pStyle w:val="42"/>
                    <w:spacing w:beforeLines="0" w:afterLines="0" w:line="240" w:lineRule="auto"/>
                    <w:rPr>
                      <w:rFonts w:hint="eastAsia"/>
                      <w:szCs w:val="21"/>
                      <w:highlight w:val="none"/>
                      <w:lang w:eastAsia="zh-CN"/>
                    </w:rPr>
                  </w:pPr>
                  <w:r>
                    <w:rPr>
                      <w:rFonts w:hint="default" w:ascii="Times New Roman" w:hAnsi="Times New Roman" w:cs="Times New Roman"/>
                      <w:snapToGrid w:val="0"/>
                      <w:color w:val="000000"/>
                      <w:kern w:val="21"/>
                      <w:szCs w:val="21"/>
                      <w:lang w:val="en-US" w:eastAsia="zh-CN"/>
                    </w:rPr>
                    <w:t>SO</w:t>
                  </w:r>
                  <w:r>
                    <w:rPr>
                      <w:rFonts w:hint="default" w:ascii="Times New Roman" w:hAnsi="Times New Roman" w:cs="Times New Roman"/>
                      <w:snapToGrid w:val="0"/>
                      <w:color w:val="000000"/>
                      <w:kern w:val="21"/>
                      <w:szCs w:val="21"/>
                      <w:vertAlign w:val="subscript"/>
                      <w:lang w:val="en-US" w:eastAsia="zh-CN"/>
                    </w:rPr>
                    <w:t>2</w:t>
                  </w:r>
                </w:p>
              </w:tc>
              <w:tc>
                <w:tcPr>
                  <w:tcW w:w="1240" w:type="dxa"/>
                  <w:noWrap w:val="0"/>
                  <w:vAlign w:val="center"/>
                </w:tcPr>
                <w:p>
                  <w:pPr>
                    <w:pStyle w:val="42"/>
                    <w:spacing w:beforeLines="0" w:afterLines="0" w:line="240" w:lineRule="auto"/>
                    <w:rPr>
                      <w:rFonts w:ascii="Times New Roman"/>
                      <w:highlight w:val="none"/>
                    </w:rPr>
                  </w:pPr>
                  <w:r>
                    <w:rPr>
                      <w:rFonts w:hint="eastAsia" w:ascii="Times New Roman" w:cs="Times New Roman"/>
                      <w:snapToGrid w:val="0"/>
                      <w:color w:val="000000"/>
                      <w:kern w:val="21"/>
                      <w:szCs w:val="21"/>
                      <w:lang w:val="en-US" w:eastAsia="zh-CN"/>
                    </w:rPr>
                    <w:t>0</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adjustRightInd w:val="0"/>
                    <w:snapToGrid w:val="0"/>
                    <w:jc w:val="center"/>
                    <w:rPr>
                      <w:rFonts w:hint="eastAsia"/>
                      <w:kern w:val="0"/>
                      <w:sz w:val="21"/>
                      <w:szCs w:val="21"/>
                      <w:highlight w:val="none"/>
                    </w:rPr>
                  </w:pPr>
                  <w:r>
                    <w:rPr>
                      <w:rFonts w:hint="eastAsia"/>
                      <w:szCs w:val="21"/>
                      <w:highlight w:val="none"/>
                      <w:lang w:val="en-US" w:eastAsia="zh-CN"/>
                    </w:rPr>
                    <w:t>/</w:t>
                  </w:r>
                </w:p>
              </w:tc>
              <w:tc>
                <w:tcPr>
                  <w:tcW w:w="1229" w:type="dxa"/>
                  <w:noWrap w:val="0"/>
                  <w:vAlign w:val="center"/>
                </w:tcPr>
                <w:p>
                  <w:pPr>
                    <w:adjustRightInd w:val="0"/>
                    <w:snapToGrid w:val="0"/>
                    <w:jc w:val="center"/>
                    <w:rPr>
                      <w:rFonts w:hint="default"/>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eastAsia"/>
                      <w:szCs w:val="21"/>
                      <w:highlight w:val="none"/>
                      <w:lang w:val="en-US" w:eastAsia="zh-CN"/>
                    </w:rPr>
                  </w:pPr>
                  <w:r>
                    <w:rPr>
                      <w:rFonts w:hint="eastAsia" w:ascii="Times New Roman" w:cs="Times New Roman"/>
                      <w:snapToGrid w:val="0"/>
                      <w:color w:val="000000"/>
                      <w:kern w:val="21"/>
                      <w:szCs w:val="21"/>
                      <w:lang w:val="en-US" w:eastAsia="zh-CN"/>
                    </w:rPr>
                    <w:t>0</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default"/>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4" w:type="dxa"/>
                  <w:vMerge w:val="continue"/>
                  <w:noWrap w:val="0"/>
                  <w:vAlign w:val="center"/>
                </w:tcPr>
                <w:p>
                  <w:pPr>
                    <w:adjustRightInd w:val="0"/>
                    <w:snapToGrid w:val="0"/>
                    <w:jc w:val="center"/>
                    <w:rPr>
                      <w:rFonts w:hint="eastAsia"/>
                      <w:szCs w:val="21"/>
                      <w:highlight w:val="none"/>
                      <w:lang w:eastAsia="zh-CN"/>
                    </w:rPr>
                  </w:pPr>
                </w:p>
              </w:tc>
              <w:tc>
                <w:tcPr>
                  <w:tcW w:w="1137" w:type="dxa"/>
                  <w:noWrap w:val="0"/>
                  <w:vAlign w:val="center"/>
                </w:tcPr>
                <w:p>
                  <w:pPr>
                    <w:pStyle w:val="42"/>
                    <w:spacing w:beforeLines="0" w:afterLines="0" w:line="240" w:lineRule="auto"/>
                    <w:rPr>
                      <w:rFonts w:hint="eastAsia"/>
                      <w:kern w:val="0"/>
                      <w:sz w:val="21"/>
                      <w:szCs w:val="21"/>
                      <w:highlight w:val="none"/>
                    </w:rPr>
                  </w:pPr>
                  <w:r>
                    <w:rPr>
                      <w:rFonts w:hint="eastAsia" w:ascii="Times New Roman" w:hAnsi="Times New Roman" w:cs="Times New Roman"/>
                      <w:snapToGrid w:val="0"/>
                      <w:color w:val="000000"/>
                      <w:kern w:val="21"/>
                      <w:szCs w:val="21"/>
                      <w:lang w:val="en-US" w:eastAsia="zh-CN"/>
                    </w:rPr>
                    <w:t>颗粒物</w:t>
                  </w:r>
                </w:p>
              </w:tc>
              <w:tc>
                <w:tcPr>
                  <w:tcW w:w="1240" w:type="dxa"/>
                  <w:noWrap w:val="0"/>
                  <w:vAlign w:val="center"/>
                </w:tcPr>
                <w:p>
                  <w:pPr>
                    <w:pStyle w:val="42"/>
                    <w:spacing w:beforeLines="0" w:afterLines="0" w:line="240" w:lineRule="auto"/>
                    <w:rPr>
                      <w:rFonts w:hint="eastAsia"/>
                      <w:kern w:val="0"/>
                      <w:sz w:val="21"/>
                      <w:szCs w:val="21"/>
                      <w:highlight w:val="none"/>
                    </w:rPr>
                  </w:pPr>
                  <w:r>
                    <w:rPr>
                      <w:rFonts w:hint="eastAsia" w:ascii="Times New Roman" w:cs="Times New Roman"/>
                      <w:snapToGrid w:val="0"/>
                      <w:color w:val="000000"/>
                      <w:kern w:val="21"/>
                      <w:szCs w:val="21"/>
                      <w:lang w:val="en-US" w:eastAsia="zh-CN"/>
                    </w:rPr>
                    <w:t>0.14</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adjustRightInd w:val="0"/>
                    <w:snapToGrid w:val="0"/>
                    <w:jc w:val="center"/>
                    <w:rPr>
                      <w:rFonts w:hint="eastAsia"/>
                      <w:kern w:val="0"/>
                      <w:sz w:val="21"/>
                      <w:szCs w:val="21"/>
                      <w:highlight w:val="none"/>
                    </w:rPr>
                  </w:pPr>
                  <w:r>
                    <w:rPr>
                      <w:rFonts w:hint="eastAsia"/>
                      <w:szCs w:val="21"/>
                      <w:highlight w:val="none"/>
                      <w:lang w:val="en-US" w:eastAsia="zh-CN"/>
                    </w:rPr>
                    <w:t>/</w:t>
                  </w:r>
                </w:p>
              </w:tc>
              <w:tc>
                <w:tcPr>
                  <w:tcW w:w="1229" w:type="dxa"/>
                  <w:noWrap w:val="0"/>
                  <w:vAlign w:val="center"/>
                </w:tcPr>
                <w:p>
                  <w:pPr>
                    <w:adjustRightInd w:val="0"/>
                    <w:snapToGrid w:val="0"/>
                    <w:jc w:val="center"/>
                    <w:rPr>
                      <w:rFonts w:hint="eastAsia"/>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eastAsia"/>
                      <w:kern w:val="0"/>
                      <w:sz w:val="21"/>
                      <w:szCs w:val="21"/>
                      <w:highlight w:val="none"/>
                    </w:rPr>
                  </w:pPr>
                  <w:r>
                    <w:rPr>
                      <w:rFonts w:hint="eastAsia" w:ascii="Times New Roman" w:cs="Times New Roman"/>
                      <w:snapToGrid w:val="0"/>
                      <w:color w:val="000000"/>
                      <w:kern w:val="21"/>
                      <w:szCs w:val="21"/>
                      <w:lang w:val="en-US" w:eastAsia="zh-CN"/>
                    </w:rPr>
                    <w:t>0.14</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eastAsia"/>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4" w:type="dxa"/>
                  <w:vMerge w:val="continue"/>
                  <w:noWrap w:val="0"/>
                  <w:vAlign w:val="center"/>
                </w:tcPr>
                <w:p>
                  <w:pPr>
                    <w:adjustRightInd w:val="0"/>
                    <w:snapToGrid w:val="0"/>
                    <w:jc w:val="center"/>
                    <w:rPr>
                      <w:rFonts w:hint="eastAsia"/>
                      <w:szCs w:val="21"/>
                      <w:highlight w:val="none"/>
                      <w:lang w:eastAsia="zh-CN"/>
                    </w:rPr>
                  </w:pPr>
                </w:p>
              </w:tc>
              <w:tc>
                <w:tcPr>
                  <w:tcW w:w="1137" w:type="dxa"/>
                  <w:noWrap w:val="0"/>
                  <w:vAlign w:val="center"/>
                </w:tcPr>
                <w:p>
                  <w:pPr>
                    <w:pStyle w:val="42"/>
                    <w:spacing w:beforeLines="0" w:afterLines="0" w:line="240" w:lineRule="auto"/>
                    <w:rPr>
                      <w:rFonts w:hint="eastAsia"/>
                      <w:kern w:val="0"/>
                      <w:sz w:val="21"/>
                      <w:szCs w:val="21"/>
                      <w:highlight w:val="none"/>
                    </w:rPr>
                  </w:pPr>
                  <w:r>
                    <w:rPr>
                      <w:rFonts w:hint="eastAsia" w:ascii="Times New Roman" w:hAnsi="Times New Roman" w:cs="Times New Roman"/>
                      <w:snapToGrid w:val="0"/>
                      <w:color w:val="000000"/>
                      <w:kern w:val="21"/>
                      <w:szCs w:val="21"/>
                      <w:lang w:val="en-US" w:eastAsia="zh-CN"/>
                    </w:rPr>
                    <w:t>NH</w:t>
                  </w:r>
                  <w:r>
                    <w:rPr>
                      <w:rFonts w:hint="eastAsia" w:ascii="Times New Roman" w:hAnsi="Times New Roman" w:cs="Times New Roman"/>
                      <w:snapToGrid w:val="0"/>
                      <w:color w:val="000000"/>
                      <w:kern w:val="21"/>
                      <w:szCs w:val="21"/>
                      <w:vertAlign w:val="subscript"/>
                      <w:lang w:val="en-US" w:eastAsia="zh-CN"/>
                    </w:rPr>
                    <w:t>3</w:t>
                  </w:r>
                </w:p>
              </w:tc>
              <w:tc>
                <w:tcPr>
                  <w:tcW w:w="1240" w:type="dxa"/>
                  <w:noWrap w:val="0"/>
                  <w:vAlign w:val="center"/>
                </w:tcPr>
                <w:p>
                  <w:pPr>
                    <w:pStyle w:val="42"/>
                    <w:spacing w:beforeLines="0" w:afterLines="0" w:line="240" w:lineRule="auto"/>
                    <w:rPr>
                      <w:rFonts w:hint="eastAsia"/>
                      <w:kern w:val="0"/>
                      <w:sz w:val="21"/>
                      <w:szCs w:val="21"/>
                      <w:highlight w:val="none"/>
                    </w:rPr>
                  </w:pPr>
                  <w:r>
                    <w:rPr>
                      <w:rFonts w:hint="eastAsia" w:ascii="Times New Roman" w:cs="Times New Roman"/>
                      <w:snapToGrid w:val="0"/>
                      <w:color w:val="000000"/>
                      <w:kern w:val="21"/>
                      <w:szCs w:val="21"/>
                      <w:lang w:val="en-US" w:eastAsia="zh-CN"/>
                    </w:rPr>
                    <w:t>0.21</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adjustRightInd w:val="0"/>
                    <w:snapToGrid w:val="0"/>
                    <w:jc w:val="center"/>
                    <w:rPr>
                      <w:rFonts w:hint="eastAsia"/>
                      <w:kern w:val="0"/>
                      <w:sz w:val="21"/>
                      <w:szCs w:val="21"/>
                      <w:highlight w:val="none"/>
                    </w:rPr>
                  </w:pPr>
                  <w:r>
                    <w:rPr>
                      <w:rFonts w:hint="eastAsia"/>
                      <w:szCs w:val="21"/>
                      <w:highlight w:val="none"/>
                      <w:lang w:val="en-US" w:eastAsia="zh-CN"/>
                    </w:rPr>
                    <w:t>/</w:t>
                  </w:r>
                </w:p>
              </w:tc>
              <w:tc>
                <w:tcPr>
                  <w:tcW w:w="1229" w:type="dxa"/>
                  <w:noWrap w:val="0"/>
                  <w:vAlign w:val="center"/>
                </w:tcPr>
                <w:p>
                  <w:pPr>
                    <w:adjustRightInd w:val="0"/>
                    <w:snapToGrid w:val="0"/>
                    <w:jc w:val="center"/>
                    <w:rPr>
                      <w:rFonts w:hint="eastAsia"/>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eastAsia"/>
                      <w:kern w:val="0"/>
                      <w:sz w:val="21"/>
                      <w:szCs w:val="21"/>
                      <w:highlight w:val="none"/>
                    </w:rPr>
                  </w:pPr>
                  <w:r>
                    <w:rPr>
                      <w:rFonts w:hint="eastAsia" w:ascii="Times New Roman" w:cs="Times New Roman"/>
                      <w:snapToGrid w:val="0"/>
                      <w:color w:val="000000"/>
                      <w:kern w:val="21"/>
                      <w:szCs w:val="21"/>
                      <w:lang w:val="en-US" w:eastAsia="zh-CN"/>
                    </w:rPr>
                    <w:t>0.21</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pStyle w:val="42"/>
                    <w:spacing w:beforeLines="0" w:afterLines="0" w:line="240" w:lineRule="auto"/>
                    <w:rPr>
                      <w:rFonts w:hint="eastAsia"/>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14" w:type="dxa"/>
                  <w:vMerge w:val="continue"/>
                  <w:noWrap w:val="0"/>
                  <w:vAlign w:val="center"/>
                </w:tcPr>
                <w:p>
                  <w:pPr>
                    <w:adjustRightInd w:val="0"/>
                    <w:snapToGrid w:val="0"/>
                    <w:jc w:val="center"/>
                    <w:rPr>
                      <w:rFonts w:hint="eastAsia"/>
                      <w:szCs w:val="21"/>
                      <w:highlight w:val="none"/>
                      <w:lang w:eastAsia="zh-CN"/>
                    </w:rPr>
                  </w:pPr>
                </w:p>
              </w:tc>
              <w:tc>
                <w:tcPr>
                  <w:tcW w:w="1137" w:type="dxa"/>
                  <w:noWrap w:val="0"/>
                  <w:vAlign w:val="center"/>
                </w:tcPr>
                <w:p>
                  <w:pPr>
                    <w:pStyle w:val="42"/>
                    <w:spacing w:beforeLines="0" w:afterLines="0" w:line="240" w:lineRule="auto"/>
                    <w:rPr>
                      <w:rFonts w:hint="eastAsia"/>
                      <w:kern w:val="0"/>
                      <w:sz w:val="21"/>
                      <w:szCs w:val="21"/>
                      <w:highlight w:val="none"/>
                    </w:rPr>
                  </w:pPr>
                  <w:r>
                    <w:rPr>
                      <w:rFonts w:hint="eastAsia" w:ascii="Times New Roman" w:hAnsi="Times New Roman" w:cs="Times New Roman"/>
                      <w:snapToGrid w:val="0"/>
                      <w:color w:val="000000"/>
                      <w:kern w:val="21"/>
                      <w:szCs w:val="21"/>
                      <w:lang w:val="en-US" w:eastAsia="zh-CN"/>
                    </w:rPr>
                    <w:t>H</w:t>
                  </w:r>
                  <w:r>
                    <w:rPr>
                      <w:rFonts w:hint="eastAsia" w:ascii="Times New Roman" w:hAnsi="Times New Roman" w:cs="Times New Roman"/>
                      <w:snapToGrid w:val="0"/>
                      <w:color w:val="000000"/>
                      <w:kern w:val="21"/>
                      <w:szCs w:val="21"/>
                      <w:vertAlign w:val="subscript"/>
                      <w:lang w:val="en-US" w:eastAsia="zh-CN"/>
                    </w:rPr>
                    <w:t>2</w:t>
                  </w:r>
                  <w:r>
                    <w:rPr>
                      <w:rFonts w:hint="eastAsia" w:ascii="Times New Roman" w:hAnsi="Times New Roman" w:cs="Times New Roman"/>
                      <w:snapToGrid w:val="0"/>
                      <w:color w:val="000000"/>
                      <w:kern w:val="21"/>
                      <w:szCs w:val="21"/>
                      <w:lang w:val="en-US" w:eastAsia="zh-CN"/>
                    </w:rPr>
                    <w:t>S</w:t>
                  </w:r>
                </w:p>
              </w:tc>
              <w:tc>
                <w:tcPr>
                  <w:tcW w:w="1240" w:type="dxa"/>
                  <w:noWrap w:val="0"/>
                  <w:vAlign w:val="center"/>
                </w:tcPr>
                <w:p>
                  <w:pPr>
                    <w:spacing w:beforeLines="0" w:afterLines="0" w:line="240" w:lineRule="auto"/>
                    <w:jc w:val="center"/>
                    <w:rPr>
                      <w:rFonts w:hint="eastAsia"/>
                      <w:kern w:val="0"/>
                      <w:sz w:val="21"/>
                      <w:szCs w:val="21"/>
                      <w:highlight w:val="none"/>
                    </w:rPr>
                  </w:pPr>
                  <w:r>
                    <w:rPr>
                      <w:rFonts w:hint="eastAsia" w:cs="Times New Roman"/>
                      <w:snapToGrid w:val="0"/>
                      <w:color w:val="000000"/>
                      <w:kern w:val="21"/>
                      <w:szCs w:val="21"/>
                      <w:lang w:val="en-US" w:eastAsia="zh-CN"/>
                    </w:rPr>
                    <w:t>0.24</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jc w:val="center"/>
                    <w:rPr>
                      <w:rFonts w:hint="eastAsia"/>
                      <w:kern w:val="0"/>
                      <w:sz w:val="21"/>
                      <w:szCs w:val="21"/>
                      <w:highlight w:val="none"/>
                    </w:rPr>
                  </w:pPr>
                  <w:r>
                    <w:rPr>
                      <w:rFonts w:hint="eastAsia"/>
                      <w:szCs w:val="21"/>
                      <w:highlight w:val="none"/>
                      <w:lang w:val="en-US" w:eastAsia="zh-CN"/>
                    </w:rPr>
                    <w:t>/</w:t>
                  </w:r>
                </w:p>
              </w:tc>
              <w:tc>
                <w:tcPr>
                  <w:tcW w:w="1229" w:type="dxa"/>
                  <w:noWrap w:val="0"/>
                  <w:vAlign w:val="center"/>
                </w:tcPr>
                <w:p>
                  <w:pPr>
                    <w:jc w:val="center"/>
                    <w:rPr>
                      <w:rFonts w:hint="eastAsia"/>
                      <w:szCs w:val="21"/>
                      <w:highlight w:val="none"/>
                      <w:lang w:val="en-US" w:eastAsia="zh-CN"/>
                    </w:rPr>
                  </w:pPr>
                  <w:r>
                    <w:rPr>
                      <w:rFonts w:hint="eastAsia"/>
                      <w:szCs w:val="21"/>
                      <w:highlight w:val="none"/>
                      <w:lang w:val="en-US" w:eastAsia="zh-CN"/>
                    </w:rPr>
                    <w:t>/</w:t>
                  </w:r>
                </w:p>
              </w:tc>
              <w:tc>
                <w:tcPr>
                  <w:tcW w:w="1441" w:type="dxa"/>
                  <w:noWrap w:val="0"/>
                  <w:vAlign w:val="center"/>
                </w:tcPr>
                <w:p>
                  <w:pPr>
                    <w:spacing w:beforeLines="0" w:afterLines="0" w:line="240" w:lineRule="auto"/>
                    <w:jc w:val="center"/>
                    <w:rPr>
                      <w:rFonts w:hint="eastAsia"/>
                      <w:kern w:val="0"/>
                      <w:sz w:val="21"/>
                      <w:szCs w:val="21"/>
                      <w:highlight w:val="none"/>
                    </w:rPr>
                  </w:pPr>
                  <w:r>
                    <w:rPr>
                      <w:rFonts w:hint="eastAsia" w:cs="Times New Roman"/>
                      <w:snapToGrid w:val="0"/>
                      <w:color w:val="000000"/>
                      <w:kern w:val="21"/>
                      <w:szCs w:val="21"/>
                      <w:lang w:val="en-US" w:eastAsia="zh-CN"/>
                    </w:rPr>
                    <w:t>0.24</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eastAsia"/>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pPr>
                    <w:jc w:val="center"/>
                    <w:rPr>
                      <w:rFonts w:hint="eastAsia"/>
                      <w:szCs w:val="21"/>
                      <w:highlight w:val="none"/>
                    </w:rPr>
                  </w:pPr>
                  <w:r>
                    <w:rPr>
                      <w:rFonts w:hint="eastAsia"/>
                      <w:szCs w:val="21"/>
                      <w:highlight w:val="none"/>
                    </w:rPr>
                    <w:t>废水</w:t>
                  </w:r>
                </w:p>
              </w:tc>
              <w:tc>
                <w:tcPr>
                  <w:tcW w:w="1137" w:type="dxa"/>
                  <w:noWrap w:val="0"/>
                  <w:vAlign w:val="center"/>
                </w:tcPr>
                <w:p>
                  <w:pPr>
                    <w:pStyle w:val="42"/>
                    <w:spacing w:beforeLines="0" w:afterLines="0" w:line="240" w:lineRule="auto"/>
                    <w:rPr>
                      <w:rFonts w:hint="eastAsia"/>
                      <w:szCs w:val="21"/>
                      <w:highlight w:val="none"/>
                    </w:rPr>
                  </w:pPr>
                  <w:r>
                    <w:rPr>
                      <w:rFonts w:hint="eastAsia" w:ascii="Times New Roman" w:hAnsi="Times New Roman" w:cs="Times New Roman"/>
                      <w:snapToGrid w:val="0"/>
                      <w:color w:val="000000"/>
                      <w:kern w:val="21"/>
                      <w:szCs w:val="21"/>
                      <w:lang w:val="en-US" w:eastAsia="zh-CN"/>
                    </w:rPr>
                    <w:t>COD</w:t>
                  </w:r>
                </w:p>
              </w:tc>
              <w:tc>
                <w:tcPr>
                  <w:tcW w:w="1240" w:type="dxa"/>
                  <w:noWrap w:val="0"/>
                  <w:vAlign w:val="center"/>
                </w:tcPr>
                <w:p>
                  <w:pPr>
                    <w:pStyle w:val="42"/>
                    <w:spacing w:beforeLines="0" w:afterLines="0" w:line="240" w:lineRule="auto"/>
                    <w:rPr>
                      <w:rFonts w:hint="eastAsia"/>
                      <w:szCs w:val="21"/>
                      <w:highlight w:val="none"/>
                    </w:rPr>
                  </w:pPr>
                  <w:r>
                    <w:rPr>
                      <w:rFonts w:hint="eastAsia" w:ascii="Times New Roman" w:hAnsi="Times New Roman" w:eastAsia="宋体" w:cs="Times New Roman"/>
                      <w:snapToGrid w:val="0"/>
                      <w:color w:val="000000"/>
                      <w:kern w:val="21"/>
                      <w:szCs w:val="21"/>
                      <w:lang w:val="en-US" w:eastAsia="zh-CN"/>
                    </w:rPr>
                    <w:t>10.37</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keepNext w:val="0"/>
                    <w:keepLines w:val="0"/>
                    <w:widowControl/>
                    <w:suppressLineNumbers w:val="0"/>
                    <w:jc w:val="center"/>
                    <w:textAlignment w:val="center"/>
                    <w:rPr>
                      <w:rFonts w:hint="eastAsia"/>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0.2894</w:t>
                  </w:r>
                  <w:r>
                    <w:rPr>
                      <w:rFonts w:hint="eastAsia" w:ascii="Times New Roman" w:hAnsi="Times New Roman" w:cs="Times New Roman"/>
                      <w:snapToGrid w:val="0"/>
                      <w:color w:val="000000"/>
                      <w:kern w:val="21"/>
                      <w:sz w:val="21"/>
                      <w:szCs w:val="21"/>
                      <w:lang w:val="en-US" w:eastAsia="zh-CN"/>
                    </w:rPr>
                    <w:t>t/a</w:t>
                  </w:r>
                </w:p>
              </w:tc>
              <w:tc>
                <w:tcPr>
                  <w:tcW w:w="1229" w:type="dxa"/>
                  <w:noWrap w:val="0"/>
                  <w:vAlign w:val="center"/>
                </w:tcPr>
                <w:p>
                  <w:pPr>
                    <w:jc w:val="center"/>
                    <w:rPr>
                      <w:rFonts w:hint="eastAsia"/>
                      <w:szCs w:val="21"/>
                      <w:highlight w:val="none"/>
                    </w:rPr>
                  </w:pPr>
                  <w:r>
                    <w:rPr>
                      <w:rFonts w:hint="eastAsia"/>
                      <w:szCs w:val="21"/>
                      <w:highlight w:val="none"/>
                      <w:lang w:val="en-US" w:eastAsia="zh-CN"/>
                    </w:rPr>
                    <w:t>/</w:t>
                  </w:r>
                </w:p>
              </w:tc>
              <w:tc>
                <w:tcPr>
                  <w:tcW w:w="1441"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10.6594</w:t>
                  </w:r>
                  <w:r>
                    <w:rPr>
                      <w:rFonts w:hint="eastAsia" w:ascii="Times New Roman" w:hAnsi="Times New Roman" w:cs="Times New Roman"/>
                      <w:snapToGrid w:val="0"/>
                      <w:color w:val="000000"/>
                      <w:kern w:val="21"/>
                      <w:sz w:val="21"/>
                      <w:szCs w:val="21"/>
                      <w:lang w:val="en-US" w:eastAsia="zh-CN"/>
                    </w:rPr>
                    <w:t>t/a</w:t>
                  </w:r>
                </w:p>
              </w:tc>
              <w:tc>
                <w:tcPr>
                  <w:tcW w:w="1294"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0.2894</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noWrap w:val="0"/>
                  <w:vAlign w:val="center"/>
                </w:tcPr>
                <w:p>
                  <w:pPr>
                    <w:pStyle w:val="42"/>
                    <w:spacing w:beforeLines="0" w:afterLines="0" w:line="240" w:lineRule="auto"/>
                    <w:rPr>
                      <w:rFonts w:hint="eastAsia"/>
                      <w:szCs w:val="21"/>
                      <w:highlight w:val="none"/>
                    </w:rPr>
                  </w:pPr>
                  <w:r>
                    <w:rPr>
                      <w:rFonts w:hint="eastAsia" w:ascii="Times New Roman" w:hAnsi="Times New Roman" w:cs="Times New Roman"/>
                      <w:snapToGrid w:val="0"/>
                      <w:color w:val="000000"/>
                      <w:kern w:val="21"/>
                      <w:szCs w:val="21"/>
                      <w:lang w:val="en-US" w:eastAsia="zh-CN"/>
                    </w:rPr>
                    <w:t>BOD</w:t>
                  </w:r>
                  <w:r>
                    <w:rPr>
                      <w:rFonts w:hint="eastAsia" w:ascii="Times New Roman" w:hAnsi="Times New Roman" w:cs="Times New Roman"/>
                      <w:snapToGrid w:val="0"/>
                      <w:color w:val="000000"/>
                      <w:kern w:val="21"/>
                      <w:szCs w:val="21"/>
                      <w:vertAlign w:val="subscript"/>
                      <w:lang w:val="en-US" w:eastAsia="zh-CN"/>
                    </w:rPr>
                    <w:t>5</w:t>
                  </w:r>
                </w:p>
              </w:tc>
              <w:tc>
                <w:tcPr>
                  <w:tcW w:w="1240" w:type="dxa"/>
                  <w:noWrap w:val="0"/>
                  <w:vAlign w:val="center"/>
                </w:tcPr>
                <w:p>
                  <w:pPr>
                    <w:pStyle w:val="42"/>
                    <w:spacing w:beforeLines="0" w:afterLines="0" w:line="240" w:lineRule="auto"/>
                    <w:rPr>
                      <w:rFonts w:hint="eastAsia"/>
                      <w:szCs w:val="21"/>
                      <w:highlight w:val="none"/>
                    </w:rPr>
                  </w:pPr>
                  <w:r>
                    <w:rPr>
                      <w:rFonts w:hint="eastAsia" w:ascii="Times New Roman" w:hAnsi="Times New Roman" w:eastAsia="宋体" w:cs="Times New Roman"/>
                      <w:snapToGrid w:val="0"/>
                      <w:color w:val="000000"/>
                      <w:kern w:val="21"/>
                      <w:szCs w:val="21"/>
                      <w:lang w:val="en-US" w:eastAsia="zh-CN"/>
                    </w:rPr>
                    <w:t>2.58</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keepNext w:val="0"/>
                    <w:keepLines w:val="0"/>
                    <w:widowControl/>
                    <w:suppressLineNumbers w:val="0"/>
                    <w:jc w:val="center"/>
                    <w:textAlignment w:val="center"/>
                    <w:rPr>
                      <w:rFonts w:hint="eastAsia"/>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0.1053</w:t>
                  </w:r>
                  <w:r>
                    <w:rPr>
                      <w:rFonts w:hint="eastAsia" w:ascii="Times New Roman" w:hAnsi="Times New Roman" w:cs="Times New Roman"/>
                      <w:snapToGrid w:val="0"/>
                      <w:color w:val="000000"/>
                      <w:kern w:val="21"/>
                      <w:sz w:val="21"/>
                      <w:szCs w:val="21"/>
                      <w:lang w:val="en-US" w:eastAsia="zh-CN"/>
                    </w:rPr>
                    <w:t>t/a</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w:t>
                  </w:r>
                </w:p>
              </w:tc>
              <w:tc>
                <w:tcPr>
                  <w:tcW w:w="1441"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2.6853</w:t>
                  </w:r>
                  <w:r>
                    <w:rPr>
                      <w:rFonts w:hint="eastAsia" w:ascii="Times New Roman" w:hAnsi="Times New Roman" w:cs="Times New Roman"/>
                      <w:snapToGrid w:val="0"/>
                      <w:color w:val="000000"/>
                      <w:kern w:val="21"/>
                      <w:sz w:val="21"/>
                      <w:szCs w:val="21"/>
                      <w:lang w:val="en-US" w:eastAsia="zh-CN"/>
                    </w:rPr>
                    <w:t>t/a</w:t>
                  </w:r>
                </w:p>
              </w:tc>
              <w:tc>
                <w:tcPr>
                  <w:tcW w:w="1294"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0.1053</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noWrap w:val="0"/>
                  <w:vAlign w:val="center"/>
                </w:tcPr>
                <w:p>
                  <w:pPr>
                    <w:pStyle w:val="42"/>
                    <w:spacing w:beforeLines="0" w:afterLines="0" w:line="240" w:lineRule="auto"/>
                    <w:rPr>
                      <w:rFonts w:hint="eastAsia"/>
                      <w:szCs w:val="21"/>
                      <w:highlight w:val="none"/>
                    </w:rPr>
                  </w:pPr>
                  <w:r>
                    <w:rPr>
                      <w:rFonts w:hint="eastAsia" w:ascii="Times New Roman" w:hAnsi="Times New Roman" w:cs="Times New Roman"/>
                      <w:snapToGrid w:val="0"/>
                      <w:color w:val="000000"/>
                      <w:kern w:val="21"/>
                      <w:szCs w:val="21"/>
                      <w:lang w:val="en-US" w:eastAsia="zh-CN"/>
                    </w:rPr>
                    <w:t>NH</w:t>
                  </w:r>
                  <w:r>
                    <w:rPr>
                      <w:rFonts w:hint="eastAsia" w:ascii="Times New Roman" w:hAnsi="Times New Roman" w:cs="Times New Roman"/>
                      <w:snapToGrid w:val="0"/>
                      <w:color w:val="000000"/>
                      <w:kern w:val="21"/>
                      <w:szCs w:val="21"/>
                      <w:vertAlign w:val="subscript"/>
                      <w:lang w:val="en-US" w:eastAsia="zh-CN"/>
                    </w:rPr>
                    <w:t>3</w:t>
                  </w:r>
                  <w:r>
                    <w:rPr>
                      <w:rFonts w:hint="eastAsia" w:ascii="Times New Roman" w:hAnsi="Times New Roman" w:cs="Times New Roman"/>
                      <w:snapToGrid w:val="0"/>
                      <w:color w:val="000000"/>
                      <w:kern w:val="21"/>
                      <w:szCs w:val="21"/>
                      <w:lang w:val="en-US" w:eastAsia="zh-CN"/>
                    </w:rPr>
                    <w:t>-N</w:t>
                  </w:r>
                </w:p>
              </w:tc>
              <w:tc>
                <w:tcPr>
                  <w:tcW w:w="1240" w:type="dxa"/>
                  <w:noWrap w:val="0"/>
                  <w:vAlign w:val="center"/>
                </w:tcPr>
                <w:p>
                  <w:pPr>
                    <w:pStyle w:val="42"/>
                    <w:spacing w:beforeLines="0" w:afterLines="0" w:line="240" w:lineRule="auto"/>
                    <w:rPr>
                      <w:rFonts w:hint="eastAsia"/>
                      <w:szCs w:val="21"/>
                      <w:highlight w:val="none"/>
                    </w:rPr>
                  </w:pPr>
                  <w:r>
                    <w:rPr>
                      <w:rFonts w:hint="eastAsia" w:ascii="Times New Roman" w:hAnsi="Times New Roman" w:eastAsia="宋体" w:cs="Times New Roman"/>
                      <w:snapToGrid w:val="0"/>
                      <w:color w:val="000000"/>
                      <w:kern w:val="21"/>
                      <w:szCs w:val="21"/>
                      <w:lang w:val="en-US" w:eastAsia="zh-CN"/>
                    </w:rPr>
                    <w:t>1.87</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keepNext w:val="0"/>
                    <w:keepLines w:val="0"/>
                    <w:widowControl/>
                    <w:suppressLineNumbers w:val="0"/>
                    <w:jc w:val="center"/>
                    <w:textAlignment w:val="center"/>
                    <w:rPr>
                      <w:rFonts w:hint="eastAsia"/>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0.1754</w:t>
                  </w:r>
                  <w:r>
                    <w:rPr>
                      <w:rFonts w:hint="eastAsia" w:ascii="Times New Roman" w:hAnsi="Times New Roman" w:cs="Times New Roman"/>
                      <w:snapToGrid w:val="0"/>
                      <w:color w:val="000000"/>
                      <w:kern w:val="21"/>
                      <w:sz w:val="21"/>
                      <w:szCs w:val="21"/>
                      <w:lang w:val="en-US" w:eastAsia="zh-CN"/>
                    </w:rPr>
                    <w:t>t/a</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w:t>
                  </w:r>
                </w:p>
              </w:tc>
              <w:tc>
                <w:tcPr>
                  <w:tcW w:w="1441"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2.0454</w:t>
                  </w:r>
                  <w:r>
                    <w:rPr>
                      <w:rFonts w:hint="eastAsia" w:ascii="Times New Roman" w:hAnsi="Times New Roman" w:cs="Times New Roman"/>
                      <w:snapToGrid w:val="0"/>
                      <w:color w:val="000000"/>
                      <w:kern w:val="21"/>
                      <w:sz w:val="21"/>
                      <w:szCs w:val="21"/>
                      <w:lang w:val="en-US" w:eastAsia="zh-CN"/>
                    </w:rPr>
                    <w:t>t/a</w:t>
                  </w:r>
                </w:p>
              </w:tc>
              <w:tc>
                <w:tcPr>
                  <w:tcW w:w="1294"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0.1754</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noWrap w:val="0"/>
                  <w:vAlign w:val="center"/>
                </w:tcPr>
                <w:p>
                  <w:pPr>
                    <w:pStyle w:val="42"/>
                    <w:spacing w:beforeLines="0" w:afterLines="0" w:line="240" w:lineRule="auto"/>
                    <w:rPr>
                      <w:rFonts w:hint="eastAsia"/>
                      <w:szCs w:val="21"/>
                      <w:highlight w:val="none"/>
                    </w:rPr>
                  </w:pPr>
                  <w:r>
                    <w:rPr>
                      <w:rFonts w:hint="eastAsia" w:ascii="Times New Roman" w:hAnsi="Times New Roman" w:cs="Times New Roman"/>
                      <w:snapToGrid w:val="0"/>
                      <w:color w:val="000000"/>
                      <w:kern w:val="21"/>
                      <w:szCs w:val="21"/>
                      <w:lang w:val="en-US" w:eastAsia="zh-CN"/>
                    </w:rPr>
                    <w:t>SS</w:t>
                  </w:r>
                </w:p>
              </w:tc>
              <w:tc>
                <w:tcPr>
                  <w:tcW w:w="1240" w:type="dxa"/>
                  <w:noWrap w:val="0"/>
                  <w:vAlign w:val="center"/>
                </w:tcPr>
                <w:p>
                  <w:pPr>
                    <w:pStyle w:val="42"/>
                    <w:spacing w:beforeLines="0" w:afterLines="0" w:line="240" w:lineRule="auto"/>
                    <w:rPr>
                      <w:rFonts w:hint="eastAsia"/>
                      <w:szCs w:val="21"/>
                      <w:highlight w:val="none"/>
                    </w:rPr>
                  </w:pPr>
                  <w:r>
                    <w:rPr>
                      <w:rFonts w:hint="eastAsia" w:ascii="Times New Roman" w:hAnsi="Times New Roman" w:eastAsia="宋体" w:cs="Times New Roman"/>
                      <w:snapToGrid w:val="0"/>
                      <w:color w:val="000000"/>
                      <w:kern w:val="21"/>
                      <w:szCs w:val="21"/>
                      <w:lang w:val="en-US" w:eastAsia="zh-CN"/>
                    </w:rPr>
                    <w:t>4.77</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0.2461</w:t>
                  </w:r>
                  <w:r>
                    <w:rPr>
                      <w:rFonts w:hint="eastAsia" w:ascii="Times New Roman" w:hAnsi="Times New Roman" w:cs="Times New Roman"/>
                      <w:snapToGrid w:val="0"/>
                      <w:color w:val="000000"/>
                      <w:kern w:val="21"/>
                      <w:sz w:val="21"/>
                      <w:szCs w:val="21"/>
                      <w:lang w:val="en-US" w:eastAsia="zh-CN"/>
                    </w:rPr>
                    <w:t>t/a</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w:t>
                  </w:r>
                </w:p>
              </w:tc>
              <w:tc>
                <w:tcPr>
                  <w:tcW w:w="1441"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5.0161</w:t>
                  </w:r>
                  <w:r>
                    <w:rPr>
                      <w:rFonts w:hint="eastAsia" w:ascii="Times New Roman" w:hAnsi="Times New Roman" w:cs="Times New Roman"/>
                      <w:snapToGrid w:val="0"/>
                      <w:color w:val="000000"/>
                      <w:kern w:val="21"/>
                      <w:sz w:val="21"/>
                      <w:szCs w:val="21"/>
                      <w:lang w:val="en-US" w:eastAsia="zh-CN"/>
                    </w:rPr>
                    <w:t>t/a</w:t>
                  </w:r>
                </w:p>
              </w:tc>
              <w:tc>
                <w:tcPr>
                  <w:tcW w:w="1294" w:type="dxa"/>
                  <w:noWrap w:val="0"/>
                  <w:vAlign w:val="center"/>
                </w:tcPr>
                <w:p>
                  <w:pPr>
                    <w:keepNext w:val="0"/>
                    <w:keepLines w:val="0"/>
                    <w:widowControl/>
                    <w:suppressLineNumbers w:val="0"/>
                    <w:jc w:val="center"/>
                    <w:textAlignment w:val="center"/>
                    <w:rPr>
                      <w:szCs w:val="21"/>
                      <w:highlight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0.2461</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restart"/>
                  <w:noWrap w:val="0"/>
                  <w:vAlign w:val="center"/>
                </w:tcPr>
                <w:p>
                  <w:pPr>
                    <w:jc w:val="center"/>
                    <w:rPr>
                      <w:rFonts w:hint="eastAsia"/>
                      <w:szCs w:val="21"/>
                      <w:highlight w:val="none"/>
                    </w:rPr>
                  </w:pPr>
                  <w:r>
                    <w:rPr>
                      <w:rFonts w:hint="eastAsia"/>
                      <w:szCs w:val="21"/>
                      <w:highlight w:val="none"/>
                    </w:rPr>
                    <w:t>固废</w:t>
                  </w:r>
                </w:p>
              </w:tc>
              <w:tc>
                <w:tcPr>
                  <w:tcW w:w="1137"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医疗废物</w:t>
                  </w:r>
                </w:p>
              </w:tc>
              <w:tc>
                <w:tcPr>
                  <w:tcW w:w="1240"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000000"/>
                      <w:kern w:val="21"/>
                      <w:szCs w:val="21"/>
                      <w:lang w:val="en-US" w:eastAsia="zh-CN"/>
                    </w:rPr>
                    <w:t>144.75</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pStyle w:val="42"/>
                    <w:spacing w:beforeLines="0" w:afterLines="0" w:line="240" w:lineRule="auto"/>
                    <w:rPr>
                      <w:rFonts w:hint="eastAsia"/>
                      <w:szCs w:val="21"/>
                      <w:highlight w:val="none"/>
                      <w:lang w:val="en-US" w:eastAsia="zh-CN"/>
                    </w:rPr>
                  </w:pPr>
                  <w:r>
                    <w:rPr>
                      <w:rFonts w:hint="eastAsia" w:ascii="Times New Roman" w:cs="Times New Roman"/>
                      <w:snapToGrid w:val="0"/>
                      <w:color w:val="000000"/>
                      <w:kern w:val="21"/>
                      <w:sz w:val="21"/>
                      <w:szCs w:val="21"/>
                      <w:lang w:val="en-US" w:eastAsia="zh-CN"/>
                    </w:rPr>
                    <w:t>15.68</w:t>
                  </w:r>
                  <w:r>
                    <w:rPr>
                      <w:rFonts w:hint="eastAsia" w:ascii="Times New Roman" w:hAnsi="Times New Roman" w:cs="Times New Roman"/>
                      <w:snapToGrid w:val="0"/>
                      <w:color w:val="000000"/>
                      <w:kern w:val="21"/>
                      <w:sz w:val="21"/>
                      <w:szCs w:val="21"/>
                      <w:lang w:val="en-US" w:eastAsia="zh-CN"/>
                    </w:rPr>
                    <w:t>t/at/a</w:t>
                  </w:r>
                </w:p>
              </w:tc>
              <w:tc>
                <w:tcPr>
                  <w:tcW w:w="1229" w:type="dxa"/>
                  <w:noWrap w:val="0"/>
                  <w:vAlign w:val="center"/>
                </w:tcPr>
                <w:p>
                  <w:pPr>
                    <w:adjustRightInd w:val="0"/>
                    <w:snapToGrid w:val="0"/>
                    <w:jc w:val="center"/>
                    <w:rPr>
                      <w:rFonts w:hint="eastAsia"/>
                      <w:szCs w:val="21"/>
                      <w:highlight w:val="none"/>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default" w:eastAsia="宋体"/>
                      <w:szCs w:val="21"/>
                      <w:highlight w:val="none"/>
                      <w:lang w:val="en-US" w:eastAsia="zh-CN"/>
                    </w:rPr>
                  </w:pPr>
                  <w:r>
                    <w:rPr>
                      <w:rFonts w:hint="eastAsia" w:ascii="Times New Roman" w:cs="Times New Roman"/>
                      <w:snapToGrid w:val="0"/>
                      <w:color w:val="000000"/>
                      <w:kern w:val="21"/>
                      <w:szCs w:val="21"/>
                      <w:lang w:val="en-US" w:eastAsia="zh-CN"/>
                    </w:rPr>
                    <w:t>160.43</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pStyle w:val="42"/>
                    <w:spacing w:beforeLines="0" w:afterLines="0" w:line="240" w:lineRule="auto"/>
                    <w:rPr>
                      <w:rFonts w:hint="eastAsia"/>
                      <w:szCs w:val="21"/>
                      <w:highlight w:val="none"/>
                    </w:rPr>
                  </w:pPr>
                  <w:r>
                    <w:rPr>
                      <w:rFonts w:hint="eastAsia" w:ascii="Times New Roman" w:cs="Times New Roman"/>
                      <w:snapToGrid w:val="0"/>
                      <w:color w:val="000000"/>
                      <w:kern w:val="21"/>
                      <w:szCs w:val="21"/>
                      <w:lang w:val="en-US" w:eastAsia="zh-CN"/>
                    </w:rPr>
                    <w:t>+15.68</w:t>
                  </w:r>
                  <w:r>
                    <w:rPr>
                      <w:rFonts w:hint="eastAsia" w:ascii="Times New Roman" w:hAnsi="Times New Roman" w:cs="Times New Roman"/>
                      <w:snapToGrid w:val="0"/>
                      <w:color w:val="000000"/>
                      <w:kern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污泥</w:t>
                  </w:r>
                </w:p>
              </w:tc>
              <w:tc>
                <w:tcPr>
                  <w:tcW w:w="1240" w:type="dxa"/>
                  <w:shd w:val="clear" w:color="auto" w:fill="auto"/>
                  <w:noWrap w:val="0"/>
                  <w:vAlign w:val="center"/>
                </w:tcPr>
                <w:p>
                  <w:pPr>
                    <w:pStyle w:val="42"/>
                    <w:spacing w:beforeLines="0" w:afterLines="0" w:line="240" w:lineRule="auto"/>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000000"/>
                      <w:kern w:val="21"/>
                      <w:szCs w:val="21"/>
                      <w:lang w:val="en-US" w:eastAsia="zh-CN"/>
                    </w:rPr>
                    <w:t>15.01</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spacing w:beforeLines="0" w:afterLines="0" w:line="240" w:lineRule="auto"/>
                    <w:jc w:val="center"/>
                    <w:rPr>
                      <w:rFonts w:hint="eastAsia"/>
                      <w:szCs w:val="21"/>
                      <w:highlight w:val="none"/>
                      <w:lang w:val="en-US" w:eastAsia="zh-CN"/>
                    </w:rPr>
                  </w:pPr>
                  <w:r>
                    <w:rPr>
                      <w:rFonts w:hint="eastAsia" w:cs="Times New Roman"/>
                      <w:snapToGrid w:val="0"/>
                      <w:color w:val="000000"/>
                      <w:kern w:val="21"/>
                      <w:szCs w:val="21"/>
                      <w:lang w:val="en-US" w:eastAsia="zh-CN"/>
                    </w:rPr>
                    <w:t>2.808</w:t>
                  </w:r>
                  <w:r>
                    <w:rPr>
                      <w:rFonts w:hint="eastAsia" w:ascii="Times New Roman" w:hAnsi="Times New Roman" w:cs="Times New Roman"/>
                      <w:snapToGrid w:val="0"/>
                      <w:color w:val="000000"/>
                      <w:kern w:val="21"/>
                      <w:szCs w:val="21"/>
                      <w:lang w:val="en-US" w:eastAsia="zh-CN"/>
                    </w:rPr>
                    <w:t>t/a</w:t>
                  </w:r>
                </w:p>
              </w:tc>
              <w:tc>
                <w:tcPr>
                  <w:tcW w:w="1229" w:type="dxa"/>
                  <w:noWrap w:val="0"/>
                  <w:vAlign w:val="center"/>
                </w:tcPr>
                <w:p>
                  <w:pPr>
                    <w:jc w:val="center"/>
                    <w:rPr>
                      <w:rFonts w:hint="eastAsia"/>
                      <w:szCs w:val="21"/>
                      <w:highlight w:val="none"/>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default" w:eastAsia="宋体"/>
                      <w:szCs w:val="21"/>
                      <w:highlight w:val="none"/>
                      <w:lang w:val="en-US" w:eastAsia="zh-CN"/>
                    </w:rPr>
                  </w:pPr>
                  <w:r>
                    <w:rPr>
                      <w:rFonts w:hint="eastAsia" w:ascii="Times New Roman" w:cs="Times New Roman"/>
                      <w:snapToGrid w:val="0"/>
                      <w:color w:val="000000"/>
                      <w:kern w:val="21"/>
                      <w:szCs w:val="21"/>
                      <w:lang w:val="en-US" w:eastAsia="zh-CN"/>
                    </w:rPr>
                    <w:t>19.474</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eastAsia"/>
                      <w:szCs w:val="21"/>
                      <w:highlight w:val="none"/>
                    </w:rPr>
                  </w:pPr>
                  <w:r>
                    <w:rPr>
                      <w:rFonts w:hint="eastAsia" w:cs="Times New Roman"/>
                      <w:snapToGrid w:val="0"/>
                      <w:color w:val="000000"/>
                      <w:kern w:val="21"/>
                      <w:szCs w:val="21"/>
                      <w:lang w:val="en-US" w:eastAsia="zh-CN"/>
                    </w:rPr>
                    <w:t>+2.808</w:t>
                  </w:r>
                  <w:r>
                    <w:rPr>
                      <w:rFonts w:hint="eastAsia" w:ascii="Times New Roman" w:hAnsi="Times New Roman" w:cs="Times New Roman"/>
                      <w:snapToGrid w:val="0"/>
                      <w:color w:val="000000"/>
                      <w:kern w:val="21"/>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废滤芯</w:t>
                  </w:r>
                </w:p>
              </w:tc>
              <w:tc>
                <w:tcPr>
                  <w:tcW w:w="1240"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000000"/>
                      <w:kern w:val="21"/>
                      <w:szCs w:val="21"/>
                      <w:lang w:val="en-US" w:eastAsia="zh-CN"/>
                    </w:rPr>
                    <w:t>0.08</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spacing w:beforeLines="0" w:afterLines="0" w:line="240" w:lineRule="auto"/>
                    <w:jc w:val="center"/>
                    <w:rPr>
                      <w:rFonts w:hint="eastAsia"/>
                      <w:szCs w:val="21"/>
                      <w:highlight w:val="none"/>
                      <w:lang w:val="en-US" w:eastAsia="zh-CN"/>
                    </w:rPr>
                  </w:pPr>
                  <w:r>
                    <w:rPr>
                      <w:rFonts w:hint="eastAsia" w:ascii="Times New Roman" w:hAnsi="Times New Roman" w:cs="Times New Roman"/>
                      <w:snapToGrid w:val="0"/>
                      <w:color w:val="000000"/>
                      <w:kern w:val="21"/>
                      <w:szCs w:val="21"/>
                      <w:lang w:val="en-US" w:eastAsia="zh-CN"/>
                    </w:rPr>
                    <w:t>/</w:t>
                  </w:r>
                </w:p>
              </w:tc>
              <w:tc>
                <w:tcPr>
                  <w:tcW w:w="1229" w:type="dxa"/>
                  <w:noWrap w:val="0"/>
                  <w:vAlign w:val="center"/>
                </w:tcPr>
                <w:p>
                  <w:pPr>
                    <w:jc w:val="center"/>
                    <w:rPr>
                      <w:rFonts w:hint="eastAsia"/>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eastAsia"/>
                      <w:szCs w:val="21"/>
                      <w:highlight w:val="none"/>
                      <w:lang w:val="en-US" w:eastAsia="zh-CN"/>
                    </w:rPr>
                  </w:pPr>
                  <w:r>
                    <w:rPr>
                      <w:rFonts w:hint="eastAsia" w:ascii="Times New Roman" w:hAnsi="Times New Roman" w:eastAsia="宋体" w:cs="Times New Roman"/>
                      <w:snapToGrid w:val="0"/>
                      <w:color w:val="000000"/>
                      <w:kern w:val="21"/>
                      <w:szCs w:val="21"/>
                      <w:lang w:val="en-US" w:eastAsia="zh-CN"/>
                    </w:rPr>
                    <w:t>0.08</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eastAsia"/>
                      <w:szCs w:val="21"/>
                      <w:highlight w:val="none"/>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14" w:type="dxa"/>
                  <w:vMerge w:val="continue"/>
                  <w:noWrap w:val="0"/>
                  <w:vAlign w:val="center"/>
                </w:tcPr>
                <w:p>
                  <w:pPr>
                    <w:jc w:val="center"/>
                    <w:rPr>
                      <w:rFonts w:hint="eastAsia"/>
                      <w:szCs w:val="21"/>
                      <w:highlight w:val="none"/>
                    </w:rPr>
                  </w:pPr>
                </w:p>
              </w:tc>
              <w:tc>
                <w:tcPr>
                  <w:tcW w:w="1137" w:type="dxa"/>
                  <w:shd w:val="clear" w:color="auto" w:fill="auto"/>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栅渣</w:t>
                  </w:r>
                </w:p>
              </w:tc>
              <w:tc>
                <w:tcPr>
                  <w:tcW w:w="1240" w:type="dxa"/>
                  <w:shd w:val="clear" w:color="auto" w:fill="auto"/>
                  <w:noWrap w:val="0"/>
                  <w:vAlign w:val="center"/>
                </w:tcPr>
                <w:p>
                  <w:pPr>
                    <w:pStyle w:val="42"/>
                    <w:spacing w:beforeLines="0" w:afterLines="0" w:line="240" w:lineRule="auto"/>
                    <w:rPr>
                      <w:rFonts w:hint="eastAsia" w:ascii="宋体"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000000"/>
                      <w:kern w:val="21"/>
                      <w:szCs w:val="21"/>
                      <w:lang w:val="en-US" w:eastAsia="zh-CN"/>
                    </w:rPr>
                    <w:t>390.18</w:t>
                  </w:r>
                  <w:r>
                    <w:rPr>
                      <w:rFonts w:hint="eastAsia" w:ascii="Times New Roman" w:hAnsi="Times New Roman" w:cs="Times New Roman"/>
                      <w:snapToGrid w:val="0"/>
                      <w:color w:val="000000"/>
                      <w:kern w:val="21"/>
                      <w:szCs w:val="21"/>
                      <w:lang w:val="en-US" w:eastAsia="zh-CN"/>
                    </w:rPr>
                    <w:t>t/a</w:t>
                  </w:r>
                </w:p>
              </w:tc>
              <w:tc>
                <w:tcPr>
                  <w:tcW w:w="1220" w:type="dxa"/>
                  <w:noWrap w:val="0"/>
                  <w:vAlign w:val="center"/>
                </w:tcPr>
                <w:p>
                  <w:pPr>
                    <w:spacing w:beforeLines="0" w:afterLines="0" w:line="240" w:lineRule="auto"/>
                    <w:jc w:val="center"/>
                    <w:rPr>
                      <w:rFonts w:hint="eastAsia"/>
                      <w:szCs w:val="21"/>
                      <w:highlight w:val="none"/>
                      <w:lang w:val="en-US" w:eastAsia="zh-CN"/>
                    </w:rPr>
                  </w:pPr>
                  <w:r>
                    <w:rPr>
                      <w:rFonts w:hint="eastAsia" w:cs="Times New Roman"/>
                      <w:snapToGrid w:val="0"/>
                      <w:color w:val="000000"/>
                      <w:kern w:val="21"/>
                      <w:szCs w:val="21"/>
                      <w:lang w:val="en-US" w:eastAsia="zh-CN"/>
                    </w:rPr>
                    <w:t>2.339</w:t>
                  </w:r>
                  <w:r>
                    <w:rPr>
                      <w:rFonts w:hint="eastAsia" w:ascii="Times New Roman" w:hAnsi="Times New Roman" w:cs="Times New Roman"/>
                      <w:snapToGrid w:val="0"/>
                      <w:color w:val="000000"/>
                      <w:kern w:val="21"/>
                      <w:szCs w:val="21"/>
                      <w:lang w:val="en-US" w:eastAsia="zh-CN"/>
                    </w:rPr>
                    <w:t>t/a</w:t>
                  </w:r>
                </w:p>
              </w:tc>
              <w:tc>
                <w:tcPr>
                  <w:tcW w:w="1229" w:type="dxa"/>
                  <w:noWrap w:val="0"/>
                  <w:vAlign w:val="center"/>
                </w:tcPr>
                <w:p>
                  <w:pPr>
                    <w:adjustRightInd w:val="0"/>
                    <w:snapToGrid w:val="0"/>
                    <w:jc w:val="center"/>
                    <w:rPr>
                      <w:rFonts w:hint="eastAsia"/>
                      <w:szCs w:val="21"/>
                      <w:highlight w:val="none"/>
                      <w:lang w:val="en-US" w:eastAsia="zh-CN"/>
                    </w:rPr>
                  </w:pPr>
                  <w:r>
                    <w:rPr>
                      <w:rFonts w:hint="eastAsia"/>
                      <w:szCs w:val="21"/>
                      <w:highlight w:val="none"/>
                      <w:lang w:val="en-US" w:eastAsia="zh-CN"/>
                    </w:rPr>
                    <w:t>/</w:t>
                  </w:r>
                </w:p>
              </w:tc>
              <w:tc>
                <w:tcPr>
                  <w:tcW w:w="1441" w:type="dxa"/>
                  <w:noWrap w:val="0"/>
                  <w:vAlign w:val="center"/>
                </w:tcPr>
                <w:p>
                  <w:pPr>
                    <w:pStyle w:val="42"/>
                    <w:spacing w:beforeLines="0" w:afterLines="0" w:line="240" w:lineRule="auto"/>
                    <w:rPr>
                      <w:rFonts w:hint="eastAsia"/>
                      <w:szCs w:val="21"/>
                      <w:highlight w:val="none"/>
                      <w:lang w:val="en-US" w:eastAsia="zh-CN"/>
                    </w:rPr>
                  </w:pPr>
                  <w:r>
                    <w:rPr>
                      <w:rFonts w:hint="eastAsia" w:ascii="Times New Roman" w:cs="Times New Roman"/>
                      <w:snapToGrid w:val="0"/>
                      <w:color w:val="000000"/>
                      <w:kern w:val="21"/>
                      <w:szCs w:val="21"/>
                      <w:lang w:val="en-US" w:eastAsia="zh-CN"/>
                    </w:rPr>
                    <w:t>292.519</w:t>
                  </w:r>
                  <w:r>
                    <w:rPr>
                      <w:rFonts w:hint="eastAsia" w:ascii="Times New Roman" w:hAnsi="Times New Roman" w:cs="Times New Roman"/>
                      <w:snapToGrid w:val="0"/>
                      <w:color w:val="000000"/>
                      <w:kern w:val="21"/>
                      <w:szCs w:val="21"/>
                      <w:lang w:val="en-US" w:eastAsia="zh-CN"/>
                    </w:rPr>
                    <w:t>t/a</w:t>
                  </w:r>
                </w:p>
              </w:tc>
              <w:tc>
                <w:tcPr>
                  <w:tcW w:w="1294" w:type="dxa"/>
                  <w:noWrap w:val="0"/>
                  <w:vAlign w:val="center"/>
                </w:tcPr>
                <w:p>
                  <w:pPr>
                    <w:spacing w:beforeLines="0" w:afterLines="0" w:line="240" w:lineRule="auto"/>
                    <w:jc w:val="center"/>
                    <w:rPr>
                      <w:rFonts w:hint="eastAsia"/>
                      <w:szCs w:val="21"/>
                      <w:highlight w:val="none"/>
                      <w:lang w:val="en-US" w:eastAsia="zh-CN"/>
                    </w:rPr>
                  </w:pPr>
                  <w:r>
                    <w:rPr>
                      <w:rFonts w:hint="eastAsia" w:cs="Times New Roman"/>
                      <w:snapToGrid w:val="0"/>
                      <w:color w:val="000000"/>
                      <w:kern w:val="21"/>
                      <w:szCs w:val="21"/>
                      <w:lang w:val="en-US" w:eastAsia="zh-CN"/>
                    </w:rPr>
                    <w:t>+2.339</w:t>
                  </w:r>
                  <w:r>
                    <w:rPr>
                      <w:rFonts w:hint="eastAsia" w:ascii="Times New Roman" w:hAnsi="Times New Roman" w:cs="Times New Roman"/>
                      <w:snapToGrid w:val="0"/>
                      <w:color w:val="000000"/>
                      <w:kern w:val="21"/>
                      <w:szCs w:val="21"/>
                      <w:lang w:val="en-US" w:eastAsia="zh-CN"/>
                    </w:rPr>
                    <w:t>t/a</w:t>
                  </w:r>
                </w:p>
              </w:tc>
            </w:tr>
          </w:tbl>
          <w:p>
            <w:pPr>
              <w:pStyle w:val="58"/>
              <w:bidi w:val="0"/>
              <w:ind w:left="0" w:leftChars="0" w:firstLine="0" w:firstLineChars="0"/>
              <w:rPr>
                <w:rFonts w:hint="eastAsia"/>
                <w:lang w:val="en-US" w:eastAsia="zh-CN"/>
              </w:rPr>
            </w:pPr>
          </w:p>
          <w:p>
            <w:pPr>
              <w:pStyle w:val="58"/>
              <w:bidi w:val="0"/>
              <w:ind w:left="0" w:leftChars="0" w:firstLine="0" w:firstLineChars="0"/>
              <w:rPr>
                <w:rFonts w:hint="eastAsia"/>
                <w:lang w:val="en-US" w:eastAsia="zh-CN"/>
              </w:rPr>
            </w:pPr>
          </w:p>
          <w:p>
            <w:pPr>
              <w:pStyle w:val="58"/>
              <w:bidi w:val="0"/>
              <w:ind w:left="0" w:leftChars="0" w:firstLine="0" w:firstLineChars="0"/>
              <w:rPr>
                <w:rFonts w:hint="eastAsia"/>
                <w:lang w:val="en-US" w:eastAsia="zh-CN"/>
              </w:rPr>
            </w:pPr>
          </w:p>
          <w:p>
            <w:pPr>
              <w:pStyle w:val="58"/>
              <w:bidi w:val="0"/>
              <w:ind w:left="0" w:leftChars="0" w:firstLine="0" w:firstLineChars="0"/>
              <w:rPr>
                <w:rFonts w:hint="eastAsia"/>
                <w:lang w:val="en-US" w:eastAsia="zh-CN"/>
              </w:rPr>
            </w:pPr>
          </w:p>
          <w:p>
            <w:pPr>
              <w:pStyle w:val="58"/>
              <w:bidi w:val="0"/>
              <w:ind w:left="0" w:leftChars="0" w:firstLine="0" w:firstLineChars="0"/>
              <w:rPr>
                <w:rFonts w:hint="eastAsia"/>
                <w:lang w:val="en-US" w:eastAsia="zh-CN"/>
              </w:rPr>
            </w:pPr>
          </w:p>
          <w:p>
            <w:pPr>
              <w:pStyle w:val="58"/>
              <w:bidi w:val="0"/>
              <w:ind w:left="0" w:leftChars="0" w:firstLine="0" w:firstLineChars="0"/>
              <w:rPr>
                <w:rFonts w:hint="eastAsia"/>
                <w:lang w:val="en-US" w:eastAsia="zh-CN"/>
              </w:rPr>
            </w:pPr>
          </w:p>
          <w:p>
            <w:pPr>
              <w:pStyle w:val="58"/>
              <w:bidi w:val="0"/>
              <w:ind w:left="0" w:leftChars="0" w:firstLine="0" w:firstLineChars="0"/>
              <w:rPr>
                <w:rFonts w:hint="default"/>
                <w:lang w:val="en-US" w:eastAsia="zh-CN"/>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4" w:name="_Hlk54167917"/>
      <w:r>
        <w:rPr>
          <w:rFonts w:hint="eastAsia" w:ascii="黑体" w:hAnsi="黑体" w:eastAsia="黑体"/>
          <w:snapToGrid w:val="0"/>
          <w:sz w:val="30"/>
          <w:szCs w:val="30"/>
        </w:rPr>
        <w:t>环境保护措施监督检查清单</w:t>
      </w:r>
      <w:bookmarkEnd w:id="4"/>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546"/>
        <w:gridCol w:w="1814"/>
        <w:gridCol w:w="1884"/>
        <w:gridCol w:w="18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tcBorders>
              <w:tl2br w:val="single" w:color="auto" w:sz="4" w:space="0"/>
            </w:tcBorders>
            <w:noWrap w:val="0"/>
            <w:vAlign w:val="top"/>
          </w:tcPr>
          <w:p>
            <w:pPr>
              <w:adjustRightInd w:val="0"/>
              <w:snapToGrid w:val="0"/>
              <w:ind w:firstLine="840"/>
              <w:rPr>
                <w:rFonts w:hint="eastAsia" w:ascii="宋体" w:hAnsi="宋体" w:cs="宋体"/>
                <w:szCs w:val="21"/>
              </w:rPr>
            </w:pPr>
            <w:r>
              <w:rPr>
                <w:rFonts w:hint="eastAsia" w:ascii="宋体" w:hAnsi="宋体" w:cs="宋体"/>
                <w:szCs w:val="21"/>
              </w:rPr>
              <w:t>内容</w:t>
            </w:r>
          </w:p>
          <w:p>
            <w:pPr>
              <w:adjustRightInd w:val="0"/>
              <w:snapToGrid w:val="0"/>
              <w:rPr>
                <w:rFonts w:hint="eastAsia" w:ascii="宋体" w:hAnsi="宋体" w:cs="宋体"/>
                <w:szCs w:val="21"/>
              </w:rPr>
            </w:pPr>
            <w:r>
              <w:rPr>
                <w:rFonts w:hint="eastAsia" w:ascii="宋体" w:hAnsi="宋体" w:cs="宋体"/>
                <w:szCs w:val="21"/>
              </w:rPr>
              <w:t>要素</w:t>
            </w:r>
          </w:p>
        </w:tc>
        <w:tc>
          <w:tcPr>
            <w:tcW w:w="1546"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排放口</w:t>
            </w:r>
            <w:r>
              <w:rPr>
                <w:rFonts w:hint="eastAsia" w:ascii="宋体" w:hAnsi="宋体" w:cs="宋体"/>
                <w:szCs w:val="21"/>
                <w:lang w:eastAsia="zh-CN"/>
              </w:rPr>
              <w:t>（</w:t>
            </w:r>
            <w:r>
              <w:rPr>
                <w:rFonts w:hint="eastAsia" w:ascii="宋体" w:hAnsi="宋体" w:cs="宋体"/>
                <w:szCs w:val="21"/>
              </w:rPr>
              <w:t>编号、</w:t>
            </w:r>
          </w:p>
          <w:p>
            <w:pPr>
              <w:adjustRightInd w:val="0"/>
              <w:snapToGrid w:val="0"/>
              <w:jc w:val="center"/>
              <w:rPr>
                <w:rFonts w:hint="eastAsia" w:ascii="宋体" w:hAnsi="宋体" w:cs="宋体"/>
                <w:szCs w:val="21"/>
              </w:rPr>
            </w:pPr>
            <w:r>
              <w:rPr>
                <w:rFonts w:hint="eastAsia" w:ascii="宋体" w:hAnsi="宋体" w:cs="宋体"/>
                <w:szCs w:val="21"/>
              </w:rPr>
              <w:t>名称</w:t>
            </w:r>
            <w:r>
              <w:rPr>
                <w:rFonts w:hint="eastAsia" w:ascii="宋体" w:hAnsi="宋体" w:cs="宋体"/>
                <w:szCs w:val="21"/>
                <w:lang w:eastAsia="zh-CN"/>
              </w:rPr>
              <w:t>）</w:t>
            </w:r>
            <w:r>
              <w:rPr>
                <w:rFonts w:hint="eastAsia" w:ascii="宋体" w:hAnsi="宋体" w:cs="宋体"/>
                <w:szCs w:val="21"/>
              </w:rPr>
              <w:t>/污染源</w:t>
            </w:r>
          </w:p>
        </w:tc>
        <w:tc>
          <w:tcPr>
            <w:tcW w:w="181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污染物项目</w:t>
            </w:r>
          </w:p>
        </w:tc>
        <w:tc>
          <w:tcPr>
            <w:tcW w:w="188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环境保护措施</w:t>
            </w:r>
          </w:p>
        </w:tc>
        <w:tc>
          <w:tcPr>
            <w:tcW w:w="187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大气环境</w:t>
            </w:r>
          </w:p>
        </w:tc>
        <w:tc>
          <w:tcPr>
            <w:tcW w:w="1546" w:type="dxa"/>
            <w:noWrap w:val="0"/>
            <w:vAlign w:val="center"/>
          </w:tcPr>
          <w:p>
            <w:pPr>
              <w:adjustRightInd w:val="0"/>
              <w:snapToGrid w:val="0"/>
              <w:jc w:val="center"/>
              <w:rPr>
                <w:rFonts w:hint="eastAsia" w:ascii="宋体" w:hAnsi="宋体" w:eastAsia="宋体" w:cs="宋体"/>
                <w:szCs w:val="21"/>
                <w:lang w:val="en-US" w:eastAsia="zh-CN"/>
              </w:rPr>
            </w:pPr>
            <w:r>
              <w:rPr>
                <w:rFonts w:hint="default"/>
                <w:lang w:val="en-US" w:eastAsia="zh-CN"/>
              </w:rPr>
              <w:t>污水处理站废气排放口</w:t>
            </w:r>
          </w:p>
        </w:tc>
        <w:tc>
          <w:tcPr>
            <w:tcW w:w="1814" w:type="dxa"/>
            <w:noWrap w:val="0"/>
            <w:vAlign w:val="center"/>
          </w:tcPr>
          <w:p>
            <w:pPr>
              <w:adjustRightInd w:val="0"/>
              <w:snapToGrid w:val="0"/>
              <w:jc w:val="center"/>
              <w:rPr>
                <w:rFonts w:hint="eastAsia" w:ascii="宋体" w:hAnsi="宋体" w:eastAsia="宋体" w:cs="宋体"/>
                <w:szCs w:val="21"/>
                <w:lang w:val="en-US" w:eastAsia="zh-CN"/>
              </w:rPr>
            </w:pPr>
            <w:r>
              <w:rPr>
                <w:rFonts w:hint="default"/>
                <w:lang w:val="en-US" w:eastAsia="zh-CN"/>
              </w:rPr>
              <w:t>氨、硫化氢、臭气浓度</w:t>
            </w:r>
          </w:p>
        </w:tc>
        <w:tc>
          <w:tcPr>
            <w:tcW w:w="1884"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依托现有废气处理装置（地埋式一体化设备+加盖密闭+等离子除臭装置+紫外线消毒设备+</w:t>
            </w:r>
            <w:r>
              <w:rPr>
                <w:rFonts w:hint="default" w:ascii="Times New Roman" w:hAnsi="Times New Roman" w:cs="Times New Roman"/>
                <w:szCs w:val="21"/>
                <w:lang w:val="en-US" w:eastAsia="zh-CN"/>
              </w:rPr>
              <w:t>15m</w:t>
            </w:r>
            <w:r>
              <w:rPr>
                <w:rFonts w:hint="eastAsia" w:ascii="宋体" w:hAnsi="宋体" w:cs="宋体"/>
                <w:szCs w:val="21"/>
                <w:lang w:val="en-US" w:eastAsia="zh-CN"/>
              </w:rPr>
              <w:t>高排气筒）进行处理</w:t>
            </w:r>
          </w:p>
        </w:tc>
        <w:tc>
          <w:tcPr>
            <w:tcW w:w="1872" w:type="dxa"/>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default"/>
                <w:lang w:val="en-US" w:eastAsia="zh-CN"/>
              </w:rPr>
              <w:t>《恶臭污染物排放标准》（GB14554-1993）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vMerge w:val="continue"/>
            <w:noWrap w:val="0"/>
            <w:vAlign w:val="center"/>
          </w:tcPr>
          <w:p>
            <w:pPr>
              <w:adjustRightInd w:val="0"/>
              <w:snapToGrid w:val="0"/>
              <w:jc w:val="center"/>
              <w:rPr>
                <w:rFonts w:hint="eastAsia" w:ascii="宋体" w:hAnsi="宋体" w:cs="宋体"/>
                <w:szCs w:val="21"/>
              </w:rPr>
            </w:pPr>
          </w:p>
        </w:tc>
        <w:tc>
          <w:tcPr>
            <w:tcW w:w="1546" w:type="dxa"/>
            <w:noWrap w:val="0"/>
            <w:vAlign w:val="center"/>
          </w:tcPr>
          <w:p>
            <w:pPr>
              <w:adjustRightInd w:val="0"/>
              <w:snapToGrid w:val="0"/>
              <w:jc w:val="center"/>
              <w:rPr>
                <w:rFonts w:hint="default"/>
                <w:lang w:val="en-US" w:eastAsia="zh-CN"/>
              </w:rPr>
            </w:pPr>
            <w:r>
              <w:rPr>
                <w:rFonts w:hint="default"/>
                <w:lang w:val="en-US" w:eastAsia="zh-CN"/>
              </w:rPr>
              <w:t>污水处理站周界</w:t>
            </w:r>
          </w:p>
        </w:tc>
        <w:tc>
          <w:tcPr>
            <w:tcW w:w="1814" w:type="dxa"/>
            <w:noWrap w:val="0"/>
            <w:vAlign w:val="center"/>
          </w:tcPr>
          <w:p>
            <w:pPr>
              <w:adjustRightInd w:val="0"/>
              <w:snapToGrid w:val="0"/>
              <w:jc w:val="center"/>
              <w:rPr>
                <w:rFonts w:hint="default"/>
                <w:lang w:val="en-US" w:eastAsia="zh-CN"/>
              </w:rPr>
            </w:pPr>
            <w:r>
              <w:rPr>
                <w:rFonts w:hint="default"/>
                <w:lang w:val="en-US" w:eastAsia="zh-CN"/>
              </w:rPr>
              <w:t>氨、硫化氢、臭气浓度、氯气、甲烷</w:t>
            </w:r>
          </w:p>
        </w:tc>
        <w:tc>
          <w:tcPr>
            <w:tcW w:w="1884" w:type="dxa"/>
            <w:noWrap w:val="0"/>
            <w:vAlign w:val="center"/>
          </w:tcPr>
          <w:p>
            <w:pPr>
              <w:adjustRightInd w:val="0"/>
              <w:snapToGrid w:val="0"/>
              <w:jc w:val="center"/>
              <w:rPr>
                <w:rFonts w:hint="default" w:ascii="宋体" w:hAnsi="宋体" w:cs="宋体"/>
                <w:szCs w:val="21"/>
                <w:lang w:val="en-US" w:eastAsia="zh-CN"/>
              </w:rPr>
            </w:pPr>
            <w:r>
              <w:rPr>
                <w:rFonts w:hint="eastAsia" w:ascii="宋体" w:hAnsi="宋体" w:cs="宋体"/>
                <w:szCs w:val="21"/>
                <w:lang w:val="en-US" w:eastAsia="zh-CN"/>
              </w:rPr>
              <w:t>地埋式一体化设备+加盖密闭+加强管理</w:t>
            </w:r>
          </w:p>
        </w:tc>
        <w:tc>
          <w:tcPr>
            <w:tcW w:w="1872" w:type="dxa"/>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lang w:val="en-US" w:eastAsia="zh-CN"/>
              </w:rPr>
            </w:pPr>
            <w:r>
              <w:rPr>
                <w:rFonts w:hint="default"/>
                <w:lang w:val="en-US" w:eastAsia="zh-CN"/>
              </w:rPr>
              <w:t>《医疗机构水污染物排放标准》（GB18466-2005）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vMerge w:val="restart"/>
            <w:noWrap w:val="0"/>
            <w:vAlign w:val="center"/>
          </w:tcPr>
          <w:p>
            <w:pPr>
              <w:adjustRightInd w:val="0"/>
              <w:snapToGrid w:val="0"/>
              <w:jc w:val="center"/>
              <w:rPr>
                <w:rFonts w:hint="eastAsia" w:ascii="宋体" w:hAnsi="宋体" w:cs="宋体"/>
                <w:szCs w:val="21"/>
              </w:rPr>
            </w:pPr>
            <w:r>
              <w:rPr>
                <w:rFonts w:hint="eastAsia" w:ascii="宋体" w:hAnsi="宋体" w:cs="宋体"/>
                <w:szCs w:val="21"/>
              </w:rPr>
              <w:t>地表水环境</w:t>
            </w:r>
          </w:p>
        </w:tc>
        <w:tc>
          <w:tcPr>
            <w:tcW w:w="1546"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职工生活用水</w:t>
            </w:r>
          </w:p>
        </w:tc>
        <w:tc>
          <w:tcPr>
            <w:tcW w:w="1814" w:type="dxa"/>
            <w:noWrap w:val="0"/>
            <w:vAlign w:val="center"/>
          </w:tcPr>
          <w:p>
            <w:pPr>
              <w:adjustRightInd w:val="0"/>
              <w:snapToGrid w:val="0"/>
              <w:jc w:val="center"/>
              <w:rPr>
                <w:rFonts w:hint="default" w:ascii="宋体" w:hAnsi="宋体" w:eastAsia="宋体" w:cs="宋体"/>
                <w:szCs w:val="21"/>
                <w:lang w:val="en-US" w:eastAsia="zh-CN"/>
              </w:rPr>
            </w:pPr>
            <w:r>
              <w:rPr>
                <w:rFonts w:hint="default" w:ascii="Times New Roman" w:hAnsi="Times New Roman" w:cs="Times New Roman"/>
                <w:szCs w:val="21"/>
                <w:lang w:val="en-US" w:eastAsia="zh-CN"/>
              </w:rPr>
              <w:t>SS</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BOD</w:t>
            </w:r>
            <w:r>
              <w:rPr>
                <w:rFonts w:hint="eastAsia" w:cs="Times New Roman"/>
                <w:szCs w:val="21"/>
                <w:vertAlign w:val="subscript"/>
                <w:lang w:val="en-US" w:eastAsia="zh-CN"/>
              </w:rPr>
              <w:t>5</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COD</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NH</w:t>
            </w:r>
            <w:r>
              <w:rPr>
                <w:rFonts w:hint="default" w:ascii="Times New Roman" w:hAnsi="Times New Roman" w:cs="Times New Roman"/>
                <w:szCs w:val="21"/>
                <w:vertAlign w:val="subscript"/>
                <w:lang w:val="en-US" w:eastAsia="zh-CN"/>
              </w:rPr>
              <w:t>3</w:t>
            </w:r>
            <w:r>
              <w:rPr>
                <w:rFonts w:hint="default" w:ascii="Times New Roman" w:hAnsi="Times New Roman" w:cs="Times New Roman"/>
                <w:szCs w:val="21"/>
                <w:lang w:val="en-US" w:eastAsia="zh-CN"/>
              </w:rPr>
              <w:t>-N</w:t>
            </w:r>
            <w:r>
              <w:rPr>
                <w:rFonts w:hint="eastAsia" w:ascii="宋体" w:hAnsi="宋体" w:cs="宋体"/>
                <w:szCs w:val="21"/>
                <w:lang w:val="en-US" w:eastAsia="zh-CN"/>
              </w:rPr>
              <w:t>、粪大肠菌群</w:t>
            </w:r>
          </w:p>
        </w:tc>
        <w:tc>
          <w:tcPr>
            <w:tcW w:w="1884" w:type="dxa"/>
            <w:vMerge w:val="restart"/>
            <w:noWrap w:val="0"/>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经医院内污水处理站预处理后，通过市政污水管网排入库尔勒市老城区污水处理</w:t>
            </w:r>
          </w:p>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厂</w:t>
            </w:r>
          </w:p>
        </w:tc>
        <w:tc>
          <w:tcPr>
            <w:tcW w:w="1872" w:type="dxa"/>
            <w:vMerge w:val="restart"/>
            <w:noWrap w:val="0"/>
            <w:vAlign w:val="center"/>
          </w:tcPr>
          <w:p>
            <w:pPr>
              <w:pStyle w:val="60"/>
              <w:bidi w:val="0"/>
              <w:rPr>
                <w:rFonts w:hint="eastAsia" w:ascii="宋体" w:hAnsi="宋体" w:cs="宋体"/>
                <w:szCs w:val="21"/>
              </w:rPr>
            </w:pPr>
            <w:r>
              <w:rPr>
                <w:rFonts w:hint="eastAsia"/>
                <w:lang w:val="en-US" w:eastAsia="zh-CN"/>
              </w:rPr>
              <w:t>《医疗机构水污染物排放标准》（</w:t>
            </w:r>
            <w:r>
              <w:rPr>
                <w:rFonts w:hint="default"/>
                <w:lang w:val="en-US" w:eastAsia="zh-CN"/>
              </w:rPr>
              <w:t>GB18466-2005</w:t>
            </w: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vMerge w:val="continue"/>
            <w:noWrap w:val="0"/>
            <w:vAlign w:val="center"/>
          </w:tcPr>
          <w:p>
            <w:pPr>
              <w:adjustRightInd w:val="0"/>
              <w:snapToGrid w:val="0"/>
              <w:jc w:val="center"/>
              <w:rPr>
                <w:rFonts w:hint="eastAsia" w:ascii="宋体" w:hAnsi="宋体" w:cs="宋体"/>
                <w:szCs w:val="21"/>
              </w:rPr>
            </w:pPr>
          </w:p>
        </w:tc>
        <w:tc>
          <w:tcPr>
            <w:tcW w:w="1546"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医疗用水</w:t>
            </w:r>
          </w:p>
        </w:tc>
        <w:tc>
          <w:tcPr>
            <w:tcW w:w="1814" w:type="dxa"/>
            <w:noWrap w:val="0"/>
            <w:vAlign w:val="center"/>
          </w:tcPr>
          <w:p>
            <w:pPr>
              <w:adjustRightInd w:val="0"/>
              <w:snapToGrid w:val="0"/>
              <w:jc w:val="center"/>
              <w:rPr>
                <w:rFonts w:hint="eastAsia" w:ascii="宋体" w:hAnsi="宋体" w:cs="宋体"/>
                <w:szCs w:val="21"/>
              </w:rPr>
            </w:pPr>
            <w:r>
              <w:rPr>
                <w:rFonts w:hint="default" w:ascii="Times New Roman" w:hAnsi="Times New Roman" w:cs="Times New Roman"/>
                <w:szCs w:val="21"/>
                <w:lang w:val="en-US" w:eastAsia="zh-CN"/>
              </w:rPr>
              <w:t>SS</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BOD</w:t>
            </w:r>
            <w:r>
              <w:rPr>
                <w:rFonts w:hint="eastAsia" w:cs="Times New Roman"/>
                <w:szCs w:val="21"/>
                <w:vertAlign w:val="subscript"/>
                <w:lang w:val="en-US" w:eastAsia="zh-CN"/>
              </w:rPr>
              <w:t>5</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COD</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NH</w:t>
            </w:r>
            <w:r>
              <w:rPr>
                <w:rFonts w:hint="default" w:ascii="Times New Roman" w:hAnsi="Times New Roman" w:cs="Times New Roman"/>
                <w:szCs w:val="21"/>
                <w:vertAlign w:val="subscript"/>
                <w:lang w:val="en-US" w:eastAsia="zh-CN"/>
              </w:rPr>
              <w:t>3</w:t>
            </w:r>
            <w:r>
              <w:rPr>
                <w:rFonts w:hint="default" w:ascii="Times New Roman" w:hAnsi="Times New Roman" w:cs="Times New Roman"/>
                <w:szCs w:val="21"/>
                <w:lang w:val="en-US" w:eastAsia="zh-CN"/>
              </w:rPr>
              <w:t>-N</w:t>
            </w:r>
            <w:r>
              <w:rPr>
                <w:rFonts w:hint="eastAsia" w:ascii="宋体" w:hAnsi="宋体" w:cs="宋体"/>
                <w:szCs w:val="21"/>
                <w:lang w:val="en-US" w:eastAsia="zh-CN"/>
              </w:rPr>
              <w:t>、粪大肠菌群</w:t>
            </w:r>
          </w:p>
        </w:tc>
        <w:tc>
          <w:tcPr>
            <w:tcW w:w="1884" w:type="dxa"/>
            <w:vMerge w:val="continue"/>
            <w:noWrap w:val="0"/>
            <w:vAlign w:val="center"/>
          </w:tcPr>
          <w:p>
            <w:pPr>
              <w:adjustRightInd w:val="0"/>
              <w:snapToGrid w:val="0"/>
              <w:jc w:val="center"/>
              <w:rPr>
                <w:rFonts w:hint="default" w:ascii="宋体" w:hAnsi="宋体" w:eastAsia="宋体" w:cs="宋体"/>
                <w:szCs w:val="21"/>
                <w:lang w:val="en-US" w:eastAsia="zh-CN"/>
              </w:rPr>
            </w:pPr>
          </w:p>
        </w:tc>
        <w:tc>
          <w:tcPr>
            <w:tcW w:w="1872" w:type="dxa"/>
            <w:vMerge w:val="continue"/>
            <w:noWrap w:val="0"/>
            <w:vAlign w:val="center"/>
          </w:tcPr>
          <w:p>
            <w:pPr>
              <w:adjustRightInd w:val="0"/>
              <w:snapToGrid w:val="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声环境</w:t>
            </w:r>
          </w:p>
        </w:tc>
        <w:tc>
          <w:tcPr>
            <w:tcW w:w="1546"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空调主机、人员活动、风机等</w:t>
            </w:r>
          </w:p>
        </w:tc>
        <w:tc>
          <w:tcPr>
            <w:tcW w:w="1814" w:type="dxa"/>
            <w:noWrap w:val="0"/>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噪声</w:t>
            </w:r>
          </w:p>
        </w:tc>
        <w:tc>
          <w:tcPr>
            <w:tcW w:w="1884" w:type="dxa"/>
            <w:noWrap w:val="0"/>
            <w:vAlign w:val="center"/>
          </w:tcPr>
          <w:p>
            <w:pPr>
              <w:adjustRightInd w:val="0"/>
              <w:snapToGrid w:val="0"/>
              <w:jc w:val="both"/>
              <w:rPr>
                <w:rFonts w:hint="eastAsia" w:ascii="宋体" w:hAnsi="宋体" w:cs="宋体"/>
                <w:szCs w:val="21"/>
              </w:rPr>
            </w:pPr>
            <w:r>
              <w:rPr>
                <w:rFonts w:hint="eastAsia" w:ascii="宋体" w:hAnsi="宋体" w:cs="宋体"/>
                <w:szCs w:val="21"/>
              </w:rPr>
              <w:t>采取设备基础减震、隔声</w:t>
            </w:r>
            <w:r>
              <w:rPr>
                <w:rFonts w:hint="eastAsia" w:ascii="宋体" w:hAnsi="宋体" w:cs="宋体"/>
                <w:szCs w:val="21"/>
                <w:lang w:eastAsia="zh-CN"/>
              </w:rPr>
              <w:t>、</w:t>
            </w:r>
            <w:r>
              <w:rPr>
                <w:rFonts w:hint="eastAsia" w:ascii="宋体" w:hAnsi="宋体" w:cs="宋体"/>
                <w:szCs w:val="21"/>
              </w:rPr>
              <w:t>合理布置</w:t>
            </w:r>
            <w:r>
              <w:rPr>
                <w:rFonts w:hint="eastAsia" w:ascii="宋体" w:hAnsi="宋体" w:cs="宋体"/>
                <w:szCs w:val="21"/>
                <w:lang w:eastAsia="zh-CN"/>
              </w:rPr>
              <w:t>、</w:t>
            </w:r>
            <w:r>
              <w:rPr>
                <w:rFonts w:hint="eastAsia" w:ascii="宋体" w:hAnsi="宋体" w:cs="宋体"/>
                <w:szCs w:val="21"/>
              </w:rPr>
              <w:t>加强绿化和隔音</w:t>
            </w:r>
            <w:r>
              <w:rPr>
                <w:rFonts w:hint="eastAsia" w:ascii="宋体" w:hAnsi="宋体" w:cs="宋体"/>
                <w:szCs w:val="21"/>
                <w:lang w:eastAsia="zh-CN"/>
              </w:rPr>
              <w:t>、</w:t>
            </w:r>
            <w:r>
              <w:rPr>
                <w:rFonts w:hint="eastAsia" w:ascii="宋体" w:hAnsi="宋体" w:cs="宋体"/>
                <w:szCs w:val="21"/>
              </w:rPr>
              <w:t>减少周围交通噪声等降噪措施</w:t>
            </w:r>
          </w:p>
        </w:tc>
        <w:tc>
          <w:tcPr>
            <w:tcW w:w="1872" w:type="dxa"/>
            <w:noWrap w:val="0"/>
            <w:vAlign w:val="center"/>
          </w:tcPr>
          <w:p>
            <w:pPr>
              <w:adjustRightInd w:val="0"/>
              <w:snapToGrid w:val="0"/>
              <w:jc w:val="center"/>
              <w:rPr>
                <w:rFonts w:hint="eastAsia" w:ascii="宋体" w:hAnsi="宋体" w:cs="宋体"/>
                <w:szCs w:val="21"/>
              </w:rPr>
            </w:pPr>
            <w:r>
              <w:rPr>
                <w:rFonts w:hint="default"/>
              </w:rPr>
              <w:t>《工业企业厂界环境噪声排放标准》（GB12348- 2008）</w:t>
            </w:r>
            <w:r>
              <w:rPr>
                <w:rFonts w:hint="eastAsia"/>
                <w:lang w:val="en-US" w:eastAsia="zh-CN"/>
              </w:rPr>
              <w:t>2</w:t>
            </w:r>
            <w:r>
              <w:rPr>
                <w:rFonts w:hint="default"/>
              </w:rPr>
              <w:t>类</w:t>
            </w:r>
            <w:r>
              <w:rPr>
                <w:rFonts w:hint="eastAsia"/>
                <w:lang w:val="en-US" w:eastAsia="zh-CN"/>
              </w:rPr>
              <w:t>和4类</w:t>
            </w:r>
            <w:r>
              <w:rPr>
                <w:rFonts w:hint="default"/>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4"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电磁辐射</w:t>
            </w:r>
          </w:p>
        </w:tc>
        <w:tc>
          <w:tcPr>
            <w:tcW w:w="1546" w:type="dxa"/>
            <w:noWrap w:val="0"/>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c>
          <w:tcPr>
            <w:tcW w:w="1814" w:type="dxa"/>
            <w:noWrap w:val="0"/>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c>
          <w:tcPr>
            <w:tcW w:w="1884" w:type="dxa"/>
            <w:noWrap w:val="0"/>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c>
          <w:tcPr>
            <w:tcW w:w="1872" w:type="dxa"/>
            <w:noWrap w:val="0"/>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4" w:type="dxa"/>
            <w:noWrap w:val="0"/>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固体废物</w:t>
            </w:r>
          </w:p>
        </w:tc>
        <w:tc>
          <w:tcPr>
            <w:tcW w:w="7116" w:type="dxa"/>
            <w:gridSpan w:val="4"/>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1.生活垃圾分类收集至生活垃圾房内，并委托环卫部门清运处理，</w:t>
            </w:r>
            <w:r>
              <w:rPr>
                <w:rFonts w:hint="eastAsia"/>
                <w:sz w:val="21"/>
                <w:szCs w:val="21"/>
                <w:shd w:val="clear"/>
                <w:lang w:val="en-US" w:eastAsia="zh-CN"/>
              </w:rPr>
              <w:t>各种药盒、药箱等包装材料及使用说明材料等外售至物资回收单位进行处理。</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2.医疗废物暂存于医疗废物贮存库内，并委托库尔勒市天达环卫有限公司处置。</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sz w:val="21"/>
                <w:szCs w:val="21"/>
                <w:lang w:val="en-US" w:eastAsia="zh-CN"/>
              </w:rPr>
            </w:pPr>
            <w:r>
              <w:rPr>
                <w:rFonts w:hint="eastAsia"/>
                <w:sz w:val="21"/>
                <w:szCs w:val="21"/>
                <w:lang w:val="en-US" w:eastAsia="zh-CN"/>
              </w:rPr>
              <w:t>3.栅渣和污水处理站污泥定期委托新疆狮岭能源环保集团有限公司（原名为新疆贝肯能源环保有限公司）清运处置。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4" w:type="dxa"/>
            <w:noWrap w:val="0"/>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土壤及地下水</w:t>
            </w:r>
          </w:p>
          <w:p>
            <w:pPr>
              <w:adjustRightInd w:val="0"/>
              <w:snapToGrid w:val="0"/>
              <w:spacing w:line="240" w:lineRule="auto"/>
              <w:jc w:val="center"/>
              <w:rPr>
                <w:rFonts w:hint="eastAsia" w:ascii="宋体" w:hAnsi="宋体" w:cs="宋体"/>
                <w:szCs w:val="21"/>
              </w:rPr>
            </w:pPr>
            <w:r>
              <w:rPr>
                <w:rFonts w:hint="eastAsia" w:ascii="宋体" w:hAnsi="宋体" w:cs="宋体"/>
                <w:szCs w:val="21"/>
              </w:rPr>
              <w:t>污染防治措施</w:t>
            </w:r>
          </w:p>
        </w:tc>
        <w:tc>
          <w:tcPr>
            <w:tcW w:w="7116" w:type="dxa"/>
            <w:gridSpan w:val="4"/>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本项目对污水收集管道采用防渗处理，杜绝污水渗漏。加强院区的用水管理，强调节约用水、提高重复用水率，防止污水跑、冒、滴、漏现象的发生。同时对该项目产生的生活垃圾采取袋装化处置</w:t>
            </w:r>
            <w:r>
              <w:rPr>
                <w:rFonts w:hint="eastAsia"/>
                <w:sz w:val="21"/>
                <w:szCs w:val="21"/>
                <w:lang w:val="en-US" w:eastAsia="zh-CN"/>
              </w:rPr>
              <w:t>，对</w:t>
            </w:r>
            <w:r>
              <w:rPr>
                <w:rFonts w:hint="default"/>
                <w:sz w:val="21"/>
                <w:szCs w:val="21"/>
                <w:lang w:val="en-US" w:eastAsia="zh-CN"/>
              </w:rPr>
              <w:t>污水处理站、</w:t>
            </w:r>
            <w:r>
              <w:rPr>
                <w:rFonts w:hint="eastAsia"/>
                <w:sz w:val="21"/>
                <w:szCs w:val="21"/>
                <w:lang w:val="en-US" w:eastAsia="zh-CN"/>
              </w:rPr>
              <w:t>医疗废物贮存库</w:t>
            </w:r>
            <w:r>
              <w:rPr>
                <w:rFonts w:hint="default"/>
                <w:sz w:val="21"/>
                <w:szCs w:val="21"/>
                <w:lang w:val="en-US" w:eastAsia="zh-CN"/>
              </w:rPr>
              <w:t>进行硬化防渗处理。</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rPr>
            </w:pPr>
            <w:r>
              <w:rPr>
                <w:rFonts w:hint="eastAsia"/>
                <w:sz w:val="21"/>
                <w:szCs w:val="21"/>
                <w:lang w:val="en-US" w:eastAsia="zh-CN"/>
              </w:rPr>
              <w:t>2.在占地范围内采取硬化、防渗防漏措施，同时，针对入渗途径影响采取相应防渗措施，建设方严格做好分区防渗措施，加强管理，从多方面降低项目建设对土壤环境的影响。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84" w:type="dxa"/>
            <w:noWrap w:val="0"/>
            <w:vAlign w:val="center"/>
          </w:tcPr>
          <w:p>
            <w:pPr>
              <w:adjustRightInd w:val="0"/>
              <w:snapToGrid w:val="0"/>
              <w:spacing w:line="240" w:lineRule="auto"/>
              <w:jc w:val="center"/>
              <w:rPr>
                <w:rFonts w:hint="eastAsia" w:ascii="宋体" w:hAnsi="宋体" w:cs="宋体"/>
                <w:szCs w:val="21"/>
              </w:rPr>
            </w:pPr>
            <w:r>
              <w:rPr>
                <w:rFonts w:hint="eastAsia" w:ascii="宋体" w:hAnsi="宋体" w:cs="宋体"/>
                <w:szCs w:val="21"/>
              </w:rPr>
              <w:t>生态保护措施</w:t>
            </w:r>
          </w:p>
        </w:tc>
        <w:tc>
          <w:tcPr>
            <w:tcW w:w="7116" w:type="dxa"/>
            <w:gridSpan w:val="4"/>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sz w:val="21"/>
                <w:szCs w:val="21"/>
                <w:lang w:val="en-US" w:eastAsia="zh-CN"/>
              </w:rPr>
            </w:pPr>
            <w:r>
              <w:rPr>
                <w:rFonts w:hint="eastAsia"/>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84" w:type="dxa"/>
            <w:noWrap w:val="0"/>
            <w:vAlign w:val="center"/>
          </w:tcPr>
          <w:p>
            <w:pPr>
              <w:adjustRightInd w:val="0"/>
              <w:snapToGrid w:val="0"/>
              <w:spacing w:line="240" w:lineRule="auto"/>
              <w:jc w:val="center"/>
              <w:rPr>
                <w:rFonts w:ascii="宋体" w:hAnsi="宋体" w:cs="宋体"/>
                <w:spacing w:val="-8"/>
                <w:szCs w:val="21"/>
              </w:rPr>
            </w:pPr>
            <w:r>
              <w:rPr>
                <w:rFonts w:hint="eastAsia" w:ascii="宋体" w:hAnsi="宋体" w:cs="宋体"/>
                <w:spacing w:val="-8"/>
                <w:szCs w:val="21"/>
              </w:rPr>
              <w:t>环境风险</w:t>
            </w:r>
          </w:p>
          <w:p>
            <w:pPr>
              <w:adjustRightInd w:val="0"/>
              <w:snapToGrid w:val="0"/>
              <w:spacing w:line="240" w:lineRule="auto"/>
              <w:jc w:val="center"/>
              <w:rPr>
                <w:rFonts w:hint="eastAsia" w:ascii="宋体" w:hAnsi="宋体" w:cs="宋体"/>
                <w:spacing w:val="-8"/>
                <w:szCs w:val="21"/>
              </w:rPr>
            </w:pPr>
            <w:r>
              <w:rPr>
                <w:rFonts w:hint="eastAsia" w:ascii="宋体" w:hAnsi="宋体" w:cs="宋体"/>
                <w:spacing w:val="-8"/>
                <w:szCs w:val="21"/>
              </w:rPr>
              <w:t>防范措施</w:t>
            </w:r>
          </w:p>
        </w:tc>
        <w:tc>
          <w:tcPr>
            <w:tcW w:w="7116" w:type="dxa"/>
            <w:gridSpan w:val="4"/>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为减少项目事故对周边环境的影响，本次评价建议单位做好如下防范措施：</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（1）成立专门的责任机构，保证事故发生时组织相关力量及时控制事故的危害，在第一时间，有序有效地控制事故污染，把事故危害减小到最小。</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（2）健全各项制度，强化安全管理意识，加强用电设备及线路的检修和管理。</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（3）严格按照消防安全部门要求，配置消防设施。</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（4）易燃易爆物品存储远离火源。</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sz w:val="21"/>
                <w:szCs w:val="21"/>
                <w:lang w:val="en-US" w:eastAsia="zh-CN"/>
              </w:rPr>
            </w:pPr>
            <w:r>
              <w:rPr>
                <w:rFonts w:hint="eastAsia"/>
                <w:sz w:val="21"/>
                <w:szCs w:val="21"/>
                <w:lang w:val="en-US" w:eastAsia="zh-CN"/>
              </w:rPr>
              <w:t>（5）制定环保设备运行维护制度，并派专人进行管理，定期对环保设备进行点检维护。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84" w:type="dxa"/>
            <w:noWrap w:val="0"/>
            <w:vAlign w:val="center"/>
          </w:tcPr>
          <w:p>
            <w:pPr>
              <w:adjustRightInd w:val="0"/>
              <w:snapToGrid w:val="0"/>
              <w:spacing w:line="240" w:lineRule="auto"/>
              <w:jc w:val="center"/>
              <w:rPr>
                <w:rFonts w:ascii="宋体" w:hAnsi="宋体" w:cs="宋体"/>
                <w:spacing w:val="-8"/>
                <w:szCs w:val="21"/>
              </w:rPr>
            </w:pPr>
            <w:r>
              <w:rPr>
                <w:rFonts w:hint="eastAsia" w:ascii="宋体" w:hAnsi="宋体" w:cs="宋体"/>
                <w:spacing w:val="-8"/>
                <w:szCs w:val="21"/>
              </w:rPr>
              <w:t>其他环境</w:t>
            </w:r>
          </w:p>
          <w:p>
            <w:pPr>
              <w:adjustRightInd w:val="0"/>
              <w:snapToGrid w:val="0"/>
              <w:spacing w:line="240" w:lineRule="auto"/>
              <w:jc w:val="center"/>
              <w:rPr>
                <w:rFonts w:hint="eastAsia" w:ascii="宋体" w:hAnsi="宋体" w:cs="宋体"/>
                <w:spacing w:val="-8"/>
                <w:szCs w:val="21"/>
              </w:rPr>
            </w:pPr>
            <w:r>
              <w:rPr>
                <w:rFonts w:hint="eastAsia" w:ascii="宋体" w:hAnsi="宋体" w:cs="宋体"/>
                <w:spacing w:val="-8"/>
                <w:szCs w:val="21"/>
              </w:rPr>
              <w:t>管理要求</w:t>
            </w:r>
          </w:p>
        </w:tc>
        <w:tc>
          <w:tcPr>
            <w:tcW w:w="7116" w:type="dxa"/>
            <w:gridSpan w:val="4"/>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1.建设项目排气筒采样平台、采样口等内容已经按照《固定污染源废气监测点位设置技术规范》（DB37/T3535-2019）要求设置。</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2.建设单位已经根据《固定污染源排污许可分类管理名录（</w:t>
            </w:r>
            <w:r>
              <w:rPr>
                <w:rFonts w:hint="default"/>
                <w:sz w:val="21"/>
                <w:szCs w:val="21"/>
                <w:lang w:val="en-US" w:eastAsia="zh-CN"/>
              </w:rPr>
              <w:t>2019</w:t>
            </w:r>
            <w:r>
              <w:rPr>
                <w:rFonts w:hint="eastAsia"/>
                <w:sz w:val="21"/>
                <w:szCs w:val="21"/>
                <w:lang w:val="en-US" w:eastAsia="zh-CN"/>
              </w:rPr>
              <w:t>年版）》在产生实际排污行为之前依法申领排污许可手续，按批准的排放总量和浓度进行排放。排污单位于每年年底申报下一年度正常作业条件下排放污染物种类、数量、浓度等情况，并提供与污染物排放有关的资料。</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3.企业已按照行业排污许可管理要求制度管理台账，落实环境管理台账记录的责任部门和责任人，明确工作职责，包括台账的记录、整理、维护和管理等，并对台账记录结果的真实性、完整性和规范性负责，台账保存期限为5年。</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sz w:val="21"/>
                <w:szCs w:val="21"/>
                <w:lang w:val="en-US" w:eastAsia="zh-CN"/>
              </w:rPr>
            </w:pPr>
            <w:r>
              <w:rPr>
                <w:rFonts w:hint="eastAsia"/>
                <w:sz w:val="21"/>
                <w:szCs w:val="21"/>
                <w:lang w:val="en-US" w:eastAsia="zh-CN"/>
              </w:rPr>
              <w:t>4.根据《建设项目竣工环境保护验收暂行办法》（国环规环评〔2017〕4号）第十二条：除需要取得排污许可证的水和大气污染防治设施外，其他环境保护设施的验收期限一般不超过3个月。需要对该类环境保护设施进行调试或者整改的，验收期限可以适当延期，但最长不超过12个月。验收期限是指自建设项目环境保护设施竣工之日起至建设单位向社会公开验收报告之日止的时间。</w:t>
            </w:r>
          </w:p>
          <w:p>
            <w:pPr>
              <w:pStyle w:val="58"/>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default"/>
                <w:sz w:val="21"/>
                <w:szCs w:val="21"/>
                <w:lang w:val="en-US" w:eastAsia="zh-CN"/>
              </w:rPr>
            </w:pPr>
            <w:r>
              <w:rPr>
                <w:rFonts w:hint="eastAsia"/>
                <w:sz w:val="21"/>
                <w:szCs w:val="21"/>
                <w:lang w:val="en-US" w:eastAsia="zh-CN"/>
              </w:rPr>
              <w:t>5.为预防和减少突发环境事件的发生，控制、减轻和消除突发环境事件引起的危害，规范突发环境事件应急管理工作，保障公众生命安全、环境安全和财产安全，本企业应根据《中华人民共和国环境保护法》《中华人民共和国突发事件应对法》《国家突发环境事件应急预案》及相关法律法规，制定《库尔勒市第一人民医院突发环境事件应急预案》。</w:t>
            </w: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p>
            <w:pPr>
              <w:pStyle w:val="58"/>
              <w:bidi w:val="0"/>
              <w:spacing w:line="240" w:lineRule="auto"/>
              <w:ind w:left="0" w:leftChars="0" w:firstLine="0" w:firstLineChars="0"/>
              <w:rPr>
                <w:rFonts w:hint="eastAsia"/>
                <w:lang w:val="en-US" w:eastAsia="zh-CN"/>
              </w:rPr>
            </w:pPr>
          </w:p>
        </w:tc>
      </w:tr>
    </w:tbl>
    <w:p>
      <w:pPr>
        <w:pStyle w:val="21"/>
        <w:spacing w:line="240" w:lineRule="auto"/>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pStyle w:val="55"/>
              <w:bidi w:val="0"/>
              <w:jc w:val="both"/>
              <w:rPr>
                <w:rFonts w:ascii="宋体" w:cs="宋体"/>
              </w:rPr>
            </w:pPr>
            <w:r>
              <w:rPr>
                <w:rFonts w:hint="eastAsia"/>
              </w:rPr>
              <w:t>根据上述分析，本项目建成后对周围环境造成废水</w:t>
            </w:r>
            <w:r>
              <w:rPr>
                <w:rFonts w:hint="eastAsia"/>
                <w:lang w:val="en-US" w:eastAsia="zh-CN"/>
              </w:rPr>
              <w:t>和</w:t>
            </w:r>
            <w:r>
              <w:rPr>
                <w:rFonts w:hint="eastAsia"/>
              </w:rPr>
              <w:t>噪声污染较小，建设单位若能在建成后切实落实本环评提出的各项环境污染防治措施，落实“三同时”制度，加强环境管理，确保污染物达标排放，则本项目建成投入使用后，对环境的影响是可以接受的。建设单位须严格遵守环保“三同时”制度，各项治理措施需自主验收合格后方可正式投入使用，在此前提下，本项目是可行的。</w:t>
            </w: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sz w:val="38"/>
          <w:szCs w:val="38"/>
          <w:highlight w:val="none"/>
        </w:rPr>
      </w:pPr>
      <w:r>
        <w:rPr>
          <w:rFonts w:hint="eastAsia" w:ascii="方正小标宋_GBK" w:hAnsi="黑体" w:eastAsia="方正小标宋_GBK"/>
          <w:snapToGrid w:val="0"/>
          <w:sz w:val="38"/>
          <w:szCs w:val="38"/>
          <w:highlight w:val="none"/>
        </w:rPr>
        <w:t>建设项目污染物排放量汇总表</w:t>
      </w:r>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50"/>
        <w:gridCol w:w="1768"/>
        <w:gridCol w:w="1276"/>
        <w:gridCol w:w="1545"/>
        <w:gridCol w:w="1515"/>
        <w:gridCol w:w="1485"/>
        <w:gridCol w:w="1875"/>
        <w:gridCol w:w="1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2"/>
              <w:spacing w:beforeLines="0" w:afterLines="0" w:line="240" w:lineRule="auto"/>
              <w:jc w:val="righ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项目</w:t>
            </w:r>
          </w:p>
          <w:p>
            <w:pPr>
              <w:pStyle w:val="42"/>
              <w:spacing w:beforeLines="0" w:afterLines="0" w:line="240" w:lineRule="auto"/>
              <w:jc w:val="lef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分类</w:t>
            </w:r>
          </w:p>
        </w:tc>
        <w:tc>
          <w:tcPr>
            <w:tcW w:w="1350" w:type="dxa"/>
            <w:noWrap w:val="0"/>
            <w:tcMar>
              <w:left w:w="28" w:type="dxa"/>
              <w:right w:w="28" w:type="dxa"/>
            </w:tcMar>
            <w:vAlign w:val="center"/>
          </w:tcPr>
          <w:p>
            <w:pPr>
              <w:pStyle w:val="42"/>
              <w:spacing w:beforeLines="0" w:afterLines="0" w:line="240" w:lineRule="auto"/>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污染物名称</w:t>
            </w:r>
          </w:p>
        </w:tc>
        <w:tc>
          <w:tcPr>
            <w:tcW w:w="1768" w:type="dxa"/>
            <w:noWrap w:val="0"/>
            <w:tcMar>
              <w:left w:w="28" w:type="dxa"/>
              <w:right w:w="28" w:type="dxa"/>
            </w:tcMar>
            <w:vAlign w:val="center"/>
          </w:tcPr>
          <w:p>
            <w:pPr>
              <w:pStyle w:val="42"/>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1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①</w:t>
            </w:r>
            <w:r>
              <w:rPr>
                <w:rFonts w:ascii="黑体" w:hAnsi="黑体" w:eastAsia="黑体"/>
                <w:snapToGrid w:val="0"/>
                <w:color w:val="000000"/>
                <w:spacing w:val="-6"/>
                <w:kern w:val="21"/>
                <w:szCs w:val="21"/>
                <w:highlight w:val="none"/>
              </w:rPr>
              <w:fldChar w:fldCharType="end"/>
            </w:r>
          </w:p>
        </w:tc>
        <w:tc>
          <w:tcPr>
            <w:tcW w:w="1276" w:type="dxa"/>
            <w:noWrap w:val="0"/>
            <w:tcMar>
              <w:left w:w="28" w:type="dxa"/>
              <w:right w:w="28" w:type="dxa"/>
            </w:tcMar>
            <w:vAlign w:val="center"/>
          </w:tcPr>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许可排放量</w:t>
            </w:r>
          </w:p>
          <w:p>
            <w:pPr>
              <w:pStyle w:val="42"/>
              <w:spacing w:beforeLines="0" w:afterLines="0"/>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2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snapToGrid w:val="0"/>
                <w:color w:val="000000"/>
                <w:spacing w:val="-6"/>
                <w:kern w:val="21"/>
                <w:szCs w:val="21"/>
                <w:highlight w:val="none"/>
              </w:rPr>
              <w:t>②</w:t>
            </w:r>
            <w:r>
              <w:rPr>
                <w:rFonts w:ascii="黑体" w:hAnsi="黑体" w:eastAsia="黑体"/>
                <w:snapToGrid w:val="0"/>
                <w:color w:val="000000"/>
                <w:spacing w:val="-6"/>
                <w:kern w:val="21"/>
                <w:szCs w:val="21"/>
                <w:highlight w:val="none"/>
              </w:rPr>
              <w:fldChar w:fldCharType="end"/>
            </w:r>
          </w:p>
        </w:tc>
        <w:tc>
          <w:tcPr>
            <w:tcW w:w="1545" w:type="dxa"/>
            <w:noWrap w:val="0"/>
            <w:tcMar>
              <w:left w:w="28" w:type="dxa"/>
              <w:right w:w="28" w:type="dxa"/>
            </w:tcMar>
            <w:vAlign w:val="center"/>
          </w:tcPr>
          <w:p>
            <w:pPr>
              <w:pStyle w:val="42"/>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在建工程</w:t>
            </w:r>
          </w:p>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3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③</w:t>
            </w:r>
            <w:r>
              <w:rPr>
                <w:rFonts w:ascii="黑体" w:hAnsi="黑体" w:eastAsia="黑体"/>
                <w:snapToGrid w:val="0"/>
                <w:color w:val="000000"/>
                <w:spacing w:val="-6"/>
                <w:kern w:val="21"/>
                <w:szCs w:val="21"/>
                <w:highlight w:val="none"/>
              </w:rPr>
              <w:fldChar w:fldCharType="end"/>
            </w:r>
          </w:p>
        </w:tc>
        <w:tc>
          <w:tcPr>
            <w:tcW w:w="1515" w:type="dxa"/>
            <w:noWrap w:val="0"/>
            <w:tcMar>
              <w:left w:w="28" w:type="dxa"/>
              <w:right w:w="28" w:type="dxa"/>
            </w:tcMar>
            <w:vAlign w:val="center"/>
          </w:tcPr>
          <w:p>
            <w:pPr>
              <w:pStyle w:val="42"/>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本项目</w:t>
            </w:r>
          </w:p>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4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④</w:t>
            </w:r>
            <w:r>
              <w:rPr>
                <w:rFonts w:ascii="黑体" w:hAnsi="黑体" w:eastAsia="黑体"/>
                <w:snapToGrid w:val="0"/>
                <w:color w:val="000000"/>
                <w:spacing w:val="-6"/>
                <w:kern w:val="21"/>
                <w:szCs w:val="21"/>
                <w:highlight w:val="none"/>
              </w:rPr>
              <w:fldChar w:fldCharType="end"/>
            </w:r>
          </w:p>
        </w:tc>
        <w:tc>
          <w:tcPr>
            <w:tcW w:w="1485" w:type="dxa"/>
            <w:noWrap w:val="0"/>
            <w:tcMar>
              <w:left w:w="28" w:type="dxa"/>
              <w:right w:w="28" w:type="dxa"/>
            </w:tcMar>
            <w:vAlign w:val="center"/>
          </w:tcPr>
          <w:p>
            <w:pPr>
              <w:pStyle w:val="42"/>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以新带老削减量</w:t>
            </w:r>
          </w:p>
          <w:p>
            <w:pPr>
              <w:pStyle w:val="42"/>
              <w:spacing w:beforeLines="0" w:afterLines="0" w:line="240" w:lineRule="auto"/>
              <w:rPr>
                <w:rFonts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（新建项目不填）</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5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⑤</w:t>
            </w:r>
            <w:r>
              <w:rPr>
                <w:rFonts w:ascii="黑体" w:hAnsi="黑体" w:eastAsia="黑体"/>
                <w:snapToGrid w:val="0"/>
                <w:color w:val="000000"/>
                <w:spacing w:val="-16"/>
                <w:kern w:val="21"/>
                <w:szCs w:val="21"/>
                <w:highlight w:val="none"/>
              </w:rPr>
              <w:fldChar w:fldCharType="end"/>
            </w:r>
          </w:p>
        </w:tc>
        <w:tc>
          <w:tcPr>
            <w:tcW w:w="1875" w:type="dxa"/>
            <w:noWrap w:val="0"/>
            <w:tcMar>
              <w:left w:w="28" w:type="dxa"/>
              <w:right w:w="28" w:type="dxa"/>
            </w:tcMar>
            <w:vAlign w:val="center"/>
          </w:tcPr>
          <w:p>
            <w:pPr>
              <w:pStyle w:val="42"/>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本项目建成后</w:t>
            </w:r>
          </w:p>
          <w:p>
            <w:pPr>
              <w:pStyle w:val="42"/>
              <w:spacing w:beforeLines="0" w:afterLines="0" w:line="240" w:lineRule="auto"/>
              <w:rPr>
                <w:rFonts w:ascii="黑体" w:hAnsi="黑体" w:eastAsia="黑体"/>
                <w:snapToGrid w:val="0"/>
                <w:color w:val="000000"/>
                <w:spacing w:val="-16"/>
                <w:kern w:val="21"/>
                <w:szCs w:val="21"/>
                <w:highlight w:val="none"/>
              </w:rPr>
            </w:pPr>
            <w:r>
              <w:rPr>
                <w:rFonts w:hint="eastAsia" w:ascii="黑体" w:hAnsi="黑体" w:eastAsia="黑体"/>
                <w:snapToGrid w:val="0"/>
                <w:color w:val="000000"/>
                <w:spacing w:val="-16"/>
                <w:kern w:val="21"/>
                <w:szCs w:val="21"/>
                <w:highlight w:val="none"/>
              </w:rPr>
              <w:t>全厂</w:t>
            </w:r>
            <w:r>
              <w:rPr>
                <w:rFonts w:ascii="黑体" w:hAnsi="黑体" w:eastAsia="黑体"/>
                <w:snapToGrid w:val="0"/>
                <w:color w:val="000000"/>
                <w:spacing w:val="-16"/>
                <w:kern w:val="21"/>
                <w:szCs w:val="21"/>
                <w:highlight w:val="none"/>
              </w:rPr>
              <w:t>排放量（固</w:t>
            </w:r>
            <w:r>
              <w:rPr>
                <w:rFonts w:hint="eastAsia" w:ascii="黑体" w:hAnsi="黑体" w:eastAsia="黑体"/>
                <w:snapToGrid w:val="0"/>
                <w:color w:val="000000"/>
                <w:spacing w:val="-16"/>
                <w:kern w:val="21"/>
                <w:szCs w:val="21"/>
                <w:highlight w:val="none"/>
              </w:rPr>
              <w:t>体</w:t>
            </w:r>
            <w:r>
              <w:rPr>
                <w:rFonts w:ascii="黑体" w:hAnsi="黑体" w:eastAsia="黑体"/>
                <w:snapToGrid w:val="0"/>
                <w:color w:val="000000"/>
                <w:spacing w:val="-16"/>
                <w:kern w:val="21"/>
                <w:szCs w:val="21"/>
                <w:highlight w:val="none"/>
              </w:rPr>
              <w:t>废</w:t>
            </w:r>
            <w:r>
              <w:rPr>
                <w:rFonts w:hint="eastAsia" w:ascii="黑体" w:hAnsi="黑体" w:eastAsia="黑体"/>
                <w:snapToGrid w:val="0"/>
                <w:color w:val="000000"/>
                <w:spacing w:val="-16"/>
                <w:kern w:val="21"/>
                <w:szCs w:val="21"/>
                <w:highlight w:val="none"/>
              </w:rPr>
              <w:t>物</w:t>
            </w:r>
            <w:r>
              <w:rPr>
                <w:rFonts w:ascii="黑体" w:hAnsi="黑体" w:eastAsia="黑体"/>
                <w:snapToGrid w:val="0"/>
                <w:color w:val="000000"/>
                <w:spacing w:val="-16"/>
                <w:kern w:val="21"/>
                <w:szCs w:val="21"/>
                <w:highlight w:val="none"/>
              </w:rPr>
              <w:t>产生量）</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6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⑥</w:t>
            </w:r>
            <w:r>
              <w:rPr>
                <w:rFonts w:ascii="黑体" w:hAnsi="黑体" w:eastAsia="黑体"/>
                <w:snapToGrid w:val="0"/>
                <w:color w:val="000000"/>
                <w:spacing w:val="-16"/>
                <w:kern w:val="21"/>
                <w:szCs w:val="21"/>
                <w:highlight w:val="none"/>
              </w:rPr>
              <w:fldChar w:fldCharType="end"/>
            </w:r>
          </w:p>
        </w:tc>
        <w:tc>
          <w:tcPr>
            <w:tcW w:w="1386" w:type="dxa"/>
            <w:noWrap w:val="0"/>
            <w:tcMar>
              <w:left w:w="28" w:type="dxa"/>
              <w:right w:w="28" w:type="dxa"/>
            </w:tcMar>
            <w:vAlign w:val="center"/>
          </w:tcPr>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变化量</w:t>
            </w:r>
          </w:p>
          <w:p>
            <w:pPr>
              <w:pStyle w:val="42"/>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7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⑦</w:t>
            </w:r>
            <w:r>
              <w:rPr>
                <w:rFonts w:ascii="黑体" w:hAnsi="黑体" w:eastAsia="黑体"/>
                <w:snapToGrid w:val="0"/>
                <w:color w:val="000000"/>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2"/>
              <w:spacing w:beforeLines="0" w:afterLines="0" w:line="240" w:lineRule="auto"/>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废气</w:t>
            </w:r>
          </w:p>
        </w:tc>
        <w:tc>
          <w:tcPr>
            <w:tcW w:w="1350"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NO</w:t>
            </w:r>
            <w:r>
              <w:rPr>
                <w:rFonts w:hint="default" w:ascii="Times New Roman" w:hAnsi="Times New Roman" w:cs="Times New Roman"/>
                <w:snapToGrid w:val="0"/>
                <w:color w:val="000000"/>
                <w:kern w:val="21"/>
                <w:szCs w:val="21"/>
                <w:vertAlign w:val="subscript"/>
                <w:lang w:val="en-US" w:eastAsia="zh-CN"/>
              </w:rPr>
              <w:t>X</w:t>
            </w:r>
          </w:p>
        </w:tc>
        <w:tc>
          <w:tcPr>
            <w:tcW w:w="1768"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0.13</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0.13</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SO</w:t>
            </w:r>
            <w:r>
              <w:rPr>
                <w:rFonts w:hint="default" w:ascii="Times New Roman" w:hAnsi="Times New Roman" w:cs="Times New Roman"/>
                <w:snapToGrid w:val="0"/>
                <w:color w:val="000000"/>
                <w:kern w:val="21"/>
                <w:szCs w:val="21"/>
                <w:vertAlign w:val="subscript"/>
                <w:lang w:val="en-US" w:eastAsia="zh-CN"/>
              </w:rPr>
              <w:t>2</w:t>
            </w:r>
          </w:p>
        </w:tc>
        <w:tc>
          <w:tcPr>
            <w:tcW w:w="1768"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0</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颗粒物</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0.14</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0.14</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NH</w:t>
            </w:r>
            <w:r>
              <w:rPr>
                <w:rFonts w:hint="eastAsia" w:ascii="Times New Roman" w:hAnsi="Times New Roman" w:cs="Times New Roman"/>
                <w:snapToGrid w:val="0"/>
                <w:color w:val="000000"/>
                <w:kern w:val="21"/>
                <w:szCs w:val="21"/>
                <w:vertAlign w:val="subscript"/>
                <w:lang w:val="en-US" w:eastAsia="zh-CN"/>
              </w:rPr>
              <w:t>3</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0.21</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0.21</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H</w:t>
            </w:r>
            <w:r>
              <w:rPr>
                <w:rFonts w:hint="eastAsia" w:ascii="Times New Roman" w:hAnsi="Times New Roman" w:cs="Times New Roman"/>
                <w:snapToGrid w:val="0"/>
                <w:color w:val="000000"/>
                <w:kern w:val="21"/>
                <w:szCs w:val="21"/>
                <w:vertAlign w:val="subscript"/>
                <w:lang w:val="en-US" w:eastAsia="zh-CN"/>
              </w:rPr>
              <w:t>2</w:t>
            </w:r>
            <w:r>
              <w:rPr>
                <w:rFonts w:hint="eastAsia" w:ascii="Times New Roman" w:hAnsi="Times New Roman" w:cs="Times New Roman"/>
                <w:snapToGrid w:val="0"/>
                <w:color w:val="000000"/>
                <w:kern w:val="21"/>
                <w:szCs w:val="21"/>
                <w:lang w:val="en-US" w:eastAsia="zh-CN"/>
              </w:rPr>
              <w:t>S</w:t>
            </w:r>
          </w:p>
        </w:tc>
        <w:tc>
          <w:tcPr>
            <w:tcW w:w="1768" w:type="dxa"/>
            <w:noWrap w:val="0"/>
            <w:vAlign w:val="center"/>
          </w:tcPr>
          <w:p>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0.24</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0.24</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2"/>
              <w:spacing w:beforeLines="0" w:afterLines="0" w:line="240" w:lineRule="auto"/>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废水</w:t>
            </w:r>
          </w:p>
        </w:tc>
        <w:tc>
          <w:tcPr>
            <w:tcW w:w="1350"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COD</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10.37</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515"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0.2894</w:t>
            </w:r>
            <w:r>
              <w:rPr>
                <w:rFonts w:hint="eastAsia" w:ascii="Times New Roman" w:hAnsi="Times New Roman" w:cs="Times New Roman"/>
                <w:snapToGrid w:val="0"/>
                <w:color w:val="000000"/>
                <w:kern w:val="21"/>
                <w:sz w:val="21"/>
                <w:szCs w:val="21"/>
                <w:lang w:val="en-US" w:eastAsia="zh-CN"/>
              </w:rPr>
              <w:t>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10.6594</w:t>
            </w:r>
            <w:r>
              <w:rPr>
                <w:rFonts w:hint="eastAsia" w:ascii="Times New Roman" w:hAnsi="Times New Roman" w:cs="Times New Roman"/>
                <w:snapToGrid w:val="0"/>
                <w:color w:val="000000"/>
                <w:kern w:val="21"/>
                <w:sz w:val="21"/>
                <w:szCs w:val="21"/>
                <w:lang w:val="en-US" w:eastAsia="zh-CN"/>
              </w:rPr>
              <w:t>t/a</w:t>
            </w:r>
          </w:p>
        </w:tc>
        <w:tc>
          <w:tcPr>
            <w:tcW w:w="138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0.2894</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BOD</w:t>
            </w:r>
            <w:r>
              <w:rPr>
                <w:rFonts w:hint="eastAsia" w:ascii="Times New Roman" w:hAnsi="Times New Roman" w:cs="Times New Roman"/>
                <w:snapToGrid w:val="0"/>
                <w:color w:val="000000"/>
                <w:kern w:val="21"/>
                <w:szCs w:val="21"/>
                <w:vertAlign w:val="subscript"/>
                <w:lang w:val="en-US" w:eastAsia="zh-CN"/>
              </w:rPr>
              <w:t>5</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2.58</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515"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0.1053</w:t>
            </w:r>
            <w:r>
              <w:rPr>
                <w:rFonts w:hint="eastAsia" w:ascii="Times New Roman" w:hAnsi="Times New Roman" w:cs="Times New Roman"/>
                <w:snapToGrid w:val="0"/>
                <w:color w:val="000000"/>
                <w:kern w:val="21"/>
                <w:sz w:val="21"/>
                <w:szCs w:val="21"/>
                <w:lang w:val="en-US" w:eastAsia="zh-CN"/>
              </w:rPr>
              <w:t>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2.6853</w:t>
            </w:r>
            <w:r>
              <w:rPr>
                <w:rFonts w:hint="eastAsia" w:ascii="Times New Roman" w:hAnsi="Times New Roman" w:cs="Times New Roman"/>
                <w:snapToGrid w:val="0"/>
                <w:color w:val="000000"/>
                <w:kern w:val="21"/>
                <w:sz w:val="21"/>
                <w:szCs w:val="21"/>
                <w:lang w:val="en-US" w:eastAsia="zh-CN"/>
              </w:rPr>
              <w:t>t/a</w:t>
            </w:r>
          </w:p>
        </w:tc>
        <w:tc>
          <w:tcPr>
            <w:tcW w:w="138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0.1053</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NH</w:t>
            </w:r>
            <w:r>
              <w:rPr>
                <w:rFonts w:hint="eastAsia" w:ascii="Times New Roman" w:hAnsi="Times New Roman" w:cs="Times New Roman"/>
                <w:snapToGrid w:val="0"/>
                <w:color w:val="000000"/>
                <w:kern w:val="21"/>
                <w:szCs w:val="21"/>
                <w:vertAlign w:val="subscript"/>
                <w:lang w:val="en-US" w:eastAsia="zh-CN"/>
              </w:rPr>
              <w:t>3</w:t>
            </w:r>
            <w:r>
              <w:rPr>
                <w:rFonts w:hint="eastAsia" w:ascii="Times New Roman" w:hAnsi="Times New Roman" w:cs="Times New Roman"/>
                <w:snapToGrid w:val="0"/>
                <w:color w:val="000000"/>
                <w:kern w:val="21"/>
                <w:szCs w:val="21"/>
                <w:lang w:val="en-US" w:eastAsia="zh-CN"/>
              </w:rPr>
              <w:t>-N</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1.87</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515"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0.1754</w:t>
            </w:r>
            <w:r>
              <w:rPr>
                <w:rFonts w:hint="eastAsia" w:ascii="Times New Roman" w:hAnsi="Times New Roman" w:cs="Times New Roman"/>
                <w:snapToGrid w:val="0"/>
                <w:color w:val="000000"/>
                <w:kern w:val="21"/>
                <w:sz w:val="21"/>
                <w:szCs w:val="21"/>
                <w:lang w:val="en-US" w:eastAsia="zh-CN"/>
              </w:rPr>
              <w:t>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2.0454</w:t>
            </w:r>
            <w:r>
              <w:rPr>
                <w:rFonts w:hint="eastAsia" w:ascii="Times New Roman" w:hAnsi="Times New Roman" w:cs="Times New Roman"/>
                <w:snapToGrid w:val="0"/>
                <w:color w:val="000000"/>
                <w:kern w:val="21"/>
                <w:sz w:val="21"/>
                <w:szCs w:val="21"/>
                <w:lang w:val="en-US" w:eastAsia="zh-CN"/>
              </w:rPr>
              <w:t>t/a</w:t>
            </w:r>
          </w:p>
        </w:tc>
        <w:tc>
          <w:tcPr>
            <w:tcW w:w="138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0.1754</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SS</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4.77</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515" w:type="dxa"/>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000000"/>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0.2461</w:t>
            </w:r>
            <w:r>
              <w:rPr>
                <w:rFonts w:hint="eastAsia" w:ascii="Times New Roman" w:hAnsi="Times New Roman" w:cs="Times New Roman"/>
                <w:snapToGrid w:val="0"/>
                <w:color w:val="000000"/>
                <w:kern w:val="21"/>
                <w:sz w:val="21"/>
                <w:szCs w:val="21"/>
                <w:lang w:val="en-US" w:eastAsia="zh-CN"/>
              </w:rPr>
              <w:t>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8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5.0161</w:t>
            </w:r>
            <w:r>
              <w:rPr>
                <w:rFonts w:hint="eastAsia" w:ascii="Times New Roman" w:hAnsi="Times New Roman" w:cs="Times New Roman"/>
                <w:snapToGrid w:val="0"/>
                <w:color w:val="000000"/>
                <w:kern w:val="21"/>
                <w:sz w:val="21"/>
                <w:szCs w:val="21"/>
                <w:lang w:val="en-US" w:eastAsia="zh-CN"/>
              </w:rPr>
              <w:t>t/a</w:t>
            </w:r>
          </w:p>
        </w:tc>
        <w:tc>
          <w:tcPr>
            <w:tcW w:w="138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0.2461</w:t>
            </w:r>
            <w:r>
              <w:rPr>
                <w:rFonts w:hint="eastAsia" w:ascii="Times New Roman" w:hAnsi="Times New Roman" w:cs="Times New Roman"/>
                <w:snapToGrid w:val="0"/>
                <w:color w:val="000000"/>
                <w:kern w:val="21"/>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88" w:type="dxa"/>
            <w:vMerge w:val="restart"/>
            <w:noWrap w:val="0"/>
            <w:vAlign w:val="center"/>
          </w:tcPr>
          <w:p>
            <w:pPr>
              <w:pStyle w:val="42"/>
              <w:spacing w:beforeLines="0" w:afterLines="0" w:line="240" w:lineRule="auto"/>
              <w:rPr>
                <w:rFonts w:hint="eastAsia" w:ascii="宋体" w:hAnsi="宋体" w:eastAsia="宋体" w:cs="宋体"/>
                <w:snapToGrid w:val="0"/>
                <w:color w:val="000000"/>
                <w:kern w:val="21"/>
                <w:szCs w:val="21"/>
              </w:rPr>
            </w:pPr>
            <w:r>
              <w:rPr>
                <w:rFonts w:hint="eastAsia" w:ascii="宋体" w:hAnsi="宋体" w:eastAsia="宋体" w:cs="宋体"/>
                <w:snapToGrid w:val="0"/>
                <w:color w:val="000000"/>
                <w:kern w:val="21"/>
                <w:szCs w:val="21"/>
              </w:rPr>
              <w:t>危险废物</w:t>
            </w:r>
          </w:p>
        </w:tc>
        <w:tc>
          <w:tcPr>
            <w:tcW w:w="1350"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医疗废物</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144.75</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515" w:type="dxa"/>
            <w:noWrap w:val="0"/>
            <w:vAlign w:val="center"/>
          </w:tcPr>
          <w:p>
            <w:pPr>
              <w:pStyle w:val="42"/>
              <w:spacing w:beforeLines="0" w:afterLines="0" w:line="240" w:lineRule="auto"/>
              <w:rPr>
                <w:rFonts w:hint="default" w:ascii="Times New Roman" w:hAnsi="Times New Roman" w:cs="Times New Roman"/>
                <w:snapToGrid w:val="0"/>
                <w:color w:val="000000"/>
                <w:kern w:val="21"/>
                <w:sz w:val="21"/>
                <w:szCs w:val="21"/>
              </w:rPr>
            </w:pPr>
            <w:r>
              <w:rPr>
                <w:rFonts w:hint="eastAsia" w:ascii="Times New Roman" w:cs="Times New Roman"/>
                <w:snapToGrid w:val="0"/>
                <w:color w:val="000000"/>
                <w:kern w:val="21"/>
                <w:sz w:val="21"/>
                <w:szCs w:val="21"/>
                <w:lang w:val="en-US" w:eastAsia="zh-CN"/>
              </w:rPr>
              <w:t>15.68</w:t>
            </w:r>
            <w:r>
              <w:rPr>
                <w:rFonts w:hint="eastAsia" w:ascii="Times New Roman" w:hAnsi="Times New Roman" w:cs="Times New Roman"/>
                <w:snapToGrid w:val="0"/>
                <w:color w:val="000000"/>
                <w:kern w:val="21"/>
                <w:sz w:val="21"/>
                <w:szCs w:val="21"/>
                <w:lang w:val="en-US" w:eastAsia="zh-CN"/>
              </w:rPr>
              <w:t>t/at/a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 w:val="21"/>
                <w:szCs w:val="21"/>
              </w:rPr>
            </w:pPr>
            <w:r>
              <w:rPr>
                <w:rFonts w:hint="eastAsia" w:ascii="Times New Roman" w:hAnsi="Times New Roman" w:cs="Times New Roman"/>
                <w:snapToGrid w:val="0"/>
                <w:color w:val="000000"/>
                <w:kern w:val="21"/>
                <w:sz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160.43</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+15.68</w:t>
            </w:r>
            <w:r>
              <w:rPr>
                <w:rFonts w:hint="eastAsia" w:ascii="Times New Roman" w:hAnsi="Times New Roman" w:cs="Times New Roman"/>
                <w:snapToGrid w:val="0"/>
                <w:color w:val="000000"/>
                <w:kern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eastAsia" w:ascii="宋体" w:hAnsi="宋体" w:eastAsia="宋体" w:cs="宋体"/>
                <w:snapToGrid w:val="0"/>
                <w:color w:val="000000"/>
                <w:kern w:val="21"/>
                <w:szCs w:val="21"/>
              </w:rPr>
            </w:pPr>
          </w:p>
        </w:tc>
        <w:tc>
          <w:tcPr>
            <w:tcW w:w="1350" w:type="dxa"/>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污泥</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15.01</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cs="Times New Roman"/>
                <w:snapToGrid w:val="0"/>
                <w:color w:val="000000"/>
                <w:kern w:val="21"/>
                <w:szCs w:val="21"/>
                <w:lang w:val="en-US" w:eastAsia="zh-CN"/>
              </w:rPr>
              <w:t>2.808</w:t>
            </w:r>
            <w:r>
              <w:rPr>
                <w:rFonts w:hint="eastAsia" w:ascii="Times New Roman" w:hAnsi="Times New Roman" w:cs="Times New Roman"/>
                <w:snapToGrid w:val="0"/>
                <w:color w:val="000000"/>
                <w:kern w:val="21"/>
                <w:szCs w:val="21"/>
                <w:lang w:val="en-US" w:eastAsia="zh-CN"/>
              </w:rPr>
              <w:t>t/a</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19.474</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cs="Times New Roman"/>
                <w:snapToGrid w:val="0"/>
                <w:color w:val="000000"/>
                <w:kern w:val="21"/>
                <w:szCs w:val="21"/>
                <w:lang w:val="en-US" w:eastAsia="zh-CN"/>
              </w:rPr>
              <w:t>+2.808</w:t>
            </w:r>
            <w:r>
              <w:rPr>
                <w:rFonts w:hint="eastAsia" w:ascii="Times New Roman" w:hAnsi="Times New Roman" w:cs="Times New Roman"/>
                <w:snapToGrid w:val="0"/>
                <w:color w:val="000000"/>
                <w:kern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p>
        </w:tc>
        <w:tc>
          <w:tcPr>
            <w:tcW w:w="1350" w:type="dxa"/>
            <w:noWrap w:val="0"/>
            <w:vAlign w:val="center"/>
          </w:tcPr>
          <w:p>
            <w:pPr>
              <w:pStyle w:val="42"/>
              <w:spacing w:beforeLines="0" w:afterLines="0" w:line="240" w:lineRule="auto"/>
              <w:rPr>
                <w:rFonts w:hint="eastAsia"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废滤芯</w:t>
            </w:r>
          </w:p>
        </w:tc>
        <w:tc>
          <w:tcPr>
            <w:tcW w:w="1768" w:type="dxa"/>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r>
              <w:rPr>
                <w:rFonts w:hint="eastAsia" w:ascii="Times New Roman" w:hAnsi="Times New Roman" w:eastAsia="宋体" w:cs="Times New Roman"/>
                <w:snapToGrid w:val="0"/>
                <w:color w:val="000000"/>
                <w:kern w:val="21"/>
                <w:szCs w:val="21"/>
                <w:lang w:val="en-US" w:eastAsia="zh-CN"/>
              </w:rPr>
              <w:t>0.08</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48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0.08t/a</w:t>
            </w:r>
          </w:p>
        </w:tc>
        <w:tc>
          <w:tcPr>
            <w:tcW w:w="1386"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2"/>
              <w:spacing w:beforeLines="0" w:afterLines="0" w:line="240" w:lineRule="auto"/>
              <w:rPr>
                <w:rFonts w:hint="default" w:ascii="Times New Roman" w:hAnsi="Times New Roman" w:cs="Times New Roman"/>
                <w:snapToGrid w:val="0"/>
                <w:color w:val="000000"/>
                <w:kern w:val="21"/>
                <w:szCs w:val="21"/>
              </w:rPr>
            </w:pPr>
          </w:p>
        </w:tc>
        <w:tc>
          <w:tcPr>
            <w:tcW w:w="1350" w:type="dxa"/>
            <w:noWrap w:val="0"/>
            <w:vAlign w:val="center"/>
          </w:tcPr>
          <w:p>
            <w:pPr>
              <w:pStyle w:val="42"/>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栅渣</w:t>
            </w:r>
          </w:p>
        </w:tc>
        <w:tc>
          <w:tcPr>
            <w:tcW w:w="1768" w:type="dxa"/>
            <w:noWrap w:val="0"/>
            <w:vAlign w:val="center"/>
          </w:tcPr>
          <w:p>
            <w:pPr>
              <w:pStyle w:val="42"/>
              <w:spacing w:beforeLines="0" w:afterLines="0" w:line="240" w:lineRule="auto"/>
              <w:rPr>
                <w:rFonts w:hint="default" w:cs="Times New Roman"/>
                <w:snapToGrid w:val="0"/>
                <w:color w:val="000000"/>
                <w:kern w:val="21"/>
                <w:szCs w:val="21"/>
                <w:lang w:val="en-US" w:eastAsia="zh-CN"/>
              </w:rPr>
            </w:pPr>
            <w:r>
              <w:rPr>
                <w:rFonts w:hint="eastAsia" w:ascii="Times New Roman" w:hAnsi="Times New Roman" w:eastAsia="宋体" w:cs="Times New Roman"/>
                <w:snapToGrid w:val="0"/>
                <w:color w:val="000000"/>
                <w:kern w:val="21"/>
                <w:szCs w:val="21"/>
                <w:lang w:val="en-US" w:eastAsia="zh-CN"/>
              </w:rPr>
              <w:t>390.18</w:t>
            </w:r>
            <w:r>
              <w:rPr>
                <w:rFonts w:hint="eastAsia" w:ascii="Times New Roman" w:hAnsi="Times New Roman" w:cs="Times New Roman"/>
                <w:snapToGrid w:val="0"/>
                <w:color w:val="000000"/>
                <w:kern w:val="21"/>
                <w:szCs w:val="21"/>
                <w:lang w:val="en-US" w:eastAsia="zh-CN"/>
              </w:rPr>
              <w:t>t/a</w:t>
            </w:r>
          </w:p>
        </w:tc>
        <w:tc>
          <w:tcPr>
            <w:tcW w:w="1276" w:type="dxa"/>
            <w:noWrap w:val="0"/>
            <w:vAlign w:val="center"/>
          </w:tcPr>
          <w:p>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45" w:type="dxa"/>
            <w:noWrap w:val="0"/>
            <w:vAlign w:val="center"/>
          </w:tcPr>
          <w:p>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15" w:type="dxa"/>
            <w:noWrap w:val="0"/>
            <w:vAlign w:val="center"/>
          </w:tcPr>
          <w:p>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2.339</w:t>
            </w:r>
            <w:r>
              <w:rPr>
                <w:rFonts w:hint="eastAsia" w:ascii="Times New Roman" w:hAnsi="Times New Roman" w:cs="Times New Roman"/>
                <w:snapToGrid w:val="0"/>
                <w:color w:val="000000"/>
                <w:kern w:val="21"/>
                <w:szCs w:val="21"/>
                <w:lang w:val="en-US" w:eastAsia="zh-CN"/>
              </w:rPr>
              <w:t>t/a</w:t>
            </w:r>
          </w:p>
        </w:tc>
        <w:tc>
          <w:tcPr>
            <w:tcW w:w="1485" w:type="dxa"/>
            <w:noWrap w:val="0"/>
            <w:vAlign w:val="center"/>
          </w:tcPr>
          <w:p>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875" w:type="dxa"/>
            <w:noWrap w:val="0"/>
            <w:vAlign w:val="center"/>
          </w:tcPr>
          <w:p>
            <w:pPr>
              <w:pStyle w:val="42"/>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292.519</w:t>
            </w:r>
            <w:r>
              <w:rPr>
                <w:rFonts w:hint="eastAsia" w:ascii="Times New Roman" w:hAnsi="Times New Roman" w:cs="Times New Roman"/>
                <w:snapToGrid w:val="0"/>
                <w:color w:val="000000"/>
                <w:kern w:val="21"/>
                <w:szCs w:val="21"/>
                <w:lang w:val="en-US" w:eastAsia="zh-CN"/>
              </w:rPr>
              <w:t>t/a</w:t>
            </w:r>
          </w:p>
        </w:tc>
        <w:tc>
          <w:tcPr>
            <w:tcW w:w="1386" w:type="dxa"/>
            <w:noWrap w:val="0"/>
            <w:vAlign w:val="center"/>
          </w:tcPr>
          <w:p>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+2.339</w:t>
            </w:r>
            <w:r>
              <w:rPr>
                <w:rFonts w:hint="eastAsia" w:ascii="Times New Roman" w:hAnsi="Times New Roman" w:cs="Times New Roman"/>
                <w:snapToGrid w:val="0"/>
                <w:color w:val="000000"/>
                <w:kern w:val="21"/>
                <w:szCs w:val="21"/>
                <w:lang w:val="en-US" w:eastAsia="zh-CN"/>
              </w:rPr>
              <w:t>t/a</w:t>
            </w:r>
          </w:p>
        </w:tc>
      </w:tr>
    </w:tbl>
    <w:p>
      <w:pPr>
        <w:pStyle w:val="42"/>
        <w:spacing w:before="192" w:beforeLines="80" w:after="24"/>
        <w:jc w:val="left"/>
        <w:rPr>
          <w:rFonts w:hint="eastAsia" w:hAnsi="宋体"/>
          <w:snapToGrid w:val="0"/>
          <w:color w:val="000000"/>
          <w:spacing w:val="-6"/>
          <w:kern w:val="21"/>
          <w:szCs w:val="21"/>
        </w:rPr>
      </w:pPr>
      <w:r>
        <w:rPr>
          <w:rFonts w:hint="default" w:ascii="Times New Roman" w:hAnsi="Times New Roman" w:cs="Times New Roman"/>
          <w:snapToGrid w:val="0"/>
          <w:color w:val="000000"/>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Emoji">
    <w:altName w:val="Segoe UI"/>
    <w:panose1 w:val="020B0502040204020203"/>
    <w:charset w:val="00"/>
    <w:family w:val="auto"/>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3UTeABAADBAwAADgAAAGRycy9lMm9Eb2MueG1srVNLjhMxEN0jcQfL&#10;e+JOk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nq+y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hd1E3gAQAAwQMAAA4AAAAA&#10;AAAAAQAgAAAAHgEAAGRycy9lMm9Eb2MueG1sUEsFBgAAAAAGAAYAWQEAAHA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UaF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ovOHPC0sDPP76ff/4+//rG&#10;5uXV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jBRoV4QEAAMEDAAAOAAAA&#10;AAAAAAEAIAAAAB4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W5UHu4QEAAMEDAAAOAAAA&#10;AAAAAAEAIAAAAB4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B4C0F"/>
    <w:multiLevelType w:val="singleLevel"/>
    <w:tmpl w:val="A7EB4C0F"/>
    <w:lvl w:ilvl="0" w:tentative="0">
      <w:start w:val="2"/>
      <w:numFmt w:val="decimal"/>
      <w:suff w:val="nothing"/>
      <w:lvlText w:val="（%1）"/>
      <w:lvlJc w:val="left"/>
    </w:lvl>
  </w:abstractNum>
  <w:abstractNum w:abstractNumId="1">
    <w:nsid w:val="AF4F60C1"/>
    <w:multiLevelType w:val="singleLevel"/>
    <w:tmpl w:val="AF4F60C1"/>
    <w:lvl w:ilvl="0" w:tentative="0">
      <w:start w:val="1"/>
      <w:numFmt w:val="decimal"/>
      <w:suff w:val="nothing"/>
      <w:lvlText w:val="%1"/>
      <w:lvlJc w:val="left"/>
      <w:pPr>
        <w:ind w:left="0" w:firstLine="403"/>
      </w:pPr>
      <w:rPr>
        <w:rFonts w:hint="default"/>
      </w:rPr>
    </w:lvl>
  </w:abstractNum>
  <w:abstractNum w:abstractNumId="2">
    <w:nsid w:val="B88B02F0"/>
    <w:multiLevelType w:val="singleLevel"/>
    <w:tmpl w:val="B88B02F0"/>
    <w:lvl w:ilvl="0" w:tentative="0">
      <w:start w:val="2"/>
      <w:numFmt w:val="decimal"/>
      <w:suff w:val="nothing"/>
      <w:lvlText w:val="（%1）"/>
      <w:lvlJc w:val="left"/>
    </w:lvl>
  </w:abstractNum>
  <w:abstractNum w:abstractNumId="3">
    <w:nsid w:val="232D8726"/>
    <w:multiLevelType w:val="singleLevel"/>
    <w:tmpl w:val="232D8726"/>
    <w:lvl w:ilvl="0" w:tentative="0">
      <w:start w:val="1"/>
      <w:numFmt w:val="decimal"/>
      <w:suff w:val="nothing"/>
      <w:lvlText w:val="%1"/>
      <w:lvlJc w:val="left"/>
      <w:pPr>
        <w:ind w:left="0" w:firstLine="397"/>
      </w:pPr>
      <w:rPr>
        <w:rFonts w:hint="default"/>
      </w:rPr>
    </w:lvl>
  </w:abstractNum>
  <w:abstractNum w:abstractNumId="4">
    <w:nsid w:val="7481A566"/>
    <w:multiLevelType w:val="singleLevel"/>
    <w:tmpl w:val="7481A566"/>
    <w:lvl w:ilvl="0" w:tentative="0">
      <w:start w:val="1"/>
      <w:numFmt w:val="decimal"/>
      <w:suff w:val="nothing"/>
      <w:lvlText w:val="%1"/>
      <w:lvlJc w:val="left"/>
      <w:pPr>
        <w:ind w:left="0" w:firstLine="403"/>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NhOWMzNThmMTgxMjhlYmYwYmRlODczZGZjNDk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143E"/>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2E2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846F0A"/>
    <w:rsid w:val="0230254D"/>
    <w:rsid w:val="023A5678"/>
    <w:rsid w:val="02697903"/>
    <w:rsid w:val="02B829C2"/>
    <w:rsid w:val="02BA60A4"/>
    <w:rsid w:val="02F96569"/>
    <w:rsid w:val="03A92F99"/>
    <w:rsid w:val="03D251BA"/>
    <w:rsid w:val="03EA7B21"/>
    <w:rsid w:val="03EB08A3"/>
    <w:rsid w:val="04151464"/>
    <w:rsid w:val="04AE4786"/>
    <w:rsid w:val="04D179E0"/>
    <w:rsid w:val="05F83EAE"/>
    <w:rsid w:val="063E7D85"/>
    <w:rsid w:val="065D35AE"/>
    <w:rsid w:val="07293586"/>
    <w:rsid w:val="07295285"/>
    <w:rsid w:val="07636392"/>
    <w:rsid w:val="076E3F95"/>
    <w:rsid w:val="07770C56"/>
    <w:rsid w:val="086C7545"/>
    <w:rsid w:val="091A03FB"/>
    <w:rsid w:val="092217DD"/>
    <w:rsid w:val="093A7294"/>
    <w:rsid w:val="0A263993"/>
    <w:rsid w:val="0A2D3AC2"/>
    <w:rsid w:val="0AA755DF"/>
    <w:rsid w:val="0B120D44"/>
    <w:rsid w:val="0B683096"/>
    <w:rsid w:val="0BD27BF6"/>
    <w:rsid w:val="0C3B3C7D"/>
    <w:rsid w:val="0CAB2EAE"/>
    <w:rsid w:val="0D621C7D"/>
    <w:rsid w:val="0E22237B"/>
    <w:rsid w:val="0E73034D"/>
    <w:rsid w:val="0E973963"/>
    <w:rsid w:val="0EBA0813"/>
    <w:rsid w:val="0F13775A"/>
    <w:rsid w:val="0F5F45FE"/>
    <w:rsid w:val="0F9A112B"/>
    <w:rsid w:val="106D2F64"/>
    <w:rsid w:val="10B63710"/>
    <w:rsid w:val="10F10820"/>
    <w:rsid w:val="111C2F7A"/>
    <w:rsid w:val="11665CA1"/>
    <w:rsid w:val="126857B5"/>
    <w:rsid w:val="12BF124E"/>
    <w:rsid w:val="13951726"/>
    <w:rsid w:val="13CA5072"/>
    <w:rsid w:val="1438443B"/>
    <w:rsid w:val="14396509"/>
    <w:rsid w:val="14DD2C3C"/>
    <w:rsid w:val="156A4A9C"/>
    <w:rsid w:val="15802F28"/>
    <w:rsid w:val="15C20286"/>
    <w:rsid w:val="15D40597"/>
    <w:rsid w:val="16087E1D"/>
    <w:rsid w:val="167427AE"/>
    <w:rsid w:val="17701D14"/>
    <w:rsid w:val="17735226"/>
    <w:rsid w:val="17FB7B94"/>
    <w:rsid w:val="189F624C"/>
    <w:rsid w:val="195645B9"/>
    <w:rsid w:val="1A1C66C0"/>
    <w:rsid w:val="1A42393B"/>
    <w:rsid w:val="1AAD45DE"/>
    <w:rsid w:val="1AE94FBE"/>
    <w:rsid w:val="1B046F80"/>
    <w:rsid w:val="1B1C7C04"/>
    <w:rsid w:val="1B3267B5"/>
    <w:rsid w:val="1B40161D"/>
    <w:rsid w:val="1B441859"/>
    <w:rsid w:val="1B6606B1"/>
    <w:rsid w:val="1C3404B6"/>
    <w:rsid w:val="1C5E7925"/>
    <w:rsid w:val="1CFD070F"/>
    <w:rsid w:val="1D5F6196"/>
    <w:rsid w:val="1D6132A5"/>
    <w:rsid w:val="1D7F2331"/>
    <w:rsid w:val="1D8E56D5"/>
    <w:rsid w:val="1E1D04AA"/>
    <w:rsid w:val="1E6E3DBE"/>
    <w:rsid w:val="1E7A43DA"/>
    <w:rsid w:val="1F0D3F01"/>
    <w:rsid w:val="1F1E5F8B"/>
    <w:rsid w:val="1FE7539E"/>
    <w:rsid w:val="20671BE0"/>
    <w:rsid w:val="20963CB8"/>
    <w:rsid w:val="20A81A1B"/>
    <w:rsid w:val="20B07FB6"/>
    <w:rsid w:val="20B646FB"/>
    <w:rsid w:val="20F8390F"/>
    <w:rsid w:val="21102A8D"/>
    <w:rsid w:val="213B74B1"/>
    <w:rsid w:val="215A2310"/>
    <w:rsid w:val="21DE318A"/>
    <w:rsid w:val="21EF05CF"/>
    <w:rsid w:val="21EF5B80"/>
    <w:rsid w:val="2205092A"/>
    <w:rsid w:val="22137BC2"/>
    <w:rsid w:val="22576990"/>
    <w:rsid w:val="22822805"/>
    <w:rsid w:val="22F47480"/>
    <w:rsid w:val="23DE1C48"/>
    <w:rsid w:val="240210CD"/>
    <w:rsid w:val="24BF09F7"/>
    <w:rsid w:val="24F004B7"/>
    <w:rsid w:val="252D53FE"/>
    <w:rsid w:val="25B25CBB"/>
    <w:rsid w:val="25EC2D81"/>
    <w:rsid w:val="272A64C5"/>
    <w:rsid w:val="277057A2"/>
    <w:rsid w:val="28E026ED"/>
    <w:rsid w:val="29206EB8"/>
    <w:rsid w:val="29595666"/>
    <w:rsid w:val="29874881"/>
    <w:rsid w:val="29E325E0"/>
    <w:rsid w:val="2A452503"/>
    <w:rsid w:val="2ADE61BC"/>
    <w:rsid w:val="2B656A1C"/>
    <w:rsid w:val="2BA936A8"/>
    <w:rsid w:val="2BBD2276"/>
    <w:rsid w:val="2C315A5A"/>
    <w:rsid w:val="2C4B1C25"/>
    <w:rsid w:val="2D000202"/>
    <w:rsid w:val="2D9E56F5"/>
    <w:rsid w:val="2E667F96"/>
    <w:rsid w:val="2E8226AB"/>
    <w:rsid w:val="2EF00A12"/>
    <w:rsid w:val="2FD065E6"/>
    <w:rsid w:val="2FD96870"/>
    <w:rsid w:val="3055029B"/>
    <w:rsid w:val="30580BC9"/>
    <w:rsid w:val="309061EA"/>
    <w:rsid w:val="311E2ED7"/>
    <w:rsid w:val="315619EE"/>
    <w:rsid w:val="315C449C"/>
    <w:rsid w:val="318F3412"/>
    <w:rsid w:val="31B82709"/>
    <w:rsid w:val="31D05482"/>
    <w:rsid w:val="32181FDE"/>
    <w:rsid w:val="322A3E99"/>
    <w:rsid w:val="322C5A5F"/>
    <w:rsid w:val="32400B34"/>
    <w:rsid w:val="32905843"/>
    <w:rsid w:val="329E6876"/>
    <w:rsid w:val="333015F2"/>
    <w:rsid w:val="334B6320"/>
    <w:rsid w:val="33D934D4"/>
    <w:rsid w:val="33FE2F6A"/>
    <w:rsid w:val="340E07E5"/>
    <w:rsid w:val="34235BF7"/>
    <w:rsid w:val="350E39CD"/>
    <w:rsid w:val="358C5FA8"/>
    <w:rsid w:val="35BA1E51"/>
    <w:rsid w:val="35C15DF1"/>
    <w:rsid w:val="36074A7F"/>
    <w:rsid w:val="364B581E"/>
    <w:rsid w:val="36923549"/>
    <w:rsid w:val="36B75FBF"/>
    <w:rsid w:val="36BD0C45"/>
    <w:rsid w:val="37D45ABD"/>
    <w:rsid w:val="37E00298"/>
    <w:rsid w:val="387A41EF"/>
    <w:rsid w:val="38B302F9"/>
    <w:rsid w:val="38B7271C"/>
    <w:rsid w:val="38F12CD3"/>
    <w:rsid w:val="38F94775"/>
    <w:rsid w:val="392971ED"/>
    <w:rsid w:val="39325651"/>
    <w:rsid w:val="3A872856"/>
    <w:rsid w:val="3B1E4E89"/>
    <w:rsid w:val="3B3763D1"/>
    <w:rsid w:val="3B683FF4"/>
    <w:rsid w:val="3C2F6E1E"/>
    <w:rsid w:val="3C4F64BA"/>
    <w:rsid w:val="3CDA245A"/>
    <w:rsid w:val="3D1E06B7"/>
    <w:rsid w:val="3D1E555E"/>
    <w:rsid w:val="3D5967F6"/>
    <w:rsid w:val="3DE406FF"/>
    <w:rsid w:val="3EDA0523"/>
    <w:rsid w:val="3FB5224A"/>
    <w:rsid w:val="407A6407"/>
    <w:rsid w:val="407C0767"/>
    <w:rsid w:val="41610712"/>
    <w:rsid w:val="41650F8E"/>
    <w:rsid w:val="417C4F1D"/>
    <w:rsid w:val="4200449D"/>
    <w:rsid w:val="42006D1F"/>
    <w:rsid w:val="423A3BCC"/>
    <w:rsid w:val="424E57D2"/>
    <w:rsid w:val="428D254A"/>
    <w:rsid w:val="42B26C49"/>
    <w:rsid w:val="433A6FE6"/>
    <w:rsid w:val="43480868"/>
    <w:rsid w:val="4350713C"/>
    <w:rsid w:val="436653E0"/>
    <w:rsid w:val="43BD0C0D"/>
    <w:rsid w:val="43C4431A"/>
    <w:rsid w:val="447F2366"/>
    <w:rsid w:val="44B951CC"/>
    <w:rsid w:val="44CD14E0"/>
    <w:rsid w:val="44F20B0B"/>
    <w:rsid w:val="452E5F4C"/>
    <w:rsid w:val="45612018"/>
    <w:rsid w:val="458946E9"/>
    <w:rsid w:val="45A47C0E"/>
    <w:rsid w:val="45DA3570"/>
    <w:rsid w:val="46577FD6"/>
    <w:rsid w:val="467F7381"/>
    <w:rsid w:val="46D955A7"/>
    <w:rsid w:val="47133957"/>
    <w:rsid w:val="479267D3"/>
    <w:rsid w:val="47A07E0C"/>
    <w:rsid w:val="48405F27"/>
    <w:rsid w:val="4870272E"/>
    <w:rsid w:val="491F5019"/>
    <w:rsid w:val="49DC7715"/>
    <w:rsid w:val="4A023139"/>
    <w:rsid w:val="4A7B576F"/>
    <w:rsid w:val="4AF561A9"/>
    <w:rsid w:val="4B2C0426"/>
    <w:rsid w:val="4C4A0649"/>
    <w:rsid w:val="4C7E5ECA"/>
    <w:rsid w:val="4C876AA5"/>
    <w:rsid w:val="4D0E00FB"/>
    <w:rsid w:val="4D176606"/>
    <w:rsid w:val="4DEC4FB0"/>
    <w:rsid w:val="4E075D8A"/>
    <w:rsid w:val="4EC00FAD"/>
    <w:rsid w:val="4F9843DC"/>
    <w:rsid w:val="4FC60B72"/>
    <w:rsid w:val="4FC62A8C"/>
    <w:rsid w:val="4FE20F0D"/>
    <w:rsid w:val="4FE51552"/>
    <w:rsid w:val="50504C4B"/>
    <w:rsid w:val="509C6E7C"/>
    <w:rsid w:val="5162104E"/>
    <w:rsid w:val="528F6B7D"/>
    <w:rsid w:val="53A039CC"/>
    <w:rsid w:val="53A1505A"/>
    <w:rsid w:val="53EC697E"/>
    <w:rsid w:val="54063E08"/>
    <w:rsid w:val="543437E8"/>
    <w:rsid w:val="54F73313"/>
    <w:rsid w:val="54F80955"/>
    <w:rsid w:val="555170A7"/>
    <w:rsid w:val="5587536D"/>
    <w:rsid w:val="559B174B"/>
    <w:rsid w:val="55CE0CF4"/>
    <w:rsid w:val="568B41E6"/>
    <w:rsid w:val="56B22A9C"/>
    <w:rsid w:val="5795071D"/>
    <w:rsid w:val="57B72A76"/>
    <w:rsid w:val="57C3426C"/>
    <w:rsid w:val="57CE1F93"/>
    <w:rsid w:val="588743D1"/>
    <w:rsid w:val="5887701A"/>
    <w:rsid w:val="59C0439F"/>
    <w:rsid w:val="59E71C58"/>
    <w:rsid w:val="5ABE2233"/>
    <w:rsid w:val="5AF51646"/>
    <w:rsid w:val="5BDF5D95"/>
    <w:rsid w:val="5BFE7528"/>
    <w:rsid w:val="5D972FAA"/>
    <w:rsid w:val="5E2467F1"/>
    <w:rsid w:val="5E4A692D"/>
    <w:rsid w:val="5F1A2B43"/>
    <w:rsid w:val="5F5C5FB8"/>
    <w:rsid w:val="5FB837BB"/>
    <w:rsid w:val="60CC405A"/>
    <w:rsid w:val="61E215D8"/>
    <w:rsid w:val="621B3775"/>
    <w:rsid w:val="621E328E"/>
    <w:rsid w:val="62364782"/>
    <w:rsid w:val="62DB4FE8"/>
    <w:rsid w:val="6394356A"/>
    <w:rsid w:val="63A45A4C"/>
    <w:rsid w:val="63C61B2C"/>
    <w:rsid w:val="63D40BE9"/>
    <w:rsid w:val="64102431"/>
    <w:rsid w:val="64A5243A"/>
    <w:rsid w:val="64F531DE"/>
    <w:rsid w:val="65373578"/>
    <w:rsid w:val="65B35E3D"/>
    <w:rsid w:val="671F124A"/>
    <w:rsid w:val="677A33C6"/>
    <w:rsid w:val="681F6961"/>
    <w:rsid w:val="68610A2F"/>
    <w:rsid w:val="68805514"/>
    <w:rsid w:val="68B478E1"/>
    <w:rsid w:val="69316E2F"/>
    <w:rsid w:val="694E2071"/>
    <w:rsid w:val="69766163"/>
    <w:rsid w:val="697A3B33"/>
    <w:rsid w:val="69D44760"/>
    <w:rsid w:val="69FF62D4"/>
    <w:rsid w:val="6A400B75"/>
    <w:rsid w:val="6A520EC7"/>
    <w:rsid w:val="6AF87E20"/>
    <w:rsid w:val="6B322639"/>
    <w:rsid w:val="6BA0712C"/>
    <w:rsid w:val="6BEC358E"/>
    <w:rsid w:val="6C636C38"/>
    <w:rsid w:val="6D4A373B"/>
    <w:rsid w:val="6DB34098"/>
    <w:rsid w:val="6DB545B6"/>
    <w:rsid w:val="6DE02FB4"/>
    <w:rsid w:val="6E2E4E0D"/>
    <w:rsid w:val="6E514CED"/>
    <w:rsid w:val="6EB563D5"/>
    <w:rsid w:val="6ED92677"/>
    <w:rsid w:val="6F225983"/>
    <w:rsid w:val="6FFC5590"/>
    <w:rsid w:val="706D1DD0"/>
    <w:rsid w:val="70856B87"/>
    <w:rsid w:val="70D32F6E"/>
    <w:rsid w:val="70D527EE"/>
    <w:rsid w:val="70E93354"/>
    <w:rsid w:val="715B5300"/>
    <w:rsid w:val="71D27F8A"/>
    <w:rsid w:val="724834E8"/>
    <w:rsid w:val="72553024"/>
    <w:rsid w:val="73122968"/>
    <w:rsid w:val="731F5D5E"/>
    <w:rsid w:val="73C51AD5"/>
    <w:rsid w:val="7403411F"/>
    <w:rsid w:val="741E793C"/>
    <w:rsid w:val="745E3944"/>
    <w:rsid w:val="750C686A"/>
    <w:rsid w:val="75CF13A1"/>
    <w:rsid w:val="75FB06C7"/>
    <w:rsid w:val="7635099D"/>
    <w:rsid w:val="767D5E56"/>
    <w:rsid w:val="771A18F7"/>
    <w:rsid w:val="77412415"/>
    <w:rsid w:val="7764003A"/>
    <w:rsid w:val="77762421"/>
    <w:rsid w:val="77B56B1F"/>
    <w:rsid w:val="780F09F4"/>
    <w:rsid w:val="78A90480"/>
    <w:rsid w:val="78DB6E64"/>
    <w:rsid w:val="792067C5"/>
    <w:rsid w:val="79276C23"/>
    <w:rsid w:val="7A364017"/>
    <w:rsid w:val="7A8265E1"/>
    <w:rsid w:val="7A874332"/>
    <w:rsid w:val="7B4C5DF7"/>
    <w:rsid w:val="7B686D42"/>
    <w:rsid w:val="7B841746"/>
    <w:rsid w:val="7BB62351"/>
    <w:rsid w:val="7BC21317"/>
    <w:rsid w:val="7BDF3CCC"/>
    <w:rsid w:val="7BFC3385"/>
    <w:rsid w:val="7C294FE8"/>
    <w:rsid w:val="7C6C5AC7"/>
    <w:rsid w:val="7CC6544B"/>
    <w:rsid w:val="7CCC3D73"/>
    <w:rsid w:val="7CFC0391"/>
    <w:rsid w:val="7D0239FF"/>
    <w:rsid w:val="7D5E40CD"/>
    <w:rsid w:val="7D690EE2"/>
    <w:rsid w:val="7DB37A40"/>
    <w:rsid w:val="7DCD56F2"/>
    <w:rsid w:val="7EC67843"/>
    <w:rsid w:val="7F001CE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iPriority="0" w:semiHidden="0" w:name="index heading" w:locked="1"/>
    <w:lsdException w:qFormat="1" w:uiPriority="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locked/>
    <w:uiPriority w:val="0"/>
    <w:pPr>
      <w:keepNext/>
      <w:keepLines/>
      <w:spacing w:line="360" w:lineRule="auto"/>
      <w:outlineLvl w:val="3"/>
    </w:pPr>
    <w:rPr>
      <w:rFonts w:eastAsia="仿宋"/>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locked/>
    <w:uiPriority w:val="0"/>
    <w:rPr>
      <w:rFonts w:ascii="宋体" w:hAnsi="Courier New" w:cs="宋体"/>
      <w:szCs w:val="21"/>
    </w:rPr>
  </w:style>
  <w:style w:type="paragraph" w:styleId="6">
    <w:name w:val="Normal Indent"/>
    <w:basedOn w:val="1"/>
    <w:next w:val="7"/>
    <w:qFormat/>
    <w:locked/>
    <w:uiPriority w:val="0"/>
    <w:pPr>
      <w:ind w:firstLine="420" w:firstLineChars="200"/>
    </w:pPr>
    <w:rPr>
      <w:rFonts w:ascii="Times New Roman"/>
      <w:spacing w:val="0"/>
      <w:sz w:val="28"/>
      <w:szCs w:val="24"/>
    </w:rPr>
  </w:style>
  <w:style w:type="paragraph" w:customStyle="1" w:styleId="7">
    <w:name w:val="Char Char Char Char Char Char Char Char Char1 Char"/>
    <w:basedOn w:val="1"/>
    <w:next w:val="8"/>
    <w:qFormat/>
    <w:uiPriority w:val="0"/>
    <w:pPr>
      <w:spacing w:line="360" w:lineRule="auto"/>
      <w:ind w:firstLine="200" w:firstLineChars="200"/>
    </w:pPr>
    <w:rPr>
      <w:rFonts w:hAnsi="宋体" w:cs="宋体"/>
      <w:spacing w:val="5"/>
      <w:sz w:val="24"/>
    </w:rPr>
  </w:style>
  <w:style w:type="paragraph" w:customStyle="1" w:styleId="8">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9">
    <w:name w:val="annotation text"/>
    <w:basedOn w:val="1"/>
    <w:link w:val="30"/>
    <w:semiHidden/>
    <w:qFormat/>
    <w:uiPriority w:val="0"/>
    <w:pPr>
      <w:jc w:val="left"/>
    </w:pPr>
    <w:rPr>
      <w:kern w:val="0"/>
      <w:sz w:val="24"/>
      <w:szCs w:val="20"/>
    </w:rPr>
  </w:style>
  <w:style w:type="paragraph" w:styleId="10">
    <w:name w:val="Body Text"/>
    <w:basedOn w:val="1"/>
    <w:next w:val="11"/>
    <w:link w:val="31"/>
    <w:qFormat/>
    <w:uiPriority w:val="0"/>
    <w:pPr>
      <w:widowControl/>
      <w:snapToGrid w:val="0"/>
      <w:spacing w:before="60" w:after="160" w:line="259" w:lineRule="auto"/>
      <w:ind w:right="113"/>
    </w:pPr>
    <w:rPr>
      <w:kern w:val="0"/>
      <w:sz w:val="18"/>
      <w:szCs w:val="20"/>
    </w:rPr>
  </w:style>
  <w:style w:type="paragraph" w:customStyle="1" w:styleId="11">
    <w:name w:val="默认段落"/>
    <w:basedOn w:val="1"/>
    <w:qFormat/>
    <w:uiPriority w:val="0"/>
  </w:style>
  <w:style w:type="paragraph" w:styleId="12">
    <w:name w:val="Body Text Indent"/>
    <w:basedOn w:val="1"/>
    <w:next w:val="1"/>
    <w:link w:val="32"/>
    <w:qFormat/>
    <w:uiPriority w:val="0"/>
    <w:pPr>
      <w:spacing w:after="120"/>
      <w:ind w:left="420" w:leftChars="200"/>
    </w:pPr>
    <w:rPr>
      <w:kern w:val="0"/>
      <w:sz w:val="24"/>
      <w:szCs w:val="20"/>
    </w:rPr>
  </w:style>
  <w:style w:type="paragraph" w:styleId="13">
    <w:name w:val="Date"/>
    <w:basedOn w:val="1"/>
    <w:next w:val="1"/>
    <w:link w:val="33"/>
    <w:qFormat/>
    <w:uiPriority w:val="0"/>
    <w:pPr>
      <w:ind w:left="100" w:leftChars="2500"/>
    </w:pPr>
    <w:rPr>
      <w:kern w:val="0"/>
      <w:sz w:val="24"/>
      <w:szCs w:val="20"/>
    </w:rPr>
  </w:style>
  <w:style w:type="paragraph" w:styleId="14">
    <w:name w:val="Body Text Indent 2"/>
    <w:basedOn w:val="1"/>
    <w:qFormat/>
    <w:locked/>
    <w:uiPriority w:val="0"/>
    <w:pPr>
      <w:spacing w:line="500" w:lineRule="exact"/>
      <w:ind w:firstLine="556"/>
    </w:pPr>
    <w:rPr>
      <w:bCs/>
      <w:sz w:val="28"/>
    </w:rPr>
  </w:style>
  <w:style w:type="paragraph" w:styleId="15">
    <w:name w:val="Balloon Text"/>
    <w:basedOn w:val="1"/>
    <w:link w:val="34"/>
    <w:semiHidden/>
    <w:qFormat/>
    <w:uiPriority w:val="0"/>
    <w:rPr>
      <w:kern w:val="0"/>
      <w:sz w:val="18"/>
      <w:szCs w:val="20"/>
    </w:rPr>
  </w:style>
  <w:style w:type="paragraph" w:styleId="16">
    <w:name w:val="footer"/>
    <w:basedOn w:val="1"/>
    <w:link w:val="35"/>
    <w:qFormat/>
    <w:uiPriority w:val="99"/>
    <w:pPr>
      <w:tabs>
        <w:tab w:val="center" w:pos="4153"/>
        <w:tab w:val="right" w:pos="8306"/>
      </w:tabs>
      <w:snapToGrid w:val="0"/>
      <w:jc w:val="left"/>
    </w:pPr>
    <w:rPr>
      <w:kern w:val="0"/>
      <w:sz w:val="18"/>
      <w:szCs w:val="20"/>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index heading"/>
    <w:basedOn w:val="1"/>
    <w:next w:val="19"/>
    <w:unhideWhenUsed/>
    <w:qFormat/>
    <w:locked/>
    <w:uiPriority w:val="0"/>
    <w:rPr>
      <w:rFonts w:ascii="Cambria" w:hAnsi="Cambria" w:eastAsia="宋体" w:cs="Times New Roman"/>
      <w:b/>
      <w:bCs/>
      <w:sz w:val="21"/>
      <w:szCs w:val="22"/>
    </w:rPr>
  </w:style>
  <w:style w:type="paragraph" w:styleId="19">
    <w:name w:val="index 1"/>
    <w:basedOn w:val="1"/>
    <w:next w:val="1"/>
    <w:qFormat/>
    <w:locked/>
    <w:uiPriority w:val="0"/>
  </w:style>
  <w:style w:type="paragraph" w:styleId="20">
    <w:name w:val="table of figures"/>
    <w:basedOn w:val="1"/>
    <w:next w:val="1"/>
    <w:qFormat/>
    <w:locked/>
    <w:uiPriority w:val="0"/>
    <w:pPr>
      <w:ind w:left="200" w:leftChars="200" w:hanging="200" w:hangingChars="200"/>
    </w:pPr>
    <w:rPr>
      <w:rFonts w:ascii="Times New Roman" w:hAnsi="Times New Roman" w:eastAsia="宋体" w:cs="Times New Roman"/>
      <w:szCs w:val="21"/>
    </w:rPr>
  </w:style>
  <w:style w:type="paragraph" w:styleId="21">
    <w:name w:val="Normal (Web)"/>
    <w:basedOn w:val="1"/>
    <w:link w:val="37"/>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38"/>
    <w:semiHidden/>
    <w:qFormat/>
    <w:uiPriority w:val="0"/>
    <w:rPr>
      <w:b/>
      <w:sz w:val="24"/>
      <w:szCs w:val="20"/>
    </w:rPr>
  </w:style>
  <w:style w:type="paragraph" w:styleId="23">
    <w:name w:val="Body Text First Indent"/>
    <w:basedOn w:val="10"/>
    <w:next w:val="1"/>
    <w:qFormat/>
    <w:locked/>
    <w:uiPriority w:val="0"/>
    <w:pPr>
      <w:adjustRightInd/>
      <w:spacing w:line="240" w:lineRule="auto"/>
      <w:ind w:firstLine="420" w:firstLineChars="100"/>
      <w:textAlignment w:val="auto"/>
    </w:pPr>
    <w:rPr>
      <w:kern w:val="2"/>
      <w:szCs w:val="24"/>
    </w:rPr>
  </w:style>
  <w:style w:type="paragraph" w:styleId="24">
    <w:name w:val="Body Text First Indent 2"/>
    <w:basedOn w:val="12"/>
    <w:next w:val="1"/>
    <w:qFormat/>
    <w:locked/>
    <w:uiPriority w:val="0"/>
    <w:pPr>
      <w:ind w:firstLine="420" w:firstLineChars="200"/>
    </w:pPr>
  </w:style>
  <w:style w:type="table" w:styleId="26">
    <w:name w:val="Table Grid"/>
    <w:basedOn w:val="2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locked/>
    <w:uiPriority w:val="0"/>
  </w:style>
  <w:style w:type="character" w:styleId="29">
    <w:name w:val="annotation reference"/>
    <w:semiHidden/>
    <w:qFormat/>
    <w:uiPriority w:val="0"/>
    <w:rPr>
      <w:sz w:val="21"/>
    </w:rPr>
  </w:style>
  <w:style w:type="character" w:customStyle="1" w:styleId="30">
    <w:name w:val="批注文字 Char"/>
    <w:link w:val="9"/>
    <w:qFormat/>
    <w:locked/>
    <w:uiPriority w:val="0"/>
    <w:rPr>
      <w:rFonts w:ascii="Times New Roman" w:hAnsi="Times New Roman" w:eastAsia="宋体"/>
      <w:sz w:val="24"/>
    </w:rPr>
  </w:style>
  <w:style w:type="character" w:customStyle="1" w:styleId="31">
    <w:name w:val="正文文本 Char"/>
    <w:link w:val="10"/>
    <w:qFormat/>
    <w:locked/>
    <w:uiPriority w:val="0"/>
    <w:rPr>
      <w:sz w:val="18"/>
    </w:rPr>
  </w:style>
  <w:style w:type="character" w:customStyle="1" w:styleId="32">
    <w:name w:val="正文文本缩进 Char"/>
    <w:link w:val="12"/>
    <w:semiHidden/>
    <w:qFormat/>
    <w:locked/>
    <w:uiPriority w:val="0"/>
    <w:rPr>
      <w:rFonts w:ascii="Times New Roman" w:hAnsi="Times New Roman" w:eastAsia="宋体"/>
      <w:sz w:val="24"/>
    </w:rPr>
  </w:style>
  <w:style w:type="character" w:customStyle="1" w:styleId="33">
    <w:name w:val="日期 Char"/>
    <w:link w:val="13"/>
    <w:qFormat/>
    <w:locked/>
    <w:uiPriority w:val="0"/>
    <w:rPr>
      <w:rFonts w:ascii="Times New Roman" w:hAnsi="Times New Roman" w:eastAsia="宋体"/>
      <w:sz w:val="24"/>
    </w:rPr>
  </w:style>
  <w:style w:type="character" w:customStyle="1" w:styleId="34">
    <w:name w:val="批注框文本 Char"/>
    <w:link w:val="15"/>
    <w:semiHidden/>
    <w:qFormat/>
    <w:locked/>
    <w:uiPriority w:val="0"/>
    <w:rPr>
      <w:rFonts w:ascii="Times New Roman" w:hAnsi="Times New Roman" w:eastAsia="宋体"/>
      <w:sz w:val="18"/>
    </w:rPr>
  </w:style>
  <w:style w:type="character" w:customStyle="1" w:styleId="35">
    <w:name w:val="页脚 Char"/>
    <w:link w:val="16"/>
    <w:qFormat/>
    <w:locked/>
    <w:uiPriority w:val="99"/>
    <w:rPr>
      <w:sz w:val="18"/>
    </w:rPr>
  </w:style>
  <w:style w:type="character" w:customStyle="1" w:styleId="36">
    <w:name w:val="页眉 Char"/>
    <w:link w:val="17"/>
    <w:qFormat/>
    <w:locked/>
    <w:uiPriority w:val="0"/>
    <w:rPr>
      <w:sz w:val="18"/>
    </w:rPr>
  </w:style>
  <w:style w:type="character" w:customStyle="1" w:styleId="37">
    <w:name w:val="普通(网站) Char"/>
    <w:link w:val="21"/>
    <w:qFormat/>
    <w:locked/>
    <w:uiPriority w:val="0"/>
    <w:rPr>
      <w:rFonts w:ascii="宋体" w:hAnsi="宋体" w:eastAsia="宋体"/>
      <w:sz w:val="24"/>
    </w:rPr>
  </w:style>
  <w:style w:type="character" w:customStyle="1" w:styleId="38">
    <w:name w:val="批注主题 Char"/>
    <w:link w:val="22"/>
    <w:semiHidden/>
    <w:qFormat/>
    <w:locked/>
    <w:uiPriority w:val="0"/>
    <w:rPr>
      <w:rFonts w:ascii="Times New Roman" w:hAnsi="Times New Roman" w:eastAsia="宋体"/>
      <w:b/>
      <w:kern w:val="2"/>
      <w:sz w:val="24"/>
    </w:rPr>
  </w:style>
  <w:style w:type="character" w:customStyle="1" w:styleId="39">
    <w:name w:val="页脚 字符"/>
    <w:basedOn w:val="27"/>
    <w:qFormat/>
    <w:uiPriority w:val="99"/>
  </w:style>
  <w:style w:type="character" w:customStyle="1" w:styleId="40">
    <w:name w:val="正文文本 字符1"/>
    <w:semiHidden/>
    <w:qFormat/>
    <w:uiPriority w:val="0"/>
    <w:rPr>
      <w:rFonts w:ascii="Times New Roman" w:hAnsi="Times New Roman" w:eastAsia="宋体"/>
      <w:sz w:val="24"/>
    </w:rPr>
  </w:style>
  <w:style w:type="character" w:customStyle="1" w:styleId="41">
    <w:name w:val="表格 Char"/>
    <w:link w:val="42"/>
    <w:qFormat/>
    <w:locked/>
    <w:uiPriority w:val="0"/>
    <w:rPr>
      <w:rFonts w:ascii="宋体"/>
      <w:sz w:val="21"/>
    </w:rPr>
  </w:style>
  <w:style w:type="paragraph" w:customStyle="1" w:styleId="42">
    <w:name w:val="表格"/>
    <w:basedOn w:val="1"/>
    <w:next w:val="1"/>
    <w:link w:val="41"/>
    <w:qFormat/>
    <w:uiPriority w:val="0"/>
    <w:pPr>
      <w:adjustRightInd w:val="0"/>
      <w:snapToGrid w:val="0"/>
      <w:spacing w:beforeLines="10" w:afterLines="10" w:line="259" w:lineRule="auto"/>
      <w:jc w:val="center"/>
    </w:pPr>
    <w:rPr>
      <w:rFonts w:ascii="宋体"/>
      <w:kern w:val="0"/>
      <w:szCs w:val="20"/>
    </w:rPr>
  </w:style>
  <w:style w:type="character" w:customStyle="1" w:styleId="43">
    <w:name w:val="日期 字符"/>
    <w:semiHidden/>
    <w:qFormat/>
    <w:uiPriority w:val="0"/>
    <w:rPr>
      <w:rFonts w:ascii="Times New Roman" w:hAnsi="Times New Roman" w:eastAsia="宋体"/>
      <w:sz w:val="24"/>
    </w:rPr>
  </w:style>
  <w:style w:type="character" w:customStyle="1" w:styleId="44">
    <w:name w:val="批注文字 字符1"/>
    <w:semiHidden/>
    <w:qFormat/>
    <w:uiPriority w:val="0"/>
    <w:rPr>
      <w:rFonts w:ascii="Times New Roman" w:hAnsi="Times New Roman" w:eastAsia="宋体"/>
      <w:sz w:val="24"/>
    </w:rPr>
  </w:style>
  <w:style w:type="paragraph" w:customStyle="1" w:styleId="4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7">
    <w:name w:val="小标题啊啊啊"/>
    <w:basedOn w:val="1"/>
    <w:link w:val="61"/>
    <w:qFormat/>
    <w:uiPriority w:val="0"/>
    <w:pPr>
      <w:adjustRightInd w:val="0"/>
      <w:snapToGrid w:val="0"/>
      <w:spacing w:line="520" w:lineRule="exact"/>
      <w:jc w:val="left"/>
    </w:pPr>
    <w:rPr>
      <w:rFonts w:ascii="Times New Roman" w:hAnsi="Times New Roman" w:eastAsia="宋体" w:cs="宋体"/>
      <w:b/>
      <w:sz w:val="24"/>
      <w:szCs w:val="21"/>
    </w:rPr>
  </w:style>
  <w:style w:type="paragraph" w:customStyle="1" w:styleId="48">
    <w:name w:val="正文呀呀呀呀"/>
    <w:basedOn w:val="1"/>
    <w:qFormat/>
    <w:uiPriority w:val="0"/>
    <w:pPr>
      <w:wordWrap w:val="0"/>
      <w:adjustRightInd w:val="0"/>
      <w:snapToGrid w:val="0"/>
      <w:spacing w:line="520" w:lineRule="exact"/>
      <w:ind w:firstLine="720" w:firstLineChars="200"/>
      <w:jc w:val="left"/>
    </w:pPr>
    <w:rPr>
      <w:rFonts w:ascii="Times New Roman" w:hAnsi="Times New Roman" w:eastAsia="宋体" w:cs="宋体"/>
      <w:sz w:val="24"/>
    </w:rPr>
  </w:style>
  <w:style w:type="paragraph" w:customStyle="1" w:styleId="49">
    <w:name w:val="表内文字噢噢噢"/>
    <w:basedOn w:val="1"/>
    <w:qFormat/>
    <w:uiPriority w:val="0"/>
    <w:pPr>
      <w:wordWrap w:val="0"/>
      <w:adjustRightInd w:val="0"/>
      <w:snapToGrid w:val="0"/>
      <w:jc w:val="center"/>
    </w:pPr>
    <w:rPr>
      <w:rFonts w:ascii="Times New Roman" w:hAnsi="Times New Roman" w:cs="宋体"/>
      <w:szCs w:val="21"/>
    </w:rPr>
  </w:style>
  <w:style w:type="paragraph" w:customStyle="1" w:styleId="50">
    <w:name w:val="表头略略略"/>
    <w:basedOn w:val="1"/>
    <w:qFormat/>
    <w:uiPriority w:val="0"/>
    <w:pPr>
      <w:adjustRightInd w:val="0"/>
      <w:snapToGrid w:val="0"/>
      <w:jc w:val="center"/>
    </w:pPr>
    <w:rPr>
      <w:rFonts w:ascii="Times New Roman" w:hAnsi="Times New Roman" w:cs="宋体"/>
      <w:b/>
      <w:szCs w:val="21"/>
    </w:rPr>
  </w:style>
  <w:style w:type="paragraph" w:customStyle="1" w:styleId="51">
    <w:name w:val="小标题呗"/>
    <w:basedOn w:val="1"/>
    <w:link w:val="63"/>
    <w:qFormat/>
    <w:uiPriority w:val="0"/>
    <w:pPr>
      <w:widowControl/>
      <w:wordWrap w:val="0"/>
      <w:snapToGrid w:val="0"/>
      <w:spacing w:line="520" w:lineRule="exact"/>
      <w:jc w:val="left"/>
    </w:pPr>
    <w:rPr>
      <w:rFonts w:hint="eastAsia" w:ascii="Times New Roman" w:hAnsi="Times New Roman" w:eastAsia="宋体"/>
      <w:b/>
      <w:kern w:val="0"/>
      <w:sz w:val="24"/>
      <w:szCs w:val="24"/>
    </w:rPr>
  </w:style>
  <w:style w:type="paragraph" w:customStyle="1" w:styleId="52">
    <w:name w:val="正文首行缩进 2 + Times New Roman"/>
    <w:basedOn w:val="1"/>
    <w:qFormat/>
    <w:uiPriority w:val="0"/>
    <w:pPr>
      <w:tabs>
        <w:tab w:val="left" w:pos="0"/>
        <w:tab w:val="left" w:pos="3150"/>
        <w:tab w:val="left" w:pos="6180"/>
      </w:tabs>
      <w:autoSpaceDE w:val="0"/>
      <w:autoSpaceDN w:val="0"/>
      <w:spacing w:line="324" w:lineRule="auto"/>
      <w:ind w:right="113" w:firstLine="420"/>
    </w:pPr>
    <w:rPr>
      <w:sz w:val="24"/>
    </w:rPr>
  </w:style>
  <w:style w:type="paragraph" w:customStyle="1" w:styleId="5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54">
    <w:name w:val="表头"/>
    <w:basedOn w:val="1"/>
    <w:qFormat/>
    <w:uiPriority w:val="0"/>
    <w:pPr>
      <w:widowControl/>
      <w:autoSpaceDE w:val="0"/>
      <w:autoSpaceDN w:val="0"/>
      <w:snapToGrid w:val="0"/>
      <w:spacing w:line="240" w:lineRule="auto"/>
      <w:ind w:firstLine="0" w:firstLineChars="0"/>
      <w:jc w:val="center"/>
    </w:pPr>
    <w:rPr>
      <w:rFonts w:hint="eastAsia" w:ascii="Times New Roman" w:hAnsi="Times New Roman" w:eastAsia="宋体"/>
      <w:b/>
      <w:kern w:val="0"/>
      <w:szCs w:val="21"/>
    </w:rPr>
  </w:style>
  <w:style w:type="paragraph" w:customStyle="1" w:styleId="55">
    <w:name w:val="正文啊啊"/>
    <w:basedOn w:val="1"/>
    <w:qFormat/>
    <w:uiPriority w:val="0"/>
    <w:pPr>
      <w:spacing w:line="520" w:lineRule="exact"/>
      <w:ind w:firstLine="720" w:firstLineChars="200"/>
    </w:pPr>
    <w:rPr>
      <w:rFonts w:ascii="Times New Roman" w:hAnsi="Times New Roman" w:eastAsia="宋体" w:cs="宋体"/>
      <w:sz w:val="24"/>
      <w:szCs w:val="24"/>
    </w:rPr>
  </w:style>
  <w:style w:type="paragraph" w:customStyle="1" w:styleId="56">
    <w:name w:val="表头啊啊啊啊啊"/>
    <w:basedOn w:val="1"/>
    <w:link w:val="66"/>
    <w:qFormat/>
    <w:uiPriority w:val="0"/>
    <w:pPr>
      <w:jc w:val="center"/>
    </w:pPr>
    <w:rPr>
      <w:rFonts w:ascii="Times New Roman" w:hAnsi="Times New Roman" w:eastAsia="宋体" w:cs="Times New Roman"/>
      <w:b/>
      <w:bCs/>
      <w:szCs w:val="21"/>
    </w:rPr>
  </w:style>
  <w:style w:type="character" w:customStyle="1" w:styleId="57">
    <w:name w:val="正文啊啊啊 Char"/>
    <w:link w:val="58"/>
    <w:qFormat/>
    <w:uiPriority w:val="0"/>
    <w:rPr>
      <w:rFonts w:hint="eastAsia" w:ascii="Times New Roman" w:hAnsi="Times New Roman" w:eastAsia="宋体" w:cs="宋体"/>
      <w:bCs/>
      <w:kern w:val="2"/>
      <w:sz w:val="24"/>
      <w:szCs w:val="24"/>
      <w:lang w:val="en-US" w:eastAsia="zh-CN" w:bidi="ar-SA"/>
    </w:rPr>
  </w:style>
  <w:style w:type="paragraph" w:customStyle="1" w:styleId="58">
    <w:name w:val="正文啊啊啊"/>
    <w:link w:val="57"/>
    <w:qFormat/>
    <w:uiPriority w:val="0"/>
    <w:pPr>
      <w:widowControl w:val="0"/>
      <w:wordWrap w:val="0"/>
      <w:adjustRightInd w:val="0"/>
      <w:snapToGrid w:val="0"/>
      <w:spacing w:line="520" w:lineRule="exact"/>
      <w:ind w:firstLine="720" w:firstLineChars="200"/>
      <w:jc w:val="left"/>
    </w:pPr>
    <w:rPr>
      <w:rFonts w:hint="eastAsia" w:ascii="Times New Roman" w:hAnsi="Times New Roman" w:eastAsia="宋体" w:cs="宋体"/>
      <w:bCs/>
      <w:kern w:val="2"/>
      <w:sz w:val="24"/>
      <w:szCs w:val="24"/>
      <w:lang w:val="en-US" w:eastAsia="zh-CN" w:bidi="ar-SA"/>
    </w:rPr>
  </w:style>
  <w:style w:type="paragraph" w:customStyle="1" w:styleId="59">
    <w:name w:val="表头啊啊啊啊"/>
    <w:qFormat/>
    <w:uiPriority w:val="0"/>
    <w:pPr>
      <w:widowControl w:val="0"/>
      <w:adjustRightInd w:val="0"/>
      <w:snapToGrid w:val="0"/>
      <w:spacing w:line="240" w:lineRule="auto"/>
      <w:jc w:val="center"/>
    </w:pPr>
    <w:rPr>
      <w:rFonts w:hint="eastAsia" w:ascii="Times New Roman" w:hAnsi="Times New Roman" w:eastAsiaTheme="minorEastAsia" w:cstheme="minorEastAsia"/>
      <w:b/>
      <w:bCs/>
      <w:color w:val="auto"/>
      <w:kern w:val="2"/>
      <w:sz w:val="21"/>
      <w:szCs w:val="21"/>
      <w:lang w:val="en-US" w:eastAsia="zh-CN" w:bidi="ar-SA"/>
    </w:rPr>
  </w:style>
  <w:style w:type="paragraph" w:customStyle="1" w:styleId="60">
    <w:name w:val="表内文字啊啊啊"/>
    <w:qFormat/>
    <w:uiPriority w:val="0"/>
    <w:pPr>
      <w:widowControl w:val="0"/>
      <w:adjustRightInd w:val="0"/>
      <w:snapToGrid w:val="0"/>
      <w:spacing w:line="240" w:lineRule="auto"/>
      <w:jc w:val="center"/>
    </w:pPr>
    <w:rPr>
      <w:rFonts w:hint="eastAsia" w:ascii="Times New Roman" w:hAnsi="Times New Roman" w:eastAsiaTheme="minorEastAsia" w:cstheme="minorEastAsia"/>
      <w:color w:val="auto"/>
      <w:kern w:val="2"/>
      <w:sz w:val="21"/>
      <w:szCs w:val="21"/>
      <w:lang w:val="en-US" w:eastAsia="zh-CN" w:bidi="ar-SA"/>
    </w:rPr>
  </w:style>
  <w:style w:type="character" w:customStyle="1" w:styleId="61">
    <w:name w:val="小标题啊啊啊 Char"/>
    <w:link w:val="47"/>
    <w:qFormat/>
    <w:uiPriority w:val="0"/>
    <w:rPr>
      <w:rFonts w:ascii="Times New Roman" w:hAnsi="Times New Roman" w:eastAsia="宋体" w:cs="宋体"/>
      <w:b/>
      <w:sz w:val="24"/>
      <w:szCs w:val="21"/>
    </w:rPr>
  </w:style>
  <w:style w:type="paragraph" w:customStyle="1" w:styleId="62">
    <w:name w:val="正文格式"/>
    <w:basedOn w:val="1"/>
    <w:qFormat/>
    <w:uiPriority w:val="0"/>
    <w:pPr>
      <w:wordWrap w:val="0"/>
      <w:spacing w:line="520" w:lineRule="exact"/>
      <w:ind w:firstLine="720" w:firstLineChars="200"/>
    </w:pPr>
    <w:rPr>
      <w:rFonts w:hint="eastAsia" w:ascii="Times New Roman" w:hAnsi="Times New Roman" w:eastAsia="宋体"/>
      <w:sz w:val="24"/>
    </w:rPr>
  </w:style>
  <w:style w:type="character" w:customStyle="1" w:styleId="63">
    <w:name w:val="小标题呗 Char"/>
    <w:link w:val="51"/>
    <w:qFormat/>
    <w:uiPriority w:val="0"/>
    <w:rPr>
      <w:rFonts w:hint="eastAsia" w:ascii="Times New Roman" w:hAnsi="Times New Roman" w:eastAsia="宋体"/>
      <w:b/>
      <w:kern w:val="0"/>
      <w:sz w:val="24"/>
      <w:szCs w:val="24"/>
    </w:rPr>
  </w:style>
  <w:style w:type="paragraph" w:customStyle="1" w:styleId="64">
    <w:name w:val="小标题啊啊"/>
    <w:basedOn w:val="1"/>
    <w:qFormat/>
    <w:uiPriority w:val="0"/>
    <w:pPr>
      <w:spacing w:line="520" w:lineRule="exact"/>
      <w:jc w:val="both"/>
    </w:pPr>
    <w:rPr>
      <w:rFonts w:ascii="Times New Roman" w:hAnsi="Times New Roman" w:eastAsia="宋体" w:cs="宋体"/>
      <w:b/>
      <w:sz w:val="24"/>
    </w:rPr>
  </w:style>
  <w:style w:type="paragraph" w:customStyle="1" w:styleId="65">
    <w:name w:val="表格里面啊啊啊啊"/>
    <w:basedOn w:val="1"/>
    <w:qFormat/>
    <w:uiPriority w:val="0"/>
    <w:pPr>
      <w:jc w:val="center"/>
    </w:pPr>
    <w:rPr>
      <w:rFonts w:ascii="Times New Roman" w:hAnsi="Times New Roman" w:eastAsia="宋体" w:cs="Times New Roman"/>
      <w:szCs w:val="21"/>
    </w:rPr>
  </w:style>
  <w:style w:type="character" w:customStyle="1" w:styleId="66">
    <w:name w:val="表头啊啊啊啊啊 Char"/>
    <w:link w:val="56"/>
    <w:qFormat/>
    <w:uiPriority w:val="0"/>
    <w:rPr>
      <w:rFonts w:ascii="Times New Roman" w:hAnsi="Times New Roman" w:eastAsia="宋体" w:cs="Times New Roman"/>
      <w:b/>
      <w:bCs/>
      <w:szCs w:val="21"/>
    </w:rPr>
  </w:style>
  <w:style w:type="paragraph" w:customStyle="1" w:styleId="67">
    <w:name w:val="表内居左"/>
    <w:qFormat/>
    <w:uiPriority w:val="0"/>
    <w:pPr>
      <w:adjustRightInd w:val="0"/>
      <w:snapToGrid w:val="0"/>
      <w:jc w:val="both"/>
    </w:pPr>
    <w:rPr>
      <w:rFonts w:hAnsi="Times New Roman" w:cs="Times New Roman" w:asciiTheme="minorEastAsia" w:eastAsiaTheme="minorEastAsia"/>
      <w:sz w:val="21"/>
      <w:lang w:val="en-US" w:eastAsia="zh-CN" w:bidi="ar-SA"/>
    </w:rPr>
  </w:style>
  <w:style w:type="paragraph" w:customStyle="1" w:styleId="68">
    <w:name w:val="Table Text"/>
    <w:basedOn w:val="1"/>
    <w:semiHidden/>
    <w:qFormat/>
    <w:uiPriority w:val="0"/>
    <w:rPr>
      <w:rFonts w:ascii="宋体" w:hAnsi="宋体" w:eastAsia="宋体" w:cs="宋体"/>
      <w:sz w:val="25"/>
      <w:szCs w:val="25"/>
      <w:lang w:val="en-US" w:eastAsia="en-US" w:bidi="ar-SA"/>
    </w:rPr>
  </w:style>
  <w:style w:type="paragraph" w:customStyle="1" w:styleId="69">
    <w:name w:val="样式 样式 york正文 + 首行缩进:  2 字符 + 首行缩进:  2 字符"/>
    <w:basedOn w:val="1"/>
    <w:qFormat/>
    <w:uiPriority w:val="0"/>
    <w:pPr>
      <w:tabs>
        <w:tab w:val="left" w:pos="1365"/>
      </w:tabs>
      <w:spacing w:line="520" w:lineRule="exact"/>
      <w:ind w:firstLine="472" w:firstLineChars="200"/>
    </w:pPr>
    <w:rPr>
      <w:snapToGrid w:val="0"/>
      <w:spacing w:val="-2"/>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yNzg1Mzk1MDI0IiwKCSJHcm91cElkIiA6ICIxMDQzNTE2OTM4IiwKCSJJbWFnZSIgOiAiaVZCT1J3MEtHZ29BQUFBTlNVaEVVZ0FBQkFVQUFBS2hDQVlBQUFBb3BCZTJBQUFBQVhOU1IwSUFyczRjNlFBQUlBQkpSRUZVZUp6czNYbVlIR1c1OS9IZlhkV3paSmtFUWtnaUJBZ1FURWpDVEZjTllFQVJVVUVGUVJHTnNpdUx5Z3ZLb3FBZUFSRlVsRVU4SUhKQVJBVU9SMEZjVUZGUkJJOExtK25xbVNRRGtZZ0J3cElFUXdoWkpqUGRkYjkvVEhkT1p6SXpXWmtPNmUvbnVyaTY2OW5xZm5xR1hGTjNQL1dV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UFMOS84QkVIaXQyNExkdjJRQUFBQUFTVVZPUks1Q1lJST0iLAoJIlRoZW1lIiA6ICIiLAoJIlR5cGUiIDogImZsb3ciLAoJIlVzZXJJZCIgOiAiOTc1MTc2MjY0IiwKCSJWZXJzaW9uIiA6ICI3NiIKfQo="/>
    </extobj>
    <extobj name="ECB019B1-382A-4266-B25C-5B523AA43C14-2">
      <extobjdata type="ECB019B1-382A-4266-B25C-5B523AA43C14" data="ewoJIkZpbGVJZCIgOiAiMzA5MzMzNjMwNDM0IiwKCSJHcm91cElkIiA6ICIxMDQzNTE2OTM4IiwKCSJJbWFnZSIgOiAiaVZCT1J3MEtHZ29BQUFBTlNVaEVVZ0FBQklNQUFBTVpDQVlBQUFDVFVmUmNBQUFBQVhOU1IwSUFyczRjNlFBQUlBQkpSRUZVZUp6czNYdDBsTlc5eHZGbnZ6UEpKSkJndUFvYUpBb1VpRWhtSnJWVmxGTXY1OVNxbEhybmFEV0tLQlpVdkMrMVNsRkJXclVVTDRDQ3JOaUNTa0VyS0Y0T1NyVXFLbFdabVFRTlVtbmtyaUtYQUFaeW1YbjMrY01rVFVnQ0FRSVRNdC9QV2l4bjl0N3Zmbjhiczd3ODdIZS9FZ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0FqODM5eENIK0FmRXRNT0F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61</Pages>
  <Words>36196</Words>
  <Characters>40726</Characters>
  <Lines>13</Lines>
  <Paragraphs>3</Paragraphs>
  <TotalTime>8</TotalTime>
  <ScaleCrop>false</ScaleCrop>
  <LinksUpToDate>false</LinksUpToDate>
  <CharactersWithSpaces>40963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2025-11-07T09:41:22Z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61D5A588B74D4068A919AB40F8D0DA58_13</vt:lpwstr>
  </property>
  <property fmtid="{D5CDD505-2E9C-101B-9397-08002B2CF9AE}" pid="4" name="KSOTemplateDocerSaveRecord">
    <vt:lpwstr>eyJoZGlkIjoiOTY0OWVhZTIxZTIyYmU4MjVlYjBlM2E1OTY2MjA2YWIiLCJ1c2VySWQiOiI5NzUxNzYyNjQifQ==</vt:lpwstr>
  </property>
</Properties>
</file>