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FE989A">
      <w:pPr>
        <w:pStyle w:val="17"/>
        <w:rPr>
          <w:rFonts w:ascii="Times New Roman"/>
          <w:sz w:val="20"/>
        </w:rPr>
      </w:pPr>
    </w:p>
    <w:p w14:paraId="65AFD41A">
      <w:pPr>
        <w:pStyle w:val="17"/>
        <w:rPr>
          <w:rFonts w:ascii="Times New Roman"/>
          <w:sz w:val="20"/>
        </w:rPr>
      </w:pPr>
    </w:p>
    <w:p w14:paraId="404DB1B9">
      <w:pPr>
        <w:pStyle w:val="17"/>
        <w:rPr>
          <w:rFonts w:ascii="Times New Roman"/>
          <w:sz w:val="20"/>
        </w:rPr>
      </w:pPr>
    </w:p>
    <w:p w14:paraId="2FF6353E">
      <w:pPr>
        <w:pStyle w:val="17"/>
        <w:rPr>
          <w:rFonts w:ascii="Times New Roman"/>
          <w:sz w:val="20"/>
        </w:rPr>
      </w:pPr>
    </w:p>
    <w:p w14:paraId="399AC278">
      <w:pPr>
        <w:pStyle w:val="17"/>
        <w:rPr>
          <w:rFonts w:ascii="Times New Roman"/>
          <w:sz w:val="20"/>
        </w:rPr>
      </w:pPr>
    </w:p>
    <w:p w14:paraId="05488FC9">
      <w:pPr>
        <w:pStyle w:val="17"/>
        <w:rPr>
          <w:rFonts w:ascii="Times New Roman"/>
          <w:sz w:val="20"/>
        </w:rPr>
      </w:pPr>
    </w:p>
    <w:p w14:paraId="0ECA0187">
      <w:pPr>
        <w:pStyle w:val="38"/>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outlineLvl w:val="0"/>
        <w:rPr>
          <w:rFonts w:hint="eastAsia" w:ascii="黑体" w:hAnsi="黑体" w:eastAsia="黑体" w:cs="黑体"/>
          <w:sz w:val="52"/>
          <w:szCs w:val="52"/>
        </w:rPr>
      </w:pPr>
      <w:r>
        <w:rPr>
          <w:rFonts w:hint="eastAsia" w:ascii="黑体" w:hAnsi="黑体" w:eastAsia="黑体" w:cs="黑体"/>
          <w:sz w:val="52"/>
          <w:szCs w:val="52"/>
        </w:rPr>
        <w:t>建设项目环境影响报告表</w:t>
      </w:r>
    </w:p>
    <w:p w14:paraId="5C07F655">
      <w:pPr>
        <w:keepNext w:val="0"/>
        <w:keepLines w:val="0"/>
        <w:pageBreakBefore w:val="0"/>
        <w:widowControl w:val="0"/>
        <w:kinsoku/>
        <w:wordWrap/>
        <w:overflowPunct/>
        <w:topLinePunct w:val="0"/>
        <w:autoSpaceDE w:val="0"/>
        <w:autoSpaceDN w:val="0"/>
        <w:bidi w:val="0"/>
        <w:adjustRightInd/>
        <w:snapToGrid/>
        <w:spacing w:before="115"/>
        <w:ind w:left="2496" w:right="2514" w:firstLine="0" w:firstLineChars="0"/>
        <w:jc w:val="center"/>
        <w:textAlignment w:val="auto"/>
        <w:outlineLvl w:val="0"/>
        <w:rPr>
          <w:rFonts w:hint="eastAsia" w:ascii="黑体" w:hAnsi="黑体" w:eastAsia="黑体" w:cs="黑体"/>
          <w:b w:val="0"/>
          <w:bCs w:val="0"/>
          <w:sz w:val="48"/>
        </w:rPr>
      </w:pPr>
      <w:r>
        <w:rPr>
          <w:rFonts w:hint="eastAsia" w:ascii="黑体" w:hAnsi="黑体" w:eastAsia="黑体" w:cs="黑体"/>
          <w:b w:val="0"/>
          <w:bCs w:val="0"/>
          <w:sz w:val="52"/>
          <w:szCs w:val="52"/>
        </w:rPr>
        <w:t>（</w:t>
      </w:r>
      <w:r>
        <w:rPr>
          <w:rFonts w:hint="eastAsia" w:ascii="黑体" w:hAnsi="黑体" w:eastAsia="黑体" w:cs="黑体"/>
          <w:b w:val="0"/>
          <w:bCs w:val="0"/>
          <w:sz w:val="52"/>
          <w:szCs w:val="52"/>
          <w:lang w:val="en-US" w:eastAsia="zh-CN"/>
        </w:rPr>
        <w:t>生态</w:t>
      </w:r>
      <w:r>
        <w:rPr>
          <w:rFonts w:hint="eastAsia" w:ascii="黑体" w:hAnsi="黑体" w:eastAsia="黑体" w:cs="黑体"/>
          <w:b w:val="0"/>
          <w:bCs w:val="0"/>
          <w:sz w:val="52"/>
          <w:szCs w:val="52"/>
        </w:rPr>
        <w:t>影响类）</w:t>
      </w:r>
    </w:p>
    <w:p w14:paraId="24B0F786">
      <w:pPr>
        <w:pStyle w:val="30"/>
        <w:rPr>
          <w:b w:val="0"/>
          <w:bCs w:val="0"/>
        </w:rPr>
      </w:pPr>
    </w:p>
    <w:p w14:paraId="42008A5A">
      <w:pPr>
        <w:pStyle w:val="17"/>
        <w:keepNext w:val="0"/>
        <w:keepLines w:val="0"/>
        <w:pageBreakBefore w:val="0"/>
        <w:widowControl w:val="0"/>
        <w:kinsoku/>
        <w:wordWrap/>
        <w:overflowPunct/>
        <w:topLinePunct w:val="0"/>
        <w:autoSpaceDE w:val="0"/>
        <w:autoSpaceDN w:val="0"/>
        <w:bidi w:val="0"/>
        <w:adjustRightInd/>
        <w:snapToGrid/>
        <w:spacing w:before="3"/>
        <w:textAlignment w:val="auto"/>
        <w:rPr>
          <w:rFonts w:ascii="微软雅黑"/>
          <w:b w:val="0"/>
          <w:bCs w:val="0"/>
          <w:sz w:val="57"/>
        </w:rPr>
      </w:pPr>
    </w:p>
    <w:p w14:paraId="14F2B315">
      <w:pPr>
        <w:rPr>
          <w:b w:val="0"/>
          <w:bCs w:val="0"/>
        </w:rPr>
      </w:pPr>
    </w:p>
    <w:p w14:paraId="095F588D">
      <w:pPr>
        <w:rPr>
          <w:b w:val="0"/>
          <w:bCs w:val="0"/>
        </w:rPr>
      </w:pPr>
    </w:p>
    <w:p w14:paraId="051E202A">
      <w:pPr>
        <w:keepNext w:val="0"/>
        <w:keepLines w:val="0"/>
        <w:pageBreakBefore w:val="0"/>
        <w:widowControl w:val="0"/>
        <w:kinsoku/>
        <w:wordWrap/>
        <w:overflowPunct/>
        <w:topLinePunct w:val="0"/>
        <w:autoSpaceDE w:val="0"/>
        <w:autoSpaceDN w:val="0"/>
        <w:bidi w:val="0"/>
        <w:adjustRightInd w:val="0"/>
        <w:snapToGrid w:val="0"/>
        <w:jc w:val="left"/>
        <w:textAlignment w:val="auto"/>
        <w:outlineLvl w:val="0"/>
        <w:rPr>
          <w:rFonts w:hint="default" w:ascii="Times New Roman" w:hAnsi="Times New Roman" w:cs="Times New Roman"/>
          <w:b w:val="0"/>
          <w:bCs w:val="0"/>
          <w:spacing w:val="-17"/>
          <w:sz w:val="32"/>
          <w:szCs w:val="32"/>
          <w:u w:val="single"/>
          <w:lang w:val="en-US"/>
        </w:rPr>
      </w:pPr>
      <w:r>
        <w:rPr>
          <w:rFonts w:hint="default" w:ascii="Times New Roman" w:hAnsi="Times New Roman" w:cs="Times New Roman"/>
          <w:b w:val="0"/>
          <w:bCs w:val="0"/>
          <w:sz w:val="32"/>
          <w:szCs w:val="32"/>
        </w:rPr>
        <w:t>项目名称：</w:t>
      </w:r>
      <w:r>
        <w:rPr>
          <w:rFonts w:hint="eastAsia" w:cs="Times New Roman"/>
          <w:b w:val="0"/>
          <w:bCs w:val="0"/>
          <w:sz w:val="32"/>
          <w:szCs w:val="32"/>
          <w:u w:val="single"/>
          <w:lang w:val="en-US" w:eastAsia="zh-CN"/>
        </w:rPr>
        <w:t xml:space="preserve">     </w:t>
      </w:r>
      <w:r>
        <w:rPr>
          <w:rFonts w:hint="eastAsia" w:cs="Times New Roman"/>
          <w:b w:val="0"/>
          <w:bCs w:val="0"/>
          <w:color w:val="auto"/>
          <w:spacing w:val="-17"/>
          <w:sz w:val="32"/>
          <w:szCs w:val="32"/>
          <w:u w:val="single"/>
          <w:lang w:val="en-US" w:eastAsia="zh-CN"/>
        </w:rPr>
        <w:t xml:space="preserve">巴州轮台县阳霞煤矿仓储转运设施项目      </w:t>
      </w:r>
    </w:p>
    <w:p w14:paraId="44F60E9A">
      <w:pPr>
        <w:ind w:firstLine="640" w:firstLineChars="200"/>
        <w:outlineLvl w:val="0"/>
        <w:rPr>
          <w:rFonts w:hint="default" w:ascii="Times New Roman" w:hAnsi="Times New Roman" w:cs="Times New Roman"/>
          <w:b w:val="0"/>
          <w:bCs w:val="0"/>
          <w:sz w:val="32"/>
          <w:szCs w:val="32"/>
          <w:u w:val="single"/>
          <w:lang w:val="en-US"/>
        </w:rPr>
      </w:pPr>
      <w:r>
        <w:rPr>
          <w:rFonts w:hint="default" w:ascii="Times New Roman" w:hAnsi="Times New Roman" w:cs="Times New Roman"/>
          <w:b w:val="0"/>
          <w:bCs w:val="0"/>
          <w:sz w:val="32"/>
          <w:szCs w:val="32"/>
        </w:rPr>
        <w:t>建设单位（盖章）</w:t>
      </w:r>
      <w:r>
        <w:rPr>
          <w:rFonts w:hint="default" w:ascii="Times New Roman" w:hAnsi="Times New Roman" w:cs="Times New Roman"/>
          <w:b w:val="0"/>
          <w:bCs w:val="0"/>
          <w:sz w:val="32"/>
          <w:szCs w:val="32"/>
          <w:lang w:eastAsia="zh-CN"/>
        </w:rPr>
        <w:t>：</w:t>
      </w:r>
      <w:r>
        <w:rPr>
          <w:rFonts w:hint="eastAsia" w:ascii="Times New Roman" w:hAnsi="Times New Roman" w:cs="Times New Roman"/>
          <w:b w:val="0"/>
          <w:bCs w:val="0"/>
          <w:sz w:val="32"/>
          <w:szCs w:val="32"/>
          <w:u w:val="single"/>
          <w:lang w:val="en-US" w:eastAsia="zh-CN"/>
        </w:rPr>
        <w:t xml:space="preserve">   </w:t>
      </w:r>
      <w:r>
        <w:rPr>
          <w:rFonts w:hint="eastAsia" w:cs="Times New Roman"/>
          <w:b w:val="0"/>
          <w:bCs w:val="0"/>
          <w:sz w:val="32"/>
          <w:szCs w:val="32"/>
          <w:u w:val="single"/>
          <w:lang w:val="en-US" w:eastAsia="zh-CN"/>
        </w:rPr>
        <w:t xml:space="preserve"> 轮台工业园区管理委员会</w:t>
      </w:r>
      <w:r>
        <w:rPr>
          <w:rFonts w:hint="eastAsia" w:ascii="Times New Roman" w:hAnsi="Times New Roman" w:cs="Times New Roman"/>
          <w:b w:val="0"/>
          <w:bCs w:val="0"/>
          <w:sz w:val="32"/>
          <w:szCs w:val="32"/>
          <w:u w:val="single"/>
          <w:lang w:val="en-US" w:eastAsia="zh-CN"/>
        </w:rPr>
        <w:t xml:space="preserve"> </w:t>
      </w:r>
      <w:r>
        <w:rPr>
          <w:rFonts w:hint="eastAsia" w:cs="Times New Roman"/>
          <w:b w:val="0"/>
          <w:bCs w:val="0"/>
          <w:sz w:val="32"/>
          <w:szCs w:val="32"/>
          <w:u w:val="single"/>
          <w:lang w:val="en-US" w:eastAsia="zh-CN"/>
        </w:rPr>
        <w:t xml:space="preserve">   </w:t>
      </w:r>
      <w:r>
        <w:rPr>
          <w:rFonts w:hint="eastAsia" w:ascii="Times New Roman" w:hAnsi="Times New Roman" w:cs="Times New Roman"/>
          <w:b w:val="0"/>
          <w:bCs w:val="0"/>
          <w:sz w:val="32"/>
          <w:szCs w:val="32"/>
          <w:u w:val="single"/>
          <w:lang w:val="en-US" w:eastAsia="zh-CN"/>
        </w:rPr>
        <w:t xml:space="preserve">  </w:t>
      </w:r>
    </w:p>
    <w:p w14:paraId="6C4D03C3">
      <w:pPr>
        <w:ind w:firstLine="640" w:firstLineChars="200"/>
        <w:outlineLvl w:val="0"/>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32"/>
          <w:szCs w:val="32"/>
        </w:rPr>
        <w:t>编制日期：</w:t>
      </w:r>
      <w:r>
        <w:rPr>
          <w:rFonts w:hint="eastAsia" w:ascii="Times New Roman" w:hAnsi="Times New Roman" w:cs="Times New Roman"/>
          <w:b w:val="0"/>
          <w:bCs w:val="0"/>
          <w:sz w:val="32"/>
          <w:szCs w:val="32"/>
          <w:u w:val="single"/>
          <w:lang w:val="en-US" w:eastAsia="zh-CN"/>
        </w:rPr>
        <w:t xml:space="preserve">               </w:t>
      </w:r>
      <w:r>
        <w:rPr>
          <w:rFonts w:hint="default" w:ascii="Times New Roman" w:hAnsi="Times New Roman" w:cs="Times New Roman"/>
          <w:b w:val="0"/>
          <w:bCs w:val="0"/>
          <w:sz w:val="32"/>
          <w:szCs w:val="32"/>
          <w:u w:val="single"/>
          <w:lang w:val="en-US" w:eastAsia="zh-CN"/>
        </w:rPr>
        <w:t>202</w:t>
      </w:r>
      <w:r>
        <w:rPr>
          <w:rFonts w:hint="eastAsia" w:cs="Times New Roman"/>
          <w:b w:val="0"/>
          <w:bCs w:val="0"/>
          <w:sz w:val="32"/>
          <w:szCs w:val="32"/>
          <w:u w:val="single"/>
          <w:lang w:val="en-US" w:eastAsia="zh-CN"/>
        </w:rPr>
        <w:t>5</w:t>
      </w:r>
      <w:r>
        <w:rPr>
          <w:rFonts w:hint="default" w:ascii="Times New Roman" w:hAnsi="Times New Roman" w:cs="Times New Roman"/>
          <w:b w:val="0"/>
          <w:bCs w:val="0"/>
          <w:sz w:val="32"/>
          <w:szCs w:val="32"/>
          <w:u w:val="single"/>
          <w:lang w:val="en-US" w:eastAsia="zh-CN"/>
        </w:rPr>
        <w:t>年</w:t>
      </w:r>
      <w:r>
        <w:rPr>
          <w:rFonts w:hint="eastAsia" w:cs="Times New Roman"/>
          <w:b w:val="0"/>
          <w:bCs w:val="0"/>
          <w:sz w:val="32"/>
          <w:szCs w:val="32"/>
          <w:u w:val="single"/>
          <w:lang w:val="en-US" w:eastAsia="zh-CN"/>
        </w:rPr>
        <w:t>11</w:t>
      </w:r>
      <w:r>
        <w:rPr>
          <w:rFonts w:hint="default" w:ascii="Times New Roman" w:hAnsi="Times New Roman" w:cs="Times New Roman"/>
          <w:b w:val="0"/>
          <w:bCs w:val="0"/>
          <w:sz w:val="32"/>
          <w:szCs w:val="32"/>
          <w:u w:val="single"/>
          <w:lang w:val="en-US" w:eastAsia="zh-CN"/>
        </w:rPr>
        <w:t>月</w:t>
      </w:r>
      <w:r>
        <w:rPr>
          <w:rFonts w:hint="eastAsia" w:ascii="Times New Roman" w:hAnsi="Times New Roman" w:cs="Times New Roman"/>
          <w:b w:val="0"/>
          <w:bCs w:val="0"/>
          <w:sz w:val="32"/>
          <w:szCs w:val="32"/>
          <w:u w:val="single"/>
          <w:lang w:val="en-US" w:eastAsia="zh-CN"/>
        </w:rPr>
        <w:t xml:space="preserve"> </w:t>
      </w:r>
      <w:r>
        <w:rPr>
          <w:rFonts w:hint="eastAsia" w:cs="Times New Roman"/>
          <w:b w:val="0"/>
          <w:bCs w:val="0"/>
          <w:sz w:val="32"/>
          <w:szCs w:val="32"/>
          <w:u w:val="single"/>
          <w:lang w:val="en-US" w:eastAsia="zh-CN"/>
        </w:rPr>
        <w:t xml:space="preserve"> </w:t>
      </w:r>
      <w:r>
        <w:rPr>
          <w:rFonts w:hint="eastAsia" w:ascii="Times New Roman" w:hAnsi="Times New Roman" w:cs="Times New Roman"/>
          <w:b w:val="0"/>
          <w:bCs w:val="0"/>
          <w:sz w:val="32"/>
          <w:szCs w:val="32"/>
          <w:u w:val="single"/>
          <w:lang w:val="en-US" w:eastAsia="zh-CN"/>
        </w:rPr>
        <w:t xml:space="preserve">     </w:t>
      </w:r>
      <w:r>
        <w:rPr>
          <w:rFonts w:hint="eastAsia" w:cs="Times New Roman"/>
          <w:b w:val="0"/>
          <w:bCs w:val="0"/>
          <w:sz w:val="32"/>
          <w:szCs w:val="32"/>
          <w:u w:val="single"/>
          <w:lang w:val="en-US" w:eastAsia="zh-CN"/>
        </w:rPr>
        <w:t xml:space="preserve"> </w:t>
      </w:r>
      <w:r>
        <w:rPr>
          <w:rFonts w:hint="eastAsia" w:ascii="Times New Roman" w:hAnsi="Times New Roman" w:cs="Times New Roman"/>
          <w:b w:val="0"/>
          <w:bCs w:val="0"/>
          <w:sz w:val="32"/>
          <w:szCs w:val="32"/>
          <w:u w:val="single"/>
          <w:lang w:val="en-US" w:eastAsia="zh-CN"/>
        </w:rPr>
        <w:t xml:space="preserve"> </w:t>
      </w:r>
      <w:r>
        <w:rPr>
          <w:rFonts w:hint="eastAsia" w:cs="Times New Roman"/>
          <w:b w:val="0"/>
          <w:bCs w:val="0"/>
          <w:sz w:val="32"/>
          <w:szCs w:val="32"/>
          <w:u w:val="single"/>
          <w:lang w:val="en-US" w:eastAsia="zh-CN"/>
        </w:rPr>
        <w:t xml:space="preserve"> </w:t>
      </w:r>
      <w:r>
        <w:rPr>
          <w:rFonts w:hint="eastAsia" w:ascii="Times New Roman" w:hAnsi="Times New Roman" w:cs="Times New Roman"/>
          <w:b w:val="0"/>
          <w:bCs w:val="0"/>
          <w:sz w:val="32"/>
          <w:szCs w:val="32"/>
          <w:u w:val="single"/>
          <w:lang w:val="en-US" w:eastAsia="zh-CN"/>
        </w:rPr>
        <w:t xml:space="preserve">    </w:t>
      </w:r>
    </w:p>
    <w:p w14:paraId="432837E3">
      <w:pPr>
        <w:tabs>
          <w:tab w:val="left" w:pos="7977"/>
        </w:tabs>
        <w:spacing w:before="0" w:line="268" w:lineRule="auto"/>
        <w:ind w:left="1230" w:right="1267" w:firstLine="0"/>
        <w:jc w:val="both"/>
        <w:rPr>
          <w:rFonts w:ascii="Times New Roman" w:eastAsia="Times New Roman"/>
          <w:sz w:val="36"/>
          <w:u w:val="single"/>
        </w:rPr>
      </w:pPr>
    </w:p>
    <w:p w14:paraId="4B394AD1">
      <w:pPr>
        <w:tabs>
          <w:tab w:val="left" w:pos="7977"/>
        </w:tabs>
        <w:spacing w:before="0" w:line="268" w:lineRule="auto"/>
        <w:ind w:left="1230" w:right="1267" w:firstLine="0"/>
        <w:jc w:val="both"/>
        <w:rPr>
          <w:rFonts w:ascii="Times New Roman" w:eastAsia="Times New Roman"/>
          <w:sz w:val="36"/>
          <w:u w:val="single"/>
        </w:rPr>
      </w:pPr>
    </w:p>
    <w:p w14:paraId="274E3332">
      <w:pPr>
        <w:tabs>
          <w:tab w:val="left" w:pos="7977"/>
        </w:tabs>
        <w:spacing w:before="0" w:line="268" w:lineRule="auto"/>
        <w:ind w:left="1230" w:right="1267" w:firstLine="0"/>
        <w:jc w:val="both"/>
        <w:rPr>
          <w:rFonts w:ascii="Times New Roman" w:eastAsia="Times New Roman"/>
          <w:sz w:val="36"/>
          <w:u w:val="single"/>
        </w:rPr>
      </w:pPr>
    </w:p>
    <w:p w14:paraId="659D78C6">
      <w:pPr>
        <w:tabs>
          <w:tab w:val="left" w:pos="7977"/>
        </w:tabs>
        <w:spacing w:before="0" w:line="268" w:lineRule="auto"/>
        <w:ind w:left="1230" w:right="1267" w:firstLine="0"/>
        <w:jc w:val="both"/>
        <w:rPr>
          <w:rFonts w:ascii="Times New Roman" w:eastAsia="Times New Roman"/>
          <w:sz w:val="36"/>
          <w:u w:val="single"/>
        </w:rPr>
      </w:pPr>
    </w:p>
    <w:p w14:paraId="17645D90">
      <w:pPr>
        <w:tabs>
          <w:tab w:val="left" w:pos="7977"/>
        </w:tabs>
        <w:spacing w:before="0" w:line="268" w:lineRule="auto"/>
        <w:ind w:left="0" w:leftChars="0" w:right="1267" w:firstLine="0" w:firstLineChars="0"/>
        <w:jc w:val="both"/>
        <w:rPr>
          <w:rFonts w:ascii="Times New Roman" w:eastAsia="Times New Roman"/>
          <w:sz w:val="36"/>
          <w:u w:val="single"/>
        </w:rPr>
      </w:pPr>
    </w:p>
    <w:p w14:paraId="7C5A8810">
      <w:pPr>
        <w:tabs>
          <w:tab w:val="left" w:pos="7977"/>
        </w:tabs>
        <w:spacing w:before="0" w:line="268" w:lineRule="auto"/>
        <w:ind w:left="0" w:leftChars="0" w:right="1267" w:firstLine="0" w:firstLineChars="0"/>
        <w:jc w:val="both"/>
        <w:rPr>
          <w:rFonts w:ascii="Times New Roman" w:eastAsia="Times New Roman"/>
          <w:sz w:val="36"/>
          <w:u w:val="single"/>
        </w:rPr>
      </w:pPr>
    </w:p>
    <w:p w14:paraId="708FB7D8">
      <w:pPr>
        <w:tabs>
          <w:tab w:val="left" w:pos="7977"/>
        </w:tabs>
        <w:spacing w:before="0" w:line="268" w:lineRule="auto"/>
        <w:ind w:left="0" w:leftChars="0" w:right="1267" w:firstLine="0" w:firstLineChars="0"/>
        <w:jc w:val="both"/>
        <w:rPr>
          <w:rFonts w:ascii="Times New Roman" w:eastAsia="Times New Roman"/>
          <w:sz w:val="36"/>
          <w:u w:val="single"/>
        </w:rPr>
      </w:pPr>
    </w:p>
    <w:p w14:paraId="2E22A574">
      <w:pPr>
        <w:spacing w:before="183"/>
        <w:ind w:right="654"/>
        <w:jc w:val="center"/>
        <w:outlineLvl w:val="0"/>
        <w:rPr>
          <w:rFonts w:hint="eastAsia" w:ascii="宋体" w:hAnsi="宋体" w:eastAsia="宋体" w:cs="宋体"/>
          <w:b w:val="0"/>
          <w:bCs w:val="0"/>
          <w:sz w:val="36"/>
          <w:u w:val="single"/>
        </w:rPr>
        <w:sectPr>
          <w:headerReference r:id="rId5" w:type="default"/>
          <w:footerReference r:id="rId6" w:type="default"/>
          <w:footerReference r:id="rId7" w:type="even"/>
          <w:pgSz w:w="11910" w:h="16840"/>
          <w:pgMar w:top="1701" w:right="1531" w:bottom="1701" w:left="1531" w:header="720" w:footer="1043" w:gutter="0"/>
          <w:pgBorders>
            <w:top w:val="none" w:sz="0" w:space="0"/>
            <w:left w:val="none" w:sz="0" w:space="0"/>
            <w:bottom w:val="none" w:sz="0" w:space="0"/>
            <w:right w:val="none" w:sz="0" w:space="0"/>
          </w:pgBorders>
          <w:pgNumType w:start="3"/>
          <w:cols w:equalWidth="0" w:num="1">
            <w:col w:w="9250"/>
          </w:cols>
        </w:sectPr>
      </w:pPr>
      <w:r>
        <w:rPr>
          <w:rFonts w:hint="eastAsia" w:ascii="宋体" w:hAnsi="宋体" w:eastAsia="宋体" w:cs="宋体"/>
          <w:b w:val="0"/>
          <w:bCs w:val="0"/>
          <w:sz w:val="36"/>
        </w:rPr>
        <w:t>中华人民共和国生态环境部</w:t>
      </w:r>
    </w:p>
    <w:p w14:paraId="03DDFFAB">
      <w:pPr>
        <w:jc w:val="center"/>
        <w:outlineLvl w:val="0"/>
        <w:rPr>
          <w:b/>
          <w:bCs/>
          <w:sz w:val="30"/>
          <w:szCs w:val="30"/>
        </w:rPr>
        <w:sectPr>
          <w:headerReference r:id="rId8" w:type="default"/>
          <w:footerReference r:id="rId9" w:type="default"/>
          <w:footerReference r:id="rId10" w:type="even"/>
          <w:pgSz w:w="11910" w:h="16850"/>
          <w:pgMar w:top="1701" w:right="1531" w:bottom="1701" w:left="1531" w:header="0" w:footer="817" w:gutter="0"/>
          <w:pgBorders>
            <w:top w:val="none" w:sz="0" w:space="0"/>
            <w:left w:val="none" w:sz="0" w:space="0"/>
            <w:bottom w:val="none" w:sz="0" w:space="0"/>
            <w:right w:val="none" w:sz="0" w:space="0"/>
          </w:pgBorders>
          <w:pgNumType w:fmt="decimal"/>
          <w:cols w:equalWidth="0" w:num="1">
            <w:col w:w="9250"/>
          </w:cols>
        </w:sectPr>
      </w:pPr>
    </w:p>
    <w:tbl>
      <w:tblPr>
        <w:tblStyle w:val="42"/>
        <w:tblpPr w:leftFromText="180" w:rightFromText="180" w:vertAnchor="text" w:horzAnchor="page" w:tblpXSpec="center" w:tblpY="266"/>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4648"/>
      </w:tblGrid>
      <w:tr w14:paraId="2BC6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noWrap w:val="0"/>
            <w:vAlign w:val="top"/>
          </w:tcPr>
          <w:p w14:paraId="587AA5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891155" cy="2168525"/>
                  <wp:effectExtent l="0" t="0" r="4445" b="3175"/>
                  <wp:docPr id="15" name="图片 15" descr="e163031d06c289ce3926eef08e7b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63031d06c289ce3926eef08e7b5053"/>
                          <pic:cNvPicPr>
                            <a:picLocks noChangeAspect="1"/>
                          </pic:cNvPicPr>
                        </pic:nvPicPr>
                        <pic:blipFill>
                          <a:blip r:embed="rId15"/>
                          <a:stretch>
                            <a:fillRect/>
                          </a:stretch>
                        </pic:blipFill>
                        <pic:spPr>
                          <a:xfrm>
                            <a:off x="0" y="0"/>
                            <a:ext cx="2891155" cy="2168525"/>
                          </a:xfrm>
                          <a:prstGeom prst="rect">
                            <a:avLst/>
                          </a:prstGeom>
                        </pic:spPr>
                      </pic:pic>
                    </a:graphicData>
                  </a:graphic>
                </wp:inline>
              </w:drawing>
            </w:r>
          </w:p>
        </w:tc>
        <w:tc>
          <w:tcPr>
            <w:tcW w:w="4449" w:type="dxa"/>
            <w:noWrap w:val="0"/>
            <w:vAlign w:val="top"/>
          </w:tcPr>
          <w:p w14:paraId="1BF57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797810" cy="2098675"/>
                  <wp:effectExtent l="0" t="0" r="2540" b="15875"/>
                  <wp:docPr id="16" name="图片 16" descr="567e634ff1690231ab158c4ea65b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67e634ff1690231ab158c4ea65b9963"/>
                          <pic:cNvPicPr>
                            <a:picLocks noChangeAspect="1"/>
                          </pic:cNvPicPr>
                        </pic:nvPicPr>
                        <pic:blipFill>
                          <a:blip r:embed="rId16"/>
                          <a:stretch>
                            <a:fillRect/>
                          </a:stretch>
                        </pic:blipFill>
                        <pic:spPr>
                          <a:xfrm>
                            <a:off x="0" y="0"/>
                            <a:ext cx="2797810" cy="2098675"/>
                          </a:xfrm>
                          <a:prstGeom prst="rect">
                            <a:avLst/>
                          </a:prstGeom>
                        </pic:spPr>
                      </pic:pic>
                    </a:graphicData>
                  </a:graphic>
                </wp:inline>
              </w:drawing>
            </w:r>
          </w:p>
        </w:tc>
      </w:tr>
      <w:tr w14:paraId="68A6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noWrap w:val="0"/>
            <w:vAlign w:val="top"/>
          </w:tcPr>
          <w:p w14:paraId="033A77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煤矿至煤炭仓储加工基地选址现状</w:t>
            </w:r>
          </w:p>
        </w:tc>
        <w:tc>
          <w:tcPr>
            <w:tcW w:w="4449" w:type="dxa"/>
            <w:noWrap w:val="0"/>
            <w:vAlign w:val="top"/>
          </w:tcPr>
          <w:p w14:paraId="63A23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煤炭仓储加工基地至发运站选址现状</w:t>
            </w:r>
          </w:p>
        </w:tc>
      </w:tr>
      <w:tr w14:paraId="0D39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noWrap w:val="0"/>
            <w:vAlign w:val="top"/>
          </w:tcPr>
          <w:p w14:paraId="1FCFF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default" w:eastAsia="宋体"/>
                <w:color w:val="auto"/>
                <w:sz w:val="24"/>
                <w:highlight w:val="none"/>
                <w:lang w:val="en-US" w:eastAsia="zh-CN"/>
              </w:rPr>
              <w:drawing>
                <wp:inline distT="0" distB="0" distL="114300" distR="114300">
                  <wp:extent cx="2891155" cy="2168525"/>
                  <wp:effectExtent l="0" t="0" r="4445" b="3175"/>
                  <wp:docPr id="18" name="图片 18" descr="bde66b6ebdc6ab21c875716a3a015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de66b6ebdc6ab21c875716a3a01566e"/>
                          <pic:cNvPicPr>
                            <a:picLocks noChangeAspect="1"/>
                          </pic:cNvPicPr>
                        </pic:nvPicPr>
                        <pic:blipFill>
                          <a:blip r:embed="rId17"/>
                          <a:stretch>
                            <a:fillRect/>
                          </a:stretch>
                        </pic:blipFill>
                        <pic:spPr>
                          <a:xfrm>
                            <a:off x="0" y="0"/>
                            <a:ext cx="2891155" cy="2168525"/>
                          </a:xfrm>
                          <a:prstGeom prst="rect">
                            <a:avLst/>
                          </a:prstGeom>
                        </pic:spPr>
                      </pic:pic>
                    </a:graphicData>
                  </a:graphic>
                </wp:inline>
              </w:drawing>
            </w:r>
          </w:p>
        </w:tc>
        <w:tc>
          <w:tcPr>
            <w:tcW w:w="4449" w:type="dxa"/>
            <w:noWrap w:val="0"/>
            <w:vAlign w:val="top"/>
          </w:tcPr>
          <w:p w14:paraId="77F622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811145" cy="2107565"/>
                  <wp:effectExtent l="0" t="0" r="8255" b="6985"/>
                  <wp:docPr id="19" name="图片 19" descr="dd631e7320e103845519a88001f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631e7320e103845519a88001f65211"/>
                          <pic:cNvPicPr>
                            <a:picLocks noChangeAspect="1"/>
                          </pic:cNvPicPr>
                        </pic:nvPicPr>
                        <pic:blipFill>
                          <a:blip r:embed="rId18"/>
                          <a:stretch>
                            <a:fillRect/>
                          </a:stretch>
                        </pic:blipFill>
                        <pic:spPr>
                          <a:xfrm>
                            <a:off x="0" y="0"/>
                            <a:ext cx="2811145" cy="2107565"/>
                          </a:xfrm>
                          <a:prstGeom prst="rect">
                            <a:avLst/>
                          </a:prstGeom>
                        </pic:spPr>
                      </pic:pic>
                    </a:graphicData>
                  </a:graphic>
                </wp:inline>
              </w:drawing>
            </w:r>
          </w:p>
        </w:tc>
      </w:tr>
      <w:tr w14:paraId="5A41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noWrap w:val="0"/>
            <w:vAlign w:val="top"/>
          </w:tcPr>
          <w:p w14:paraId="7C2E5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输煤廊道伴行公路现状</w:t>
            </w:r>
          </w:p>
        </w:tc>
        <w:tc>
          <w:tcPr>
            <w:tcW w:w="4449" w:type="dxa"/>
            <w:noWrap w:val="0"/>
            <w:vAlign w:val="top"/>
          </w:tcPr>
          <w:p w14:paraId="561B0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煤炭仓储加工基地建设现状</w:t>
            </w:r>
          </w:p>
        </w:tc>
      </w:tr>
      <w:tr w14:paraId="69CE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4611" w:type="dxa"/>
            <w:noWrap w:val="0"/>
            <w:vAlign w:val="top"/>
          </w:tcPr>
          <w:p w14:paraId="36B9C6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913380" cy="2185035"/>
                  <wp:effectExtent l="0" t="0" r="1270" b="5715"/>
                  <wp:docPr id="21" name="图片 21" descr="f914a80f53fad39d19053fd5fd0f8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914a80f53fad39d19053fd5fd0f86f5"/>
                          <pic:cNvPicPr>
                            <a:picLocks noChangeAspect="1"/>
                          </pic:cNvPicPr>
                        </pic:nvPicPr>
                        <pic:blipFill>
                          <a:blip r:embed="rId19"/>
                          <a:stretch>
                            <a:fillRect/>
                          </a:stretch>
                        </pic:blipFill>
                        <pic:spPr>
                          <a:xfrm>
                            <a:off x="0" y="0"/>
                            <a:ext cx="2913380" cy="2185035"/>
                          </a:xfrm>
                          <a:prstGeom prst="rect">
                            <a:avLst/>
                          </a:prstGeom>
                        </pic:spPr>
                      </pic:pic>
                    </a:graphicData>
                  </a:graphic>
                </wp:inline>
              </w:drawing>
            </w:r>
          </w:p>
        </w:tc>
        <w:tc>
          <w:tcPr>
            <w:tcW w:w="4449" w:type="dxa"/>
            <w:noWrap w:val="0"/>
            <w:vAlign w:val="top"/>
          </w:tcPr>
          <w:p w14:paraId="14FD73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797810" cy="2171700"/>
                  <wp:effectExtent l="0" t="0" r="2540" b="0"/>
                  <wp:docPr id="22" name="图片 22" descr="IMG_20250819_184409_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819_184409_246"/>
                          <pic:cNvPicPr>
                            <a:picLocks noChangeAspect="1"/>
                          </pic:cNvPicPr>
                        </pic:nvPicPr>
                        <pic:blipFill>
                          <a:blip r:embed="rId20"/>
                          <a:stretch>
                            <a:fillRect/>
                          </a:stretch>
                        </pic:blipFill>
                        <pic:spPr>
                          <a:xfrm>
                            <a:off x="0" y="0"/>
                            <a:ext cx="2797810" cy="2171700"/>
                          </a:xfrm>
                          <a:prstGeom prst="rect">
                            <a:avLst/>
                          </a:prstGeom>
                        </pic:spPr>
                      </pic:pic>
                    </a:graphicData>
                  </a:graphic>
                </wp:inline>
              </w:drawing>
            </w:r>
          </w:p>
        </w:tc>
      </w:tr>
      <w:tr w14:paraId="4618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noWrap w:val="0"/>
            <w:vAlign w:val="top"/>
          </w:tcPr>
          <w:p w14:paraId="5A914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发运站选址现状（未建设）</w:t>
            </w:r>
          </w:p>
        </w:tc>
        <w:tc>
          <w:tcPr>
            <w:tcW w:w="4449" w:type="dxa"/>
            <w:noWrap w:val="0"/>
            <w:vAlign w:val="top"/>
          </w:tcPr>
          <w:p w14:paraId="7D37E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工作人员在现场</w:t>
            </w:r>
          </w:p>
        </w:tc>
      </w:tr>
    </w:tbl>
    <w:p w14:paraId="46AECEE3">
      <w:pPr>
        <w:ind w:left="0" w:leftChars="0" w:firstLine="0" w:firstLineChars="0"/>
        <w:jc w:val="both"/>
        <w:outlineLvl w:val="0"/>
        <w:rPr>
          <w:b/>
          <w:bCs/>
          <w:sz w:val="30"/>
          <w:szCs w:val="30"/>
        </w:rPr>
        <w:sectPr>
          <w:pgSz w:w="11910" w:h="16850"/>
          <w:pgMar w:top="1701" w:right="1531" w:bottom="1701" w:left="1531" w:header="0" w:footer="817" w:gutter="0"/>
          <w:pgBorders>
            <w:top w:val="none" w:sz="0" w:space="0"/>
            <w:left w:val="none" w:sz="0" w:space="0"/>
            <w:bottom w:val="none" w:sz="0" w:space="0"/>
            <w:right w:val="none" w:sz="0" w:space="0"/>
          </w:pgBorders>
          <w:pgNumType w:fmt="decimal"/>
          <w:cols w:equalWidth="0" w:num="1">
            <w:col w:w="9250"/>
          </w:cols>
        </w:sectPr>
      </w:pPr>
    </w:p>
    <w:p w14:paraId="747BA272">
      <w:pPr>
        <w:ind w:left="0" w:leftChars="0" w:firstLine="0" w:firstLineChars="0"/>
        <w:jc w:val="both"/>
        <w:outlineLvl w:val="0"/>
        <w:rPr>
          <w:b/>
          <w:bCs/>
          <w:sz w:val="30"/>
          <w:szCs w:val="30"/>
        </w:rPr>
        <w:sectPr>
          <w:pgSz w:w="11910" w:h="16850"/>
          <w:pgMar w:top="1701" w:right="1531" w:bottom="1701" w:left="1531" w:header="0" w:footer="817" w:gutter="0"/>
          <w:pgBorders>
            <w:top w:val="none" w:sz="0" w:space="0"/>
            <w:left w:val="none" w:sz="0" w:space="0"/>
            <w:bottom w:val="none" w:sz="0" w:space="0"/>
            <w:right w:val="none" w:sz="0" w:space="0"/>
          </w:pgBorders>
          <w:pgNumType w:fmt="decimal"/>
          <w:cols w:equalWidth="0" w:num="1">
            <w:col w:w="9250"/>
          </w:cols>
        </w:sectPr>
      </w:pPr>
    </w:p>
    <w:p w14:paraId="5B1C5C7F">
      <w:pPr>
        <w:spacing w:line="240" w:lineRule="auto"/>
        <w:jc w:val="center"/>
        <w:outlineLvl w:val="0"/>
        <w:rPr>
          <w:b/>
          <w:bCs/>
          <w:sz w:val="30"/>
          <w:szCs w:val="30"/>
        </w:rPr>
      </w:pPr>
      <w:r>
        <w:rPr>
          <w:b/>
          <w:bCs/>
          <w:sz w:val="30"/>
          <w:szCs w:val="30"/>
        </w:rPr>
        <w:t>一、建设项目基本情况</w:t>
      </w:r>
    </w:p>
    <w:tbl>
      <w:tblPr>
        <w:tblStyle w:val="42"/>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95"/>
        <w:gridCol w:w="2378"/>
        <w:gridCol w:w="1006"/>
        <w:gridCol w:w="774"/>
        <w:gridCol w:w="1416"/>
        <w:gridCol w:w="1609"/>
      </w:tblGrid>
      <w:tr w14:paraId="6F5D5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19414DE7">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lang w:val="en-US" w:eastAsia="zh-CN"/>
              </w:rPr>
            </w:pPr>
            <w:r>
              <w:rPr>
                <w:rFonts w:hint="default"/>
                <w:lang w:val="en-US" w:eastAsia="zh-CN"/>
              </w:rPr>
              <w:t>建设项目名称</w:t>
            </w:r>
          </w:p>
        </w:tc>
        <w:tc>
          <w:tcPr>
            <w:tcW w:w="3870" w:type="pct"/>
            <w:gridSpan w:val="5"/>
            <w:tcBorders>
              <w:tl2br w:val="nil"/>
              <w:tr2bl w:val="nil"/>
            </w:tcBorders>
            <w:vAlign w:val="center"/>
          </w:tcPr>
          <w:p w14:paraId="7CC573A9">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eastAsia"/>
                <w:lang w:val="en-US" w:eastAsia="zh-CN"/>
              </w:rPr>
            </w:pPr>
            <w:r>
              <w:rPr>
                <w:rFonts w:hint="eastAsia"/>
                <w:lang w:val="en-US" w:eastAsia="zh-CN"/>
              </w:rPr>
              <w:t>巴州轮台县阳霞煤矿仓储转运设施项目</w:t>
            </w:r>
          </w:p>
        </w:tc>
      </w:tr>
      <w:tr w14:paraId="15B1C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4F0A43E1">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项目代码</w:t>
            </w:r>
          </w:p>
        </w:tc>
        <w:tc>
          <w:tcPr>
            <w:tcW w:w="3870" w:type="pct"/>
            <w:gridSpan w:val="5"/>
            <w:tcBorders>
              <w:tl2br w:val="nil"/>
              <w:tr2bl w:val="nil"/>
            </w:tcBorders>
            <w:vAlign w:val="center"/>
          </w:tcPr>
          <w:p w14:paraId="672C8EF6">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eastAsia="宋体" w:cs="Times New Roman"/>
                <w:kern w:val="2"/>
                <w:szCs w:val="24"/>
                <w:lang w:val="en-US" w:eastAsia="zh-CN"/>
              </w:rPr>
            </w:pPr>
          </w:p>
        </w:tc>
      </w:tr>
      <w:tr w14:paraId="6AC81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6678E13A">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建设单位联系人</w:t>
            </w:r>
          </w:p>
        </w:tc>
        <w:tc>
          <w:tcPr>
            <w:tcW w:w="1823" w:type="pct"/>
            <w:gridSpan w:val="2"/>
            <w:tcBorders>
              <w:tl2br w:val="nil"/>
              <w:tr2bl w:val="nil"/>
            </w:tcBorders>
            <w:vAlign w:val="center"/>
          </w:tcPr>
          <w:p w14:paraId="7A6DFF1F">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eastAsia" w:ascii="Times New Roman" w:hAnsi="Times New Roman" w:eastAsia="宋体" w:cs="Times New Roman"/>
                <w:kern w:val="2"/>
                <w:szCs w:val="24"/>
                <w:lang w:val="en-US" w:eastAsia="zh-CN"/>
              </w:rPr>
            </w:pPr>
          </w:p>
        </w:tc>
        <w:tc>
          <w:tcPr>
            <w:tcW w:w="1180" w:type="pct"/>
            <w:gridSpan w:val="2"/>
            <w:tcBorders>
              <w:tl2br w:val="nil"/>
              <w:tr2bl w:val="nil"/>
            </w:tcBorders>
            <w:vAlign w:val="center"/>
          </w:tcPr>
          <w:p w14:paraId="6D73F94B">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p>
        </w:tc>
        <w:tc>
          <w:tcPr>
            <w:tcW w:w="866" w:type="pct"/>
            <w:tcBorders>
              <w:tl2br w:val="nil"/>
              <w:tr2bl w:val="nil"/>
            </w:tcBorders>
            <w:vAlign w:val="center"/>
          </w:tcPr>
          <w:p w14:paraId="6947E716">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eastAsia="宋体" w:cs="Times New Roman"/>
                <w:kern w:val="2"/>
                <w:szCs w:val="24"/>
                <w:lang w:val="en-US" w:eastAsia="zh-CN"/>
              </w:rPr>
            </w:pPr>
          </w:p>
        </w:tc>
      </w:tr>
      <w:tr w14:paraId="0AC36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5706F7BF">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建设地点</w:t>
            </w:r>
          </w:p>
        </w:tc>
        <w:tc>
          <w:tcPr>
            <w:tcW w:w="3870" w:type="pct"/>
            <w:gridSpan w:val="5"/>
            <w:tcBorders>
              <w:tl2br w:val="nil"/>
              <w:tr2bl w:val="nil"/>
            </w:tcBorders>
            <w:vAlign w:val="center"/>
          </w:tcPr>
          <w:p w14:paraId="4414B882">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eastAsia" w:ascii="Times New Roman" w:hAnsi="Times New Roman" w:eastAsia="宋体" w:cs="Times New Roman"/>
                <w:kern w:val="2"/>
                <w:szCs w:val="24"/>
                <w:lang w:val="en-US" w:eastAsia="zh-CN"/>
              </w:rPr>
            </w:pPr>
          </w:p>
        </w:tc>
      </w:tr>
      <w:tr w14:paraId="6052D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62045DE3">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地理坐标</w:t>
            </w:r>
          </w:p>
        </w:tc>
        <w:tc>
          <w:tcPr>
            <w:tcW w:w="3870" w:type="pct"/>
            <w:gridSpan w:val="5"/>
            <w:tcBorders>
              <w:tl2br w:val="nil"/>
              <w:tr2bl w:val="nil"/>
            </w:tcBorders>
            <w:vAlign w:val="center"/>
          </w:tcPr>
          <w:p w14:paraId="73B081AF">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480" w:firstLineChars="200"/>
              <w:jc w:val="both"/>
              <w:textAlignment w:val="auto"/>
              <w:rPr>
                <w:rFonts w:hint="eastAsia"/>
                <w:lang w:eastAsia="zh-CN"/>
              </w:rPr>
            </w:pPr>
          </w:p>
        </w:tc>
      </w:tr>
      <w:tr w14:paraId="40327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603CA159">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cs="Times New Roman"/>
                <w:kern w:val="2"/>
                <w:szCs w:val="24"/>
                <w:lang w:val="en-US" w:eastAsia="zh-CN"/>
              </w:rPr>
            </w:pPr>
            <w:r>
              <w:rPr>
                <w:rFonts w:hint="default" w:cs="Times New Roman"/>
                <w:kern w:val="2"/>
                <w:szCs w:val="24"/>
                <w:lang w:val="en-US" w:eastAsia="zh-CN"/>
              </w:rPr>
              <w:t>建设项目</w:t>
            </w:r>
          </w:p>
          <w:p w14:paraId="6D03354E">
            <w:pPr>
              <w:keepNext w:val="0"/>
              <w:keepLines w:val="0"/>
              <w:pageBreakBefore w:val="0"/>
              <w:widowControl w:val="0"/>
              <w:kinsoku/>
              <w:wordWrap/>
              <w:overflowPunct/>
              <w:topLinePunct/>
              <w:autoSpaceDE/>
              <w:autoSpaceDN/>
              <w:bidi w:val="0"/>
              <w:adjustRightInd w:val="0"/>
              <w:snapToGrid w:val="0"/>
              <w:spacing w:before="0" w:after="0" w:line="240" w:lineRule="auto"/>
              <w:ind w:left="0" w:leftChars="0" w:right="0" w:rightChars="0" w:firstLine="0" w:firstLineChars="0"/>
              <w:jc w:val="center"/>
              <w:textAlignment w:val="auto"/>
              <w:rPr>
                <w:rFonts w:hint="default" w:cs="Times New Roman"/>
                <w:kern w:val="2"/>
                <w:szCs w:val="24"/>
                <w:lang w:val="en-US" w:eastAsia="zh-CN"/>
              </w:rPr>
            </w:pPr>
            <w:r>
              <w:rPr>
                <w:rFonts w:hint="default" w:cs="Times New Roman"/>
                <w:kern w:val="2"/>
                <w:szCs w:val="24"/>
                <w:lang w:val="en-US" w:eastAsia="zh-CN"/>
              </w:rPr>
              <w:t>行业类别</w:t>
            </w:r>
          </w:p>
        </w:tc>
        <w:tc>
          <w:tcPr>
            <w:tcW w:w="1281" w:type="pct"/>
            <w:tcBorders>
              <w:tl2br w:val="nil"/>
              <w:tr2bl w:val="nil"/>
            </w:tcBorders>
            <w:vAlign w:val="center"/>
          </w:tcPr>
          <w:p w14:paraId="646EFD80">
            <w:pPr>
              <w:keepNext w:val="0"/>
              <w:keepLines w:val="0"/>
              <w:pageBreakBefore w:val="0"/>
              <w:widowControl w:val="0"/>
              <w:kinsoku/>
              <w:wordWrap/>
              <w:overflowPunct/>
              <w:topLinePunct/>
              <w:autoSpaceDE/>
              <w:autoSpaceDN/>
              <w:bidi w:val="0"/>
              <w:adjustRightInd w:val="0"/>
              <w:snapToGrid w:val="0"/>
              <w:spacing w:before="0" w:after="0" w:line="240" w:lineRule="auto"/>
              <w:ind w:left="0" w:leftChars="0" w:right="0" w:rightChars="0" w:firstLine="0" w:firstLineChars="0"/>
              <w:jc w:val="center"/>
              <w:textAlignment w:val="auto"/>
              <w:rPr>
                <w:rFonts w:hint="default" w:cs="Times New Roman"/>
                <w:kern w:val="2"/>
                <w:szCs w:val="24"/>
                <w:lang w:val="en-US" w:eastAsia="zh-CN"/>
              </w:rPr>
            </w:pPr>
            <w:r>
              <w:rPr>
                <w:rFonts w:hint="eastAsia" w:cs="Times New Roman"/>
                <w:kern w:val="2"/>
                <w:szCs w:val="24"/>
                <w:lang w:val="en-US" w:eastAsia="zh-CN"/>
              </w:rPr>
              <w:t>四、煤炭开采和洗选业-6烟煤和无烟煤开采；褐煤开采洗选；其他煤炭采选中煤炭洗选、配煤；煤炭储存、集运；风井场地、瓦斯抽放站；矿区修复治理工程（含煤矿火烧区治理工程）</w:t>
            </w:r>
          </w:p>
        </w:tc>
        <w:tc>
          <w:tcPr>
            <w:tcW w:w="959" w:type="pct"/>
            <w:gridSpan w:val="2"/>
            <w:tcBorders>
              <w:tl2br w:val="nil"/>
              <w:tr2bl w:val="nil"/>
            </w:tcBorders>
            <w:vAlign w:val="center"/>
          </w:tcPr>
          <w:p w14:paraId="38D4C287">
            <w:pPr>
              <w:keepNext w:val="0"/>
              <w:keepLines w:val="0"/>
              <w:pageBreakBefore w:val="0"/>
              <w:widowControl w:val="0"/>
              <w:kinsoku/>
              <w:wordWrap/>
              <w:overflowPunct/>
              <w:topLinePunct/>
              <w:autoSpaceDE/>
              <w:autoSpaceDN/>
              <w:bidi w:val="0"/>
              <w:adjustRightInd w:val="0"/>
              <w:snapToGrid w:val="0"/>
              <w:spacing w:before="0" w:after="0" w:line="240" w:lineRule="auto"/>
              <w:ind w:left="0" w:leftChars="0" w:right="0" w:rightChars="0" w:firstLine="0" w:firstLineChars="0"/>
              <w:jc w:val="center"/>
              <w:textAlignment w:val="auto"/>
              <w:rPr>
                <w:rFonts w:hint="default" w:cs="Times New Roman"/>
                <w:kern w:val="2"/>
                <w:szCs w:val="24"/>
                <w:lang w:val="en-US" w:eastAsia="zh-CN"/>
              </w:rPr>
            </w:pPr>
            <w:r>
              <w:rPr>
                <w:rFonts w:hint="default" w:ascii="Times New Roman" w:hAnsi="Times New Roman" w:cs="Times New Roman"/>
                <w:kern w:val="2"/>
                <w:szCs w:val="24"/>
              </w:rPr>
              <w:t>用地面积（</w:t>
            </w:r>
            <w:r>
              <w:rPr>
                <w:rFonts w:hint="eastAsia" w:ascii="Times New Roman" w:hAnsi="Times New Roman" w:cs="Times New Roman"/>
                <w:kern w:val="2"/>
                <w:szCs w:val="24"/>
                <w:lang w:eastAsia="zh-CN"/>
              </w:rPr>
              <w:t>m</w:t>
            </w:r>
            <w:r>
              <w:rPr>
                <w:rFonts w:hint="eastAsia" w:ascii="Times New Roman" w:hAnsi="Times New Roman" w:cs="Times New Roman"/>
                <w:kern w:val="2"/>
                <w:szCs w:val="24"/>
                <w:vertAlign w:val="superscript"/>
                <w:lang w:val="en-US" w:eastAsia="zh-CN"/>
              </w:rPr>
              <w:t>2</w:t>
            </w:r>
            <w:r>
              <w:rPr>
                <w:rFonts w:hint="default" w:ascii="Times New Roman" w:hAnsi="Times New Roman" w:cs="Times New Roman"/>
                <w:kern w:val="2"/>
                <w:szCs w:val="24"/>
              </w:rPr>
              <w:t>）</w:t>
            </w:r>
          </w:p>
        </w:tc>
        <w:tc>
          <w:tcPr>
            <w:tcW w:w="1629" w:type="pct"/>
            <w:gridSpan w:val="2"/>
            <w:tcBorders>
              <w:tl2br w:val="nil"/>
              <w:tr2bl w:val="nil"/>
            </w:tcBorders>
            <w:vAlign w:val="center"/>
          </w:tcPr>
          <w:p w14:paraId="1B19C7E0">
            <w:pPr>
              <w:keepNext w:val="0"/>
              <w:keepLines w:val="0"/>
              <w:pageBreakBefore w:val="0"/>
              <w:widowControl w:val="0"/>
              <w:kinsoku/>
              <w:wordWrap/>
              <w:overflowPunct/>
              <w:topLinePunct/>
              <w:autoSpaceDE/>
              <w:autoSpaceDN/>
              <w:bidi w:val="0"/>
              <w:adjustRightInd w:val="0"/>
              <w:snapToGrid w:val="0"/>
              <w:spacing w:before="0" w:after="0" w:line="240" w:lineRule="auto"/>
              <w:ind w:left="0" w:leftChars="0" w:right="0" w:rightChars="0" w:firstLine="0" w:firstLineChars="0"/>
              <w:jc w:val="center"/>
              <w:textAlignment w:val="auto"/>
              <w:rPr>
                <w:rFonts w:hint="default" w:cs="Times New Roman"/>
                <w:kern w:val="2"/>
                <w:szCs w:val="24"/>
                <w:lang w:val="en-US" w:eastAsia="zh-CN"/>
              </w:rPr>
            </w:pPr>
            <w:r>
              <w:rPr>
                <w:rFonts w:hint="eastAsia"/>
                <w:lang w:val="en-US" w:eastAsia="zh-CN"/>
              </w:rPr>
              <w:t>189270</w:t>
            </w:r>
          </w:p>
        </w:tc>
      </w:tr>
      <w:tr w14:paraId="4479AA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22A963BE">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建设性质</w:t>
            </w:r>
          </w:p>
        </w:tc>
        <w:tc>
          <w:tcPr>
            <w:tcW w:w="1281" w:type="pct"/>
            <w:tcBorders>
              <w:tl2br w:val="nil"/>
              <w:tr2bl w:val="nil"/>
            </w:tcBorders>
            <w:vAlign w:val="center"/>
          </w:tcPr>
          <w:p w14:paraId="499C4358">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eastAsia" w:ascii="Times New Roman" w:hAnsi="Times New Roman" w:cs="Times New Roman"/>
                <w:kern w:val="2"/>
                <w:szCs w:val="24"/>
                <w:lang w:eastAsia="zh-CN"/>
              </w:rPr>
              <w:sym w:font="Wingdings 2" w:char="0052"/>
            </w:r>
            <w:r>
              <w:rPr>
                <w:rFonts w:hint="default" w:ascii="Times New Roman" w:hAnsi="Times New Roman" w:cs="Times New Roman"/>
                <w:kern w:val="2"/>
                <w:szCs w:val="24"/>
              </w:rPr>
              <w:t>新建</w:t>
            </w:r>
          </w:p>
          <w:p w14:paraId="640AFCAA">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default" w:ascii="Times New Roman" w:hAnsi="Times New Roman" w:cs="Times New Roman"/>
                <w:kern w:val="2"/>
                <w:szCs w:val="24"/>
              </w:rPr>
              <w:sym w:font="Wingdings 2" w:char="00A3"/>
            </w:r>
            <w:r>
              <w:rPr>
                <w:rFonts w:hint="default" w:ascii="Times New Roman" w:hAnsi="Times New Roman" w:cs="Times New Roman"/>
                <w:kern w:val="2"/>
                <w:szCs w:val="24"/>
              </w:rPr>
              <w:t>改建</w:t>
            </w:r>
          </w:p>
          <w:p w14:paraId="330E5A6C">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default" w:ascii="Times New Roman" w:hAnsi="Times New Roman" w:cs="Times New Roman"/>
                <w:kern w:val="2"/>
                <w:szCs w:val="24"/>
              </w:rPr>
              <w:sym w:font="Wingdings 2" w:char="00A3"/>
            </w:r>
            <w:r>
              <w:rPr>
                <w:rFonts w:hint="default" w:ascii="Times New Roman" w:hAnsi="Times New Roman" w:cs="Times New Roman"/>
                <w:kern w:val="2"/>
                <w:szCs w:val="24"/>
              </w:rPr>
              <w:t>扩建</w:t>
            </w:r>
          </w:p>
          <w:p w14:paraId="4AC518B9">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default" w:ascii="Times New Roman" w:hAnsi="Times New Roman" w:cs="Times New Roman"/>
                <w:kern w:val="2"/>
                <w:szCs w:val="24"/>
              </w:rPr>
              <w:sym w:font="Wingdings 2" w:char="00A3"/>
            </w:r>
            <w:r>
              <w:rPr>
                <w:rFonts w:hint="default" w:ascii="Times New Roman" w:hAnsi="Times New Roman" w:cs="Times New Roman"/>
                <w:kern w:val="2"/>
                <w:szCs w:val="24"/>
              </w:rPr>
              <w:t>技术改造</w:t>
            </w:r>
          </w:p>
        </w:tc>
        <w:tc>
          <w:tcPr>
            <w:tcW w:w="959" w:type="pct"/>
            <w:gridSpan w:val="2"/>
            <w:tcBorders>
              <w:tl2br w:val="nil"/>
              <w:tr2bl w:val="nil"/>
            </w:tcBorders>
            <w:vAlign w:val="center"/>
          </w:tcPr>
          <w:p w14:paraId="22834489">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建设项目</w:t>
            </w:r>
          </w:p>
          <w:p w14:paraId="0F289D78">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申报情形</w:t>
            </w:r>
          </w:p>
        </w:tc>
        <w:tc>
          <w:tcPr>
            <w:tcW w:w="1629" w:type="pct"/>
            <w:gridSpan w:val="2"/>
            <w:tcBorders>
              <w:tl2br w:val="nil"/>
              <w:tr2bl w:val="nil"/>
            </w:tcBorders>
            <w:vAlign w:val="center"/>
          </w:tcPr>
          <w:p w14:paraId="0CBFC32B">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eastAsia" w:ascii="Times New Roman" w:hAnsi="Times New Roman" w:cs="Times New Roman"/>
                <w:kern w:val="2"/>
                <w:szCs w:val="24"/>
                <w:lang w:eastAsia="zh-CN"/>
              </w:rPr>
              <w:sym w:font="Wingdings 2" w:char="0052"/>
            </w:r>
            <w:r>
              <w:rPr>
                <w:rFonts w:hint="default" w:ascii="Times New Roman" w:hAnsi="Times New Roman" w:cs="Times New Roman"/>
                <w:kern w:val="2"/>
                <w:szCs w:val="24"/>
              </w:rPr>
              <w:t>首次申报项目</w:t>
            </w:r>
          </w:p>
          <w:p w14:paraId="293F3AD5">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default" w:ascii="Times New Roman" w:hAnsi="Times New Roman" w:cs="Times New Roman"/>
                <w:kern w:val="2"/>
                <w:szCs w:val="24"/>
              </w:rPr>
              <w:sym w:font="Wingdings 2" w:char="00A3"/>
            </w:r>
            <w:r>
              <w:rPr>
                <w:rFonts w:hint="default" w:ascii="Times New Roman" w:hAnsi="Times New Roman" w:cs="Times New Roman"/>
                <w:kern w:val="2"/>
                <w:szCs w:val="24"/>
              </w:rPr>
              <w:t>不予批准后再次申报项目</w:t>
            </w:r>
          </w:p>
          <w:p w14:paraId="79149F73">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default" w:ascii="Times New Roman" w:hAnsi="Times New Roman" w:cs="Times New Roman"/>
                <w:kern w:val="2"/>
                <w:szCs w:val="24"/>
              </w:rPr>
              <w:sym w:font="Wingdings 2" w:char="00A3"/>
            </w:r>
            <w:r>
              <w:rPr>
                <w:rFonts w:hint="default" w:ascii="Times New Roman" w:hAnsi="Times New Roman" w:cs="Times New Roman"/>
                <w:kern w:val="2"/>
                <w:szCs w:val="24"/>
              </w:rPr>
              <w:t>超五年重新审核项目</w:t>
            </w:r>
          </w:p>
          <w:p w14:paraId="5AE32726">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rPr>
            </w:pPr>
            <w:r>
              <w:rPr>
                <w:rFonts w:hint="default" w:ascii="Times New Roman" w:hAnsi="Times New Roman" w:cs="Times New Roman"/>
                <w:kern w:val="2"/>
                <w:szCs w:val="24"/>
              </w:rPr>
              <w:sym w:font="Wingdings 2" w:char="00A3"/>
            </w:r>
            <w:r>
              <w:rPr>
                <w:rFonts w:hint="default" w:ascii="Times New Roman" w:hAnsi="Times New Roman" w:cs="Times New Roman"/>
                <w:kern w:val="2"/>
                <w:szCs w:val="24"/>
              </w:rPr>
              <w:t>重大变动重新报批项目</w:t>
            </w:r>
          </w:p>
        </w:tc>
      </w:tr>
      <w:tr w14:paraId="07716D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31BD5722">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项目审批部门</w:t>
            </w:r>
          </w:p>
        </w:tc>
        <w:tc>
          <w:tcPr>
            <w:tcW w:w="1281" w:type="pct"/>
            <w:tcBorders>
              <w:tl2br w:val="nil"/>
              <w:tr2bl w:val="nil"/>
            </w:tcBorders>
            <w:vAlign w:val="center"/>
          </w:tcPr>
          <w:p w14:paraId="1B7BA50C">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eastAsia="宋体" w:cs="Times New Roman"/>
                <w:kern w:val="2"/>
                <w:szCs w:val="24"/>
                <w:lang w:val="en-US" w:eastAsia="zh-CN"/>
              </w:rPr>
            </w:pPr>
            <w:r>
              <w:rPr>
                <w:rFonts w:hint="eastAsia"/>
                <w:lang w:val="en-US" w:eastAsia="zh-CN"/>
              </w:rPr>
              <w:t>轮台县发展和改革委员会</w:t>
            </w:r>
          </w:p>
        </w:tc>
        <w:tc>
          <w:tcPr>
            <w:tcW w:w="959" w:type="pct"/>
            <w:gridSpan w:val="2"/>
            <w:tcBorders>
              <w:tl2br w:val="nil"/>
              <w:tr2bl w:val="nil"/>
            </w:tcBorders>
            <w:vAlign w:val="center"/>
          </w:tcPr>
          <w:p w14:paraId="7D3E6656">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项目审批文号</w:t>
            </w:r>
          </w:p>
        </w:tc>
        <w:tc>
          <w:tcPr>
            <w:tcW w:w="1629" w:type="pct"/>
            <w:gridSpan w:val="2"/>
            <w:tcBorders>
              <w:tl2br w:val="nil"/>
              <w:tr2bl w:val="nil"/>
            </w:tcBorders>
            <w:vAlign w:val="center"/>
          </w:tcPr>
          <w:p w14:paraId="7731AD1B">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lang w:val="en-US" w:eastAsia="zh-CN"/>
              </w:rPr>
            </w:pPr>
            <w:r>
              <w:rPr>
                <w:rFonts w:hint="eastAsia" w:cs="Times New Roman"/>
                <w:kern w:val="2"/>
                <w:szCs w:val="24"/>
                <w:lang w:val="en-US" w:eastAsia="zh-CN"/>
              </w:rPr>
              <w:t>轮发改项目〔2025〕60号</w:t>
            </w:r>
          </w:p>
        </w:tc>
      </w:tr>
      <w:tr w14:paraId="1810F5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48BBC500">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rPr>
            </w:pPr>
            <w:r>
              <w:rPr>
                <w:rFonts w:hint="default" w:ascii="Times New Roman" w:hAnsi="Times New Roman" w:cs="Times New Roman"/>
                <w:kern w:val="2"/>
                <w:szCs w:val="24"/>
                <w:highlight w:val="none"/>
              </w:rPr>
              <w:t>总投资（万元）</w:t>
            </w:r>
          </w:p>
        </w:tc>
        <w:tc>
          <w:tcPr>
            <w:tcW w:w="1281" w:type="pct"/>
            <w:tcBorders>
              <w:tl2br w:val="nil"/>
              <w:tr2bl w:val="nil"/>
            </w:tcBorders>
            <w:vAlign w:val="center"/>
          </w:tcPr>
          <w:p w14:paraId="7927953F">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eastAsia="宋体" w:cs="Times New Roman"/>
                <w:kern w:val="2"/>
                <w:szCs w:val="24"/>
                <w:highlight w:val="none"/>
                <w:lang w:val="en-US" w:eastAsia="zh-CN"/>
              </w:rPr>
            </w:pPr>
            <w:r>
              <w:rPr>
                <w:rFonts w:hint="default" w:ascii="Times New Roman" w:hAnsi="Times New Roman" w:eastAsia="宋体" w:cs="Times New Roman"/>
                <w:kern w:val="2"/>
                <w:szCs w:val="24"/>
                <w:highlight w:val="none"/>
                <w:lang w:val="en-US" w:eastAsia="zh-CN"/>
              </w:rPr>
              <w:t>603</w:t>
            </w:r>
            <w:r>
              <w:rPr>
                <w:rFonts w:hint="eastAsia" w:cs="Times New Roman"/>
                <w:kern w:val="2"/>
                <w:szCs w:val="24"/>
                <w:highlight w:val="none"/>
                <w:lang w:val="en-US" w:eastAsia="zh-CN"/>
              </w:rPr>
              <w:t>00</w:t>
            </w:r>
          </w:p>
        </w:tc>
        <w:tc>
          <w:tcPr>
            <w:tcW w:w="959" w:type="pct"/>
            <w:gridSpan w:val="2"/>
            <w:tcBorders>
              <w:tl2br w:val="nil"/>
              <w:tr2bl w:val="nil"/>
            </w:tcBorders>
            <w:vAlign w:val="center"/>
          </w:tcPr>
          <w:p w14:paraId="2DA3FF9B">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rPr>
            </w:pPr>
            <w:r>
              <w:rPr>
                <w:rFonts w:hint="default" w:ascii="Times New Roman" w:hAnsi="Times New Roman" w:cs="Times New Roman"/>
                <w:kern w:val="2"/>
                <w:szCs w:val="24"/>
                <w:highlight w:val="none"/>
              </w:rPr>
              <w:t>环保投资</w:t>
            </w:r>
          </w:p>
          <w:p w14:paraId="476B0DE3">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rPr>
            </w:pPr>
            <w:r>
              <w:rPr>
                <w:rFonts w:hint="default" w:ascii="Times New Roman" w:hAnsi="Times New Roman" w:cs="Times New Roman"/>
                <w:kern w:val="2"/>
                <w:szCs w:val="24"/>
                <w:highlight w:val="none"/>
              </w:rPr>
              <w:t>（万元）</w:t>
            </w:r>
          </w:p>
        </w:tc>
        <w:tc>
          <w:tcPr>
            <w:tcW w:w="1629" w:type="pct"/>
            <w:gridSpan w:val="2"/>
            <w:tcBorders>
              <w:tl2br w:val="nil"/>
              <w:tr2bl w:val="nil"/>
            </w:tcBorders>
            <w:vAlign w:val="center"/>
          </w:tcPr>
          <w:p w14:paraId="375B9010">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lang w:val="en-US" w:eastAsia="zh-CN"/>
              </w:rPr>
            </w:pPr>
            <w:r>
              <w:rPr>
                <w:rFonts w:hint="eastAsia" w:cs="Times New Roman"/>
                <w:kern w:val="2"/>
                <w:szCs w:val="24"/>
                <w:highlight w:val="none"/>
                <w:lang w:val="en-US" w:eastAsia="zh-CN"/>
              </w:rPr>
              <w:t>20946.6</w:t>
            </w:r>
          </w:p>
        </w:tc>
      </w:tr>
      <w:tr w14:paraId="638D3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4F96C0CD">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rPr>
            </w:pPr>
            <w:r>
              <w:rPr>
                <w:rFonts w:hint="default" w:ascii="Times New Roman" w:hAnsi="Times New Roman" w:cs="Times New Roman"/>
                <w:kern w:val="2"/>
                <w:szCs w:val="24"/>
                <w:highlight w:val="none"/>
              </w:rPr>
              <w:t>环保投资占比（%）</w:t>
            </w:r>
          </w:p>
        </w:tc>
        <w:tc>
          <w:tcPr>
            <w:tcW w:w="1281" w:type="pct"/>
            <w:tcBorders>
              <w:tl2br w:val="nil"/>
              <w:tr2bl w:val="nil"/>
            </w:tcBorders>
            <w:vAlign w:val="center"/>
          </w:tcPr>
          <w:p w14:paraId="687D61F8">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eastAsia="宋体" w:cs="Times New Roman"/>
                <w:kern w:val="2"/>
                <w:szCs w:val="24"/>
                <w:highlight w:val="none"/>
                <w:lang w:val="en-US" w:eastAsia="zh-CN"/>
              </w:rPr>
            </w:pPr>
            <w:r>
              <w:rPr>
                <w:rFonts w:hint="eastAsia" w:cs="Times New Roman"/>
                <w:kern w:val="2"/>
                <w:szCs w:val="24"/>
                <w:highlight w:val="none"/>
                <w:lang w:val="en-US" w:eastAsia="zh-CN"/>
              </w:rPr>
              <w:t>34.73</w:t>
            </w:r>
          </w:p>
        </w:tc>
        <w:tc>
          <w:tcPr>
            <w:tcW w:w="959" w:type="pct"/>
            <w:gridSpan w:val="2"/>
            <w:tcBorders>
              <w:tl2br w:val="nil"/>
              <w:tr2bl w:val="nil"/>
            </w:tcBorders>
            <w:vAlign w:val="center"/>
          </w:tcPr>
          <w:p w14:paraId="2713213E">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rPr>
            </w:pPr>
            <w:r>
              <w:rPr>
                <w:rFonts w:hint="default" w:ascii="Times New Roman" w:hAnsi="Times New Roman" w:cs="Times New Roman"/>
                <w:kern w:val="2"/>
                <w:szCs w:val="24"/>
                <w:highlight w:val="none"/>
              </w:rPr>
              <w:t>施工工期</w:t>
            </w:r>
          </w:p>
        </w:tc>
        <w:tc>
          <w:tcPr>
            <w:tcW w:w="1629" w:type="pct"/>
            <w:gridSpan w:val="2"/>
            <w:tcBorders>
              <w:tl2br w:val="nil"/>
              <w:tr2bl w:val="nil"/>
            </w:tcBorders>
            <w:vAlign w:val="center"/>
          </w:tcPr>
          <w:p w14:paraId="4198F897">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highlight w:val="none"/>
                <w:lang w:val="en-US" w:eastAsia="zh-CN"/>
              </w:rPr>
            </w:pPr>
            <w:r>
              <w:rPr>
                <w:rFonts w:hint="eastAsia" w:cs="Times New Roman"/>
                <w:kern w:val="2"/>
                <w:szCs w:val="24"/>
                <w:highlight w:val="none"/>
                <w:lang w:val="en-US" w:eastAsia="zh-CN"/>
              </w:rPr>
              <w:t>12个月</w:t>
            </w:r>
          </w:p>
        </w:tc>
      </w:tr>
      <w:tr w14:paraId="47F3D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6DF3B1FC">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是否开工建设</w:t>
            </w:r>
          </w:p>
        </w:tc>
        <w:tc>
          <w:tcPr>
            <w:tcW w:w="3870" w:type="pct"/>
            <w:gridSpan w:val="5"/>
            <w:tcBorders>
              <w:tl2br w:val="nil"/>
              <w:tr2bl w:val="nil"/>
            </w:tcBorders>
            <w:vAlign w:val="center"/>
          </w:tcPr>
          <w:p w14:paraId="16293CE7">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240" w:firstLineChars="100"/>
              <w:jc w:val="left"/>
              <w:textAlignment w:val="auto"/>
              <w:rPr>
                <w:rFonts w:hint="default" w:ascii="Times New Roman" w:hAnsi="Times New Roman" w:cs="Times New Roman"/>
                <w:kern w:val="2"/>
                <w:szCs w:val="24"/>
              </w:rPr>
            </w:pPr>
            <w:r>
              <w:rPr>
                <w:rFonts w:hint="eastAsia" w:ascii="Times New Roman" w:hAnsi="Times New Roman" w:cs="Times New Roman"/>
                <w:kern w:val="2"/>
                <w:szCs w:val="24"/>
                <w:lang w:eastAsia="zh-CN"/>
              </w:rPr>
              <w:sym w:font="Wingdings 2" w:char="0052"/>
            </w:r>
            <w:r>
              <w:rPr>
                <w:rFonts w:hint="default" w:ascii="Times New Roman" w:hAnsi="Times New Roman" w:cs="Times New Roman"/>
                <w:kern w:val="2"/>
                <w:szCs w:val="24"/>
              </w:rPr>
              <w:t>否</w:t>
            </w:r>
          </w:p>
          <w:p w14:paraId="55F3FC18">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left"/>
              <w:textAlignment w:val="auto"/>
              <w:rPr>
                <w:rFonts w:hint="default" w:ascii="Times New Roman" w:hAnsi="Times New Roman" w:cs="Times New Roman"/>
                <w:kern w:val="2"/>
                <w:szCs w:val="24"/>
                <w:lang w:val="en-US" w:eastAsia="zh-CN"/>
              </w:rPr>
            </w:pPr>
            <w:r>
              <w:rPr>
                <w:rFonts w:hint="eastAsia" w:ascii="Times New Roman" w:hAnsi="Times New Roman" w:cs="Times New Roman"/>
                <w:kern w:val="2"/>
                <w:szCs w:val="24"/>
                <w:lang w:val="en-US" w:eastAsia="zh-CN"/>
              </w:rPr>
              <w:t xml:space="preserve">  </w:t>
            </w:r>
            <w:r>
              <w:rPr>
                <w:rFonts w:hint="default" w:ascii="Times New Roman" w:hAnsi="Times New Roman" w:cs="Times New Roman"/>
                <w:kern w:val="2"/>
                <w:szCs w:val="24"/>
              </w:rPr>
              <w:sym w:font="Wingdings 2" w:char="00A3"/>
            </w:r>
            <w:r>
              <w:rPr>
                <w:rFonts w:hint="default" w:ascii="Times New Roman" w:hAnsi="Times New Roman" w:cs="Times New Roman"/>
                <w:color w:val="000000" w:themeColor="text1"/>
                <w:kern w:val="2"/>
                <w:szCs w:val="24"/>
                <w14:textFill>
                  <w14:solidFill>
                    <w14:schemeClr w14:val="tx1"/>
                  </w14:solidFill>
                </w14:textFill>
              </w:rPr>
              <w:t>是：</w:t>
            </w:r>
            <w:r>
              <w:rPr>
                <w:rFonts w:hint="eastAsia" w:cs="Times New Roman"/>
                <w:color w:val="000000" w:themeColor="text1"/>
                <w:kern w:val="2"/>
                <w:szCs w:val="24"/>
                <w:u w:val="single"/>
                <w:lang w:val="en-US" w:eastAsia="zh-CN"/>
                <w14:textFill>
                  <w14:solidFill>
                    <w14:schemeClr w14:val="tx1"/>
                  </w14:solidFill>
                </w14:textFill>
              </w:rPr>
              <w:t xml:space="preserve">            </w:t>
            </w:r>
          </w:p>
        </w:tc>
      </w:tr>
      <w:tr w14:paraId="0A32F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6063195A">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专项评价设置情况</w:t>
            </w:r>
          </w:p>
        </w:tc>
        <w:tc>
          <w:tcPr>
            <w:tcW w:w="3870" w:type="pct"/>
            <w:gridSpan w:val="5"/>
            <w:tcBorders>
              <w:tl2br w:val="nil"/>
              <w:tr2bl w:val="nil"/>
            </w:tcBorders>
            <w:vAlign w:val="center"/>
          </w:tcPr>
          <w:p w14:paraId="21C40DE6">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eastAsia" w:ascii="Times New Roman" w:hAnsi="Times New Roman" w:cs="Times New Roman"/>
                <w:kern w:val="2"/>
                <w:szCs w:val="24"/>
                <w:lang w:val="en-US" w:eastAsia="zh-CN"/>
              </w:rPr>
            </w:pPr>
            <w:r>
              <w:rPr>
                <w:rFonts w:hint="eastAsia" w:ascii="Times New Roman" w:hAnsi="Times New Roman" w:cs="Times New Roman"/>
                <w:kern w:val="2"/>
                <w:szCs w:val="24"/>
                <w:lang w:val="en-US" w:eastAsia="zh-CN"/>
              </w:rPr>
              <w:t>无</w:t>
            </w:r>
          </w:p>
        </w:tc>
      </w:tr>
      <w:tr w14:paraId="698695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73E52D54">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eastAsia="宋体" w:cs="Times New Roman"/>
                <w:kern w:val="2"/>
                <w:szCs w:val="24"/>
              </w:rPr>
            </w:pPr>
            <w:r>
              <w:rPr>
                <w:rFonts w:hint="default" w:ascii="Times New Roman" w:hAnsi="Times New Roman" w:eastAsia="宋体" w:cs="Times New Roman"/>
                <w:kern w:val="2"/>
                <w:szCs w:val="24"/>
              </w:rPr>
              <w:t>规划情况</w:t>
            </w:r>
          </w:p>
        </w:tc>
        <w:tc>
          <w:tcPr>
            <w:tcW w:w="3870" w:type="pct"/>
            <w:gridSpan w:val="5"/>
            <w:tcBorders>
              <w:tl2br w:val="nil"/>
              <w:tr2bl w:val="nil"/>
            </w:tcBorders>
            <w:vAlign w:val="center"/>
          </w:tcPr>
          <w:p w14:paraId="00DED1CB">
            <w:pPr>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lang w:val="en-US" w:eastAsia="zh-CN"/>
              </w:rPr>
              <w:t>1.规划名称：</w:t>
            </w:r>
            <w:r>
              <w:rPr>
                <w:rFonts w:hint="eastAsia"/>
              </w:rPr>
              <w:t>《轮台县国土空间总体规划（2021—2035年）》</w:t>
            </w:r>
          </w:p>
          <w:p w14:paraId="5B3404B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审批</w:t>
            </w:r>
            <w:r>
              <w:rPr>
                <w:rFonts w:hint="eastAsia" w:ascii="Times New Roman" w:hAnsi="Times New Roman" w:eastAsia="宋体" w:cs="Times New Roman"/>
                <w:lang w:val="en-US" w:eastAsia="zh-CN"/>
              </w:rPr>
              <w:t>机关：</w:t>
            </w:r>
            <w:r>
              <w:rPr>
                <w:rFonts w:hint="eastAsia" w:ascii="Times New Roman" w:hAnsi="Times New Roman" w:eastAsia="宋体" w:cs="Times New Roman"/>
              </w:rPr>
              <w:t>巴州人民政府</w:t>
            </w:r>
          </w:p>
          <w:p w14:paraId="6B0F7181">
            <w:pPr>
              <w:keepNext w:val="0"/>
              <w:keepLines w:val="0"/>
              <w:pageBreakBefore w:val="0"/>
              <w:widowControl w:val="0"/>
              <w:kinsoku/>
              <w:wordWrap/>
              <w:overflowPunct/>
              <w:topLinePunct w:val="0"/>
              <w:autoSpaceDE/>
              <w:autoSpaceDN/>
              <w:bidi w:val="0"/>
              <w:adjustRightInd w:val="0"/>
              <w:snapToGrid w:val="0"/>
              <w:textAlignment w:val="auto"/>
            </w:pPr>
            <w:r>
              <w:rPr>
                <w:rFonts w:hint="eastAsia"/>
                <w:lang w:val="en-US" w:eastAsia="zh-CN"/>
              </w:rPr>
              <w:t>审批文件：</w:t>
            </w:r>
            <w:r>
              <w:rPr>
                <w:rFonts w:hint="eastAsia"/>
              </w:rPr>
              <w:t>关于《轮台县国土空间总体规划（2021—2035年）》的批复</w:t>
            </w:r>
          </w:p>
          <w:p w14:paraId="22A0CE76">
            <w:pPr>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color w:val="000000" w:themeColor="text1"/>
                <w:lang w:val="en-US" w:eastAsia="zh-CN"/>
                <w14:textFill>
                  <w14:solidFill>
                    <w14:schemeClr w14:val="tx1"/>
                  </w14:solidFill>
                </w14:textFill>
              </w:rPr>
              <w:t>审批文号</w:t>
            </w:r>
            <w:r>
              <w:rPr>
                <w:rFonts w:hint="eastAsia"/>
              </w:rPr>
              <w:t>：巴政函〔2024〕114号</w:t>
            </w:r>
          </w:p>
          <w:p w14:paraId="0F62BB1E">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2.规划名称：《新疆轮台阳霞矿区总体规划》</w:t>
            </w:r>
          </w:p>
        </w:tc>
      </w:tr>
      <w:tr w14:paraId="0ABB80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68922A35">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规划环境影响评价情况</w:t>
            </w:r>
          </w:p>
        </w:tc>
        <w:tc>
          <w:tcPr>
            <w:tcW w:w="3870" w:type="pct"/>
            <w:gridSpan w:val="5"/>
            <w:tcBorders>
              <w:tl2br w:val="nil"/>
              <w:tr2bl w:val="nil"/>
            </w:tcBorders>
            <w:vAlign w:val="center"/>
          </w:tcPr>
          <w:p w14:paraId="2A2B6CDC">
            <w:pPr>
              <w:bidi w:val="0"/>
              <w:rPr>
                <w:rFonts w:hint="eastAsia"/>
              </w:rPr>
            </w:pPr>
            <w:r>
              <w:rPr>
                <w:rFonts w:hint="eastAsia"/>
                <w:lang w:val="en-US" w:eastAsia="zh-CN"/>
              </w:rPr>
              <w:t>规划名称：</w:t>
            </w:r>
            <w:r>
              <w:rPr>
                <w:rFonts w:hint="eastAsia"/>
              </w:rPr>
              <w:t>《新疆轮台县阳霞矿区总体规划环境影响报告书》</w:t>
            </w:r>
          </w:p>
          <w:p w14:paraId="55B9F157">
            <w:pPr>
              <w:bidi w:val="0"/>
              <w:rPr>
                <w:rFonts w:hint="eastAsia"/>
                <w:lang w:val="en-US" w:eastAsia="zh-CN"/>
              </w:rPr>
            </w:pPr>
            <w:r>
              <w:rPr>
                <w:rFonts w:hint="eastAsia"/>
                <w:lang w:val="en-US" w:eastAsia="zh-CN"/>
              </w:rPr>
              <w:t>审批</w:t>
            </w:r>
            <w:r>
              <w:rPr>
                <w:rFonts w:hint="eastAsia" w:ascii="Times New Roman" w:hAnsi="Times New Roman" w:eastAsia="宋体" w:cs="Times New Roman"/>
                <w:lang w:val="en-US" w:eastAsia="zh-CN"/>
              </w:rPr>
              <w:t>机关：</w:t>
            </w:r>
            <w:r>
              <w:rPr>
                <w:rFonts w:hint="eastAsia" w:ascii="Times New Roman" w:hAnsi="Times New Roman" w:eastAsia="宋体" w:cs="Times New Roman"/>
              </w:rPr>
              <w:t>新疆维吾尔自治区生态环境厅</w:t>
            </w:r>
          </w:p>
          <w:p w14:paraId="59732A69">
            <w:pPr>
              <w:bidi w:val="0"/>
              <w:rPr>
                <w:rFonts w:hint="default" w:eastAsia="宋体"/>
                <w:lang w:val="en-US" w:eastAsia="zh-CN"/>
              </w:rPr>
            </w:pPr>
            <w:r>
              <w:rPr>
                <w:rFonts w:hint="eastAsia"/>
                <w:lang w:val="en-US" w:eastAsia="zh-CN"/>
              </w:rPr>
              <w:t>审批文件：</w:t>
            </w:r>
            <w:r>
              <w:rPr>
                <w:rFonts w:hint="eastAsia"/>
              </w:rPr>
              <w:t>关于《新疆轮台县阳霞矿区总体规划环境影响报告书》的</w:t>
            </w:r>
            <w:r>
              <w:rPr>
                <w:rFonts w:hint="eastAsia"/>
                <w:lang w:val="en-US" w:eastAsia="zh-CN"/>
              </w:rPr>
              <w:t>审查意见</w:t>
            </w:r>
          </w:p>
          <w:p w14:paraId="3455DC58">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审批文号：新环审</w:t>
            </w:r>
            <w:r>
              <w:rPr>
                <w:rFonts w:hint="eastAsia"/>
              </w:rPr>
              <w:t>〔202</w:t>
            </w:r>
            <w:r>
              <w:rPr>
                <w:rFonts w:hint="eastAsia"/>
                <w:lang w:val="en-US" w:eastAsia="zh-CN"/>
              </w:rPr>
              <w:t>3</w:t>
            </w:r>
            <w:r>
              <w:rPr>
                <w:rFonts w:hint="eastAsia"/>
              </w:rPr>
              <w:t>〕</w:t>
            </w:r>
            <w:r>
              <w:rPr>
                <w:rFonts w:hint="eastAsia"/>
                <w:color w:val="000000" w:themeColor="text1"/>
                <w:lang w:val="en-US" w:eastAsia="zh-CN"/>
                <w14:textFill>
                  <w14:solidFill>
                    <w14:schemeClr w14:val="tx1"/>
                  </w14:solidFill>
                </w14:textFill>
              </w:rPr>
              <w:t>58号</w:t>
            </w:r>
          </w:p>
        </w:tc>
      </w:tr>
      <w:tr w14:paraId="297E1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0987C385">
            <w:pPr>
              <w:keepNext w:val="0"/>
              <w:keepLines w:val="0"/>
              <w:pageBreakBefore w:val="0"/>
              <w:widowControl w:val="0"/>
              <w:kinsoku/>
              <w:wordWrap/>
              <w:overflowPunct/>
              <w:topLinePunct/>
              <w:autoSpaceDE/>
              <w:autoSpaceDN/>
              <w:bidi w:val="0"/>
              <w:adjustRightInd w:val="0"/>
              <w:snapToGrid w:val="0"/>
              <w:spacing w:before="0" w:after="0" w:line="240" w:lineRule="auto"/>
              <w:ind w:left="0" w:right="0" w:firstLine="0" w:firstLineChars="0"/>
              <w:jc w:val="center"/>
              <w:textAlignment w:val="auto"/>
              <w:rPr>
                <w:rFonts w:hint="default" w:ascii="Times New Roman" w:hAnsi="Times New Roman" w:cs="Times New Roman"/>
                <w:kern w:val="2"/>
                <w:szCs w:val="24"/>
              </w:rPr>
            </w:pPr>
            <w:r>
              <w:rPr>
                <w:rFonts w:hint="default" w:ascii="Times New Roman" w:hAnsi="Times New Roman" w:cs="Times New Roman"/>
                <w:kern w:val="2"/>
                <w:szCs w:val="24"/>
              </w:rPr>
              <w:t>规划及规划环境影响评价符合性分析</w:t>
            </w:r>
          </w:p>
        </w:tc>
        <w:tc>
          <w:tcPr>
            <w:tcW w:w="3870" w:type="pct"/>
            <w:gridSpan w:val="5"/>
            <w:tcBorders>
              <w:tl2br w:val="nil"/>
              <w:tr2bl w:val="nil"/>
            </w:tcBorders>
            <w:vAlign w:val="center"/>
          </w:tcPr>
          <w:p w14:paraId="0D1783B5">
            <w:pPr>
              <w:pStyle w:val="3"/>
              <w:bidi w:val="0"/>
              <w:spacing w:line="360" w:lineRule="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1.与</w:t>
            </w:r>
            <w:r>
              <w:rPr>
                <w:rFonts w:hint="eastAsia"/>
              </w:rPr>
              <w:t>《轮台县国土空间总体规划（2021—2035年）》</w:t>
            </w:r>
            <w:r>
              <w:rPr>
                <w:rFonts w:hint="eastAsia"/>
                <w:lang w:val="en-US" w:eastAsia="zh-CN"/>
              </w:rPr>
              <w:t>的符合性说明</w:t>
            </w:r>
          </w:p>
          <w:p w14:paraId="48147D21">
            <w:pPr>
              <w:bidi w:val="0"/>
            </w:pPr>
            <w:r>
              <w:rPr>
                <w:rFonts w:hint="eastAsia"/>
              </w:rPr>
              <w:t>《轮台县国土空间总体规划（2021—2035年）》</w:t>
            </w:r>
            <w:r>
              <w:rPr>
                <w:rFonts w:hint="eastAsia"/>
                <w:lang w:val="en-US" w:eastAsia="zh-CN"/>
              </w:rPr>
              <w:t>对轮台县国土空间总体格局是“一屏两带三区、一心两轴多点”。其中在矿产资源开发与保护利用方面。重点依托轮台县富集的油气煤炭等矿产资源优势，积极跟进国家能源通道建设规划，着眼中巴经济走廊能源通道，打造南疆石油化工产业集聚核心区，加快资源综合利用、循环化改造，推动能源化工向精细化工和炼化纺一体化发展，重点发展石油化工、天然气精细化工、煤化工、石油装备制造和配套服务业，加快构建南疆能源精细化工产业基地，形成全州高质量发展的增长极，加强绿色矿场和绿色矿山的建设。</w:t>
            </w:r>
          </w:p>
          <w:p w14:paraId="1F8709AA">
            <w:pPr>
              <w:bidi w:val="0"/>
              <w:rPr>
                <w:rFonts w:hint="eastAsia"/>
                <w:lang w:val="en-US" w:eastAsia="zh-CN"/>
              </w:rPr>
            </w:pPr>
            <w:r>
              <w:rPr>
                <w:rFonts w:hint="eastAsia"/>
                <w:lang w:val="en-US" w:eastAsia="zh-CN"/>
              </w:rPr>
              <w:t>本项目为煤炭运输廊道建设项目，依托轮台县阳霞矿区煤炭资源优势，属于推动能源通道建设，因此，项目的开发建设符合轮台县规划推动自然资源保护利用的相关要求。</w:t>
            </w:r>
          </w:p>
          <w:p w14:paraId="75A622FB">
            <w:pPr>
              <w:pStyle w:val="3"/>
              <w:bidi w:val="0"/>
            </w:pPr>
            <w:r>
              <w:rPr>
                <w:rFonts w:hint="eastAsia"/>
                <w:lang w:val="en-US" w:eastAsia="zh-CN"/>
              </w:rPr>
              <w:t>2.</w:t>
            </w:r>
            <w:r>
              <w:rPr>
                <w:rFonts w:hint="eastAsia" w:ascii="宋体" w:hAnsi="宋体" w:eastAsia="宋体" w:cs="宋体"/>
                <w:color w:val="000000"/>
                <w:kern w:val="0"/>
                <w:sz w:val="24"/>
                <w:szCs w:val="24"/>
                <w:lang w:val="en-US" w:eastAsia="zh-CN" w:bidi="ar"/>
              </w:rPr>
              <w:t xml:space="preserve">与《新疆轮台县阳霞矿区总体规划》符合性分析 </w:t>
            </w:r>
          </w:p>
          <w:p w14:paraId="7D1F74AD">
            <w:pPr>
              <w:bidi w:val="0"/>
            </w:pPr>
            <w:r>
              <w:rPr>
                <w:rFonts w:hint="eastAsia"/>
                <w:lang w:val="en-US" w:eastAsia="zh-CN"/>
              </w:rPr>
              <w:t>《规划》中矿区运输规划提出：为解决阳霞矿区公路运输问题，阳霞矿区公路工程项目共建设一条主线和四条支线共</w:t>
            </w:r>
            <w:r>
              <w:rPr>
                <w:rFonts w:hint="default"/>
                <w:lang w:val="en-US" w:eastAsia="zh-CN"/>
              </w:rPr>
              <w:t>5</w:t>
            </w:r>
            <w:r>
              <w:rPr>
                <w:rFonts w:hint="eastAsia"/>
                <w:lang w:val="en-US" w:eastAsia="zh-CN"/>
              </w:rPr>
              <w:t>条公路。主线起于阳霞镇国道</w:t>
            </w:r>
            <w:r>
              <w:rPr>
                <w:rFonts w:hint="default"/>
                <w:lang w:val="en-US" w:eastAsia="zh-CN"/>
              </w:rPr>
              <w:t>G216</w:t>
            </w:r>
            <w:r>
              <w:rPr>
                <w:rFonts w:hint="eastAsia"/>
                <w:lang w:val="en-US" w:eastAsia="zh-CN"/>
              </w:rPr>
              <w:t>（</w:t>
            </w:r>
            <w:r>
              <w:rPr>
                <w:rFonts w:hint="default"/>
                <w:lang w:val="en-US" w:eastAsia="zh-CN"/>
              </w:rPr>
              <w:t>G314</w:t>
            </w:r>
            <w:r>
              <w:rPr>
                <w:rFonts w:hint="eastAsia"/>
                <w:lang w:val="en-US" w:eastAsia="zh-CN"/>
              </w:rPr>
              <w:t>）交叉（</w:t>
            </w:r>
            <w:r>
              <w:rPr>
                <w:rFonts w:hint="default"/>
                <w:lang w:val="en-US" w:eastAsia="zh-CN"/>
              </w:rPr>
              <w:t>G216</w:t>
            </w:r>
            <w:r>
              <w:rPr>
                <w:rFonts w:hint="eastAsia"/>
                <w:lang w:val="en-US" w:eastAsia="zh-CN"/>
              </w:rPr>
              <w:t>号</w:t>
            </w:r>
            <w:r>
              <w:rPr>
                <w:rFonts w:hint="default"/>
                <w:lang w:val="en-US" w:eastAsia="zh-CN"/>
              </w:rPr>
              <w:t>K1340+485</w:t>
            </w:r>
            <w:r>
              <w:rPr>
                <w:rFonts w:hint="eastAsia"/>
                <w:lang w:val="en-US" w:eastAsia="zh-CN"/>
              </w:rPr>
              <w:t>）处，利用阳霞互通连接线，在</w:t>
            </w:r>
            <w:r>
              <w:rPr>
                <w:rFonts w:hint="default"/>
                <w:lang w:val="en-US" w:eastAsia="zh-CN"/>
              </w:rPr>
              <w:t>K2+650</w:t>
            </w:r>
            <w:r>
              <w:rPr>
                <w:rFonts w:hint="eastAsia"/>
                <w:lang w:val="en-US" w:eastAsia="zh-CN"/>
              </w:rPr>
              <w:t>处利用既有通道下穿南疆铁路，至</w:t>
            </w:r>
            <w:r>
              <w:rPr>
                <w:rFonts w:hint="default"/>
                <w:lang w:val="en-US" w:eastAsia="zh-CN"/>
              </w:rPr>
              <w:t>K4+244</w:t>
            </w:r>
            <w:r>
              <w:rPr>
                <w:rFonts w:hint="eastAsia"/>
                <w:lang w:val="en-US" w:eastAsia="zh-CN"/>
              </w:rPr>
              <w:t>后偏离连接线，在</w:t>
            </w:r>
            <w:r>
              <w:rPr>
                <w:rFonts w:hint="default"/>
                <w:lang w:val="en-US" w:eastAsia="zh-CN"/>
              </w:rPr>
              <w:t>K5+100</w:t>
            </w:r>
            <w:r>
              <w:rPr>
                <w:rFonts w:hint="eastAsia"/>
                <w:lang w:val="en-US" w:eastAsia="zh-CN"/>
              </w:rPr>
              <w:t>处上跨</w:t>
            </w:r>
            <w:r>
              <w:rPr>
                <w:rFonts w:hint="default"/>
                <w:lang w:val="en-US" w:eastAsia="zh-CN"/>
              </w:rPr>
              <w:t>G3012</w:t>
            </w:r>
            <w:r>
              <w:rPr>
                <w:rFonts w:hint="eastAsia"/>
                <w:lang w:val="en-US" w:eastAsia="zh-CN"/>
              </w:rPr>
              <w:t>高速公路，再沿</w:t>
            </w:r>
            <w:r>
              <w:rPr>
                <w:rFonts w:hint="default"/>
                <w:lang w:val="en-US" w:eastAsia="zh-CN"/>
              </w:rPr>
              <w:t>G3012</w:t>
            </w:r>
            <w:r>
              <w:rPr>
                <w:rFonts w:hint="eastAsia"/>
                <w:lang w:val="en-US" w:eastAsia="zh-CN"/>
              </w:rPr>
              <w:t>高速北侧冲积扇向西布线，在轮台互通北侧与五一水库道路平交，主线终点接既有油田路，利用油田路与轮台西互通和</w:t>
            </w:r>
            <w:r>
              <w:rPr>
                <w:rFonts w:hint="default"/>
                <w:lang w:val="en-US" w:eastAsia="zh-CN"/>
              </w:rPr>
              <w:t>G314</w:t>
            </w:r>
            <w:r>
              <w:rPr>
                <w:rFonts w:hint="eastAsia"/>
                <w:lang w:val="en-US" w:eastAsia="zh-CN"/>
              </w:rPr>
              <w:t>连接，路线全长</w:t>
            </w:r>
            <w:r>
              <w:rPr>
                <w:rFonts w:hint="default"/>
                <w:lang w:val="en-US" w:eastAsia="zh-CN"/>
              </w:rPr>
              <w:t>61.173km</w:t>
            </w:r>
            <w:r>
              <w:rPr>
                <w:rFonts w:hint="eastAsia"/>
                <w:lang w:val="en-US" w:eastAsia="zh-CN"/>
              </w:rPr>
              <w:t>。</w:t>
            </w:r>
          </w:p>
          <w:p w14:paraId="598EC912">
            <w:pPr>
              <w:bidi w:val="0"/>
              <w:rPr>
                <w:rFonts w:hint="eastAsia"/>
                <w:lang w:val="en-US" w:eastAsia="zh-CN"/>
              </w:rPr>
            </w:pPr>
            <w:r>
              <w:rPr>
                <w:rFonts w:hint="eastAsia"/>
                <w:lang w:val="en-US" w:eastAsia="zh-CN"/>
              </w:rPr>
              <w:t>本项目为输煤廊道建设项目，从东辰煤矿连通至阳霞镇场外站，利用铁路专用线对外运输，是解决铁路运输“最后一公里”问题的重要设施，对于减少短驳、发挥综合交通效率、提升经济社会效益具有重要作用，符合规划要求。</w:t>
            </w:r>
          </w:p>
          <w:p w14:paraId="56973C33">
            <w:pPr>
              <w:pStyle w:val="3"/>
              <w:bidi w:val="0"/>
              <w:rPr>
                <w:rFonts w:hint="eastAsia"/>
                <w:lang w:val="en-US" w:eastAsia="zh-CN"/>
              </w:rPr>
            </w:pPr>
            <w:r>
              <w:rPr>
                <w:rFonts w:hint="eastAsia"/>
                <w:lang w:val="en-US" w:eastAsia="zh-CN"/>
              </w:rPr>
              <w:t>3.与</w:t>
            </w:r>
            <w:r>
              <w:rPr>
                <w:rFonts w:hint="eastAsia"/>
              </w:rPr>
              <w:t>《新疆轮台县阳霞矿区总体规划环境影响报告书》</w:t>
            </w:r>
            <w:r>
              <w:rPr>
                <w:rFonts w:hint="eastAsia"/>
                <w:lang w:val="en-US" w:eastAsia="zh-CN"/>
              </w:rPr>
              <w:t>及审查意见的符合性分析</w:t>
            </w:r>
          </w:p>
          <w:p w14:paraId="372DFE5D">
            <w:pPr>
              <w:bidi w:val="0"/>
              <w:rPr>
                <w:rFonts w:hint="eastAsia"/>
                <w:lang w:val="en-US" w:eastAsia="zh-CN"/>
              </w:rPr>
            </w:pPr>
            <w:r>
              <w:rPr>
                <w:rFonts w:hint="eastAsia"/>
                <w:lang w:val="en-US" w:eastAsia="zh-CN"/>
              </w:rPr>
              <w:t>外部交通条件：矿区以南约30km处有南疆铁路及314国道通过，区内有简易公路与314国道相通，外部交通条件便利。煤炭存于封闭的储存设施，运输有铁路专用线及铁路快速装车系统。</w:t>
            </w:r>
          </w:p>
          <w:p w14:paraId="5AC998FF">
            <w:pPr>
              <w:bidi w:val="0"/>
              <w:rPr>
                <w:rFonts w:hint="eastAsia"/>
                <w:lang w:val="en-US" w:eastAsia="zh-CN"/>
              </w:rPr>
            </w:pPr>
            <w:r>
              <w:rPr>
                <w:rFonts w:hint="eastAsia"/>
                <w:lang w:val="en-US" w:eastAsia="zh-CN"/>
              </w:rPr>
              <w:t>本项目为输煤廊道建设项目，从东辰煤矿连通至阳霞镇场外站，利用铁路专用线外运，是解决铁路运输“最后一公里”问题的重要设施，采用全封闭廊道输送原煤，廊道沿线定期检查，阳霞镇场外储煤点采用铁路快速装车系统，装车、外运等均在封闭设施内完成。符合</w:t>
            </w:r>
            <w:r>
              <w:rPr>
                <w:rFonts w:hint="eastAsia"/>
              </w:rPr>
              <w:t>《新疆轮台县阳霞矿区总体规划环境影响报告书》</w:t>
            </w:r>
            <w:r>
              <w:rPr>
                <w:rFonts w:hint="eastAsia"/>
                <w:lang w:val="en-US" w:eastAsia="zh-CN"/>
              </w:rPr>
              <w:t>的要求。</w:t>
            </w:r>
          </w:p>
          <w:p w14:paraId="41B5FACB">
            <w:pPr>
              <w:bidi w:val="0"/>
              <w:rPr>
                <w:rFonts w:hint="eastAsia"/>
                <w:lang w:val="en-US" w:eastAsia="zh-CN"/>
              </w:rPr>
            </w:pPr>
            <w:r>
              <w:rPr>
                <w:rFonts w:hint="eastAsia"/>
                <w:lang w:val="en-US" w:eastAsia="zh-CN"/>
              </w:rPr>
              <w:t>审查意见：加强矿区原煤、矸石储存污染防治，原煤、矸石储运和生产全部采取全封闭设计，合理利用处置矸石。</w:t>
            </w:r>
          </w:p>
          <w:p w14:paraId="2B1C3212">
            <w:pPr>
              <w:bidi w:val="0"/>
              <w:rPr>
                <w:rFonts w:hint="default"/>
                <w:lang w:val="en-US" w:eastAsia="zh-CN"/>
              </w:rPr>
            </w:pPr>
            <w:r>
              <w:rPr>
                <w:rFonts w:hint="eastAsia"/>
                <w:lang w:val="en-US" w:eastAsia="zh-CN"/>
              </w:rPr>
              <w:t>本项目输煤廊道全线封闭，输送至全封闭煤炭仓储中转区，采用铁路快速装车系统，做到生产运输全封闭。符合</w:t>
            </w:r>
            <w:r>
              <w:rPr>
                <w:rFonts w:hint="eastAsia"/>
              </w:rPr>
              <w:t>关于《新疆轮台县阳霞矿区总体规划环境影响报告书》的</w:t>
            </w:r>
            <w:r>
              <w:rPr>
                <w:rFonts w:hint="eastAsia"/>
                <w:lang w:val="en-US" w:eastAsia="zh-CN"/>
              </w:rPr>
              <w:t>审查意见的要求</w:t>
            </w:r>
          </w:p>
        </w:tc>
      </w:tr>
      <w:tr w14:paraId="6B52AE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29" w:type="pct"/>
            <w:tcBorders>
              <w:tl2br w:val="nil"/>
              <w:tr2bl w:val="nil"/>
            </w:tcBorders>
            <w:vAlign w:val="center"/>
          </w:tcPr>
          <w:p w14:paraId="26C17349">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其他符合性分析</w:t>
            </w:r>
          </w:p>
        </w:tc>
        <w:tc>
          <w:tcPr>
            <w:tcW w:w="3870" w:type="pct"/>
            <w:gridSpan w:val="5"/>
            <w:tcBorders>
              <w:tl2br w:val="nil"/>
              <w:tr2bl w:val="nil"/>
            </w:tcBorders>
            <w:vAlign w:val="center"/>
          </w:tcPr>
          <w:p w14:paraId="3D7D25DD">
            <w:pPr>
              <w:pStyle w:val="3"/>
              <w:bidi w:val="0"/>
              <w:rPr>
                <w:rFonts w:hint="default"/>
              </w:rPr>
            </w:pPr>
            <w:r>
              <w:rPr>
                <w:rFonts w:hint="eastAsia"/>
                <w:lang w:val="en-US" w:eastAsia="zh-CN"/>
              </w:rPr>
              <w:t>1.</w:t>
            </w:r>
            <w:r>
              <w:rPr>
                <w:rFonts w:hint="default"/>
              </w:rPr>
              <w:t>产业政策符合性</w:t>
            </w:r>
          </w:p>
          <w:p w14:paraId="1B8775B6">
            <w:pPr>
              <w:bidi w:val="0"/>
              <w:rPr>
                <w:rFonts w:hint="default"/>
                <w:lang w:eastAsia="zh-CN"/>
              </w:rPr>
            </w:pPr>
            <w:r>
              <w:rPr>
                <w:rFonts w:hint="default"/>
                <w:lang w:val="en-US" w:eastAsia="zh-CN"/>
              </w:rPr>
              <w:t>本项目属于</w:t>
            </w:r>
            <w:r>
              <w:rPr>
                <w:rFonts w:hint="eastAsia" w:cs="Times New Roman"/>
                <w:color w:val="000000" w:themeColor="text1"/>
                <w:sz w:val="24"/>
                <w:szCs w:val="24"/>
                <w:lang w:val="en-US" w:eastAsia="zh-CN"/>
                <w14:textFill>
                  <w14:solidFill>
                    <w14:schemeClr w14:val="tx1"/>
                  </w14:solidFill>
                </w14:textFill>
              </w:rPr>
              <w:t>B0610烟煤和无烟煤开采洗选</w:t>
            </w:r>
            <w:r>
              <w:rPr>
                <w:rFonts w:hint="eastAsia"/>
                <w:lang w:val="en-US" w:eastAsia="zh-CN"/>
              </w:rPr>
              <w:t>，</w:t>
            </w:r>
            <w:r>
              <w:rPr>
                <w:rFonts w:hint="default"/>
                <w:lang w:val="en-US" w:eastAsia="zh-CN"/>
              </w:rPr>
              <w:t>属于《产业结构调整指导目录（</w:t>
            </w:r>
            <w:r>
              <w:rPr>
                <w:rFonts w:hint="eastAsia"/>
                <w:lang w:val="en-US" w:eastAsia="zh-CN"/>
              </w:rPr>
              <w:t>2024</w:t>
            </w:r>
            <w:r>
              <w:rPr>
                <w:rFonts w:hint="default"/>
                <w:lang w:val="en-US" w:eastAsia="zh-CN"/>
              </w:rPr>
              <w:t>年</w:t>
            </w:r>
            <w:r>
              <w:rPr>
                <w:rFonts w:hint="eastAsia"/>
                <w:lang w:val="en-US" w:eastAsia="zh-CN"/>
              </w:rPr>
              <w:t>本</w:t>
            </w:r>
            <w:r>
              <w:rPr>
                <w:rFonts w:hint="default"/>
                <w:lang w:val="en-US" w:eastAsia="zh-CN"/>
              </w:rPr>
              <w:t>）》中</w:t>
            </w:r>
            <w:r>
              <w:rPr>
                <w:rFonts w:hint="eastAsia"/>
                <w:lang w:val="en-US" w:eastAsia="zh-CN"/>
              </w:rPr>
              <w:t>鼓励类项目“</w:t>
            </w:r>
            <w:r>
              <w:rPr>
                <w:lang w:val="en-US" w:eastAsia="zh-CN"/>
              </w:rPr>
              <w:t>三、煤炭</w:t>
            </w:r>
            <w:r>
              <w:rPr>
                <w:rFonts w:hint="default"/>
                <w:lang w:val="en-US" w:eastAsia="zh-CN"/>
              </w:rPr>
              <w:t>1</w:t>
            </w:r>
            <w:r>
              <w:rPr>
                <w:lang w:val="en-US" w:eastAsia="zh-CN"/>
              </w:rPr>
              <w:t>．煤炭跨区域运输通道和集疏运体系：管道输煤，大型煤炭</w:t>
            </w:r>
            <w:r>
              <w:rPr>
                <w:rFonts w:hint="default"/>
                <w:lang w:val="en-US" w:eastAsia="zh-CN"/>
              </w:rPr>
              <w:t>储运中心、煤炭交易市场建设，储煤设施建设和环保改造</w:t>
            </w:r>
            <w:r>
              <w:rPr>
                <w:rFonts w:hint="eastAsia"/>
                <w:lang w:val="en-US" w:eastAsia="zh-CN"/>
              </w:rPr>
              <w:t>”</w:t>
            </w:r>
            <w:r>
              <w:rPr>
                <w:rFonts w:hint="default"/>
                <w:lang w:eastAsia="zh-CN"/>
              </w:rPr>
              <w:t>。</w:t>
            </w:r>
          </w:p>
          <w:p w14:paraId="0C1C6BB7">
            <w:pPr>
              <w:pStyle w:val="3"/>
              <w:suppressLineNumbers w:val="0"/>
              <w:bidi w:val="0"/>
              <w:spacing w:before="0" w:beforeAutospacing="0" w:after="0" w:afterAutospacing="0"/>
              <w:ind w:left="0" w:right="0"/>
              <w:rPr>
                <w:rFonts w:hint="default" w:ascii="Times New Roman" w:hAnsi="Times New Roman" w:eastAsia="宋体" w:cs="Times New Roman"/>
                <w:b/>
                <w:bCs/>
                <w:color w:val="auto"/>
                <w:sz w:val="24"/>
                <w:szCs w:val="24"/>
                <w:highlight w:val="none"/>
                <w:lang w:val="en-US" w:eastAsia="zh-CN"/>
              </w:rPr>
            </w:pPr>
            <w:r>
              <w:rPr>
                <w:rFonts w:hint="eastAsia"/>
                <w:lang w:val="en-US" w:eastAsia="zh-CN"/>
              </w:rPr>
              <w:t>2.</w:t>
            </w:r>
            <w:r>
              <w:rPr>
                <w:rFonts w:hint="default" w:ascii="Times New Roman" w:hAnsi="Times New Roman" w:eastAsia="宋体" w:cs="Times New Roman"/>
                <w:b/>
                <w:bCs/>
                <w:color w:val="auto"/>
                <w:sz w:val="24"/>
                <w:szCs w:val="24"/>
                <w:highlight w:val="none"/>
                <w:lang w:val="en-US" w:eastAsia="zh-CN"/>
              </w:rPr>
              <w:t>生态环境分区管控符合性分析</w:t>
            </w:r>
          </w:p>
          <w:p w14:paraId="04F600F3">
            <w:pPr>
              <w:bidi w:val="0"/>
              <w:rPr>
                <w:rFonts w:hint="eastAsia"/>
                <w:lang w:val="en-US" w:eastAsia="zh-CN"/>
              </w:rPr>
            </w:pPr>
            <w:r>
              <w:rPr>
                <w:rFonts w:hint="eastAsia"/>
                <w:lang w:val="en-US" w:eastAsia="zh-CN"/>
              </w:rPr>
              <w:t>与《新疆维吾尔自治区生态环境分区管控动态更新成果》的符合性分析。</w:t>
            </w:r>
          </w:p>
          <w:p w14:paraId="70AF3C58">
            <w:pPr>
              <w:pStyle w:val="12"/>
              <w:bidi w:val="0"/>
              <w:ind w:left="0" w:leftChars="0" w:firstLine="0" w:firstLineChars="0"/>
              <w:jc w:val="center"/>
              <w:rPr>
                <w:rFonts w:hint="eastAsia"/>
                <w:lang w:val="en-US" w:eastAsia="zh-CN"/>
              </w:rPr>
            </w:pPr>
          </w:p>
          <w:p w14:paraId="4D5EF214">
            <w:pPr>
              <w:pStyle w:val="12"/>
              <w:bidi w:val="0"/>
              <w:ind w:left="0" w:leftChars="0" w:firstLine="0" w:firstLineChars="0"/>
              <w:jc w:val="center"/>
              <w:rPr>
                <w:rFonts w:hint="eastAsia"/>
                <w:lang w:val="en-US" w:eastAsia="zh-CN"/>
              </w:rPr>
            </w:pPr>
          </w:p>
          <w:p w14:paraId="1817DC4C">
            <w:pPr>
              <w:pStyle w:val="12"/>
              <w:bidi w:val="0"/>
              <w:ind w:left="0" w:leftChars="0" w:firstLine="0" w:firstLineChars="0"/>
              <w:jc w:val="center"/>
              <w:rPr>
                <w:rFonts w:hint="eastAsia"/>
                <w:lang w:val="en-US" w:eastAsia="zh-CN"/>
              </w:rPr>
            </w:pPr>
            <w:r>
              <w:rPr>
                <w:rFonts w:hint="eastAsia"/>
                <w:lang w:val="en-US" w:eastAsia="zh-CN"/>
              </w:rPr>
              <w:t>表1-1与新疆维吾尔自治区生态环境分区管控动态更新成果的符合性表</w:t>
            </w:r>
          </w:p>
          <w:tbl>
            <w:tblPr>
              <w:tblStyle w:val="91"/>
              <w:tblW w:w="4999"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300"/>
              <w:gridCol w:w="714"/>
              <w:gridCol w:w="3794"/>
              <w:gridCol w:w="2344"/>
            </w:tblGrid>
            <w:tr w14:paraId="00C7FC0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709" w:type="pct"/>
                  <w:gridSpan w:val="2"/>
                  <w:tcBorders>
                    <w:tl2br w:val="nil"/>
                    <w:tr2bl w:val="nil"/>
                  </w:tcBorders>
                  <w:shd w:val="clear" w:color="auto" w:fill="auto"/>
                  <w:noWrap w:val="0"/>
                  <w:vAlign w:val="center"/>
                </w:tcPr>
                <w:p w14:paraId="7E3FFEB4">
                  <w:pPr>
                    <w:pStyle w:val="17"/>
                    <w:bidi w:val="0"/>
                    <w:rPr>
                      <w:rFonts w:hint="default"/>
                      <w:b/>
                      <w:bCs/>
                      <w:color w:val="000000"/>
                      <w:lang w:val="en-US" w:eastAsia="zh-CN"/>
                    </w:rPr>
                  </w:pPr>
                  <w:r>
                    <w:rPr>
                      <w:rFonts w:hint="default"/>
                      <w:b/>
                      <w:bCs/>
                      <w:color w:val="000000"/>
                      <w:lang w:val="en-US" w:eastAsia="zh-CN"/>
                    </w:rPr>
                    <w:t>管控维度</w:t>
                  </w:r>
                </w:p>
              </w:tc>
              <w:tc>
                <w:tcPr>
                  <w:tcW w:w="2651" w:type="pct"/>
                  <w:tcBorders>
                    <w:tl2br w:val="nil"/>
                    <w:tr2bl w:val="nil"/>
                  </w:tcBorders>
                  <w:shd w:val="clear" w:color="auto" w:fill="auto"/>
                  <w:noWrap w:val="0"/>
                  <w:vAlign w:val="center"/>
                </w:tcPr>
                <w:p w14:paraId="13FA4B95">
                  <w:pPr>
                    <w:pStyle w:val="17"/>
                    <w:bidi w:val="0"/>
                    <w:rPr>
                      <w:rFonts w:hint="default"/>
                      <w:b/>
                      <w:bCs/>
                      <w:color w:val="000000"/>
                      <w:lang w:val="en-US" w:eastAsia="zh-CN"/>
                    </w:rPr>
                  </w:pPr>
                  <w:r>
                    <w:rPr>
                      <w:rFonts w:hint="default"/>
                      <w:b/>
                      <w:bCs/>
                      <w:color w:val="000000"/>
                      <w:lang w:val="en-US" w:eastAsia="zh-CN"/>
                    </w:rPr>
                    <w:t>管控要求</w:t>
                  </w:r>
                </w:p>
              </w:tc>
              <w:tc>
                <w:tcPr>
                  <w:tcW w:w="1638" w:type="pct"/>
                  <w:tcBorders>
                    <w:tl2br w:val="nil"/>
                    <w:tr2bl w:val="nil"/>
                  </w:tcBorders>
                  <w:shd w:val="clear" w:color="auto" w:fill="auto"/>
                  <w:noWrap w:val="0"/>
                  <w:vAlign w:val="center"/>
                </w:tcPr>
                <w:p w14:paraId="275E4627">
                  <w:pPr>
                    <w:pStyle w:val="17"/>
                    <w:bidi w:val="0"/>
                    <w:rPr>
                      <w:rFonts w:hint="default"/>
                      <w:b/>
                      <w:bCs/>
                      <w:color w:val="000000"/>
                      <w:lang w:val="en-US" w:eastAsia="zh-CN"/>
                    </w:rPr>
                  </w:pPr>
                  <w:r>
                    <w:rPr>
                      <w:rFonts w:hint="default"/>
                      <w:b/>
                      <w:bCs/>
                      <w:color w:val="000000"/>
                      <w:lang w:val="en-US" w:eastAsia="zh-CN"/>
                    </w:rPr>
                    <w:t>符合性分析</w:t>
                  </w:r>
                </w:p>
              </w:tc>
            </w:tr>
            <w:tr w14:paraId="516CEC6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10" w:type="pct"/>
                  <w:vMerge w:val="restart"/>
                  <w:tcBorders>
                    <w:tl2br w:val="nil"/>
                    <w:tr2bl w:val="nil"/>
                  </w:tcBorders>
                  <w:shd w:val="clear" w:color="auto" w:fill="auto"/>
                  <w:noWrap w:val="0"/>
                  <w:vAlign w:val="center"/>
                </w:tcPr>
                <w:p w14:paraId="39DBBA35">
                  <w:pPr>
                    <w:pStyle w:val="17"/>
                    <w:bidi w:val="0"/>
                    <w:rPr>
                      <w:rFonts w:hint="default"/>
                      <w:b w:val="0"/>
                      <w:color w:val="000000"/>
                      <w:lang w:val="en-US" w:eastAsia="zh-CN"/>
                    </w:rPr>
                  </w:pPr>
                  <w:r>
                    <w:rPr>
                      <w:rFonts w:hint="default"/>
                      <w:b w:val="0"/>
                      <w:color w:val="000000"/>
                      <w:lang w:val="en-US" w:eastAsia="zh-CN"/>
                    </w:rPr>
                    <w:t>A1空间布局约束</w:t>
                  </w:r>
                </w:p>
              </w:tc>
              <w:tc>
                <w:tcPr>
                  <w:tcW w:w="499" w:type="pct"/>
                  <w:vMerge w:val="restart"/>
                  <w:tcBorders>
                    <w:tl2br w:val="nil"/>
                    <w:tr2bl w:val="nil"/>
                  </w:tcBorders>
                  <w:shd w:val="clear" w:color="auto" w:fill="auto"/>
                  <w:noWrap w:val="0"/>
                  <w:vAlign w:val="center"/>
                </w:tcPr>
                <w:p w14:paraId="58C1C384">
                  <w:pPr>
                    <w:pStyle w:val="17"/>
                    <w:bidi w:val="0"/>
                    <w:rPr>
                      <w:rFonts w:hint="default"/>
                      <w:b w:val="0"/>
                      <w:color w:val="000000"/>
                      <w:lang w:val="en-US" w:eastAsia="zh-CN"/>
                    </w:rPr>
                  </w:pPr>
                  <w:r>
                    <w:rPr>
                      <w:rFonts w:hint="default"/>
                      <w:b w:val="0"/>
                      <w:color w:val="000000"/>
                      <w:lang w:val="en-US" w:eastAsia="zh-CN"/>
                    </w:rPr>
                    <w:t>A1.1禁止开发建设的活动</w:t>
                  </w:r>
                </w:p>
              </w:tc>
              <w:tc>
                <w:tcPr>
                  <w:tcW w:w="2651" w:type="pct"/>
                  <w:tcBorders>
                    <w:tl2br w:val="nil"/>
                    <w:tr2bl w:val="nil"/>
                  </w:tcBorders>
                  <w:shd w:val="clear" w:color="auto" w:fill="auto"/>
                  <w:noWrap w:val="0"/>
                  <w:vAlign w:val="center"/>
                </w:tcPr>
                <w:p w14:paraId="1532748A">
                  <w:pPr>
                    <w:pStyle w:val="17"/>
                    <w:bidi w:val="0"/>
                    <w:jc w:val="both"/>
                    <w:rPr>
                      <w:rFonts w:hint="default"/>
                      <w:b w:val="0"/>
                      <w:color w:val="000000"/>
                      <w:lang w:val="en-US" w:eastAsia="zh-CN"/>
                    </w:rPr>
                  </w:pPr>
                  <w:r>
                    <w:rPr>
                      <w:rFonts w:hint="default"/>
                      <w:b w:val="0"/>
                      <w:color w:val="000000"/>
                      <w:lang w:val="en-US" w:eastAsia="zh-CN"/>
                    </w:rPr>
                    <w:t>〔A1.1-1〕禁止新建、扩建《产业结构调整指导目录（2024年本）》中淘汰类项目。禁止引入《市场准入负面清单（2022年版）》禁止准入类事项。</w:t>
                  </w:r>
                </w:p>
              </w:tc>
              <w:tc>
                <w:tcPr>
                  <w:tcW w:w="1638" w:type="pct"/>
                  <w:tcBorders>
                    <w:tl2br w:val="nil"/>
                    <w:tr2bl w:val="nil"/>
                  </w:tcBorders>
                  <w:shd w:val="clear" w:color="auto" w:fill="auto"/>
                  <w:noWrap w:val="0"/>
                  <w:vAlign w:val="center"/>
                </w:tcPr>
                <w:p w14:paraId="31796B46">
                  <w:pPr>
                    <w:pStyle w:val="17"/>
                    <w:bidi w:val="0"/>
                    <w:jc w:val="both"/>
                    <w:rPr>
                      <w:rFonts w:hint="default"/>
                      <w:b w:val="0"/>
                      <w:color w:val="000000"/>
                      <w:lang w:val="en-US" w:eastAsia="zh-CN"/>
                    </w:rPr>
                  </w:pPr>
                  <w:r>
                    <w:rPr>
                      <w:rFonts w:hint="default"/>
                      <w:b w:val="0"/>
                      <w:color w:val="000000"/>
                      <w:lang w:val="en-US" w:eastAsia="zh-CN"/>
                    </w:rPr>
                    <w:t>符合，本项目属于《产业结构调整指导目录（2024年本）》</w:t>
                  </w:r>
                  <w:r>
                    <w:rPr>
                      <w:rFonts w:hint="eastAsia"/>
                      <w:b w:val="0"/>
                      <w:color w:val="000000"/>
                      <w:lang w:val="en-US" w:eastAsia="zh-CN"/>
                    </w:rPr>
                    <w:t>鼓励</w:t>
                  </w:r>
                  <w:r>
                    <w:rPr>
                      <w:rFonts w:hint="default"/>
                      <w:b w:val="0"/>
                      <w:color w:val="000000"/>
                      <w:lang w:val="en-US" w:eastAsia="zh-CN"/>
                    </w:rPr>
                    <w:t>类项目，不属于《市场准入负面清单（202</w:t>
                  </w:r>
                  <w:r>
                    <w:rPr>
                      <w:rFonts w:hint="eastAsia"/>
                      <w:b w:val="0"/>
                      <w:color w:val="000000"/>
                      <w:lang w:val="en-US" w:eastAsia="zh-CN"/>
                    </w:rPr>
                    <w:t>5</w:t>
                  </w:r>
                  <w:r>
                    <w:rPr>
                      <w:rFonts w:hint="default"/>
                      <w:b w:val="0"/>
                      <w:color w:val="000000"/>
                      <w:lang w:val="en-US" w:eastAsia="zh-CN"/>
                    </w:rPr>
                    <w:t>年版）》禁止准入</w:t>
                  </w:r>
                  <w:r>
                    <w:rPr>
                      <w:rFonts w:hint="eastAsia"/>
                      <w:b w:val="0"/>
                      <w:color w:val="000000"/>
                      <w:lang w:val="en-US" w:eastAsia="zh-CN"/>
                    </w:rPr>
                    <w:t>类</w:t>
                  </w:r>
                  <w:r>
                    <w:rPr>
                      <w:rFonts w:hint="default"/>
                      <w:b w:val="0"/>
                      <w:color w:val="000000"/>
                      <w:lang w:val="en-US" w:eastAsia="zh-CN"/>
                    </w:rPr>
                    <w:t>。</w:t>
                  </w:r>
                </w:p>
              </w:tc>
            </w:tr>
            <w:tr w14:paraId="240C058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41451CAC">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1177C476">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64D7062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〔A1.1-2〕禁止建设不符合国家和自治区环境保护标准的项目。</w:t>
                  </w:r>
                </w:p>
              </w:tc>
              <w:tc>
                <w:tcPr>
                  <w:tcW w:w="1638" w:type="pct"/>
                  <w:tcBorders>
                    <w:tl2br w:val="nil"/>
                    <w:tr2bl w:val="nil"/>
                  </w:tcBorders>
                  <w:shd w:val="clear" w:color="auto" w:fill="auto"/>
                  <w:noWrap w:val="0"/>
                  <w:vAlign w:val="center"/>
                </w:tcPr>
                <w:p w14:paraId="7EA452A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符合，本项目符合国家和自治区环境保护标准。</w:t>
                  </w:r>
                </w:p>
              </w:tc>
            </w:tr>
            <w:tr w14:paraId="702AF16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37EC1C95">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61D181D8">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77F4668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〔A1.1-3〕禁止在饮用水水源保护区、风景名胜区、自然保护区的核心区和缓冲区、城镇居民区、文化教育科学研究区等人口集中区域以及</w:t>
                  </w:r>
                  <w:r>
                    <w:rPr>
                      <w:rFonts w:hint="eastAsia" w:cs="Times New Roman"/>
                      <w:b w:val="0"/>
                      <w:bCs/>
                      <w:color w:val="000000"/>
                      <w:spacing w:val="0"/>
                      <w:kern w:val="0"/>
                      <w:position w:val="0"/>
                      <w:sz w:val="21"/>
                      <w:szCs w:val="21"/>
                      <w:lang w:val="en-US" w:bidi="zh-CN"/>
                    </w:rPr>
                    <w:t>法律法规</w:t>
                  </w:r>
                  <w:r>
                    <w:rPr>
                      <w:rFonts w:hint="default" w:ascii="Times New Roman" w:hAnsi="Times New Roman" w:eastAsia="宋体" w:cs="Times New Roman"/>
                      <w:b w:val="0"/>
                      <w:bCs/>
                      <w:color w:val="000000"/>
                      <w:spacing w:val="0"/>
                      <w:kern w:val="0"/>
                      <w:position w:val="0"/>
                      <w:sz w:val="21"/>
                      <w:szCs w:val="21"/>
                      <w:lang w:val="en-US" w:bidi="zh-CN"/>
                    </w:rPr>
                    <w:t>规定的其他禁止养殖区域建设畜禽养殖场、养殖小区。</w:t>
                  </w:r>
                </w:p>
              </w:tc>
              <w:tc>
                <w:tcPr>
                  <w:tcW w:w="1638" w:type="pct"/>
                  <w:tcBorders>
                    <w:tl2br w:val="nil"/>
                    <w:tr2bl w:val="nil"/>
                  </w:tcBorders>
                  <w:shd w:val="clear" w:color="auto" w:fill="auto"/>
                  <w:noWrap w:val="0"/>
                  <w:vAlign w:val="center"/>
                </w:tcPr>
                <w:p w14:paraId="69EB9378">
                  <w:pPr>
                    <w:pStyle w:val="17"/>
                    <w:bidi w:val="0"/>
                    <w:jc w:val="center"/>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不涉及</w:t>
                  </w:r>
                </w:p>
              </w:tc>
            </w:tr>
            <w:tr w14:paraId="1241E8D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0FC3BBF6">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001F3A15">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4A9FF122">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〔A1.1-4〕禁止在水源涵养区、地下水源、饮用水源、自然保护区、风景名胜区、森林公园、重要湿地及人群密集区等生态敏感区域内进行煤炭、石油、天然气开发。</w:t>
                  </w:r>
                </w:p>
              </w:tc>
              <w:tc>
                <w:tcPr>
                  <w:tcW w:w="1638" w:type="pct"/>
                  <w:tcBorders>
                    <w:tl2br w:val="nil"/>
                    <w:tr2bl w:val="nil"/>
                  </w:tcBorders>
                  <w:shd w:val="clear" w:color="auto" w:fill="auto"/>
                  <w:noWrap w:val="0"/>
                  <w:vAlign w:val="center"/>
                </w:tcPr>
                <w:p w14:paraId="42D2CA79">
                  <w:pPr>
                    <w:pStyle w:val="17"/>
                    <w:bidi w:val="0"/>
                    <w:jc w:val="center"/>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不涉及</w:t>
                  </w:r>
                </w:p>
              </w:tc>
            </w:tr>
            <w:tr w14:paraId="63B6B5F7">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0FCB6523">
                  <w:pPr>
                    <w:pStyle w:val="17"/>
                    <w:bidi w:val="0"/>
                    <w:rPr>
                      <w:rFonts w:hint="default"/>
                      <w:b w:val="0"/>
                      <w:color w:val="000000"/>
                      <w:lang w:val="en-US" w:eastAsia="zh-CN"/>
                    </w:rPr>
                  </w:pPr>
                </w:p>
              </w:tc>
              <w:tc>
                <w:tcPr>
                  <w:tcW w:w="499" w:type="pct"/>
                  <w:vMerge w:val="restart"/>
                  <w:tcBorders>
                    <w:tl2br w:val="nil"/>
                    <w:tr2bl w:val="nil"/>
                  </w:tcBorders>
                  <w:shd w:val="clear" w:color="auto" w:fill="auto"/>
                  <w:noWrap w:val="0"/>
                  <w:vAlign w:val="center"/>
                </w:tcPr>
                <w:p w14:paraId="0BD156F1">
                  <w:pPr>
                    <w:pStyle w:val="17"/>
                    <w:bidi w:val="0"/>
                    <w:rPr>
                      <w:rFonts w:hint="default"/>
                      <w:b w:val="0"/>
                      <w:color w:val="000000"/>
                      <w:lang w:val="en-US" w:eastAsia="zh-CN"/>
                    </w:rPr>
                  </w:pPr>
                  <w:r>
                    <w:rPr>
                      <w:rFonts w:hint="default"/>
                      <w:b w:val="0"/>
                      <w:color w:val="000000"/>
                      <w:lang w:val="en-US" w:eastAsia="zh-CN"/>
                    </w:rPr>
                    <w:t>A1.2限制开发建设的活动</w:t>
                  </w:r>
                </w:p>
              </w:tc>
              <w:tc>
                <w:tcPr>
                  <w:tcW w:w="2651" w:type="pct"/>
                  <w:tcBorders>
                    <w:tl2br w:val="nil"/>
                    <w:tr2bl w:val="nil"/>
                  </w:tcBorders>
                  <w:shd w:val="clear" w:color="auto" w:fill="auto"/>
                  <w:noWrap w:val="0"/>
                  <w:vAlign w:val="center"/>
                </w:tcPr>
                <w:p w14:paraId="59EC55B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〔A1.2-1〕严格控制缺水地区、水污染严重区域和敏感区域高耗水、高污染行业发展。</w:t>
                  </w:r>
                </w:p>
              </w:tc>
              <w:tc>
                <w:tcPr>
                  <w:tcW w:w="1638" w:type="pct"/>
                  <w:tcBorders>
                    <w:tl2br w:val="nil"/>
                    <w:tr2bl w:val="nil"/>
                  </w:tcBorders>
                  <w:shd w:val="clear" w:color="auto" w:fill="auto"/>
                  <w:noWrap w:val="0"/>
                  <w:vAlign w:val="center"/>
                </w:tcPr>
                <w:p w14:paraId="514345C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eastAsia" w:cs="Times New Roman"/>
                      <w:b w:val="0"/>
                      <w:bCs/>
                      <w:color w:val="000000"/>
                      <w:spacing w:val="0"/>
                      <w:kern w:val="0"/>
                      <w:position w:val="0"/>
                      <w:sz w:val="21"/>
                      <w:szCs w:val="21"/>
                      <w:lang w:val="en-US" w:bidi="zh-CN"/>
                    </w:rPr>
                    <w:t>不涉及</w:t>
                  </w:r>
                </w:p>
              </w:tc>
            </w:tr>
            <w:tr w14:paraId="20C3E85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2A2F4F8F">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52F46681">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3E7315F2">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638" w:type="pct"/>
                  <w:tcBorders>
                    <w:tl2br w:val="nil"/>
                    <w:tr2bl w:val="nil"/>
                  </w:tcBorders>
                  <w:shd w:val="clear" w:color="auto" w:fill="auto"/>
                  <w:noWrap w:val="0"/>
                  <w:vAlign w:val="center"/>
                </w:tcPr>
                <w:p w14:paraId="41B8BC03">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eastAsia" w:cs="Times New Roman"/>
                      <w:b w:val="0"/>
                      <w:bCs/>
                      <w:color w:val="000000"/>
                      <w:spacing w:val="0"/>
                      <w:kern w:val="0"/>
                      <w:position w:val="0"/>
                      <w:sz w:val="21"/>
                      <w:szCs w:val="21"/>
                      <w:lang w:val="en-US" w:eastAsia="zh-CN" w:bidi="zh-CN"/>
                    </w:rPr>
                    <w:t>不涉及</w:t>
                  </w:r>
                </w:p>
              </w:tc>
            </w:tr>
            <w:tr w14:paraId="2312639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02733127">
                  <w:pPr>
                    <w:pStyle w:val="17"/>
                    <w:bidi w:val="0"/>
                    <w:rPr>
                      <w:rFonts w:hint="default"/>
                      <w:b w:val="0"/>
                      <w:color w:val="000000"/>
                      <w:lang w:val="en-US" w:eastAsia="zh-CN"/>
                    </w:rPr>
                  </w:pPr>
                </w:p>
              </w:tc>
              <w:tc>
                <w:tcPr>
                  <w:tcW w:w="499" w:type="pct"/>
                  <w:vMerge w:val="restart"/>
                  <w:tcBorders>
                    <w:tl2br w:val="nil"/>
                    <w:tr2bl w:val="nil"/>
                  </w:tcBorders>
                  <w:shd w:val="clear" w:color="auto" w:fill="auto"/>
                  <w:noWrap w:val="0"/>
                  <w:vAlign w:val="center"/>
                </w:tcPr>
                <w:p w14:paraId="1D5125CC">
                  <w:pPr>
                    <w:pStyle w:val="17"/>
                    <w:bidi w:val="0"/>
                    <w:rPr>
                      <w:rFonts w:hint="default"/>
                      <w:b w:val="0"/>
                      <w:color w:val="000000"/>
                      <w:lang w:val="en-US" w:eastAsia="zh-CN"/>
                    </w:rPr>
                  </w:pPr>
                  <w:r>
                    <w:rPr>
                      <w:rFonts w:hint="default"/>
                      <w:b w:val="0"/>
                      <w:color w:val="000000"/>
                      <w:lang w:val="en-US" w:eastAsia="zh-CN"/>
                    </w:rPr>
                    <w:t>A1.3不符合空间布局要求活动的退出要求</w:t>
                  </w:r>
                </w:p>
              </w:tc>
              <w:tc>
                <w:tcPr>
                  <w:tcW w:w="2651" w:type="pct"/>
                  <w:tcBorders>
                    <w:tl2br w:val="nil"/>
                    <w:tr2bl w:val="nil"/>
                  </w:tcBorders>
                  <w:shd w:val="clear" w:color="auto" w:fill="auto"/>
                  <w:noWrap w:val="0"/>
                  <w:vAlign w:val="center"/>
                </w:tcPr>
                <w:p w14:paraId="63B425C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〔A1.3-1〕任何单位和个人不得在水源涵养区、饮用水水源保护区内和河流、湖泊、水库周围建设重化工、涉重金属等工业污染项目；对已建成的工业污染项目，当地人民政府应当组织限期搬迁。</w:t>
                  </w:r>
                </w:p>
              </w:tc>
              <w:tc>
                <w:tcPr>
                  <w:tcW w:w="1638" w:type="pct"/>
                  <w:tcBorders>
                    <w:tl2br w:val="nil"/>
                    <w:tr2bl w:val="nil"/>
                  </w:tcBorders>
                  <w:shd w:val="clear" w:color="auto" w:fill="auto"/>
                  <w:noWrap w:val="0"/>
                  <w:vAlign w:val="center"/>
                </w:tcPr>
                <w:p w14:paraId="3C2AB69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eastAsia" w:cs="Times New Roman"/>
                      <w:b w:val="0"/>
                      <w:bCs/>
                      <w:color w:val="000000"/>
                      <w:spacing w:val="0"/>
                      <w:kern w:val="0"/>
                      <w:position w:val="0"/>
                      <w:sz w:val="21"/>
                      <w:szCs w:val="21"/>
                      <w:lang w:val="en-US" w:bidi="zh-CN"/>
                    </w:rPr>
                    <w:t>不涉及</w:t>
                  </w:r>
                </w:p>
              </w:tc>
            </w:tr>
            <w:tr w14:paraId="760DC3E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4A3306C8">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7B627DEC">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3619BF2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bidi="zh-CN"/>
                    </w:rPr>
                    <w:t>〔A1.3-2〕对不符合国家产业政策、严重污染水环境的生产项目全部予以取缔。</w:t>
                  </w:r>
                </w:p>
              </w:tc>
              <w:tc>
                <w:tcPr>
                  <w:tcW w:w="1638" w:type="pct"/>
                  <w:tcBorders>
                    <w:tl2br w:val="nil"/>
                    <w:tr2bl w:val="nil"/>
                  </w:tcBorders>
                  <w:shd w:val="clear" w:color="auto" w:fill="auto"/>
                  <w:noWrap w:val="0"/>
                  <w:vAlign w:val="center"/>
                </w:tcPr>
                <w:p w14:paraId="6DDB743E">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eastAsia="zh-CN" w:bidi="zh-CN"/>
                    </w:rPr>
                  </w:pPr>
                  <w:r>
                    <w:rPr>
                      <w:rFonts w:hint="default" w:ascii="Times New Roman" w:hAnsi="Times New Roman" w:eastAsia="宋体" w:cs="Times New Roman"/>
                      <w:b w:val="0"/>
                      <w:bCs/>
                      <w:color w:val="000000"/>
                      <w:spacing w:val="0"/>
                      <w:kern w:val="0"/>
                      <w:position w:val="0"/>
                      <w:sz w:val="21"/>
                      <w:szCs w:val="21"/>
                      <w:lang w:val="en-US" w:eastAsia="en-US" w:bidi="zh-CN"/>
                    </w:rPr>
                    <w:t>符合，本项目属于《产业结构调整指导目录（2024 年本）》</w:t>
                  </w:r>
                  <w:r>
                    <w:rPr>
                      <w:rFonts w:hint="eastAsia" w:cs="Times New Roman"/>
                      <w:b w:val="0"/>
                      <w:bCs/>
                      <w:color w:val="000000"/>
                      <w:spacing w:val="0"/>
                      <w:kern w:val="0"/>
                      <w:position w:val="0"/>
                      <w:sz w:val="21"/>
                      <w:szCs w:val="21"/>
                      <w:lang w:val="en-US" w:eastAsia="en-US" w:bidi="zh-CN"/>
                    </w:rPr>
                    <w:t>中</w:t>
                  </w:r>
                  <w:r>
                    <w:rPr>
                      <w:rFonts w:hint="default" w:ascii="Times New Roman" w:hAnsi="Times New Roman" w:eastAsia="宋体" w:cs="Times New Roman"/>
                      <w:b w:val="0"/>
                      <w:bCs/>
                      <w:color w:val="000000"/>
                      <w:spacing w:val="0"/>
                      <w:kern w:val="0"/>
                      <w:position w:val="0"/>
                      <w:sz w:val="21"/>
                      <w:szCs w:val="21"/>
                      <w:lang w:val="en-US" w:eastAsia="en-US" w:bidi="zh-CN"/>
                    </w:rPr>
                    <w:t>鼓励类项目</w:t>
                  </w:r>
                  <w:r>
                    <w:rPr>
                      <w:rFonts w:hint="eastAsia" w:cs="Times New Roman"/>
                      <w:b w:val="0"/>
                      <w:bCs/>
                      <w:color w:val="000000"/>
                      <w:spacing w:val="0"/>
                      <w:kern w:val="0"/>
                      <w:position w:val="0"/>
                      <w:sz w:val="21"/>
                      <w:szCs w:val="21"/>
                      <w:lang w:val="en-US" w:eastAsia="en-US" w:bidi="zh-CN"/>
                    </w:rPr>
                    <w:t>，运营期无废水产生和外排</w:t>
                  </w:r>
                  <w:r>
                    <w:rPr>
                      <w:rFonts w:hint="default" w:ascii="Times New Roman" w:hAnsi="Times New Roman" w:eastAsia="宋体" w:cs="Times New Roman"/>
                      <w:b w:val="0"/>
                      <w:bCs/>
                      <w:color w:val="000000"/>
                      <w:spacing w:val="0"/>
                      <w:kern w:val="0"/>
                      <w:position w:val="0"/>
                      <w:sz w:val="21"/>
                      <w:szCs w:val="21"/>
                      <w:lang w:val="en-US" w:eastAsia="en-US" w:bidi="zh-CN"/>
                    </w:rPr>
                    <w:t>。</w:t>
                  </w:r>
                </w:p>
              </w:tc>
            </w:tr>
            <w:tr w14:paraId="6928355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3ADCB474">
                  <w:pPr>
                    <w:pStyle w:val="17"/>
                    <w:bidi w:val="0"/>
                    <w:rPr>
                      <w:rFonts w:hint="default"/>
                      <w:b w:val="0"/>
                      <w:color w:val="000000"/>
                      <w:lang w:val="en-US" w:eastAsia="zh-CN"/>
                    </w:rPr>
                  </w:pPr>
                </w:p>
              </w:tc>
              <w:tc>
                <w:tcPr>
                  <w:tcW w:w="499" w:type="pct"/>
                  <w:tcBorders>
                    <w:tl2br w:val="nil"/>
                    <w:tr2bl w:val="nil"/>
                  </w:tcBorders>
                  <w:shd w:val="clear" w:color="auto" w:fill="auto"/>
                  <w:noWrap w:val="0"/>
                  <w:vAlign w:val="center"/>
                </w:tcPr>
                <w:p w14:paraId="5D30EE4E">
                  <w:pPr>
                    <w:pStyle w:val="17"/>
                    <w:bidi w:val="0"/>
                    <w:rPr>
                      <w:rFonts w:hint="default"/>
                      <w:b w:val="0"/>
                      <w:color w:val="000000"/>
                      <w:lang w:val="en-US" w:eastAsia="zh-CN"/>
                    </w:rPr>
                  </w:pPr>
                  <w:r>
                    <w:rPr>
                      <w:rFonts w:hint="default"/>
                      <w:b w:val="0"/>
                      <w:color w:val="000000"/>
                      <w:lang w:val="en-US" w:eastAsia="zh-CN"/>
                    </w:rPr>
                    <w:t>A1.4其它布局要求</w:t>
                  </w:r>
                </w:p>
              </w:tc>
              <w:tc>
                <w:tcPr>
                  <w:tcW w:w="2651" w:type="pct"/>
                  <w:tcBorders>
                    <w:tl2br w:val="nil"/>
                    <w:tr2bl w:val="nil"/>
                  </w:tcBorders>
                  <w:shd w:val="clear" w:color="auto" w:fill="auto"/>
                  <w:noWrap w:val="0"/>
                  <w:vAlign w:val="center"/>
                </w:tcPr>
                <w:p w14:paraId="363D2B66">
                  <w:pPr>
                    <w:pStyle w:val="17"/>
                    <w:bidi w:val="0"/>
                    <w:jc w:val="both"/>
                    <w:rPr>
                      <w:rFonts w:hint="default"/>
                      <w:b w:val="0"/>
                      <w:color w:val="000000"/>
                      <w:lang w:val="en-US" w:eastAsia="zh-CN"/>
                    </w:rPr>
                  </w:pPr>
                  <w:r>
                    <w:rPr>
                      <w:rFonts w:hint="default"/>
                      <w:b w:val="0"/>
                      <w:color w:val="000000"/>
                      <w:lang w:val="en-US"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638" w:type="pct"/>
                  <w:tcBorders>
                    <w:tl2br w:val="nil"/>
                    <w:tr2bl w:val="nil"/>
                  </w:tcBorders>
                  <w:shd w:val="clear" w:color="auto" w:fill="auto"/>
                  <w:noWrap w:val="0"/>
                  <w:vAlign w:val="center"/>
                </w:tcPr>
                <w:p w14:paraId="0622A3C6">
                  <w:pPr>
                    <w:pStyle w:val="17"/>
                    <w:bidi w:val="0"/>
                    <w:jc w:val="both"/>
                    <w:rPr>
                      <w:rFonts w:hint="default"/>
                      <w:b w:val="0"/>
                      <w:color w:val="000000"/>
                      <w:lang w:val="en-US" w:eastAsia="zh-CN"/>
                    </w:rPr>
                  </w:pPr>
                  <w:r>
                    <w:rPr>
                      <w:rFonts w:hint="default"/>
                      <w:b w:val="0"/>
                      <w:color w:val="000000"/>
                      <w:lang w:val="en-US" w:eastAsia="zh-CN"/>
                    </w:rPr>
                    <w:t>符合，项目</w:t>
                  </w:r>
                  <w:r>
                    <w:rPr>
                      <w:rFonts w:hint="eastAsia"/>
                      <w:b w:val="0"/>
                      <w:color w:val="000000"/>
                      <w:lang w:val="en-US" w:eastAsia="zh-CN"/>
                    </w:rPr>
                    <w:t>所在区</w:t>
                  </w:r>
                  <w:r>
                    <w:rPr>
                      <w:rFonts w:hint="eastAsia" w:ascii="Times New Roman" w:hAnsi="Times New Roman" w:eastAsia="宋体" w:cs="Times New Roman"/>
                      <w:b w:val="0"/>
                      <w:color w:val="000000"/>
                      <w:lang w:val="en-US" w:eastAsia="zh-CN"/>
                    </w:rPr>
                    <w:t>符合《轮台县国土空间总体规划（2021—2035年）》</w:t>
                  </w:r>
                  <w:r>
                    <w:rPr>
                      <w:rFonts w:hint="default" w:ascii="Times New Roman" w:hAnsi="Times New Roman" w:eastAsia="宋体" w:cs="Times New Roman"/>
                      <w:b w:val="0"/>
                      <w:color w:val="000000"/>
                      <w:lang w:val="en-US" w:eastAsia="zh-CN"/>
                    </w:rPr>
                    <w:t>。</w:t>
                  </w:r>
                </w:p>
              </w:tc>
            </w:tr>
            <w:tr w14:paraId="1632301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tcBorders>
                    <w:tl2br w:val="nil"/>
                    <w:tr2bl w:val="nil"/>
                  </w:tcBorders>
                  <w:shd w:val="clear" w:color="auto" w:fill="auto"/>
                  <w:noWrap w:val="0"/>
                  <w:vAlign w:val="center"/>
                </w:tcPr>
                <w:p w14:paraId="1DFD397A">
                  <w:pPr>
                    <w:pStyle w:val="17"/>
                    <w:bidi w:val="0"/>
                    <w:rPr>
                      <w:rFonts w:hint="default"/>
                      <w:b w:val="0"/>
                      <w:color w:val="000000"/>
                      <w:lang w:val="en-US" w:eastAsia="zh-CN"/>
                    </w:rPr>
                  </w:pPr>
                  <w:r>
                    <w:rPr>
                      <w:rFonts w:hint="default"/>
                      <w:b w:val="0"/>
                      <w:color w:val="000000"/>
                      <w:lang w:val="en-US" w:eastAsia="zh-CN"/>
                    </w:rPr>
                    <w:t>A2污染物排放管控</w:t>
                  </w:r>
                </w:p>
              </w:tc>
              <w:tc>
                <w:tcPr>
                  <w:tcW w:w="499" w:type="pct"/>
                  <w:tcBorders>
                    <w:tl2br w:val="nil"/>
                    <w:tr2bl w:val="nil"/>
                  </w:tcBorders>
                  <w:shd w:val="clear" w:color="auto" w:fill="auto"/>
                  <w:noWrap w:val="0"/>
                  <w:vAlign w:val="center"/>
                </w:tcPr>
                <w:p w14:paraId="1BC3049B">
                  <w:pPr>
                    <w:pStyle w:val="17"/>
                    <w:bidi w:val="0"/>
                    <w:rPr>
                      <w:rFonts w:hint="default"/>
                      <w:b w:val="0"/>
                      <w:color w:val="000000"/>
                      <w:lang w:val="en-US" w:eastAsia="zh-CN"/>
                    </w:rPr>
                  </w:pPr>
                  <w:r>
                    <w:rPr>
                      <w:rFonts w:hint="default"/>
                      <w:b w:val="0"/>
                      <w:color w:val="000000"/>
                      <w:lang w:val="en-US" w:eastAsia="zh-CN"/>
                    </w:rPr>
                    <w:t>A2.1污染物削减/替代要求</w:t>
                  </w:r>
                </w:p>
              </w:tc>
              <w:tc>
                <w:tcPr>
                  <w:tcW w:w="2651" w:type="pct"/>
                  <w:tcBorders>
                    <w:tl2br w:val="nil"/>
                    <w:tr2bl w:val="nil"/>
                  </w:tcBorders>
                  <w:shd w:val="clear" w:color="auto" w:fill="auto"/>
                  <w:noWrap w:val="0"/>
                  <w:vAlign w:val="center"/>
                </w:tcPr>
                <w:p w14:paraId="3EE08BE4">
                  <w:pPr>
                    <w:pStyle w:val="17"/>
                    <w:bidi w:val="0"/>
                    <w:jc w:val="both"/>
                    <w:rPr>
                      <w:rFonts w:hint="default"/>
                      <w:b w:val="0"/>
                      <w:color w:val="000000"/>
                      <w:lang w:val="en-US" w:eastAsia="zh-CN"/>
                    </w:rPr>
                  </w:pPr>
                  <w:r>
                    <w:rPr>
                      <w:rFonts w:hint="default"/>
                      <w:b w:val="0"/>
                      <w:color w:val="000000"/>
                      <w:lang w:val="en-US" w:eastAsia="zh-CN"/>
                    </w:rPr>
                    <w:t>〔A2.1-1〕新、改、扩建</w:t>
                  </w:r>
                  <w:r>
                    <w:rPr>
                      <w:rFonts w:hint="default"/>
                      <w:b w:val="0"/>
                      <w:color w:val="000000" w:themeColor="text1"/>
                      <w:lang w:val="en-US" w:eastAsia="zh-CN"/>
                      <w14:textFill>
                        <w14:solidFill>
                          <w14:schemeClr w14:val="tx1"/>
                        </w14:solidFill>
                      </w14:textFill>
                    </w:rPr>
                    <w:t>重点行业建设项目应符合</w:t>
                  </w:r>
                  <w:r>
                    <w:rPr>
                      <w:rFonts w:hint="eastAsia"/>
                      <w:b w:val="0"/>
                      <w:color w:val="000000" w:themeColor="text1"/>
                      <w:lang w:val="en-US" w:eastAsia="zh-CN"/>
                      <w14:textFill>
                        <w14:solidFill>
                          <w14:schemeClr w14:val="tx1"/>
                        </w14:solidFill>
                      </w14:textFill>
                    </w:rPr>
                    <w:t>“</w:t>
                  </w:r>
                  <w:r>
                    <w:rPr>
                      <w:rFonts w:hint="default"/>
                      <w:b w:val="0"/>
                      <w:color w:val="000000" w:themeColor="text1"/>
                      <w:lang w:val="en-US" w:eastAsia="zh-CN"/>
                      <w14:textFill>
                        <w14:solidFill>
                          <w14:schemeClr w14:val="tx1"/>
                        </w14:solidFill>
                      </w14:textFill>
                    </w:rPr>
                    <w:t>三线一单</w:t>
                  </w:r>
                  <w:r>
                    <w:rPr>
                      <w:rFonts w:hint="eastAsia"/>
                      <w:b w:val="0"/>
                      <w:color w:val="000000" w:themeColor="text1"/>
                      <w:lang w:val="en-US" w:eastAsia="zh-CN"/>
                      <w14:textFill>
                        <w14:solidFill>
                          <w14:schemeClr w14:val="tx1"/>
                        </w14:solidFill>
                      </w14:textFill>
                    </w:rPr>
                    <w:t>”</w:t>
                  </w:r>
                  <w:r>
                    <w:rPr>
                      <w:rFonts w:hint="default"/>
                      <w:b w:val="0"/>
                      <w:color w:val="000000" w:themeColor="text1"/>
                      <w:lang w:val="en-US" w:eastAsia="zh-CN"/>
                      <w14:textFill>
                        <w14:solidFill>
                          <w14:schemeClr w14:val="tx1"/>
                        </w14:solidFill>
                      </w14:textFill>
                    </w:rPr>
                    <w:t>、产业政策、区域环评、规划环评和行业环境准入管控要求。重点区域的</w:t>
                  </w:r>
                  <w:r>
                    <w:rPr>
                      <w:rFonts w:hint="default"/>
                      <w:b w:val="0"/>
                      <w:color w:val="000000"/>
                      <w:lang w:val="en-US" w:eastAsia="zh-CN"/>
                    </w:rPr>
                    <w:t>新、改、扩建重点行业建设项目应遵循重点重金属污染物排放</w:t>
                  </w:r>
                  <w:r>
                    <w:rPr>
                      <w:rFonts w:hint="eastAsia"/>
                      <w:b w:val="0"/>
                      <w:color w:val="000000"/>
                      <w:lang w:val="en-US" w:eastAsia="zh-CN"/>
                    </w:rPr>
                    <w:t>“</w:t>
                  </w:r>
                  <w:r>
                    <w:rPr>
                      <w:rFonts w:hint="default"/>
                      <w:b w:val="0"/>
                      <w:color w:val="000000"/>
                      <w:lang w:val="en-US" w:eastAsia="zh-CN"/>
                    </w:rPr>
                    <w:t>减量替代</w:t>
                  </w:r>
                  <w:r>
                    <w:rPr>
                      <w:rFonts w:hint="eastAsia"/>
                      <w:b w:val="0"/>
                      <w:color w:val="000000"/>
                      <w:lang w:val="en-US" w:eastAsia="zh-CN"/>
                    </w:rPr>
                    <w:t>”</w:t>
                  </w:r>
                  <w:r>
                    <w:rPr>
                      <w:rFonts w:hint="default"/>
                      <w:b w:val="0"/>
                      <w:color w:val="000000"/>
                      <w:lang w:val="en-US" w:eastAsia="zh-CN"/>
                    </w:rPr>
                    <w:t>原则。</w:t>
                  </w:r>
                </w:p>
              </w:tc>
              <w:tc>
                <w:tcPr>
                  <w:tcW w:w="1638" w:type="pct"/>
                  <w:tcBorders>
                    <w:tl2br w:val="nil"/>
                    <w:tr2bl w:val="nil"/>
                  </w:tcBorders>
                  <w:shd w:val="clear" w:color="auto" w:fill="auto"/>
                  <w:noWrap w:val="0"/>
                  <w:vAlign w:val="center"/>
                </w:tcPr>
                <w:p w14:paraId="68D35724">
                  <w:pPr>
                    <w:pStyle w:val="17"/>
                    <w:bidi w:val="0"/>
                    <w:jc w:val="both"/>
                    <w:rPr>
                      <w:rFonts w:hint="default"/>
                      <w:b w:val="0"/>
                      <w:color w:val="000000"/>
                      <w:lang w:val="en-US" w:eastAsia="zh-CN"/>
                    </w:rPr>
                  </w:pPr>
                  <w:r>
                    <w:rPr>
                      <w:rFonts w:hint="default"/>
                      <w:b w:val="0"/>
                      <w:color w:val="000000"/>
                      <w:lang w:val="en-US" w:eastAsia="zh-CN"/>
                    </w:rPr>
                    <w:t>符合，</w:t>
                  </w:r>
                  <w:r>
                    <w:rPr>
                      <w:rFonts w:hint="eastAsia"/>
                      <w:b w:val="0"/>
                      <w:color w:val="000000"/>
                      <w:lang w:val="en-US" w:eastAsia="zh-CN"/>
                    </w:rPr>
                    <w:t>本项目符合“</w:t>
                  </w:r>
                  <w:r>
                    <w:rPr>
                      <w:rFonts w:hint="default"/>
                      <w:b w:val="0"/>
                      <w:color w:val="000000"/>
                      <w:lang w:val="en-US" w:eastAsia="zh-CN"/>
                    </w:rPr>
                    <w:t>三线一单</w:t>
                  </w:r>
                  <w:r>
                    <w:rPr>
                      <w:rFonts w:hint="eastAsia"/>
                      <w:b w:val="0"/>
                      <w:color w:val="000000"/>
                      <w:lang w:val="en-US" w:eastAsia="zh-CN"/>
                    </w:rPr>
                    <w:t>”</w:t>
                  </w:r>
                  <w:r>
                    <w:rPr>
                      <w:rFonts w:hint="default"/>
                      <w:b w:val="0"/>
                      <w:color w:val="000000"/>
                      <w:lang w:val="en-US" w:eastAsia="zh-CN"/>
                    </w:rPr>
                    <w:t>、产业政策、区域环评、规划环评和行业环境准入管控要求</w:t>
                  </w:r>
                  <w:r>
                    <w:rPr>
                      <w:rFonts w:hint="eastAsia"/>
                      <w:b w:val="0"/>
                      <w:color w:val="000000"/>
                      <w:lang w:val="en-US" w:eastAsia="zh-CN"/>
                    </w:rPr>
                    <w:t>，项目选址区域不属于重点区域内</w:t>
                  </w:r>
                  <w:r>
                    <w:rPr>
                      <w:rFonts w:hint="default"/>
                      <w:b w:val="0"/>
                      <w:color w:val="000000"/>
                      <w:lang w:val="en-US" w:eastAsia="zh-CN"/>
                    </w:rPr>
                    <w:t>。</w:t>
                  </w:r>
                </w:p>
              </w:tc>
            </w:tr>
            <w:tr w14:paraId="1DDBDC3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restart"/>
                  <w:tcBorders>
                    <w:tl2br w:val="nil"/>
                    <w:tr2bl w:val="nil"/>
                  </w:tcBorders>
                  <w:shd w:val="clear" w:color="auto" w:fill="auto"/>
                  <w:noWrap w:val="0"/>
                  <w:vAlign w:val="center"/>
                </w:tcPr>
                <w:p w14:paraId="562AFE6B">
                  <w:pPr>
                    <w:pStyle w:val="17"/>
                    <w:bidi w:val="0"/>
                    <w:rPr>
                      <w:rFonts w:hint="default"/>
                      <w:b w:val="0"/>
                      <w:color w:val="000000"/>
                      <w:lang w:val="en-US" w:eastAsia="zh-CN"/>
                    </w:rPr>
                  </w:pPr>
                  <w:r>
                    <w:rPr>
                      <w:rFonts w:hint="default"/>
                      <w:b w:val="0"/>
                      <w:color w:val="000000"/>
                      <w:lang w:val="en-US" w:eastAsia="zh-CN"/>
                    </w:rPr>
                    <w:t>A3环境风险防控</w:t>
                  </w:r>
                </w:p>
              </w:tc>
              <w:tc>
                <w:tcPr>
                  <w:tcW w:w="499" w:type="pct"/>
                  <w:vMerge w:val="restart"/>
                  <w:tcBorders>
                    <w:tl2br w:val="nil"/>
                    <w:tr2bl w:val="nil"/>
                  </w:tcBorders>
                  <w:shd w:val="clear" w:color="auto" w:fill="auto"/>
                  <w:noWrap w:val="0"/>
                  <w:vAlign w:val="center"/>
                </w:tcPr>
                <w:p w14:paraId="04ACB9EB">
                  <w:pPr>
                    <w:pStyle w:val="17"/>
                    <w:bidi w:val="0"/>
                    <w:rPr>
                      <w:rFonts w:hint="default"/>
                      <w:b w:val="0"/>
                      <w:color w:val="000000"/>
                      <w:lang w:val="en-US" w:eastAsia="zh-CN"/>
                    </w:rPr>
                  </w:pPr>
                  <w:r>
                    <w:rPr>
                      <w:rFonts w:hint="default"/>
                      <w:b w:val="0"/>
                      <w:color w:val="000000"/>
                      <w:lang w:val="en-US" w:eastAsia="zh-CN"/>
                    </w:rPr>
                    <w:t>A3.1人居环境要求</w:t>
                  </w:r>
                </w:p>
              </w:tc>
              <w:tc>
                <w:tcPr>
                  <w:tcW w:w="2651" w:type="pct"/>
                  <w:tcBorders>
                    <w:tl2br w:val="nil"/>
                    <w:tr2bl w:val="nil"/>
                  </w:tcBorders>
                  <w:shd w:val="clear" w:color="auto" w:fill="auto"/>
                  <w:noWrap w:val="0"/>
                  <w:vAlign w:val="center"/>
                </w:tcPr>
                <w:p w14:paraId="3E1074FB">
                  <w:pPr>
                    <w:pStyle w:val="17"/>
                    <w:bidi w:val="0"/>
                    <w:jc w:val="both"/>
                    <w:rPr>
                      <w:rFonts w:hint="default"/>
                      <w:b w:val="0"/>
                      <w:color w:val="000000"/>
                      <w:lang w:val="en-US" w:eastAsia="zh-CN"/>
                    </w:rPr>
                  </w:pPr>
                  <w:r>
                    <w:rPr>
                      <w:rFonts w:hint="default"/>
                      <w:b w:val="0"/>
                      <w:color w:val="000000"/>
                      <w:lang w:val="en-US" w:eastAsia="zh-CN"/>
                    </w:rPr>
                    <w:t>〔A3.1-1〕建立和完善重污染天气兵地联合应急预案、预报预警应急机制和会商联动机制。</w:t>
                  </w:r>
                  <w:r>
                    <w:rPr>
                      <w:rFonts w:hint="eastAsia"/>
                      <w:b w:val="0"/>
                      <w:color w:val="000000"/>
                      <w:lang w:val="en-US" w:eastAsia="zh-CN"/>
                    </w:rPr>
                    <w:t>“</w:t>
                  </w:r>
                  <w:r>
                    <w:rPr>
                      <w:rFonts w:hint="default"/>
                      <w:b w:val="0"/>
                      <w:color w:val="000000"/>
                      <w:lang w:val="en-US" w:eastAsia="zh-CN"/>
                    </w:rPr>
                    <w:t>乌一昌一石</w:t>
                  </w:r>
                  <w:r>
                    <w:rPr>
                      <w:rFonts w:hint="eastAsia"/>
                      <w:b w:val="0"/>
                      <w:color w:val="000000"/>
                      <w:lang w:val="en-US" w:eastAsia="zh-CN"/>
                    </w:rPr>
                    <w:t>”</w:t>
                  </w:r>
                  <w:r>
                    <w:rPr>
                      <w:rFonts w:hint="default"/>
                      <w:b w:val="0"/>
                      <w:color w:val="000000"/>
                      <w:lang w:val="en-US" w:eastAsia="zh-CN"/>
                    </w:rPr>
                    <w:t>区域内可能影响相邻行政区域大气环境的项目，兵地间、城市间必须相互征求意见。</w:t>
                  </w:r>
                </w:p>
              </w:tc>
              <w:tc>
                <w:tcPr>
                  <w:tcW w:w="1638" w:type="pct"/>
                  <w:tcBorders>
                    <w:tl2br w:val="nil"/>
                    <w:tr2bl w:val="nil"/>
                  </w:tcBorders>
                  <w:shd w:val="clear" w:color="auto" w:fill="auto"/>
                  <w:noWrap w:val="0"/>
                  <w:vAlign w:val="center"/>
                </w:tcPr>
                <w:p w14:paraId="4D70C822">
                  <w:pPr>
                    <w:pStyle w:val="17"/>
                    <w:bidi w:val="0"/>
                    <w:jc w:val="center"/>
                    <w:rPr>
                      <w:rFonts w:hint="default"/>
                      <w:b w:val="0"/>
                      <w:color w:val="000000"/>
                      <w:lang w:val="en-US" w:eastAsia="zh-CN"/>
                    </w:rPr>
                  </w:pPr>
                  <w:r>
                    <w:rPr>
                      <w:rFonts w:hint="eastAsia"/>
                      <w:b w:val="0"/>
                      <w:color w:val="000000"/>
                      <w:lang w:val="en-US" w:eastAsia="zh-CN"/>
                    </w:rPr>
                    <w:t>不涉及</w:t>
                  </w:r>
                </w:p>
              </w:tc>
            </w:tr>
            <w:tr w14:paraId="0E72D32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75E08444">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4118B577">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1F2D5FD6">
                  <w:pPr>
                    <w:pStyle w:val="17"/>
                    <w:bidi w:val="0"/>
                    <w:jc w:val="both"/>
                    <w:rPr>
                      <w:rFonts w:hint="default"/>
                      <w:b w:val="0"/>
                      <w:color w:val="000000"/>
                      <w:lang w:val="en-US" w:eastAsia="zh-CN"/>
                    </w:rPr>
                  </w:pPr>
                  <w:r>
                    <w:rPr>
                      <w:rFonts w:hint="default"/>
                      <w:b w:val="0"/>
                      <w:color w:val="000000"/>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38" w:type="pct"/>
                  <w:tcBorders>
                    <w:tl2br w:val="nil"/>
                    <w:tr2bl w:val="nil"/>
                  </w:tcBorders>
                  <w:shd w:val="clear" w:color="auto" w:fill="auto"/>
                  <w:noWrap w:val="0"/>
                  <w:vAlign w:val="center"/>
                </w:tcPr>
                <w:p w14:paraId="1B650231">
                  <w:pPr>
                    <w:pStyle w:val="17"/>
                    <w:bidi w:val="0"/>
                    <w:jc w:val="both"/>
                    <w:rPr>
                      <w:rFonts w:hint="default"/>
                      <w:b w:val="0"/>
                      <w:color w:val="000000"/>
                      <w:lang w:val="en-US" w:eastAsia="zh-CN"/>
                    </w:rPr>
                  </w:pPr>
                  <w:r>
                    <w:rPr>
                      <w:rFonts w:hint="default"/>
                      <w:b w:val="0"/>
                      <w:color w:val="000000"/>
                      <w:lang w:val="en-US" w:eastAsia="zh-CN"/>
                    </w:rPr>
                    <w:t>符合，</w:t>
                  </w:r>
                  <w:r>
                    <w:rPr>
                      <w:rFonts w:hint="eastAsia"/>
                      <w:b w:val="0"/>
                      <w:color w:val="000000"/>
                      <w:lang w:val="en-US" w:eastAsia="zh-CN"/>
                    </w:rPr>
                    <w:t>本项目纳入矿区突发环境事件应急预案并进行备案</w:t>
                  </w:r>
                  <w:r>
                    <w:rPr>
                      <w:rFonts w:hint="default"/>
                      <w:b w:val="0"/>
                      <w:color w:val="000000"/>
                      <w:lang w:val="en-US" w:eastAsia="zh-CN"/>
                    </w:rPr>
                    <w:t>。</w:t>
                  </w:r>
                </w:p>
              </w:tc>
            </w:tr>
            <w:tr w14:paraId="477E0BE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6D2A2548">
                  <w:pPr>
                    <w:pStyle w:val="17"/>
                    <w:bidi w:val="0"/>
                    <w:rPr>
                      <w:rFonts w:hint="default"/>
                      <w:b w:val="0"/>
                      <w:color w:val="000000"/>
                      <w:lang w:val="en-US" w:eastAsia="zh-CN"/>
                    </w:rPr>
                  </w:pPr>
                </w:p>
              </w:tc>
              <w:tc>
                <w:tcPr>
                  <w:tcW w:w="499" w:type="pct"/>
                  <w:vMerge w:val="continue"/>
                  <w:tcBorders>
                    <w:tl2br w:val="nil"/>
                    <w:tr2bl w:val="nil"/>
                  </w:tcBorders>
                  <w:shd w:val="clear" w:color="auto" w:fill="auto"/>
                  <w:noWrap w:val="0"/>
                  <w:vAlign w:val="center"/>
                </w:tcPr>
                <w:p w14:paraId="18D97DA1">
                  <w:pPr>
                    <w:pStyle w:val="17"/>
                    <w:bidi w:val="0"/>
                    <w:rPr>
                      <w:rFonts w:hint="default"/>
                      <w:b w:val="0"/>
                      <w:color w:val="000000"/>
                      <w:lang w:val="en-US" w:eastAsia="zh-CN"/>
                    </w:rPr>
                  </w:pPr>
                </w:p>
              </w:tc>
              <w:tc>
                <w:tcPr>
                  <w:tcW w:w="2651" w:type="pct"/>
                  <w:tcBorders>
                    <w:tl2br w:val="nil"/>
                    <w:tr2bl w:val="nil"/>
                  </w:tcBorders>
                  <w:shd w:val="clear" w:color="auto" w:fill="auto"/>
                  <w:noWrap w:val="0"/>
                  <w:vAlign w:val="center"/>
                </w:tcPr>
                <w:p w14:paraId="56E699DB">
                  <w:pPr>
                    <w:pStyle w:val="17"/>
                    <w:bidi w:val="0"/>
                    <w:jc w:val="both"/>
                    <w:rPr>
                      <w:rFonts w:hint="default"/>
                      <w:b w:val="0"/>
                      <w:color w:val="000000"/>
                      <w:lang w:val="en-US" w:eastAsia="zh-CN"/>
                    </w:rPr>
                  </w:pPr>
                  <w:r>
                    <w:rPr>
                      <w:rFonts w:hint="default"/>
                      <w:b w:val="0"/>
                      <w:color w:val="000000"/>
                      <w:lang w:val="en-US"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638" w:type="pct"/>
                  <w:tcBorders>
                    <w:tl2br w:val="nil"/>
                    <w:tr2bl w:val="nil"/>
                  </w:tcBorders>
                  <w:shd w:val="clear" w:color="auto" w:fill="auto"/>
                  <w:noWrap w:val="0"/>
                  <w:vAlign w:val="center"/>
                </w:tcPr>
                <w:p w14:paraId="1B52761F">
                  <w:pPr>
                    <w:pStyle w:val="17"/>
                    <w:bidi w:val="0"/>
                    <w:jc w:val="center"/>
                    <w:rPr>
                      <w:rFonts w:hint="default"/>
                      <w:b w:val="0"/>
                      <w:color w:val="000000"/>
                      <w:lang w:val="en-US" w:eastAsia="zh-CN"/>
                    </w:rPr>
                  </w:pPr>
                  <w:r>
                    <w:rPr>
                      <w:rFonts w:hint="eastAsia"/>
                      <w:b w:val="0"/>
                      <w:color w:val="000000"/>
                      <w:lang w:val="en-US" w:eastAsia="zh-CN"/>
                    </w:rPr>
                    <w:t>不涉及</w:t>
                  </w:r>
                </w:p>
              </w:tc>
            </w:tr>
            <w:tr w14:paraId="19314A87">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210" w:type="pct"/>
                  <w:vMerge w:val="restart"/>
                  <w:tcBorders>
                    <w:tl2br w:val="nil"/>
                    <w:tr2bl w:val="nil"/>
                  </w:tcBorders>
                  <w:shd w:val="clear" w:color="auto" w:fill="auto"/>
                  <w:noWrap w:val="0"/>
                  <w:vAlign w:val="center"/>
                </w:tcPr>
                <w:p w14:paraId="6DA7E500">
                  <w:pPr>
                    <w:pStyle w:val="17"/>
                    <w:bidi w:val="0"/>
                    <w:rPr>
                      <w:rFonts w:hint="default"/>
                      <w:b w:val="0"/>
                      <w:color w:val="000000"/>
                      <w:lang w:val="en-US" w:eastAsia="zh-CN"/>
                    </w:rPr>
                  </w:pPr>
                  <w:r>
                    <w:rPr>
                      <w:rFonts w:hint="default"/>
                      <w:b w:val="0"/>
                      <w:color w:val="000000"/>
                      <w:lang w:val="en-US" w:eastAsia="zh-CN"/>
                    </w:rPr>
                    <w:t>A4资源利用要求</w:t>
                  </w:r>
                </w:p>
              </w:tc>
              <w:tc>
                <w:tcPr>
                  <w:tcW w:w="499" w:type="pct"/>
                  <w:tcBorders>
                    <w:tl2br w:val="nil"/>
                    <w:tr2bl w:val="nil"/>
                  </w:tcBorders>
                  <w:shd w:val="clear" w:color="auto" w:fill="auto"/>
                  <w:noWrap w:val="0"/>
                  <w:vAlign w:val="center"/>
                </w:tcPr>
                <w:p w14:paraId="7A488DF3">
                  <w:pPr>
                    <w:pStyle w:val="17"/>
                    <w:bidi w:val="0"/>
                    <w:rPr>
                      <w:rFonts w:hint="default"/>
                      <w:b w:val="0"/>
                      <w:color w:val="000000"/>
                      <w:lang w:val="en-US" w:eastAsia="zh-CN"/>
                    </w:rPr>
                  </w:pPr>
                  <w:r>
                    <w:rPr>
                      <w:rFonts w:hint="default"/>
                      <w:b w:val="0"/>
                      <w:color w:val="000000"/>
                      <w:lang w:val="en-US" w:eastAsia="zh-CN"/>
                    </w:rPr>
                    <w:t>A4.1水资源</w:t>
                  </w:r>
                </w:p>
              </w:tc>
              <w:tc>
                <w:tcPr>
                  <w:tcW w:w="2651" w:type="pct"/>
                  <w:tcBorders>
                    <w:tl2br w:val="nil"/>
                    <w:tr2bl w:val="nil"/>
                  </w:tcBorders>
                  <w:shd w:val="clear" w:color="auto" w:fill="auto"/>
                  <w:noWrap w:val="0"/>
                  <w:vAlign w:val="center"/>
                </w:tcPr>
                <w:p w14:paraId="3760E604">
                  <w:pPr>
                    <w:pStyle w:val="17"/>
                    <w:bidi w:val="0"/>
                    <w:jc w:val="both"/>
                    <w:rPr>
                      <w:rFonts w:hint="default"/>
                      <w:b w:val="0"/>
                      <w:color w:val="000000"/>
                      <w:lang w:val="en-US" w:eastAsia="zh-CN"/>
                    </w:rPr>
                  </w:pPr>
                  <w:r>
                    <w:rPr>
                      <w:rFonts w:hint="default"/>
                      <w:b w:val="0"/>
                      <w:color w:val="000000"/>
                      <w:lang w:val="en-US" w:eastAsia="zh-CN"/>
                    </w:rPr>
                    <w:t>〔A4.1-2〕加大城镇污水再生利用工程建设力度，推进区域再生水循环利用，到2025年，城市生活污水再生利用率力争达到60%。</w:t>
                  </w:r>
                </w:p>
                <w:p w14:paraId="3CFDEBD9">
                  <w:pPr>
                    <w:pStyle w:val="17"/>
                    <w:bidi w:val="0"/>
                    <w:jc w:val="both"/>
                    <w:rPr>
                      <w:rFonts w:hint="default"/>
                      <w:b w:val="0"/>
                      <w:color w:val="000000"/>
                      <w:lang w:val="en-US" w:eastAsia="zh-CN"/>
                    </w:rPr>
                  </w:pPr>
                  <w:r>
                    <w:rPr>
                      <w:rFonts w:hint="default"/>
                      <w:b w:val="0"/>
                      <w:color w:val="000000"/>
                      <w:lang w:val="en-US" w:eastAsia="zh-CN"/>
                    </w:rPr>
                    <w:t>〔A4.1-3〕加强农村水利基础设施建设，推进农村供水保障工程，农村自来水普及率、集中供水率分别达到99.3%、99.7%。</w:t>
                  </w:r>
                </w:p>
              </w:tc>
              <w:tc>
                <w:tcPr>
                  <w:tcW w:w="1638" w:type="pct"/>
                  <w:tcBorders>
                    <w:tl2br w:val="nil"/>
                    <w:tr2bl w:val="nil"/>
                  </w:tcBorders>
                  <w:shd w:val="clear" w:color="auto" w:fill="auto"/>
                  <w:noWrap w:val="0"/>
                  <w:vAlign w:val="center"/>
                </w:tcPr>
                <w:p w14:paraId="4FFFF6D6">
                  <w:pPr>
                    <w:pStyle w:val="17"/>
                    <w:bidi w:val="0"/>
                    <w:jc w:val="center"/>
                    <w:rPr>
                      <w:rFonts w:hint="default"/>
                      <w:b w:val="0"/>
                      <w:color w:val="000000"/>
                      <w:lang w:val="en-US" w:eastAsia="zh-CN"/>
                    </w:rPr>
                  </w:pPr>
                  <w:r>
                    <w:rPr>
                      <w:rFonts w:hint="eastAsia"/>
                      <w:b w:val="0"/>
                      <w:color w:val="000000"/>
                      <w:lang w:val="en-US" w:eastAsia="zh-CN"/>
                    </w:rPr>
                    <w:t>不涉及</w:t>
                  </w:r>
                </w:p>
              </w:tc>
            </w:tr>
            <w:tr w14:paraId="08D77EE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10" w:type="pct"/>
                  <w:vMerge w:val="continue"/>
                  <w:tcBorders>
                    <w:tl2br w:val="nil"/>
                    <w:tr2bl w:val="nil"/>
                  </w:tcBorders>
                  <w:shd w:val="clear" w:color="auto" w:fill="auto"/>
                  <w:noWrap w:val="0"/>
                  <w:vAlign w:val="center"/>
                </w:tcPr>
                <w:p w14:paraId="398C954E">
                  <w:pPr>
                    <w:pStyle w:val="17"/>
                    <w:bidi w:val="0"/>
                    <w:rPr>
                      <w:rFonts w:hint="default"/>
                      <w:b w:val="0"/>
                      <w:color w:val="000000"/>
                      <w:lang w:val="en-US" w:eastAsia="zh-CN"/>
                    </w:rPr>
                  </w:pPr>
                </w:p>
              </w:tc>
              <w:tc>
                <w:tcPr>
                  <w:tcW w:w="499" w:type="pct"/>
                  <w:tcBorders>
                    <w:tl2br w:val="nil"/>
                    <w:tr2bl w:val="nil"/>
                  </w:tcBorders>
                  <w:shd w:val="clear" w:color="auto" w:fill="auto"/>
                  <w:noWrap w:val="0"/>
                  <w:vAlign w:val="center"/>
                </w:tcPr>
                <w:p w14:paraId="3EE4D645">
                  <w:pPr>
                    <w:pStyle w:val="17"/>
                    <w:bidi w:val="0"/>
                    <w:rPr>
                      <w:rFonts w:hint="default"/>
                      <w:b w:val="0"/>
                      <w:color w:val="000000"/>
                      <w:lang w:val="en-US" w:eastAsia="zh-CN"/>
                    </w:rPr>
                  </w:pPr>
                  <w:r>
                    <w:rPr>
                      <w:rFonts w:hint="default"/>
                      <w:b w:val="0"/>
                      <w:color w:val="000000"/>
                      <w:lang w:val="en-US" w:eastAsia="zh-CN"/>
                    </w:rPr>
                    <w:t>A4.2土地资源</w:t>
                  </w:r>
                </w:p>
              </w:tc>
              <w:tc>
                <w:tcPr>
                  <w:tcW w:w="2651" w:type="pct"/>
                  <w:tcBorders>
                    <w:tl2br w:val="nil"/>
                    <w:tr2bl w:val="nil"/>
                  </w:tcBorders>
                  <w:shd w:val="clear" w:color="auto" w:fill="auto"/>
                  <w:noWrap w:val="0"/>
                  <w:vAlign w:val="center"/>
                </w:tcPr>
                <w:p w14:paraId="2A8B7888">
                  <w:pPr>
                    <w:pStyle w:val="17"/>
                    <w:bidi w:val="0"/>
                    <w:jc w:val="both"/>
                    <w:rPr>
                      <w:rFonts w:hint="default"/>
                      <w:b w:val="0"/>
                      <w:color w:val="000000"/>
                      <w:lang w:val="en-US" w:eastAsia="zh-CN"/>
                    </w:rPr>
                  </w:pPr>
                  <w:r>
                    <w:rPr>
                      <w:rFonts w:hint="default"/>
                      <w:b w:val="0"/>
                      <w:color w:val="000000"/>
                      <w:lang w:val="en-US" w:eastAsia="zh-CN"/>
                    </w:rPr>
                    <w:t>〔A4.2-1〕土地资源上线指标控制在最终批复的国土空间规划控制指标内。</w:t>
                  </w:r>
                </w:p>
              </w:tc>
              <w:tc>
                <w:tcPr>
                  <w:tcW w:w="1638" w:type="pct"/>
                  <w:tcBorders>
                    <w:tl2br w:val="nil"/>
                    <w:tr2bl w:val="nil"/>
                  </w:tcBorders>
                  <w:shd w:val="clear" w:color="auto" w:fill="auto"/>
                  <w:noWrap w:val="0"/>
                  <w:vAlign w:val="center"/>
                </w:tcPr>
                <w:p w14:paraId="6E2BD7B5">
                  <w:pPr>
                    <w:pStyle w:val="17"/>
                    <w:bidi w:val="0"/>
                    <w:jc w:val="both"/>
                    <w:rPr>
                      <w:rFonts w:hint="default"/>
                      <w:b w:val="0"/>
                      <w:color w:val="000000"/>
                      <w:lang w:val="en-US" w:eastAsia="zh-CN"/>
                    </w:rPr>
                  </w:pPr>
                  <w:r>
                    <w:rPr>
                      <w:rFonts w:hint="default"/>
                      <w:b w:val="0"/>
                      <w:color w:val="000000"/>
                      <w:lang w:val="en-US" w:eastAsia="zh-CN"/>
                    </w:rPr>
                    <w:t>符合，本项目</w:t>
                  </w:r>
                  <w:r>
                    <w:rPr>
                      <w:rFonts w:hint="eastAsia"/>
                      <w:b w:val="0"/>
                      <w:color w:val="000000"/>
                      <w:lang w:val="en-US" w:eastAsia="zh-CN"/>
                    </w:rPr>
                    <w:t>符合</w:t>
                  </w:r>
                  <w:r>
                    <w:rPr>
                      <w:rFonts w:hint="eastAsia"/>
                    </w:rPr>
                    <w:t>《轮台县国土空间总体规划（2021—2035年）》</w:t>
                  </w:r>
                  <w:r>
                    <w:rPr>
                      <w:rFonts w:hint="eastAsia"/>
                      <w:lang w:val="en-US" w:eastAsia="zh-CN"/>
                    </w:rPr>
                    <w:t>相关要求</w:t>
                  </w:r>
                  <w:r>
                    <w:rPr>
                      <w:rFonts w:hint="default"/>
                      <w:b w:val="0"/>
                      <w:color w:val="000000"/>
                      <w:lang w:val="en-US" w:eastAsia="zh-CN"/>
                    </w:rPr>
                    <w:t>。</w:t>
                  </w:r>
                </w:p>
              </w:tc>
            </w:tr>
          </w:tbl>
          <w:p w14:paraId="6762D94D">
            <w:pPr>
              <w:bidi w:val="0"/>
              <w:rPr>
                <w:rFonts w:hint="eastAsia"/>
                <w:lang w:eastAsia="zh-CN"/>
              </w:rPr>
            </w:pPr>
            <w:r>
              <w:rPr>
                <w:rFonts w:hint="eastAsia"/>
                <w:lang w:val="en-US" w:eastAsia="zh-CN"/>
              </w:rPr>
              <w:t>综上所述，本项目符合《新疆维吾尔自治区生态环境分区管控动态更新成果》的相关管控要求</w:t>
            </w:r>
            <w:r>
              <w:rPr>
                <w:rFonts w:hint="eastAsia"/>
                <w:lang w:eastAsia="zh-CN"/>
              </w:rPr>
              <w:t>。</w:t>
            </w:r>
          </w:p>
          <w:p w14:paraId="58C372EB">
            <w:pPr>
              <w:bidi w:val="0"/>
              <w:rPr>
                <w:rFonts w:hint="eastAsia"/>
                <w:lang w:eastAsia="zh-CN"/>
              </w:rPr>
            </w:pPr>
            <w:r>
              <w:rPr>
                <w:rFonts w:hint="eastAsia"/>
                <w:lang w:val="en-US" w:eastAsia="zh-CN"/>
              </w:rPr>
              <w:t>本项目与</w:t>
            </w:r>
            <w:r>
              <w:rPr>
                <w:rFonts w:hint="eastAsia"/>
              </w:rPr>
              <w:t>《新疆维吾尔自治区七大片区</w:t>
            </w:r>
            <w:r>
              <w:rPr>
                <w:rFonts w:hint="eastAsia"/>
                <w:lang w:eastAsia="zh-CN"/>
              </w:rPr>
              <w:t>“</w:t>
            </w:r>
            <w:r>
              <w:rPr>
                <w:rFonts w:hint="eastAsia"/>
              </w:rPr>
              <w:t>三线一单</w:t>
            </w:r>
            <w:r>
              <w:rPr>
                <w:rFonts w:hint="eastAsia"/>
                <w:lang w:eastAsia="zh-CN"/>
              </w:rPr>
              <w:t>”</w:t>
            </w:r>
            <w:r>
              <w:rPr>
                <w:rFonts w:hint="eastAsia"/>
              </w:rPr>
              <w:t>生态环境分区管控要求（2021年版）》（新环环评发〔2021〕162号）</w:t>
            </w:r>
            <w:r>
              <w:rPr>
                <w:rFonts w:hint="eastAsia"/>
                <w:lang w:val="en-US" w:eastAsia="zh-CN"/>
              </w:rPr>
              <w:t>符合性分析见表1-2</w:t>
            </w:r>
            <w:r>
              <w:rPr>
                <w:rFonts w:hint="eastAsia"/>
                <w:lang w:eastAsia="zh-CN"/>
              </w:rPr>
              <w:t>。</w:t>
            </w:r>
          </w:p>
          <w:p w14:paraId="59E4C411">
            <w:pPr>
              <w:pStyle w:val="13"/>
              <w:bidi w:val="0"/>
              <w:rPr>
                <w:rFonts w:hint="eastAsia"/>
                <w:lang w:val="en-US" w:eastAsia="zh-CN"/>
              </w:rPr>
            </w:pPr>
            <w:r>
              <w:rPr>
                <w:rFonts w:hint="default"/>
                <w:lang w:val="en-US" w:eastAsia="zh-CN"/>
              </w:rPr>
              <w:t>表</w:t>
            </w:r>
            <w:r>
              <w:rPr>
                <w:rFonts w:hint="eastAsia"/>
                <w:lang w:val="en-US" w:eastAsia="zh-CN"/>
              </w:rPr>
              <w:t xml:space="preserve">1-2  </w:t>
            </w:r>
            <w:r>
              <w:rPr>
                <w:rFonts w:hint="default"/>
                <w:lang w:val="en-US" w:eastAsia="zh-CN"/>
              </w:rPr>
              <w:t>新疆维吾尔自治区七大片区</w:t>
            </w:r>
            <w:r>
              <w:rPr>
                <w:rFonts w:hint="eastAsia"/>
                <w:lang w:val="en-US" w:eastAsia="zh-CN"/>
              </w:rPr>
              <w:t>“</w:t>
            </w:r>
            <w:r>
              <w:rPr>
                <w:rFonts w:hint="default"/>
                <w:lang w:val="en-US" w:eastAsia="zh-CN"/>
              </w:rPr>
              <w:t>三线一单</w:t>
            </w:r>
            <w:r>
              <w:rPr>
                <w:rFonts w:hint="eastAsia"/>
                <w:lang w:val="en-US" w:eastAsia="zh-CN"/>
              </w:rPr>
              <w:t>”</w:t>
            </w:r>
            <w:r>
              <w:rPr>
                <w:rFonts w:hint="default"/>
                <w:lang w:val="en-US" w:eastAsia="zh-CN"/>
              </w:rPr>
              <w:t>分析</w:t>
            </w:r>
          </w:p>
          <w:tbl>
            <w:tblPr>
              <w:tblStyle w:val="43"/>
              <w:tblW w:w="4997"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55"/>
              <w:gridCol w:w="3659"/>
              <w:gridCol w:w="2735"/>
            </w:tblGrid>
            <w:tr w14:paraId="0CA3299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blHeader/>
                <w:jc w:val="center"/>
              </w:trPr>
              <w:tc>
                <w:tcPr>
                  <w:tcW w:w="528" w:type="pct"/>
                  <w:tcBorders>
                    <w:tl2br w:val="nil"/>
                    <w:tr2bl w:val="nil"/>
                  </w:tcBorders>
                  <w:shd w:val="clear" w:color="auto" w:fill="auto"/>
                  <w:noWrap w:val="0"/>
                  <w:vAlign w:val="center"/>
                </w:tcPr>
                <w:p w14:paraId="35B5777F">
                  <w:pPr>
                    <w:pStyle w:val="5"/>
                    <w:bidi w:val="0"/>
                    <w:rPr>
                      <w:rFonts w:hint="default"/>
                      <w:b/>
                      <w:bCs w:val="0"/>
                      <w:color w:val="000000"/>
                      <w:lang w:val="en-US" w:eastAsia="zh-CN"/>
                    </w:rPr>
                  </w:pPr>
                  <w:r>
                    <w:rPr>
                      <w:rFonts w:hint="default"/>
                      <w:b/>
                      <w:bCs w:val="0"/>
                      <w:color w:val="000000"/>
                      <w:lang w:val="en-US" w:eastAsia="zh-CN"/>
                    </w:rPr>
                    <w:t>管控类别</w:t>
                  </w:r>
                </w:p>
              </w:tc>
              <w:tc>
                <w:tcPr>
                  <w:tcW w:w="2558" w:type="pct"/>
                  <w:tcBorders>
                    <w:tl2br w:val="nil"/>
                    <w:tr2bl w:val="nil"/>
                  </w:tcBorders>
                  <w:shd w:val="clear" w:color="auto" w:fill="auto"/>
                  <w:noWrap w:val="0"/>
                  <w:vAlign w:val="center"/>
                </w:tcPr>
                <w:p w14:paraId="655706CB">
                  <w:pPr>
                    <w:pStyle w:val="5"/>
                    <w:bidi w:val="0"/>
                    <w:rPr>
                      <w:rFonts w:hint="default"/>
                      <w:b/>
                      <w:bCs w:val="0"/>
                      <w:color w:val="000000"/>
                      <w:lang w:val="en-US" w:eastAsia="zh-CN"/>
                    </w:rPr>
                  </w:pPr>
                  <w:r>
                    <w:rPr>
                      <w:rFonts w:hint="default"/>
                      <w:b/>
                      <w:bCs w:val="0"/>
                      <w:color w:val="000000"/>
                      <w:lang w:val="en-US" w:eastAsia="zh-CN"/>
                    </w:rPr>
                    <w:t>管控要求</w:t>
                  </w:r>
                </w:p>
              </w:tc>
              <w:tc>
                <w:tcPr>
                  <w:tcW w:w="1912" w:type="pct"/>
                  <w:tcBorders>
                    <w:tl2br w:val="nil"/>
                    <w:tr2bl w:val="nil"/>
                  </w:tcBorders>
                  <w:shd w:val="clear" w:color="auto" w:fill="auto"/>
                  <w:noWrap w:val="0"/>
                  <w:vAlign w:val="center"/>
                </w:tcPr>
                <w:p w14:paraId="1D5694CF">
                  <w:pPr>
                    <w:pStyle w:val="5"/>
                    <w:bidi w:val="0"/>
                    <w:rPr>
                      <w:rFonts w:hint="default"/>
                      <w:b/>
                      <w:bCs w:val="0"/>
                      <w:color w:val="000000"/>
                      <w:lang w:val="en-US" w:eastAsia="zh-CN"/>
                    </w:rPr>
                  </w:pPr>
                  <w:r>
                    <w:rPr>
                      <w:rFonts w:hint="default"/>
                      <w:b/>
                      <w:bCs w:val="0"/>
                      <w:color w:val="000000"/>
                      <w:lang w:val="en-US" w:eastAsia="zh-CN"/>
                    </w:rPr>
                    <w:t>符合性分析</w:t>
                  </w:r>
                </w:p>
              </w:tc>
            </w:tr>
            <w:tr w14:paraId="480D6FC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restart"/>
                  <w:tcBorders>
                    <w:tl2br w:val="nil"/>
                    <w:tr2bl w:val="nil"/>
                  </w:tcBorders>
                  <w:shd w:val="clear" w:color="auto" w:fill="auto"/>
                  <w:noWrap w:val="0"/>
                  <w:vAlign w:val="center"/>
                </w:tcPr>
                <w:p w14:paraId="03C11F9B">
                  <w:pPr>
                    <w:pStyle w:val="5"/>
                    <w:bidi w:val="0"/>
                    <w:rPr>
                      <w:rFonts w:hint="default"/>
                      <w:b w:val="0"/>
                      <w:color w:val="000000"/>
                      <w:lang w:val="en-US" w:eastAsia="zh-CN"/>
                    </w:rPr>
                  </w:pPr>
                  <w:r>
                    <w:rPr>
                      <w:rFonts w:hint="default"/>
                      <w:b w:val="0"/>
                      <w:color w:val="000000"/>
                      <w:lang w:val="en-US" w:eastAsia="zh-CN"/>
                    </w:rPr>
                    <w:t>空间布局约束</w:t>
                  </w:r>
                </w:p>
              </w:tc>
              <w:tc>
                <w:tcPr>
                  <w:tcW w:w="2558" w:type="pct"/>
                  <w:tcBorders>
                    <w:tl2br w:val="nil"/>
                    <w:tr2bl w:val="nil"/>
                  </w:tcBorders>
                  <w:shd w:val="clear" w:color="auto" w:fill="auto"/>
                  <w:noWrap w:val="0"/>
                  <w:vAlign w:val="center"/>
                </w:tcPr>
                <w:p w14:paraId="53592B7F">
                  <w:pPr>
                    <w:pStyle w:val="5"/>
                    <w:bidi w:val="0"/>
                    <w:jc w:val="left"/>
                    <w:rPr>
                      <w:rFonts w:hint="default"/>
                      <w:b w:val="0"/>
                      <w:color w:val="000000"/>
                      <w:lang w:val="en-US" w:eastAsia="zh-CN"/>
                    </w:rPr>
                  </w:pPr>
                  <w:r>
                    <w:rPr>
                      <w:rFonts w:hint="default"/>
                      <w:b w:val="0"/>
                      <w:color w:val="000000"/>
                      <w:lang w:val="en-US" w:eastAsia="zh-CN"/>
                    </w:rPr>
                    <w:t>严格执行国家、自治区产业政策和环境准入要求，严禁</w:t>
                  </w:r>
                  <w:r>
                    <w:rPr>
                      <w:rFonts w:hint="eastAsia"/>
                      <w:b w:val="0"/>
                      <w:color w:val="000000"/>
                      <w:lang w:val="en-US" w:eastAsia="zh-CN"/>
                    </w:rPr>
                    <w:t>“</w:t>
                  </w:r>
                  <w:r>
                    <w:rPr>
                      <w:rFonts w:hint="default"/>
                      <w:b w:val="0"/>
                      <w:color w:val="000000"/>
                      <w:lang w:val="en-US" w:eastAsia="zh-CN"/>
                    </w:rPr>
                    <w:t>三高</w:t>
                  </w:r>
                  <w:r>
                    <w:rPr>
                      <w:rFonts w:hint="eastAsia"/>
                      <w:b w:val="0"/>
                      <w:color w:val="000000"/>
                      <w:lang w:val="en-US" w:eastAsia="zh-CN"/>
                    </w:rPr>
                    <w:t>”</w:t>
                  </w:r>
                  <w:r>
                    <w:rPr>
                      <w:rFonts w:hint="default"/>
                      <w:b w:val="0"/>
                      <w:color w:val="000000"/>
                      <w:lang w:val="en-US" w:eastAsia="zh-CN"/>
                    </w:rPr>
                    <w:t>项目进新疆，坚决遏制</w:t>
                  </w:r>
                  <w:r>
                    <w:rPr>
                      <w:rFonts w:hint="eastAsia"/>
                      <w:b w:val="0"/>
                      <w:color w:val="000000"/>
                      <w:lang w:val="en-US" w:eastAsia="zh-CN"/>
                    </w:rPr>
                    <w:t>“</w:t>
                  </w:r>
                  <w:r>
                    <w:rPr>
                      <w:rFonts w:hint="default"/>
                      <w:b w:val="0"/>
                      <w:color w:val="000000"/>
                      <w:lang w:val="en-US" w:eastAsia="zh-CN"/>
                    </w:rPr>
                    <w:t>两高</w:t>
                  </w:r>
                  <w:r>
                    <w:rPr>
                      <w:rFonts w:hint="eastAsia"/>
                      <w:b w:val="0"/>
                      <w:color w:val="000000"/>
                      <w:lang w:val="en-US" w:eastAsia="zh-CN"/>
                    </w:rPr>
                    <w:t>”</w:t>
                  </w:r>
                  <w:r>
                    <w:rPr>
                      <w:rFonts w:hint="default"/>
                      <w:b w:val="0"/>
                      <w:color w:val="000000"/>
                      <w:lang w:val="en-US" w:eastAsia="zh-CN"/>
                    </w:rPr>
                    <w:t>项目盲目发展。</w:t>
                  </w:r>
                </w:p>
              </w:tc>
              <w:tc>
                <w:tcPr>
                  <w:tcW w:w="1912" w:type="pct"/>
                  <w:tcBorders>
                    <w:tl2br w:val="nil"/>
                    <w:tr2bl w:val="nil"/>
                  </w:tcBorders>
                  <w:shd w:val="clear" w:color="auto" w:fill="auto"/>
                  <w:noWrap w:val="0"/>
                  <w:vAlign w:val="center"/>
                </w:tcPr>
                <w:p w14:paraId="5B09965E">
                  <w:pPr>
                    <w:pStyle w:val="5"/>
                    <w:bidi w:val="0"/>
                    <w:jc w:val="both"/>
                    <w:rPr>
                      <w:rFonts w:hint="default"/>
                      <w:b w:val="0"/>
                      <w:color w:val="000000"/>
                      <w:lang w:val="en-US" w:eastAsia="zh-CN"/>
                    </w:rPr>
                  </w:pPr>
                  <w:r>
                    <w:rPr>
                      <w:rFonts w:hint="default"/>
                      <w:b w:val="0"/>
                      <w:color w:val="000000"/>
                      <w:lang w:val="en-US" w:eastAsia="zh-CN"/>
                    </w:rPr>
                    <w:t>符合，本项目属于《产业结构调整指导目录（</w:t>
                  </w:r>
                  <w:r>
                    <w:rPr>
                      <w:rFonts w:hint="eastAsia"/>
                      <w:b w:val="0"/>
                      <w:color w:val="000000"/>
                      <w:lang w:val="en-US" w:eastAsia="zh-CN"/>
                    </w:rPr>
                    <w:t>2024</w:t>
                  </w:r>
                  <w:r>
                    <w:rPr>
                      <w:rFonts w:hint="default"/>
                      <w:b w:val="0"/>
                      <w:color w:val="000000"/>
                      <w:lang w:val="en-US" w:eastAsia="zh-CN"/>
                    </w:rPr>
                    <w:t>年本）》</w:t>
                  </w:r>
                  <w:r>
                    <w:rPr>
                      <w:rFonts w:hint="eastAsia"/>
                      <w:b w:val="0"/>
                      <w:color w:val="000000"/>
                      <w:lang w:val="en-US" w:eastAsia="zh-CN"/>
                    </w:rPr>
                    <w:t>鼓励类</w:t>
                  </w:r>
                  <w:r>
                    <w:rPr>
                      <w:rFonts w:hint="default"/>
                      <w:b w:val="0"/>
                      <w:color w:val="000000"/>
                      <w:lang w:val="en-US" w:eastAsia="zh-CN"/>
                    </w:rPr>
                    <w:t>，不属于《市场准入负面清单（202</w:t>
                  </w:r>
                  <w:r>
                    <w:rPr>
                      <w:rFonts w:hint="eastAsia"/>
                      <w:b w:val="0"/>
                      <w:color w:val="000000"/>
                      <w:lang w:val="en-US" w:eastAsia="zh-CN"/>
                    </w:rPr>
                    <w:t>5</w:t>
                  </w:r>
                  <w:r>
                    <w:rPr>
                      <w:rFonts w:hint="default"/>
                      <w:b w:val="0"/>
                      <w:color w:val="000000"/>
                      <w:lang w:val="en-US" w:eastAsia="zh-CN"/>
                    </w:rPr>
                    <w:t>年版）》禁止准入事项，不属于</w:t>
                  </w:r>
                  <w:r>
                    <w:rPr>
                      <w:rFonts w:hint="eastAsia"/>
                      <w:b w:val="0"/>
                      <w:color w:val="000000"/>
                      <w:lang w:val="en-US" w:eastAsia="zh-CN"/>
                    </w:rPr>
                    <w:t>“</w:t>
                  </w:r>
                  <w:r>
                    <w:rPr>
                      <w:rFonts w:hint="default"/>
                      <w:b w:val="0"/>
                      <w:color w:val="000000"/>
                      <w:lang w:val="en-US" w:eastAsia="zh-CN"/>
                    </w:rPr>
                    <w:t>三高</w:t>
                  </w:r>
                  <w:r>
                    <w:rPr>
                      <w:rFonts w:hint="eastAsia"/>
                      <w:b w:val="0"/>
                      <w:color w:val="000000"/>
                      <w:lang w:val="en-US" w:eastAsia="zh-CN"/>
                    </w:rPr>
                    <w:t>”</w:t>
                  </w:r>
                  <w:r>
                    <w:rPr>
                      <w:rFonts w:hint="default"/>
                      <w:b w:val="0"/>
                      <w:color w:val="000000"/>
                      <w:lang w:val="en-US" w:eastAsia="zh-CN"/>
                    </w:rPr>
                    <w:t>项目。</w:t>
                  </w:r>
                </w:p>
              </w:tc>
            </w:tr>
            <w:tr w14:paraId="2F2F46E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center"/>
                </w:tcPr>
                <w:p w14:paraId="06828B04">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25B764B5">
                  <w:pPr>
                    <w:pStyle w:val="5"/>
                    <w:bidi w:val="0"/>
                    <w:jc w:val="left"/>
                    <w:rPr>
                      <w:rFonts w:hint="default"/>
                      <w:b w:val="0"/>
                      <w:color w:val="000000"/>
                      <w:lang w:val="en-US" w:eastAsia="zh-CN"/>
                    </w:rPr>
                  </w:pPr>
                  <w:r>
                    <w:rPr>
                      <w:rFonts w:hint="default"/>
                      <w:b w:val="0"/>
                      <w:color w:val="000000"/>
                      <w:lang w:val="en-US" w:eastAsia="zh-CN"/>
                    </w:rPr>
                    <w:t>不得在水源涵养区、饮用水水源保护区内和河流、湖泊、水库周围建设重化工、涉重金属等工业污染项目。</w:t>
                  </w:r>
                </w:p>
              </w:tc>
              <w:tc>
                <w:tcPr>
                  <w:tcW w:w="1912" w:type="pct"/>
                  <w:tcBorders>
                    <w:tl2br w:val="nil"/>
                    <w:tr2bl w:val="nil"/>
                  </w:tcBorders>
                  <w:shd w:val="clear" w:color="auto" w:fill="auto"/>
                  <w:noWrap w:val="0"/>
                  <w:vAlign w:val="center"/>
                </w:tcPr>
                <w:p w14:paraId="472BD432">
                  <w:pPr>
                    <w:pStyle w:val="5"/>
                    <w:bidi w:val="0"/>
                    <w:jc w:val="center"/>
                    <w:rPr>
                      <w:rFonts w:hint="default"/>
                      <w:b w:val="0"/>
                      <w:color w:val="000000"/>
                      <w:lang w:val="en-US" w:eastAsia="zh-CN"/>
                    </w:rPr>
                  </w:pPr>
                  <w:r>
                    <w:rPr>
                      <w:rFonts w:hint="eastAsia"/>
                      <w:b w:val="0"/>
                      <w:color w:val="000000"/>
                      <w:lang w:val="en-US" w:eastAsia="zh-CN"/>
                    </w:rPr>
                    <w:t>不涉及</w:t>
                  </w:r>
                </w:p>
              </w:tc>
            </w:tr>
            <w:tr w14:paraId="30F7956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center"/>
                </w:tcPr>
                <w:p w14:paraId="7AFE98AC">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5C8AFEDB">
                  <w:pPr>
                    <w:pStyle w:val="5"/>
                    <w:bidi w:val="0"/>
                    <w:jc w:val="left"/>
                    <w:rPr>
                      <w:rFonts w:hint="default"/>
                      <w:b w:val="0"/>
                      <w:color w:val="000000"/>
                      <w:lang w:val="en-US" w:eastAsia="zh-CN"/>
                    </w:rPr>
                  </w:pPr>
                  <w:r>
                    <w:rPr>
                      <w:rFonts w:hint="default"/>
                      <w:b w:val="0"/>
                      <w:color w:val="000000"/>
                      <w:lang w:val="en-US" w:eastAsia="zh-CN"/>
                    </w:rPr>
                    <w:t>推动项目集聚发展，新建、改建、扩建工业项目原则上应</w:t>
                  </w:r>
                  <w:r>
                    <w:rPr>
                      <w:rFonts w:hint="eastAsia"/>
                      <w:b w:val="0"/>
                      <w:color w:val="000000"/>
                      <w:lang w:val="en-US" w:eastAsia="zh-CN"/>
                    </w:rPr>
                    <w:t>布置</w:t>
                  </w:r>
                  <w:r>
                    <w:rPr>
                      <w:rFonts w:hint="default"/>
                      <w:b w:val="0"/>
                      <w:color w:val="000000"/>
                      <w:lang w:val="en-US" w:eastAsia="zh-CN"/>
                    </w:rPr>
                    <w:t>由县级及以上人民政府批准建立、环境保护基础设施完善的产业园区、工业聚集区或规划矿区，并且符合相关规划和规划环评要求。</w:t>
                  </w:r>
                </w:p>
              </w:tc>
              <w:tc>
                <w:tcPr>
                  <w:tcW w:w="1912" w:type="pct"/>
                  <w:tcBorders>
                    <w:tl2br w:val="nil"/>
                    <w:tr2bl w:val="nil"/>
                  </w:tcBorders>
                  <w:shd w:val="clear" w:color="auto" w:fill="auto"/>
                  <w:noWrap w:val="0"/>
                  <w:vAlign w:val="center"/>
                </w:tcPr>
                <w:p w14:paraId="7959A6B0">
                  <w:pPr>
                    <w:pStyle w:val="5"/>
                    <w:bidi w:val="0"/>
                    <w:jc w:val="both"/>
                    <w:rPr>
                      <w:rFonts w:hint="default"/>
                      <w:b w:val="0"/>
                      <w:color w:val="000000"/>
                      <w:lang w:val="en-US" w:eastAsia="zh-CN"/>
                    </w:rPr>
                  </w:pPr>
                  <w:r>
                    <w:rPr>
                      <w:rFonts w:hint="eastAsia"/>
                      <w:b w:val="0"/>
                      <w:color w:val="000000"/>
                      <w:lang w:val="en-US" w:eastAsia="zh-CN"/>
                    </w:rPr>
                    <w:t>符合，本项目位于轮台县阳霞矿区范围内，符合《新疆轮台县阳霞矿区总体规划》和《轮台县国土空间总体规划（2021—2035年）》</w:t>
                  </w:r>
                  <w:r>
                    <w:rPr>
                      <w:rFonts w:hint="default"/>
                      <w:b w:val="0"/>
                      <w:color w:val="000000"/>
                      <w:lang w:val="en-US" w:eastAsia="zh-CN"/>
                    </w:rPr>
                    <w:t>。</w:t>
                  </w:r>
                </w:p>
              </w:tc>
            </w:tr>
            <w:tr w14:paraId="10B2716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restart"/>
                  <w:tcBorders>
                    <w:tl2br w:val="nil"/>
                    <w:tr2bl w:val="nil"/>
                  </w:tcBorders>
                  <w:shd w:val="clear" w:color="auto" w:fill="auto"/>
                  <w:noWrap w:val="0"/>
                  <w:vAlign w:val="center"/>
                </w:tcPr>
                <w:p w14:paraId="6D312276">
                  <w:pPr>
                    <w:pStyle w:val="5"/>
                    <w:bidi w:val="0"/>
                    <w:rPr>
                      <w:rFonts w:hint="default"/>
                      <w:b w:val="0"/>
                      <w:color w:val="000000"/>
                      <w:lang w:val="en-US" w:eastAsia="zh-CN"/>
                    </w:rPr>
                  </w:pPr>
                  <w:r>
                    <w:rPr>
                      <w:rFonts w:hint="default"/>
                      <w:b w:val="0"/>
                      <w:color w:val="000000"/>
                      <w:lang w:val="en-US" w:eastAsia="zh-CN"/>
                    </w:rPr>
                    <w:t>污染物排放管控</w:t>
                  </w:r>
                </w:p>
              </w:tc>
              <w:tc>
                <w:tcPr>
                  <w:tcW w:w="2558" w:type="pct"/>
                  <w:tcBorders>
                    <w:tl2br w:val="nil"/>
                    <w:tr2bl w:val="nil"/>
                  </w:tcBorders>
                  <w:shd w:val="clear" w:color="auto" w:fill="auto"/>
                  <w:noWrap w:val="0"/>
                  <w:vAlign w:val="center"/>
                </w:tcPr>
                <w:p w14:paraId="22844782">
                  <w:pPr>
                    <w:pStyle w:val="5"/>
                    <w:bidi w:val="0"/>
                    <w:jc w:val="left"/>
                    <w:rPr>
                      <w:rFonts w:hint="default"/>
                      <w:b w:val="0"/>
                      <w:color w:val="000000"/>
                      <w:lang w:val="en-US" w:eastAsia="zh-CN"/>
                    </w:rPr>
                  </w:pPr>
                  <w:r>
                    <w:rPr>
                      <w:rFonts w:hint="default"/>
                      <w:b w:val="0"/>
                      <w:color w:val="000000"/>
                      <w:lang w:val="en-US" w:eastAsia="zh-CN"/>
                    </w:rPr>
                    <w:t>深化行业污染源头治理，深入开展火电行业减排，全力推进钢铁行业超低排放改造，有序推进石化行业</w:t>
                  </w:r>
                  <w:r>
                    <w:rPr>
                      <w:rFonts w:hint="eastAsia"/>
                      <w:b w:val="0"/>
                      <w:color w:val="000000"/>
                      <w:lang w:val="en-US" w:eastAsia="zh-CN"/>
                    </w:rPr>
                    <w:t>“</w:t>
                  </w:r>
                  <w:r>
                    <w:rPr>
                      <w:rFonts w:hint="default"/>
                      <w:b w:val="0"/>
                      <w:color w:val="000000"/>
                      <w:lang w:val="en-US" w:eastAsia="zh-CN"/>
                    </w:rPr>
                    <w:t>泄漏检测与修复</w:t>
                  </w:r>
                  <w:r>
                    <w:rPr>
                      <w:rFonts w:hint="eastAsia"/>
                      <w:b w:val="0"/>
                      <w:color w:val="000000"/>
                      <w:lang w:val="en-US" w:eastAsia="zh-CN"/>
                    </w:rPr>
                    <w:t>”</w:t>
                  </w:r>
                  <w:r>
                    <w:rPr>
                      <w:rFonts w:hint="default"/>
                      <w:b w:val="0"/>
                      <w:color w:val="000000"/>
                      <w:lang w:val="en-US" w:eastAsia="zh-CN"/>
                    </w:rPr>
                    <w:t>技术改造。强化煤化工、石化、有机化工、表面涂装、包装印刷等重点行业挥发性有机物控制。深入开展燃煤锅炉污染综合整治，深化工业炉窑综合治理。加强</w:t>
                  </w:r>
                  <w:r>
                    <w:rPr>
                      <w:rFonts w:hint="eastAsia"/>
                      <w:b w:val="0"/>
                      <w:color w:val="000000"/>
                      <w:lang w:val="en-US" w:eastAsia="zh-CN"/>
                    </w:rPr>
                    <w:t>“</w:t>
                  </w:r>
                  <w:r>
                    <w:rPr>
                      <w:rFonts w:hint="default"/>
                      <w:b w:val="0"/>
                      <w:color w:val="000000"/>
                      <w:lang w:val="en-US" w:eastAsia="zh-CN"/>
                    </w:rPr>
                    <w:t>散乱污</w:t>
                  </w:r>
                  <w:r>
                    <w:rPr>
                      <w:rFonts w:hint="eastAsia"/>
                      <w:b w:val="0"/>
                      <w:color w:val="000000"/>
                      <w:lang w:val="en-US" w:eastAsia="zh-CN"/>
                    </w:rPr>
                    <w:t>”</w:t>
                  </w:r>
                  <w:r>
                    <w:rPr>
                      <w:rFonts w:hint="default"/>
                      <w:b w:val="0"/>
                      <w:color w:val="000000"/>
                      <w:lang w:val="en-US" w:eastAsia="zh-CN"/>
                    </w:rPr>
                    <w:t>企业综合整治。优化区域交通运输结构，加快货物运输绿色转型，做好车油联合管控。</w:t>
                  </w:r>
                </w:p>
              </w:tc>
              <w:tc>
                <w:tcPr>
                  <w:tcW w:w="1912" w:type="pct"/>
                  <w:tcBorders>
                    <w:tl2br w:val="nil"/>
                    <w:tr2bl w:val="nil"/>
                  </w:tcBorders>
                  <w:shd w:val="clear" w:color="auto" w:fill="auto"/>
                  <w:noWrap w:val="0"/>
                  <w:vAlign w:val="center"/>
                </w:tcPr>
                <w:p w14:paraId="767ED232">
                  <w:pPr>
                    <w:pStyle w:val="5"/>
                    <w:bidi w:val="0"/>
                    <w:jc w:val="center"/>
                    <w:rPr>
                      <w:rFonts w:hint="default"/>
                      <w:b w:val="0"/>
                      <w:color w:val="000000"/>
                      <w:lang w:val="en-US" w:eastAsia="zh-CN"/>
                    </w:rPr>
                  </w:pPr>
                  <w:r>
                    <w:rPr>
                      <w:rFonts w:hint="eastAsia"/>
                      <w:b w:val="0"/>
                      <w:color w:val="000000"/>
                      <w:lang w:val="en-US" w:eastAsia="zh-CN"/>
                    </w:rPr>
                    <w:t>不涉及</w:t>
                  </w:r>
                </w:p>
              </w:tc>
            </w:tr>
            <w:tr w14:paraId="1F07CB0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center"/>
                </w:tcPr>
                <w:p w14:paraId="4BF0F48D">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3F66DAAA">
                  <w:pPr>
                    <w:pStyle w:val="5"/>
                    <w:bidi w:val="0"/>
                    <w:jc w:val="left"/>
                    <w:rPr>
                      <w:rFonts w:hint="default"/>
                      <w:b w:val="0"/>
                      <w:color w:val="000000"/>
                      <w:lang w:val="en-US" w:eastAsia="zh-CN"/>
                    </w:rPr>
                  </w:pPr>
                  <w:r>
                    <w:rPr>
                      <w:rFonts w:hint="default"/>
                      <w:b w:val="0"/>
                      <w:color w:val="000000"/>
                      <w:lang w:val="en-US" w:eastAsia="zh-CN"/>
                    </w:rPr>
                    <w:t>以改善流域水环境质量为核心，强化源头控制，</w:t>
                  </w:r>
                  <w:r>
                    <w:rPr>
                      <w:rFonts w:hint="eastAsia"/>
                      <w:b w:val="0"/>
                      <w:color w:val="000000"/>
                      <w:lang w:val="en-US" w:eastAsia="zh-CN"/>
                    </w:rPr>
                    <w:t>“</w:t>
                  </w:r>
                  <w:r>
                    <w:rPr>
                      <w:rFonts w:hint="default"/>
                      <w:b w:val="0"/>
                      <w:color w:val="000000"/>
                      <w:lang w:val="en-US" w:eastAsia="zh-CN"/>
                    </w:rPr>
                    <w:t>一河（湖）一策</w:t>
                  </w:r>
                  <w:r>
                    <w:rPr>
                      <w:rFonts w:hint="eastAsia"/>
                      <w:b w:val="0"/>
                      <w:color w:val="000000"/>
                      <w:lang w:val="en-US" w:eastAsia="zh-CN"/>
                    </w:rPr>
                    <w:t>”</w:t>
                  </w:r>
                  <w:r>
                    <w:rPr>
                      <w:rFonts w:hint="default"/>
                      <w:b w:val="0"/>
                      <w:color w:val="000000"/>
                      <w:lang w:val="en-US" w:eastAsia="zh-CN"/>
                    </w:rPr>
                    <w:t>精准施治，减少水污染物排放，持续改善水环境质量。强化园区（工业集聚区</w:t>
                  </w:r>
                  <w:r>
                    <w:rPr>
                      <w:rFonts w:hint="eastAsia"/>
                      <w:b w:val="0"/>
                      <w:color w:val="000000"/>
                      <w:lang w:val="en-US" w:eastAsia="zh-CN"/>
                    </w:rPr>
                    <w:t>）“</w:t>
                  </w:r>
                  <w:r>
                    <w:rPr>
                      <w:rFonts w:hint="default"/>
                      <w:b w:val="0"/>
                      <w:color w:val="000000"/>
                      <w:lang w:val="en-US" w:eastAsia="zh-CN"/>
                    </w:rPr>
                    <w:t>水污染防治，不断提高工业用水重复利用率。加快实施城镇污水处理设施提质增效，补齐生活污水收集和处理设施短板，提高再生水回用比例。持续推进农业农村污染防治。</w:t>
                  </w:r>
                </w:p>
              </w:tc>
              <w:tc>
                <w:tcPr>
                  <w:tcW w:w="1912" w:type="pct"/>
                  <w:tcBorders>
                    <w:tl2br w:val="nil"/>
                    <w:tr2bl w:val="nil"/>
                  </w:tcBorders>
                  <w:shd w:val="clear" w:color="auto" w:fill="auto"/>
                  <w:noWrap w:val="0"/>
                  <w:vAlign w:val="center"/>
                </w:tcPr>
                <w:p w14:paraId="0A42B5EE">
                  <w:pPr>
                    <w:pStyle w:val="5"/>
                    <w:bidi w:val="0"/>
                    <w:jc w:val="both"/>
                    <w:rPr>
                      <w:rFonts w:hint="default"/>
                      <w:b w:val="0"/>
                      <w:color w:val="000000"/>
                      <w:lang w:val="en-US" w:eastAsia="zh-CN"/>
                    </w:rPr>
                  </w:pPr>
                  <w:r>
                    <w:rPr>
                      <w:rFonts w:hint="eastAsia"/>
                      <w:b w:val="0"/>
                      <w:color w:val="000000"/>
                      <w:lang w:val="en-US" w:eastAsia="zh-CN"/>
                    </w:rPr>
                    <w:t>符合，本项目运营期不新增劳动人员，从矿区既有人员中调配；运营期喷雾抑尘用水全部蒸发损耗</w:t>
                  </w:r>
                  <w:r>
                    <w:rPr>
                      <w:rFonts w:hint="default"/>
                      <w:b w:val="0"/>
                      <w:color w:val="000000"/>
                      <w:lang w:val="en-US" w:eastAsia="zh-CN"/>
                    </w:rPr>
                    <w:t>。</w:t>
                  </w:r>
                </w:p>
              </w:tc>
            </w:tr>
            <w:tr w14:paraId="013434B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restart"/>
                  <w:tcBorders>
                    <w:tl2br w:val="nil"/>
                    <w:tr2bl w:val="nil"/>
                  </w:tcBorders>
                  <w:shd w:val="clear" w:color="auto" w:fill="auto"/>
                  <w:noWrap w:val="0"/>
                  <w:vAlign w:val="center"/>
                </w:tcPr>
                <w:p w14:paraId="28FC6AD6">
                  <w:pPr>
                    <w:pStyle w:val="5"/>
                    <w:bidi w:val="0"/>
                    <w:rPr>
                      <w:rFonts w:hint="default"/>
                      <w:b w:val="0"/>
                      <w:color w:val="000000"/>
                      <w:lang w:val="en-US" w:eastAsia="zh-CN"/>
                    </w:rPr>
                  </w:pPr>
                  <w:r>
                    <w:rPr>
                      <w:rFonts w:hint="default"/>
                      <w:b w:val="0"/>
                      <w:color w:val="000000"/>
                      <w:lang w:val="en-US" w:eastAsia="zh-CN"/>
                    </w:rPr>
                    <w:t>环境风险防控</w:t>
                  </w:r>
                </w:p>
              </w:tc>
              <w:tc>
                <w:tcPr>
                  <w:tcW w:w="2558" w:type="pct"/>
                  <w:tcBorders>
                    <w:tl2br w:val="nil"/>
                    <w:tr2bl w:val="nil"/>
                  </w:tcBorders>
                  <w:shd w:val="clear" w:color="auto" w:fill="auto"/>
                  <w:noWrap w:val="0"/>
                  <w:vAlign w:val="center"/>
                </w:tcPr>
                <w:p w14:paraId="202E3F25">
                  <w:pPr>
                    <w:pStyle w:val="5"/>
                    <w:bidi w:val="0"/>
                    <w:jc w:val="left"/>
                    <w:rPr>
                      <w:rFonts w:hint="default"/>
                      <w:b w:val="0"/>
                      <w:color w:val="000000"/>
                      <w:lang w:val="en-US" w:eastAsia="zh-CN"/>
                    </w:rPr>
                  </w:pPr>
                  <w:r>
                    <w:rPr>
                      <w:rFonts w:hint="default"/>
                      <w:b w:val="0"/>
                      <w:color w:val="000000"/>
                      <w:lang w:val="en-US" w:eastAsia="zh-CN"/>
                    </w:rPr>
                    <w:t>提升土壤环境监管能力，加强污染地块安全利用监管。强化工矿用地管理，严格建设用地土壤环境风险管控。加强农用地土壤污染源头控制，科学施用化肥农药，提高农膜回收率。</w:t>
                  </w:r>
                </w:p>
              </w:tc>
              <w:tc>
                <w:tcPr>
                  <w:tcW w:w="1912" w:type="pct"/>
                  <w:tcBorders>
                    <w:tl2br w:val="nil"/>
                    <w:tr2bl w:val="nil"/>
                  </w:tcBorders>
                  <w:shd w:val="clear" w:color="auto" w:fill="auto"/>
                  <w:noWrap w:val="0"/>
                  <w:vAlign w:val="center"/>
                </w:tcPr>
                <w:p w14:paraId="39FCA971">
                  <w:pPr>
                    <w:pStyle w:val="5"/>
                    <w:bidi w:val="0"/>
                    <w:jc w:val="center"/>
                    <w:rPr>
                      <w:rFonts w:hint="default"/>
                      <w:b w:val="0"/>
                      <w:color w:val="000000"/>
                      <w:lang w:val="en-US" w:eastAsia="zh-CN"/>
                    </w:rPr>
                  </w:pPr>
                  <w:r>
                    <w:rPr>
                      <w:rFonts w:hint="eastAsia"/>
                      <w:b w:val="0"/>
                      <w:color w:val="000000"/>
                      <w:lang w:val="en-US" w:eastAsia="zh-CN"/>
                    </w:rPr>
                    <w:t>不涉及</w:t>
                  </w:r>
                </w:p>
              </w:tc>
            </w:tr>
            <w:tr w14:paraId="551E246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center"/>
                </w:tcPr>
                <w:p w14:paraId="21376F78">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71235AAE">
                  <w:pPr>
                    <w:pStyle w:val="5"/>
                    <w:bidi w:val="0"/>
                    <w:jc w:val="left"/>
                    <w:rPr>
                      <w:rFonts w:hint="default"/>
                      <w:b w:val="0"/>
                      <w:color w:val="000000"/>
                      <w:lang w:val="en-US" w:eastAsia="zh-CN"/>
                    </w:rPr>
                  </w:pPr>
                  <w:r>
                    <w:rPr>
                      <w:rFonts w:hint="default"/>
                      <w:b w:val="0"/>
                      <w:color w:val="000000"/>
                      <w:lang w:val="en-US" w:eastAsia="zh-CN"/>
                    </w:rPr>
                    <w:t>禁止在化工园区外新建、扩建危险化学品生产项目。严格落实危险废物处置相关要求。加强重点流域水环境风险管控，保障水环境安全。</w:t>
                  </w:r>
                </w:p>
              </w:tc>
              <w:tc>
                <w:tcPr>
                  <w:tcW w:w="1912" w:type="pct"/>
                  <w:tcBorders>
                    <w:tl2br w:val="nil"/>
                    <w:tr2bl w:val="nil"/>
                  </w:tcBorders>
                  <w:shd w:val="clear" w:color="auto" w:fill="auto"/>
                  <w:noWrap w:val="0"/>
                  <w:vAlign w:val="center"/>
                </w:tcPr>
                <w:p w14:paraId="1E340A5C">
                  <w:pPr>
                    <w:pStyle w:val="5"/>
                    <w:bidi w:val="0"/>
                    <w:jc w:val="center"/>
                    <w:rPr>
                      <w:rFonts w:hint="default"/>
                      <w:b w:val="0"/>
                      <w:color w:val="000000"/>
                      <w:lang w:val="en-US" w:eastAsia="zh-CN"/>
                    </w:rPr>
                  </w:pPr>
                  <w:r>
                    <w:rPr>
                      <w:rFonts w:hint="eastAsia"/>
                      <w:b w:val="0"/>
                      <w:color w:val="000000"/>
                      <w:lang w:val="en-US" w:eastAsia="zh-CN"/>
                    </w:rPr>
                    <w:t>不涉及</w:t>
                  </w:r>
                </w:p>
              </w:tc>
            </w:tr>
            <w:tr w14:paraId="1E16E53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tcBorders>
                    <w:tl2br w:val="nil"/>
                    <w:tr2bl w:val="nil"/>
                  </w:tcBorders>
                  <w:shd w:val="clear" w:color="auto" w:fill="auto"/>
                  <w:noWrap w:val="0"/>
                  <w:vAlign w:val="center"/>
                </w:tcPr>
                <w:p w14:paraId="39322709">
                  <w:pPr>
                    <w:pStyle w:val="5"/>
                    <w:bidi w:val="0"/>
                    <w:rPr>
                      <w:rFonts w:hint="default"/>
                      <w:b w:val="0"/>
                      <w:color w:val="000000"/>
                      <w:lang w:val="en-US" w:eastAsia="zh-CN"/>
                    </w:rPr>
                  </w:pPr>
                  <w:r>
                    <w:rPr>
                      <w:rFonts w:hint="default"/>
                      <w:b w:val="0"/>
                      <w:color w:val="000000"/>
                      <w:lang w:val="en-US" w:eastAsia="zh-CN"/>
                    </w:rPr>
                    <w:t>资源利用效率</w:t>
                  </w:r>
                </w:p>
              </w:tc>
              <w:tc>
                <w:tcPr>
                  <w:tcW w:w="2558" w:type="pct"/>
                  <w:tcBorders>
                    <w:tl2br w:val="nil"/>
                    <w:tr2bl w:val="nil"/>
                  </w:tcBorders>
                  <w:shd w:val="clear" w:color="auto" w:fill="auto"/>
                  <w:noWrap w:val="0"/>
                  <w:vAlign w:val="center"/>
                </w:tcPr>
                <w:p w14:paraId="2FBAF07D">
                  <w:pPr>
                    <w:pStyle w:val="5"/>
                    <w:bidi w:val="0"/>
                    <w:jc w:val="left"/>
                    <w:rPr>
                      <w:rFonts w:hint="default"/>
                      <w:b w:val="0"/>
                      <w:color w:val="000000"/>
                      <w:lang w:val="en-US" w:eastAsia="zh-CN"/>
                    </w:rPr>
                  </w:pPr>
                  <w:r>
                    <w:rPr>
                      <w:rFonts w:hint="default"/>
                      <w:b w:val="0"/>
                      <w:color w:val="000000"/>
                      <w:lang w:val="en-US" w:eastAsia="zh-CN"/>
                    </w:rPr>
                    <w:t>优化能源结构，控制煤炭等化石能源使用量，鼓励使用清洁能源，协同推进减污降碳。全面实施节水工程，合理开发利用水资源，提升水资源利用效率，保障生态用水，严防地下水超采。</w:t>
                  </w:r>
                </w:p>
              </w:tc>
              <w:tc>
                <w:tcPr>
                  <w:tcW w:w="1912" w:type="pct"/>
                  <w:tcBorders>
                    <w:tl2br w:val="nil"/>
                    <w:tr2bl w:val="nil"/>
                  </w:tcBorders>
                  <w:shd w:val="clear" w:color="auto" w:fill="auto"/>
                  <w:noWrap w:val="0"/>
                  <w:vAlign w:val="center"/>
                </w:tcPr>
                <w:p w14:paraId="21A19484">
                  <w:pPr>
                    <w:pStyle w:val="5"/>
                    <w:bidi w:val="0"/>
                    <w:jc w:val="center"/>
                    <w:rPr>
                      <w:rFonts w:hint="default"/>
                      <w:b w:val="0"/>
                      <w:color w:val="000000"/>
                      <w:lang w:val="en-US" w:eastAsia="zh-CN"/>
                    </w:rPr>
                  </w:pPr>
                  <w:r>
                    <w:rPr>
                      <w:rFonts w:hint="eastAsia"/>
                      <w:b w:val="0"/>
                      <w:color w:val="000000"/>
                      <w:lang w:val="en-US" w:eastAsia="zh-CN"/>
                    </w:rPr>
                    <w:t>不涉及</w:t>
                  </w:r>
                </w:p>
              </w:tc>
            </w:tr>
            <w:tr w14:paraId="3307942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restart"/>
                  <w:tcBorders>
                    <w:tl2br w:val="nil"/>
                    <w:tr2bl w:val="nil"/>
                  </w:tcBorders>
                  <w:shd w:val="clear" w:color="auto" w:fill="auto"/>
                  <w:noWrap w:val="0"/>
                  <w:vAlign w:val="center"/>
                </w:tcPr>
                <w:p w14:paraId="2EB7D5D1">
                  <w:pPr>
                    <w:pStyle w:val="5"/>
                    <w:bidi w:val="0"/>
                    <w:rPr>
                      <w:rFonts w:hint="default"/>
                      <w:b w:val="0"/>
                      <w:color w:val="000000"/>
                      <w:lang w:val="en-US" w:eastAsia="zh-CN"/>
                    </w:rPr>
                  </w:pPr>
                  <w:r>
                    <w:rPr>
                      <w:rFonts w:hint="default"/>
                      <w:b w:val="0"/>
                      <w:color w:val="000000"/>
                      <w:lang w:val="en-US" w:eastAsia="zh-CN"/>
                    </w:rPr>
                    <w:t>天山南坡片区</w:t>
                  </w:r>
                </w:p>
              </w:tc>
              <w:tc>
                <w:tcPr>
                  <w:tcW w:w="2558" w:type="pct"/>
                  <w:tcBorders>
                    <w:tl2br w:val="nil"/>
                    <w:tr2bl w:val="nil"/>
                  </w:tcBorders>
                  <w:shd w:val="clear" w:color="auto" w:fill="auto"/>
                  <w:noWrap w:val="0"/>
                  <w:vAlign w:val="center"/>
                </w:tcPr>
                <w:p w14:paraId="7BF71293">
                  <w:pPr>
                    <w:pStyle w:val="5"/>
                    <w:bidi w:val="0"/>
                    <w:jc w:val="left"/>
                    <w:rPr>
                      <w:rFonts w:hint="default"/>
                      <w:b w:val="0"/>
                      <w:color w:val="000000"/>
                      <w:lang w:val="en-US" w:eastAsia="zh-CN"/>
                    </w:rPr>
                  </w:pPr>
                  <w:r>
                    <w:rPr>
                      <w:rFonts w:hint="default"/>
                      <w:b w:val="0"/>
                      <w:color w:val="000000"/>
                      <w:lang w:val="en-US" w:eastAsia="zh-CN"/>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912" w:type="pct"/>
                  <w:tcBorders>
                    <w:tl2br w:val="nil"/>
                    <w:tr2bl w:val="nil"/>
                  </w:tcBorders>
                  <w:shd w:val="clear" w:color="auto" w:fill="auto"/>
                  <w:noWrap w:val="0"/>
                  <w:vAlign w:val="center"/>
                </w:tcPr>
                <w:p w14:paraId="4F7C809F">
                  <w:pPr>
                    <w:pStyle w:val="5"/>
                    <w:bidi w:val="0"/>
                    <w:jc w:val="center"/>
                    <w:rPr>
                      <w:rFonts w:hint="default"/>
                      <w:b w:val="0"/>
                      <w:color w:val="000000"/>
                      <w:lang w:val="en-US" w:eastAsia="zh-CN"/>
                    </w:rPr>
                  </w:pPr>
                  <w:r>
                    <w:rPr>
                      <w:rFonts w:hint="default"/>
                      <w:b w:val="0"/>
                      <w:color w:val="000000"/>
                      <w:lang w:val="en-US" w:eastAsia="zh-CN"/>
                    </w:rPr>
                    <w:t>不涉及</w:t>
                  </w:r>
                </w:p>
              </w:tc>
            </w:tr>
            <w:tr w14:paraId="725815F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center"/>
                </w:tcPr>
                <w:p w14:paraId="5AC1E564">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04FED543">
                  <w:pPr>
                    <w:pStyle w:val="5"/>
                    <w:bidi w:val="0"/>
                    <w:jc w:val="left"/>
                    <w:rPr>
                      <w:rFonts w:hint="default"/>
                      <w:b w:val="0"/>
                      <w:color w:val="000000"/>
                      <w:lang w:val="en-US" w:eastAsia="zh-CN"/>
                    </w:rPr>
                  </w:pPr>
                  <w:r>
                    <w:rPr>
                      <w:rFonts w:hint="default"/>
                      <w:b w:val="0"/>
                      <w:color w:val="000000"/>
                      <w:lang w:val="en-US" w:eastAsia="zh-CN"/>
                    </w:rPr>
                    <w:t>重点做好塔里木盆地北缘荒漠化防治。加强荒漠植被及河岸荒漠林保护，规范油气勘探开发作业，建立油田和公路扰动区域工程与生物相结合的防风固沙体系，逐步形成生态屏障。</w:t>
                  </w:r>
                </w:p>
              </w:tc>
              <w:tc>
                <w:tcPr>
                  <w:tcW w:w="1912" w:type="pct"/>
                  <w:tcBorders>
                    <w:tl2br w:val="nil"/>
                    <w:tr2bl w:val="nil"/>
                  </w:tcBorders>
                  <w:shd w:val="clear" w:color="auto" w:fill="auto"/>
                  <w:noWrap w:val="0"/>
                  <w:vAlign w:val="center"/>
                </w:tcPr>
                <w:p w14:paraId="4B7C77D3">
                  <w:pPr>
                    <w:pStyle w:val="5"/>
                    <w:bidi w:val="0"/>
                    <w:jc w:val="center"/>
                    <w:rPr>
                      <w:rFonts w:hint="default"/>
                      <w:b w:val="0"/>
                      <w:color w:val="000000"/>
                      <w:lang w:val="en-US" w:eastAsia="zh-CN"/>
                    </w:rPr>
                  </w:pPr>
                  <w:r>
                    <w:rPr>
                      <w:rFonts w:hint="default"/>
                      <w:b w:val="0"/>
                      <w:color w:val="000000"/>
                      <w:lang w:val="en-US" w:eastAsia="zh-CN"/>
                    </w:rPr>
                    <w:t>不涉及</w:t>
                  </w:r>
                </w:p>
              </w:tc>
            </w:tr>
            <w:tr w14:paraId="468BDC8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top"/>
                </w:tcPr>
                <w:p w14:paraId="3193F8FA">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0F38DED0">
                  <w:pPr>
                    <w:pStyle w:val="5"/>
                    <w:bidi w:val="0"/>
                    <w:jc w:val="left"/>
                    <w:rPr>
                      <w:rFonts w:hint="default"/>
                      <w:b w:val="0"/>
                      <w:color w:val="000000"/>
                      <w:lang w:val="en-US" w:eastAsia="zh-CN"/>
                    </w:rPr>
                  </w:pPr>
                  <w:r>
                    <w:rPr>
                      <w:rFonts w:hint="default"/>
                      <w:b w:val="0"/>
                      <w:color w:val="000000"/>
                      <w:lang w:val="en-US" w:eastAsia="zh-CN"/>
                    </w:rPr>
                    <w:t>推进塔里木河流域用水结构调整，维护塔里木河、博斯腾湖基本生态用水。加强塔里木河流域水环境风险管控。加大博斯腾湖污染源头达标排放治理和监督力度，实施博斯腾湖综合治理。</w:t>
                  </w:r>
                </w:p>
              </w:tc>
              <w:tc>
                <w:tcPr>
                  <w:tcW w:w="1912" w:type="pct"/>
                  <w:tcBorders>
                    <w:tl2br w:val="nil"/>
                    <w:tr2bl w:val="nil"/>
                  </w:tcBorders>
                  <w:shd w:val="clear" w:color="auto" w:fill="auto"/>
                  <w:noWrap w:val="0"/>
                  <w:vAlign w:val="center"/>
                </w:tcPr>
                <w:p w14:paraId="24D86B15">
                  <w:pPr>
                    <w:pStyle w:val="5"/>
                    <w:bidi w:val="0"/>
                    <w:jc w:val="center"/>
                    <w:rPr>
                      <w:rFonts w:hint="default"/>
                      <w:b w:val="0"/>
                      <w:color w:val="000000"/>
                      <w:lang w:val="en-US" w:eastAsia="zh-CN"/>
                    </w:rPr>
                  </w:pPr>
                  <w:r>
                    <w:rPr>
                      <w:rFonts w:hint="default"/>
                      <w:b w:val="0"/>
                      <w:color w:val="000000"/>
                      <w:lang w:val="en-US" w:eastAsia="zh-CN"/>
                    </w:rPr>
                    <w:t>不涉及</w:t>
                  </w:r>
                </w:p>
              </w:tc>
            </w:tr>
            <w:tr w14:paraId="2F36EAF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28" w:type="pct"/>
                  <w:vMerge w:val="continue"/>
                  <w:tcBorders>
                    <w:tl2br w:val="nil"/>
                    <w:tr2bl w:val="nil"/>
                  </w:tcBorders>
                  <w:shd w:val="clear" w:color="auto" w:fill="auto"/>
                  <w:noWrap w:val="0"/>
                  <w:vAlign w:val="top"/>
                </w:tcPr>
                <w:p w14:paraId="01306D91">
                  <w:pPr>
                    <w:pStyle w:val="5"/>
                    <w:bidi w:val="0"/>
                    <w:rPr>
                      <w:rFonts w:hint="default"/>
                      <w:b w:val="0"/>
                      <w:color w:val="000000"/>
                      <w:lang w:val="en-US" w:eastAsia="zh-CN"/>
                    </w:rPr>
                  </w:pPr>
                </w:p>
              </w:tc>
              <w:tc>
                <w:tcPr>
                  <w:tcW w:w="2558" w:type="pct"/>
                  <w:tcBorders>
                    <w:tl2br w:val="nil"/>
                    <w:tr2bl w:val="nil"/>
                  </w:tcBorders>
                  <w:shd w:val="clear" w:color="auto" w:fill="auto"/>
                  <w:noWrap w:val="0"/>
                  <w:vAlign w:val="center"/>
                </w:tcPr>
                <w:p w14:paraId="3BB150CC">
                  <w:pPr>
                    <w:pStyle w:val="5"/>
                    <w:bidi w:val="0"/>
                    <w:jc w:val="left"/>
                    <w:rPr>
                      <w:rFonts w:hint="default"/>
                      <w:b w:val="0"/>
                      <w:color w:val="000000"/>
                      <w:lang w:val="en-US" w:eastAsia="zh-CN"/>
                    </w:rPr>
                  </w:pPr>
                  <w:r>
                    <w:rPr>
                      <w:rFonts w:hint="default"/>
                      <w:b w:val="0"/>
                      <w:color w:val="000000"/>
                      <w:lang w:val="en-US" w:eastAsia="zh-CN"/>
                    </w:rPr>
                    <w:t>加强油（气）资源开发区土壤环境污染综合整治。强化涉重金属行业污染防控与工业废物处理处置。</w:t>
                  </w:r>
                </w:p>
              </w:tc>
              <w:tc>
                <w:tcPr>
                  <w:tcW w:w="1912" w:type="pct"/>
                  <w:tcBorders>
                    <w:tl2br w:val="nil"/>
                    <w:tr2bl w:val="nil"/>
                  </w:tcBorders>
                  <w:shd w:val="clear" w:color="auto" w:fill="auto"/>
                  <w:noWrap w:val="0"/>
                  <w:vAlign w:val="center"/>
                </w:tcPr>
                <w:p w14:paraId="3F5FD7B4">
                  <w:pPr>
                    <w:pStyle w:val="5"/>
                    <w:bidi w:val="0"/>
                    <w:jc w:val="center"/>
                    <w:rPr>
                      <w:rFonts w:hint="default"/>
                      <w:b w:val="0"/>
                      <w:color w:val="000000"/>
                      <w:lang w:val="en-US" w:eastAsia="zh-CN"/>
                    </w:rPr>
                  </w:pPr>
                  <w:r>
                    <w:rPr>
                      <w:rFonts w:hint="default"/>
                      <w:b w:val="0"/>
                      <w:color w:val="000000"/>
                      <w:lang w:val="en-US" w:eastAsia="zh-CN"/>
                    </w:rPr>
                    <w:t>不涉及</w:t>
                  </w:r>
                </w:p>
              </w:tc>
            </w:tr>
          </w:tbl>
          <w:p w14:paraId="7A69917F">
            <w:pPr>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综上所述，本项目符合</w:t>
            </w:r>
            <w:r>
              <w:rPr>
                <w:rFonts w:hint="eastAsia"/>
              </w:rPr>
              <w:t>《新疆维吾尔自治区七大片区</w:t>
            </w:r>
            <w:r>
              <w:rPr>
                <w:rFonts w:hint="eastAsia"/>
                <w:lang w:eastAsia="zh-CN"/>
              </w:rPr>
              <w:t>“</w:t>
            </w:r>
            <w:r>
              <w:rPr>
                <w:rFonts w:hint="eastAsia"/>
              </w:rPr>
              <w:t>三线一单</w:t>
            </w:r>
            <w:r>
              <w:rPr>
                <w:rFonts w:hint="eastAsia"/>
                <w:lang w:eastAsia="zh-CN"/>
              </w:rPr>
              <w:t>”</w:t>
            </w:r>
            <w:r>
              <w:rPr>
                <w:rFonts w:hint="eastAsia"/>
              </w:rPr>
              <w:t>生态环境分区管控要求（2021年版）》（新环环评发〔2021〕162号）</w:t>
            </w:r>
            <w:r>
              <w:rPr>
                <w:rFonts w:hint="eastAsia"/>
                <w:lang w:val="en-US" w:eastAsia="zh-CN"/>
              </w:rPr>
              <w:t>管控要求</w:t>
            </w:r>
            <w:r>
              <w:rPr>
                <w:rFonts w:hint="eastAsia"/>
                <w:lang w:eastAsia="zh-CN"/>
              </w:rPr>
              <w:t>。</w:t>
            </w:r>
          </w:p>
          <w:p w14:paraId="7C80D940">
            <w:pPr>
              <w:pStyle w:val="3"/>
              <w:suppressLineNumbers w:val="0"/>
              <w:bidi w:val="0"/>
              <w:spacing w:before="0" w:beforeAutospacing="0" w:after="0" w:afterAutospacing="0"/>
              <w:ind w:left="0" w:right="0"/>
              <w:rPr>
                <w:rFonts w:hint="default"/>
                <w:lang w:val="en-US" w:eastAsia="zh-CN"/>
              </w:rPr>
            </w:pPr>
            <w:r>
              <w:rPr>
                <w:rFonts w:hint="eastAsia"/>
                <w:lang w:val="en-US" w:eastAsia="zh-CN"/>
              </w:rPr>
              <w:t>3.巴州“三线一单”生态环境分区管控符合性分析</w:t>
            </w:r>
          </w:p>
          <w:p w14:paraId="58930A35">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本项目与巴州“三线一单”生态环境分区管控动态更新成果符合性分析，根据“三线一单”信息应用平台分析研判的结果，本项目涉及1个管控单元，详见表1-3和附图4</w:t>
            </w:r>
            <w:r>
              <w:rPr>
                <w:rFonts w:hint="eastAsia"/>
                <w:lang w:eastAsia="zh-CN"/>
              </w:rPr>
              <w:t>。</w:t>
            </w:r>
          </w:p>
          <w:p w14:paraId="701FBE36">
            <w:pPr>
              <w:pStyle w:val="13"/>
              <w:bidi w:val="0"/>
              <w:rPr>
                <w:rFonts w:hint="default"/>
                <w:lang w:val="en-US" w:eastAsia="zh-CN"/>
              </w:rPr>
            </w:pPr>
            <w:r>
              <w:rPr>
                <w:rFonts w:hint="eastAsia"/>
                <w:lang w:val="en-US" w:eastAsia="zh-CN"/>
              </w:rPr>
              <w:t>表1-3    与自治州“三线一单”生态环境分区管控方案</w:t>
            </w:r>
            <w:r>
              <w:rPr>
                <w:rFonts w:hint="default"/>
                <w:lang w:val="en-US" w:eastAsia="zh-CN"/>
              </w:rPr>
              <w:t>符合分析</w:t>
            </w:r>
          </w:p>
          <w:tbl>
            <w:tblPr>
              <w:tblStyle w:val="42"/>
              <w:tblW w:w="4997"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666"/>
              <w:gridCol w:w="708"/>
              <w:gridCol w:w="2113"/>
              <w:gridCol w:w="2233"/>
              <w:gridCol w:w="429"/>
            </w:tblGrid>
            <w:tr w14:paraId="77C1FF4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165" w:type="pct"/>
                  <w:tcBorders>
                    <w:tl2br w:val="nil"/>
                    <w:tr2bl w:val="nil"/>
                  </w:tcBorders>
                  <w:shd w:val="clear" w:color="auto" w:fill="auto"/>
                  <w:noWrap w:val="0"/>
                  <w:vAlign w:val="center"/>
                </w:tcPr>
                <w:p w14:paraId="2D591D34">
                  <w:pPr>
                    <w:pStyle w:val="5"/>
                    <w:bidi w:val="0"/>
                    <w:rPr>
                      <w:rFonts w:hint="default"/>
                      <w:b w:val="0"/>
                      <w:color w:val="000000"/>
                      <w:lang w:val="en-US" w:eastAsia="zh-CN"/>
                    </w:rPr>
                  </w:pPr>
                  <w:r>
                    <w:rPr>
                      <w:rFonts w:hint="default"/>
                      <w:b w:val="0"/>
                      <w:color w:val="000000"/>
                      <w:lang w:val="en-US" w:eastAsia="zh-CN"/>
                    </w:rPr>
                    <w:t>环境管控单元名称及编码</w:t>
                  </w:r>
                </w:p>
              </w:tc>
              <w:tc>
                <w:tcPr>
                  <w:tcW w:w="1972" w:type="pct"/>
                  <w:gridSpan w:val="2"/>
                  <w:tcBorders>
                    <w:tl2br w:val="nil"/>
                    <w:tr2bl w:val="nil"/>
                  </w:tcBorders>
                  <w:shd w:val="clear" w:color="auto" w:fill="auto"/>
                  <w:noWrap w:val="0"/>
                  <w:vAlign w:val="center"/>
                </w:tcPr>
                <w:p w14:paraId="475C6D6D">
                  <w:pPr>
                    <w:pStyle w:val="5"/>
                    <w:bidi w:val="0"/>
                    <w:rPr>
                      <w:rFonts w:hint="default"/>
                      <w:b w:val="0"/>
                      <w:color w:val="000000"/>
                      <w:lang w:val="en-US" w:eastAsia="zh-CN"/>
                    </w:rPr>
                  </w:pPr>
                  <w:r>
                    <w:rPr>
                      <w:rFonts w:hint="eastAsia"/>
                      <w:b w:val="0"/>
                      <w:color w:val="000000"/>
                      <w:lang w:val="en-US" w:eastAsia="zh-CN"/>
                    </w:rPr>
                    <w:t>“</w:t>
                  </w:r>
                  <w:r>
                    <w:rPr>
                      <w:rFonts w:hint="default"/>
                      <w:b w:val="0"/>
                      <w:color w:val="000000"/>
                      <w:lang w:val="en-US" w:eastAsia="zh-CN"/>
                    </w:rPr>
                    <w:t>三线一单</w:t>
                  </w:r>
                  <w:r>
                    <w:rPr>
                      <w:rFonts w:hint="eastAsia"/>
                      <w:b w:val="0"/>
                      <w:color w:val="000000"/>
                      <w:lang w:val="en-US" w:eastAsia="zh-CN"/>
                    </w:rPr>
                    <w:t>”</w:t>
                  </w:r>
                  <w:r>
                    <w:rPr>
                      <w:rFonts w:hint="default"/>
                      <w:b w:val="0"/>
                      <w:color w:val="000000"/>
                      <w:lang w:val="en-US" w:eastAsia="zh-CN"/>
                    </w:rPr>
                    <w:t>要求</w:t>
                  </w:r>
                </w:p>
              </w:tc>
              <w:tc>
                <w:tcPr>
                  <w:tcW w:w="1561" w:type="pct"/>
                  <w:tcBorders>
                    <w:tl2br w:val="nil"/>
                    <w:tr2bl w:val="nil"/>
                  </w:tcBorders>
                  <w:shd w:val="clear" w:color="auto" w:fill="auto"/>
                  <w:noWrap w:val="0"/>
                  <w:vAlign w:val="center"/>
                </w:tcPr>
                <w:p w14:paraId="2A7AD6A9">
                  <w:pPr>
                    <w:pStyle w:val="5"/>
                    <w:bidi w:val="0"/>
                    <w:rPr>
                      <w:rFonts w:hint="default"/>
                      <w:b w:val="0"/>
                      <w:color w:val="000000"/>
                      <w:lang w:val="en-US" w:eastAsia="zh-CN"/>
                    </w:rPr>
                  </w:pPr>
                  <w:r>
                    <w:rPr>
                      <w:rFonts w:hint="eastAsia"/>
                      <w:b w:val="0"/>
                      <w:color w:val="000000"/>
                      <w:lang w:val="en-US" w:eastAsia="zh-CN"/>
                    </w:rPr>
                    <w:t>本项目</w:t>
                  </w:r>
                </w:p>
              </w:tc>
              <w:tc>
                <w:tcPr>
                  <w:tcW w:w="300" w:type="pct"/>
                  <w:tcBorders>
                    <w:tl2br w:val="nil"/>
                    <w:tr2bl w:val="nil"/>
                  </w:tcBorders>
                  <w:shd w:val="clear" w:color="auto" w:fill="auto"/>
                  <w:noWrap w:val="0"/>
                  <w:vAlign w:val="center"/>
                </w:tcPr>
                <w:p w14:paraId="26C2F13C">
                  <w:pPr>
                    <w:pStyle w:val="5"/>
                    <w:bidi w:val="0"/>
                    <w:rPr>
                      <w:rFonts w:hint="default"/>
                      <w:b w:val="0"/>
                      <w:color w:val="000000"/>
                      <w:lang w:val="en-US" w:eastAsia="zh-CN"/>
                    </w:rPr>
                  </w:pPr>
                  <w:r>
                    <w:rPr>
                      <w:rFonts w:hint="eastAsia"/>
                      <w:b w:val="0"/>
                      <w:color w:val="000000"/>
                      <w:lang w:val="en-US" w:eastAsia="zh-CN"/>
                    </w:rPr>
                    <w:t>符合性</w:t>
                  </w:r>
                </w:p>
              </w:tc>
            </w:tr>
            <w:tr w14:paraId="5355E9B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65" w:type="pct"/>
                  <w:vMerge w:val="restart"/>
                  <w:tcBorders>
                    <w:tl2br w:val="nil"/>
                    <w:tr2bl w:val="nil"/>
                  </w:tcBorders>
                  <w:shd w:val="clear" w:color="auto" w:fill="auto"/>
                  <w:noWrap w:val="0"/>
                  <w:vAlign w:val="center"/>
                </w:tcPr>
                <w:p w14:paraId="10CE9196">
                  <w:pPr>
                    <w:pStyle w:val="5"/>
                    <w:bidi w:val="0"/>
                    <w:rPr>
                      <w:rFonts w:hint="default"/>
                      <w:b w:val="0"/>
                      <w:color w:val="000000"/>
                      <w:lang w:val="en-US" w:eastAsia="zh-CN"/>
                    </w:rPr>
                  </w:pPr>
                  <w:r>
                    <w:rPr>
                      <w:rFonts w:hint="eastAsia"/>
                      <w:b w:val="0"/>
                      <w:color w:val="000000"/>
                      <w:lang w:val="en-US" w:eastAsia="zh-CN"/>
                    </w:rPr>
                    <w:t>ZH65282230001－轮台县一般管控单元</w:t>
                  </w:r>
                </w:p>
              </w:tc>
              <w:tc>
                <w:tcPr>
                  <w:tcW w:w="495" w:type="pct"/>
                  <w:tcBorders>
                    <w:tl2br w:val="nil"/>
                    <w:tr2bl w:val="nil"/>
                  </w:tcBorders>
                  <w:shd w:val="clear" w:color="auto" w:fill="auto"/>
                  <w:noWrap w:val="0"/>
                  <w:vAlign w:val="center"/>
                </w:tcPr>
                <w:p w14:paraId="097358D8">
                  <w:pPr>
                    <w:pStyle w:val="5"/>
                    <w:bidi w:val="0"/>
                    <w:rPr>
                      <w:rFonts w:hint="default"/>
                      <w:b w:val="0"/>
                      <w:color w:val="000000"/>
                      <w:lang w:val="en-US" w:eastAsia="zh-CN"/>
                    </w:rPr>
                  </w:pPr>
                  <w:r>
                    <w:rPr>
                      <w:rFonts w:hint="default"/>
                      <w:b w:val="0"/>
                      <w:color w:val="000000"/>
                      <w:lang w:val="en-US" w:eastAsia="zh-CN"/>
                    </w:rPr>
                    <w:t>空间管控约束</w:t>
                  </w:r>
                </w:p>
              </w:tc>
              <w:tc>
                <w:tcPr>
                  <w:tcW w:w="1477" w:type="pct"/>
                  <w:tcBorders>
                    <w:tl2br w:val="nil"/>
                    <w:tr2bl w:val="nil"/>
                  </w:tcBorders>
                  <w:shd w:val="clear" w:color="auto" w:fill="auto"/>
                  <w:noWrap w:val="0"/>
                  <w:vAlign w:val="center"/>
                </w:tcPr>
                <w:p w14:paraId="4E5153B5">
                  <w:pPr>
                    <w:pStyle w:val="5"/>
                    <w:bidi w:val="0"/>
                    <w:jc w:val="both"/>
                    <w:rPr>
                      <w:rFonts w:hint="default"/>
                      <w:b w:val="0"/>
                      <w:color w:val="000000"/>
                      <w:lang w:val="en-US" w:eastAsia="zh-CN"/>
                    </w:rPr>
                  </w:pPr>
                  <w:r>
                    <w:rPr>
                      <w:rFonts w:hint="default"/>
                      <w:b w:val="0"/>
                      <w:color w:val="000000"/>
                      <w:lang w:val="en-US" w:eastAsia="zh-CN"/>
                    </w:rPr>
                    <w:t>1.执行总体管控要求中关于一般管控单元的空间布局约束准入要求。</w:t>
                  </w:r>
                </w:p>
              </w:tc>
              <w:tc>
                <w:tcPr>
                  <w:tcW w:w="1561" w:type="pct"/>
                  <w:tcBorders>
                    <w:tl2br w:val="nil"/>
                    <w:tr2bl w:val="nil"/>
                  </w:tcBorders>
                  <w:shd w:val="clear" w:color="auto" w:fill="auto"/>
                  <w:noWrap w:val="0"/>
                  <w:vAlign w:val="center"/>
                </w:tcPr>
                <w:p w14:paraId="3BF06DF6">
                  <w:pPr>
                    <w:pStyle w:val="5"/>
                    <w:bidi w:val="0"/>
                    <w:jc w:val="both"/>
                    <w:rPr>
                      <w:rFonts w:hint="default"/>
                      <w:b w:val="0"/>
                      <w:color w:val="000000"/>
                      <w:lang w:val="en-US" w:eastAsia="zh-CN"/>
                    </w:rPr>
                  </w:pPr>
                  <w:r>
                    <w:rPr>
                      <w:rFonts w:hint="eastAsia"/>
                      <w:b w:val="0"/>
                      <w:color w:val="000000"/>
                      <w:lang w:val="en-US" w:eastAsia="zh-CN"/>
                    </w:rPr>
                    <w:t>项目属于《产业结构调整指导目录（2024本）》鼓励类。项目不属于“三</w:t>
                  </w:r>
                  <w:r>
                    <w:rPr>
                      <w:rFonts w:hint="eastAsia" w:ascii="宋体" w:hAnsi="宋体" w:eastAsia="宋体" w:cs="宋体"/>
                      <w:b w:val="0"/>
                      <w:color w:val="000000"/>
                      <w:lang w:val="en-US" w:eastAsia="zh-CN"/>
                    </w:rPr>
                    <w:t>高”“两高”项目</w:t>
                  </w:r>
                  <w:r>
                    <w:rPr>
                      <w:rFonts w:hint="eastAsia"/>
                      <w:b w:val="0"/>
                      <w:color w:val="000000"/>
                      <w:lang w:val="en-US" w:eastAsia="zh-CN"/>
                    </w:rPr>
                    <w:t>，符合国家产业政策。</w:t>
                  </w:r>
                </w:p>
              </w:tc>
              <w:tc>
                <w:tcPr>
                  <w:tcW w:w="300" w:type="pct"/>
                  <w:tcBorders>
                    <w:tl2br w:val="nil"/>
                    <w:tr2bl w:val="nil"/>
                  </w:tcBorders>
                  <w:shd w:val="clear" w:color="auto" w:fill="auto"/>
                  <w:noWrap w:val="0"/>
                  <w:vAlign w:val="center"/>
                </w:tcPr>
                <w:p w14:paraId="7E3DC8B7">
                  <w:pPr>
                    <w:pStyle w:val="5"/>
                    <w:bidi w:val="0"/>
                    <w:rPr>
                      <w:rFonts w:hint="default"/>
                      <w:b w:val="0"/>
                      <w:color w:val="000000"/>
                      <w:lang w:val="en-US" w:eastAsia="zh-CN"/>
                    </w:rPr>
                  </w:pPr>
                  <w:r>
                    <w:rPr>
                      <w:rFonts w:hint="default"/>
                      <w:b w:val="0"/>
                      <w:color w:val="000000"/>
                      <w:lang w:val="en-US" w:eastAsia="zh-CN"/>
                    </w:rPr>
                    <w:t>符合</w:t>
                  </w:r>
                </w:p>
              </w:tc>
            </w:tr>
            <w:tr w14:paraId="0031D89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165" w:type="pct"/>
                  <w:vMerge w:val="continue"/>
                  <w:tcBorders>
                    <w:tl2br w:val="nil"/>
                    <w:tr2bl w:val="nil"/>
                  </w:tcBorders>
                  <w:shd w:val="clear" w:color="auto" w:fill="auto"/>
                  <w:noWrap w:val="0"/>
                  <w:vAlign w:val="center"/>
                </w:tcPr>
                <w:p w14:paraId="05DFC4ED">
                  <w:pPr>
                    <w:pStyle w:val="5"/>
                    <w:bidi w:val="0"/>
                    <w:rPr>
                      <w:rFonts w:hint="default"/>
                      <w:b w:val="0"/>
                      <w:color w:val="000000"/>
                      <w:lang w:val="en-US" w:eastAsia="zh-CN"/>
                    </w:rPr>
                  </w:pPr>
                </w:p>
              </w:tc>
              <w:tc>
                <w:tcPr>
                  <w:tcW w:w="495" w:type="pct"/>
                  <w:tcBorders>
                    <w:tl2br w:val="nil"/>
                    <w:tr2bl w:val="nil"/>
                  </w:tcBorders>
                  <w:shd w:val="clear" w:color="auto" w:fill="auto"/>
                  <w:noWrap w:val="0"/>
                  <w:vAlign w:val="center"/>
                </w:tcPr>
                <w:p w14:paraId="42DD29AA">
                  <w:pPr>
                    <w:pStyle w:val="5"/>
                    <w:bidi w:val="0"/>
                    <w:rPr>
                      <w:rFonts w:hint="default"/>
                      <w:b w:val="0"/>
                      <w:color w:val="000000"/>
                      <w:lang w:val="en-US" w:eastAsia="zh-CN"/>
                    </w:rPr>
                  </w:pPr>
                  <w:r>
                    <w:rPr>
                      <w:rFonts w:hint="default"/>
                      <w:b w:val="0"/>
                      <w:color w:val="000000"/>
                      <w:lang w:val="en-US" w:eastAsia="zh-CN"/>
                    </w:rPr>
                    <w:t>污染物排放管控</w:t>
                  </w:r>
                </w:p>
              </w:tc>
              <w:tc>
                <w:tcPr>
                  <w:tcW w:w="1477" w:type="pct"/>
                  <w:tcBorders>
                    <w:tl2br w:val="nil"/>
                    <w:tr2bl w:val="nil"/>
                  </w:tcBorders>
                  <w:shd w:val="clear" w:color="auto" w:fill="auto"/>
                  <w:noWrap w:val="0"/>
                  <w:vAlign w:val="center"/>
                </w:tcPr>
                <w:p w14:paraId="1F56EF0E">
                  <w:pPr>
                    <w:pStyle w:val="5"/>
                    <w:bidi w:val="0"/>
                    <w:jc w:val="both"/>
                    <w:rPr>
                      <w:rFonts w:hint="default"/>
                      <w:b w:val="0"/>
                      <w:color w:val="000000"/>
                      <w:lang w:val="en-US" w:eastAsia="zh-CN"/>
                    </w:rPr>
                  </w:pPr>
                  <w:r>
                    <w:rPr>
                      <w:rFonts w:hint="default"/>
                      <w:b w:val="0"/>
                      <w:color w:val="000000"/>
                      <w:lang w:val="en-US" w:eastAsia="zh-CN"/>
                    </w:rPr>
                    <w:t>1.执行总体管控要求中关于一般管控单元的污染物排放管控要求。</w:t>
                  </w:r>
                </w:p>
              </w:tc>
              <w:tc>
                <w:tcPr>
                  <w:tcW w:w="1561" w:type="pct"/>
                  <w:tcBorders>
                    <w:tl2br w:val="nil"/>
                    <w:tr2bl w:val="nil"/>
                  </w:tcBorders>
                  <w:shd w:val="clear" w:color="auto" w:fill="auto"/>
                  <w:noWrap w:val="0"/>
                  <w:vAlign w:val="center"/>
                </w:tcPr>
                <w:p w14:paraId="1C982026">
                  <w:pPr>
                    <w:pStyle w:val="5"/>
                    <w:bidi w:val="0"/>
                    <w:jc w:val="both"/>
                    <w:rPr>
                      <w:rFonts w:hint="default"/>
                      <w:b w:val="0"/>
                      <w:color w:val="000000"/>
                      <w:lang w:val="en-US" w:eastAsia="zh-CN"/>
                    </w:rPr>
                  </w:pPr>
                  <w:r>
                    <w:rPr>
                      <w:rFonts w:hint="eastAsia"/>
                      <w:b w:val="0"/>
                      <w:color w:val="000000"/>
                      <w:lang w:val="en-US" w:eastAsia="zh-CN"/>
                    </w:rPr>
                    <w:t>本项目建设全封闭输煤廊道，配合喷雾抑尘，转运站采用除尘器收集处置转运粉尘，采用以上措施后粉尘排放满足《煤炭工业污染物排放标准》（</w:t>
                  </w:r>
                  <w:r>
                    <w:rPr>
                      <w:rFonts w:hint="default"/>
                      <w:b w:val="0"/>
                      <w:color w:val="000000"/>
                      <w:lang w:val="en-US" w:eastAsia="zh-CN"/>
                    </w:rPr>
                    <w:t>GB20426-2006</w:t>
                  </w:r>
                  <w:r>
                    <w:rPr>
                      <w:rFonts w:hint="eastAsia"/>
                      <w:b w:val="0"/>
                      <w:color w:val="000000"/>
                      <w:lang w:val="en-US" w:eastAsia="zh-CN"/>
                    </w:rPr>
                    <w:t>）相关标准。</w:t>
                  </w:r>
                </w:p>
              </w:tc>
              <w:tc>
                <w:tcPr>
                  <w:tcW w:w="300" w:type="pct"/>
                  <w:tcBorders>
                    <w:tl2br w:val="nil"/>
                    <w:tr2bl w:val="nil"/>
                  </w:tcBorders>
                  <w:shd w:val="clear" w:color="auto" w:fill="auto"/>
                  <w:noWrap w:val="0"/>
                  <w:vAlign w:val="center"/>
                </w:tcPr>
                <w:p w14:paraId="6AF37814">
                  <w:pPr>
                    <w:pStyle w:val="5"/>
                    <w:bidi w:val="0"/>
                    <w:jc w:val="both"/>
                    <w:rPr>
                      <w:rFonts w:hint="default"/>
                      <w:b w:val="0"/>
                      <w:color w:val="000000"/>
                      <w:lang w:val="en-US" w:eastAsia="zh-CN"/>
                    </w:rPr>
                  </w:pPr>
                  <w:r>
                    <w:rPr>
                      <w:rFonts w:hint="eastAsia"/>
                      <w:b w:val="0"/>
                      <w:color w:val="000000"/>
                      <w:lang w:val="en-US" w:eastAsia="zh-CN"/>
                    </w:rPr>
                    <w:t>符合</w:t>
                  </w:r>
                </w:p>
              </w:tc>
            </w:tr>
            <w:tr w14:paraId="0712BE4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165" w:type="pct"/>
                  <w:vMerge w:val="continue"/>
                  <w:tcBorders>
                    <w:tl2br w:val="nil"/>
                    <w:tr2bl w:val="nil"/>
                  </w:tcBorders>
                  <w:shd w:val="clear" w:color="auto" w:fill="auto"/>
                  <w:noWrap w:val="0"/>
                  <w:vAlign w:val="center"/>
                </w:tcPr>
                <w:p w14:paraId="12CEAF82">
                  <w:pPr>
                    <w:pStyle w:val="5"/>
                    <w:bidi w:val="0"/>
                    <w:rPr>
                      <w:rFonts w:hint="default"/>
                      <w:b w:val="0"/>
                      <w:color w:val="000000"/>
                      <w:lang w:val="en-US" w:eastAsia="zh-CN"/>
                    </w:rPr>
                  </w:pPr>
                </w:p>
              </w:tc>
              <w:tc>
                <w:tcPr>
                  <w:tcW w:w="495" w:type="pct"/>
                  <w:tcBorders>
                    <w:tl2br w:val="nil"/>
                    <w:tr2bl w:val="nil"/>
                  </w:tcBorders>
                  <w:shd w:val="clear" w:color="auto" w:fill="auto"/>
                  <w:noWrap w:val="0"/>
                  <w:vAlign w:val="center"/>
                </w:tcPr>
                <w:p w14:paraId="161466C1">
                  <w:pPr>
                    <w:pStyle w:val="5"/>
                    <w:bidi w:val="0"/>
                    <w:rPr>
                      <w:rFonts w:hint="default"/>
                      <w:b w:val="0"/>
                      <w:color w:val="000000"/>
                      <w:lang w:val="en-US" w:eastAsia="zh-CN"/>
                    </w:rPr>
                  </w:pPr>
                  <w:r>
                    <w:rPr>
                      <w:rFonts w:hint="default"/>
                      <w:b w:val="0"/>
                      <w:color w:val="000000"/>
                      <w:lang w:val="en-US" w:eastAsia="zh-CN"/>
                    </w:rPr>
                    <w:t>环境风险防控</w:t>
                  </w:r>
                </w:p>
              </w:tc>
              <w:tc>
                <w:tcPr>
                  <w:tcW w:w="1477" w:type="pct"/>
                  <w:tcBorders>
                    <w:tl2br w:val="nil"/>
                    <w:tr2bl w:val="nil"/>
                  </w:tcBorders>
                  <w:shd w:val="clear" w:color="auto" w:fill="auto"/>
                  <w:noWrap w:val="0"/>
                  <w:vAlign w:val="center"/>
                </w:tcPr>
                <w:p w14:paraId="12E221E0">
                  <w:pPr>
                    <w:pStyle w:val="5"/>
                    <w:bidi w:val="0"/>
                    <w:jc w:val="both"/>
                    <w:rPr>
                      <w:rFonts w:hint="default"/>
                      <w:b w:val="0"/>
                      <w:color w:val="000000"/>
                      <w:lang w:val="en-US" w:eastAsia="zh-CN"/>
                    </w:rPr>
                  </w:pPr>
                  <w:r>
                    <w:rPr>
                      <w:rFonts w:hint="default"/>
                      <w:b w:val="0"/>
                      <w:color w:val="000000"/>
                      <w:lang w:val="en-US" w:eastAsia="zh-CN"/>
                    </w:rPr>
                    <w:t>1.执行总体管控要求中关于一般管控单元的环境风险防控要求。</w:t>
                  </w:r>
                </w:p>
              </w:tc>
              <w:tc>
                <w:tcPr>
                  <w:tcW w:w="1561" w:type="pct"/>
                  <w:tcBorders>
                    <w:tl2br w:val="nil"/>
                    <w:tr2bl w:val="nil"/>
                  </w:tcBorders>
                  <w:shd w:val="clear" w:color="auto" w:fill="auto"/>
                  <w:noWrap w:val="0"/>
                  <w:vAlign w:val="center"/>
                </w:tcPr>
                <w:p w14:paraId="66A2EDF7">
                  <w:pPr>
                    <w:pStyle w:val="5"/>
                    <w:bidi w:val="0"/>
                    <w:jc w:val="both"/>
                    <w:rPr>
                      <w:rFonts w:hint="default"/>
                      <w:b w:val="0"/>
                      <w:color w:val="000000"/>
                      <w:lang w:val="en-US" w:eastAsia="zh-CN"/>
                    </w:rPr>
                  </w:pPr>
                  <w:r>
                    <w:rPr>
                      <w:rFonts w:hint="eastAsia"/>
                      <w:b w:val="0"/>
                      <w:color w:val="000000"/>
                      <w:lang w:val="en-US" w:eastAsia="zh-CN"/>
                    </w:rPr>
                    <w:t>本项目不属于化学品生产项目；本项目廊道维护过程中产生的废润滑油、废润滑油桶等危险废物依托矿区既有危险废物贮存库贮存，定期委托有资质单位清运处置，符合环境风险防控要求。</w:t>
                  </w:r>
                </w:p>
              </w:tc>
              <w:tc>
                <w:tcPr>
                  <w:tcW w:w="300" w:type="pct"/>
                  <w:tcBorders>
                    <w:tl2br w:val="nil"/>
                    <w:tr2bl w:val="nil"/>
                  </w:tcBorders>
                  <w:shd w:val="clear" w:color="auto" w:fill="auto"/>
                  <w:noWrap w:val="0"/>
                  <w:vAlign w:val="center"/>
                </w:tcPr>
                <w:p w14:paraId="67339DC6">
                  <w:pPr>
                    <w:pStyle w:val="5"/>
                    <w:bidi w:val="0"/>
                    <w:rPr>
                      <w:rFonts w:hint="default"/>
                      <w:b w:val="0"/>
                      <w:color w:val="000000"/>
                      <w:lang w:val="en-US" w:eastAsia="zh-CN"/>
                    </w:rPr>
                  </w:pPr>
                  <w:r>
                    <w:rPr>
                      <w:rFonts w:hint="default"/>
                      <w:b w:val="0"/>
                      <w:color w:val="000000"/>
                      <w:lang w:val="en-US" w:eastAsia="zh-CN"/>
                    </w:rPr>
                    <w:t>符合</w:t>
                  </w:r>
                </w:p>
              </w:tc>
            </w:tr>
            <w:tr w14:paraId="0219141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65" w:type="pct"/>
                  <w:vMerge w:val="continue"/>
                  <w:tcBorders>
                    <w:tl2br w:val="nil"/>
                    <w:tr2bl w:val="nil"/>
                  </w:tcBorders>
                  <w:shd w:val="clear" w:color="auto" w:fill="auto"/>
                  <w:noWrap w:val="0"/>
                  <w:vAlign w:val="center"/>
                </w:tcPr>
                <w:p w14:paraId="55D37DB4">
                  <w:pPr>
                    <w:pStyle w:val="5"/>
                    <w:bidi w:val="0"/>
                    <w:rPr>
                      <w:rFonts w:hint="default"/>
                      <w:b w:val="0"/>
                      <w:color w:val="000000"/>
                      <w:lang w:val="en-US" w:eastAsia="zh-CN"/>
                    </w:rPr>
                  </w:pPr>
                </w:p>
              </w:tc>
              <w:tc>
                <w:tcPr>
                  <w:tcW w:w="495" w:type="pct"/>
                  <w:tcBorders>
                    <w:tl2br w:val="nil"/>
                    <w:tr2bl w:val="nil"/>
                  </w:tcBorders>
                  <w:shd w:val="clear" w:color="auto" w:fill="auto"/>
                  <w:noWrap w:val="0"/>
                  <w:vAlign w:val="center"/>
                </w:tcPr>
                <w:p w14:paraId="52DFE220">
                  <w:pPr>
                    <w:pStyle w:val="5"/>
                    <w:bidi w:val="0"/>
                    <w:rPr>
                      <w:rFonts w:hint="default"/>
                      <w:b w:val="0"/>
                      <w:color w:val="000000"/>
                      <w:lang w:val="en-US" w:eastAsia="zh-CN"/>
                    </w:rPr>
                  </w:pPr>
                  <w:r>
                    <w:rPr>
                      <w:rFonts w:hint="default"/>
                      <w:b w:val="0"/>
                      <w:color w:val="000000"/>
                      <w:lang w:val="en-US" w:eastAsia="zh-CN"/>
                    </w:rPr>
                    <w:t>资源利用效率</w:t>
                  </w:r>
                </w:p>
              </w:tc>
              <w:tc>
                <w:tcPr>
                  <w:tcW w:w="1477" w:type="pct"/>
                  <w:tcBorders>
                    <w:tl2br w:val="nil"/>
                    <w:tr2bl w:val="nil"/>
                  </w:tcBorders>
                  <w:shd w:val="clear" w:color="auto" w:fill="auto"/>
                  <w:noWrap w:val="0"/>
                  <w:vAlign w:val="center"/>
                </w:tcPr>
                <w:p w14:paraId="3C2F5F65">
                  <w:pPr>
                    <w:pStyle w:val="5"/>
                    <w:bidi w:val="0"/>
                    <w:jc w:val="both"/>
                    <w:rPr>
                      <w:rFonts w:hint="default"/>
                      <w:b w:val="0"/>
                      <w:color w:val="000000"/>
                      <w:lang w:val="en-US" w:eastAsia="zh-CN"/>
                    </w:rPr>
                  </w:pPr>
                  <w:r>
                    <w:rPr>
                      <w:rFonts w:hint="default"/>
                      <w:b w:val="0"/>
                      <w:color w:val="000000"/>
                      <w:lang w:val="en-US" w:eastAsia="zh-CN"/>
                    </w:rPr>
                    <w:t>1.执行总体管控要求中关于一般管控单元的资源利用效率要求。</w:t>
                  </w:r>
                </w:p>
              </w:tc>
              <w:tc>
                <w:tcPr>
                  <w:tcW w:w="1561" w:type="pct"/>
                  <w:tcBorders>
                    <w:tl2br w:val="nil"/>
                    <w:tr2bl w:val="nil"/>
                  </w:tcBorders>
                  <w:shd w:val="clear" w:color="auto" w:fill="auto"/>
                  <w:noWrap w:val="0"/>
                  <w:vAlign w:val="center"/>
                </w:tcPr>
                <w:p w14:paraId="66B6B7E6">
                  <w:pPr>
                    <w:pStyle w:val="5"/>
                    <w:bidi w:val="0"/>
                    <w:jc w:val="both"/>
                    <w:rPr>
                      <w:rFonts w:hint="default"/>
                      <w:b w:val="0"/>
                      <w:color w:val="000000"/>
                      <w:lang w:val="en-US" w:eastAsia="zh-CN"/>
                    </w:rPr>
                  </w:pPr>
                  <w:r>
                    <w:rPr>
                      <w:rFonts w:hint="eastAsia"/>
                      <w:b w:val="0"/>
                      <w:color w:val="000000"/>
                      <w:lang w:val="en-US" w:eastAsia="zh-CN"/>
                    </w:rPr>
                    <w:t>项目运营过程中会消耗电和矿区回用水，不会突破地区资源利用配额，符合资源利用上线要求。</w:t>
                  </w:r>
                </w:p>
              </w:tc>
              <w:tc>
                <w:tcPr>
                  <w:tcW w:w="300" w:type="pct"/>
                  <w:tcBorders>
                    <w:tl2br w:val="nil"/>
                    <w:tr2bl w:val="nil"/>
                  </w:tcBorders>
                  <w:shd w:val="clear" w:color="auto" w:fill="auto"/>
                  <w:noWrap w:val="0"/>
                  <w:vAlign w:val="center"/>
                </w:tcPr>
                <w:p w14:paraId="0B79BF8F">
                  <w:pPr>
                    <w:pStyle w:val="5"/>
                    <w:bidi w:val="0"/>
                    <w:rPr>
                      <w:rFonts w:hint="default"/>
                      <w:b w:val="0"/>
                      <w:color w:val="000000"/>
                      <w:lang w:val="en-US" w:eastAsia="zh-CN"/>
                    </w:rPr>
                  </w:pPr>
                  <w:r>
                    <w:rPr>
                      <w:rFonts w:hint="default"/>
                      <w:b w:val="0"/>
                      <w:color w:val="000000"/>
                      <w:lang w:val="en-US" w:eastAsia="zh-CN"/>
                    </w:rPr>
                    <w:t>符合</w:t>
                  </w:r>
                </w:p>
              </w:tc>
            </w:tr>
          </w:tbl>
          <w:p w14:paraId="3CFEE6FF">
            <w:pPr>
              <w:keepNext w:val="0"/>
              <w:keepLines w:val="0"/>
              <w:suppressLineNumbers w:val="0"/>
              <w:bidi w:val="0"/>
              <w:spacing w:before="0" w:beforeAutospacing="0" w:after="0" w:afterAutospacing="0"/>
              <w:ind w:left="0" w:right="0"/>
              <w:rPr>
                <w:rFonts w:hint="eastAsia"/>
                <w:lang w:val="en-US" w:eastAsia="zh-CN"/>
              </w:rPr>
            </w:pPr>
            <w:r>
              <w:rPr>
                <w:rFonts w:hint="eastAsia"/>
              </w:rPr>
              <w:t>综合</w:t>
            </w:r>
            <w:r>
              <w:rPr>
                <w:rFonts w:hint="eastAsia"/>
                <w:lang w:val="en-US" w:eastAsia="zh-CN"/>
              </w:rPr>
              <w:t>所述</w:t>
            </w:r>
            <w:r>
              <w:rPr>
                <w:rFonts w:hint="eastAsia"/>
              </w:rPr>
              <w:t>，本项目符合</w:t>
            </w:r>
            <w:r>
              <w:rPr>
                <w:rFonts w:hint="eastAsia"/>
                <w:lang w:val="en-US" w:eastAsia="zh-CN"/>
              </w:rPr>
              <w:t>巴州“三线一单”生态环境分区管控动态更新成果相关要求。</w:t>
            </w:r>
          </w:p>
          <w:p w14:paraId="474AD09A">
            <w:pPr>
              <w:pStyle w:val="3"/>
              <w:numPr>
                <w:ilvl w:val="0"/>
                <w:numId w:val="0"/>
              </w:numPr>
              <w:suppressLineNumbers w:val="0"/>
              <w:bidi w:val="0"/>
              <w:spacing w:before="0" w:beforeAutospacing="0" w:after="0" w:afterAutospacing="0"/>
              <w:ind w:leftChars="0" w:right="0" w:rightChars="0"/>
              <w:rPr>
                <w:rFonts w:hint="eastAsia"/>
                <w:lang w:val="en-US" w:eastAsia="zh-CN"/>
              </w:rPr>
            </w:pPr>
            <w:r>
              <w:rPr>
                <w:rFonts w:hint="eastAsia"/>
                <w:lang w:val="en-US" w:eastAsia="zh-CN"/>
              </w:rPr>
              <w:t>4.其他符合性分析</w:t>
            </w:r>
          </w:p>
          <w:p w14:paraId="3296BCAB">
            <w:pPr>
              <w:pStyle w:val="13"/>
              <w:bidi w:val="0"/>
              <w:rPr>
                <w:rFonts w:hint="eastAsia"/>
                <w:lang w:val="en-US" w:eastAsia="zh-CN"/>
              </w:rPr>
            </w:pPr>
            <w:r>
              <w:rPr>
                <w:rFonts w:hint="default"/>
              </w:rPr>
              <w:t>表</w:t>
            </w:r>
            <w:r>
              <w:rPr>
                <w:rFonts w:hint="eastAsia"/>
                <w:lang w:val="en-US" w:eastAsia="zh-CN"/>
              </w:rPr>
              <w:t xml:space="preserve">1-4     </w:t>
            </w:r>
            <w:r>
              <w:rPr>
                <w:rFonts w:hint="eastAsia"/>
                <w:lang w:eastAsia="zh-CN"/>
              </w:rPr>
              <w:t>其他</w:t>
            </w:r>
            <w:r>
              <w:rPr>
                <w:rFonts w:hint="default"/>
              </w:rPr>
              <w:t>符合性分析</w:t>
            </w:r>
          </w:p>
          <w:tbl>
            <w:tblPr>
              <w:tblStyle w:val="43"/>
              <w:tblW w:w="4997"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56"/>
              <w:gridCol w:w="3786"/>
              <w:gridCol w:w="1765"/>
              <w:gridCol w:w="542"/>
            </w:tblGrid>
            <w:tr w14:paraId="18531E3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tcBorders>
                    <w:tl2br w:val="nil"/>
                    <w:tr2bl w:val="nil"/>
                  </w:tcBorders>
                  <w:shd w:val="clear" w:color="auto" w:fill="auto"/>
                  <w:vAlign w:val="center"/>
                </w:tcPr>
                <w:p w14:paraId="55B4F00B">
                  <w:pPr>
                    <w:pStyle w:val="5"/>
                    <w:bidi w:val="0"/>
                    <w:rPr>
                      <w:rFonts w:hint="eastAsia"/>
                      <w:b w:val="0"/>
                      <w:color w:val="000000"/>
                      <w:lang w:val="en-US" w:eastAsia="zh-CN"/>
                    </w:rPr>
                  </w:pPr>
                  <w:r>
                    <w:rPr>
                      <w:rFonts w:hint="eastAsia"/>
                      <w:b w:val="0"/>
                      <w:color w:val="000000"/>
                      <w:lang w:val="en-US" w:eastAsia="zh-CN"/>
                    </w:rPr>
                    <w:t>文件名称</w:t>
                  </w:r>
                </w:p>
              </w:tc>
              <w:tc>
                <w:tcPr>
                  <w:tcW w:w="2648" w:type="pct"/>
                  <w:tcBorders>
                    <w:tl2br w:val="nil"/>
                    <w:tr2bl w:val="nil"/>
                  </w:tcBorders>
                  <w:shd w:val="clear" w:color="auto" w:fill="auto"/>
                  <w:vAlign w:val="center"/>
                </w:tcPr>
                <w:p w14:paraId="3C2DB321">
                  <w:pPr>
                    <w:pStyle w:val="5"/>
                    <w:bidi w:val="0"/>
                    <w:rPr>
                      <w:rFonts w:hint="eastAsia"/>
                      <w:b w:val="0"/>
                      <w:color w:val="000000"/>
                      <w:lang w:val="en-US" w:eastAsia="zh-CN"/>
                    </w:rPr>
                  </w:pPr>
                  <w:r>
                    <w:rPr>
                      <w:rFonts w:hint="eastAsia"/>
                      <w:b w:val="0"/>
                      <w:color w:val="000000"/>
                      <w:lang w:val="en-US" w:eastAsia="zh-CN"/>
                    </w:rPr>
                    <w:t>文件要求</w:t>
                  </w:r>
                </w:p>
              </w:tc>
              <w:tc>
                <w:tcPr>
                  <w:tcW w:w="1235" w:type="pct"/>
                  <w:tcBorders>
                    <w:tl2br w:val="nil"/>
                    <w:tr2bl w:val="nil"/>
                  </w:tcBorders>
                  <w:shd w:val="clear" w:color="auto" w:fill="auto"/>
                  <w:vAlign w:val="center"/>
                </w:tcPr>
                <w:p w14:paraId="63C5CD64">
                  <w:pPr>
                    <w:pStyle w:val="5"/>
                    <w:bidi w:val="0"/>
                    <w:rPr>
                      <w:rFonts w:hint="eastAsia"/>
                      <w:b w:val="0"/>
                      <w:color w:val="000000"/>
                      <w:lang w:val="en-US" w:eastAsia="zh-CN"/>
                    </w:rPr>
                  </w:pPr>
                  <w:r>
                    <w:rPr>
                      <w:rFonts w:hint="eastAsia"/>
                      <w:b w:val="0"/>
                      <w:color w:val="000000"/>
                      <w:lang w:val="en-US" w:eastAsia="zh-CN"/>
                    </w:rPr>
                    <w:t>本项目建设情况</w:t>
                  </w:r>
                </w:p>
              </w:tc>
              <w:tc>
                <w:tcPr>
                  <w:tcW w:w="380" w:type="pct"/>
                  <w:tcBorders>
                    <w:tl2br w:val="nil"/>
                    <w:tr2bl w:val="nil"/>
                  </w:tcBorders>
                  <w:shd w:val="clear" w:color="auto" w:fill="auto"/>
                  <w:vAlign w:val="center"/>
                </w:tcPr>
                <w:p w14:paraId="4077A2E7">
                  <w:pPr>
                    <w:pStyle w:val="5"/>
                    <w:bidi w:val="0"/>
                    <w:rPr>
                      <w:rFonts w:hint="eastAsia"/>
                      <w:b w:val="0"/>
                      <w:color w:val="000000"/>
                      <w:lang w:val="en-US" w:eastAsia="zh-CN"/>
                    </w:rPr>
                  </w:pPr>
                  <w:r>
                    <w:rPr>
                      <w:rFonts w:hint="eastAsia"/>
                      <w:b w:val="0"/>
                      <w:color w:val="000000"/>
                      <w:lang w:val="en-US" w:eastAsia="zh-CN"/>
                    </w:rPr>
                    <w:t>符合性</w:t>
                  </w:r>
                </w:p>
              </w:tc>
            </w:tr>
            <w:tr w14:paraId="7E830FB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vMerge w:val="restart"/>
                  <w:tcBorders>
                    <w:tl2br w:val="nil"/>
                    <w:tr2bl w:val="nil"/>
                  </w:tcBorders>
                  <w:shd w:val="clear" w:color="auto" w:fill="auto"/>
                  <w:vAlign w:val="center"/>
                </w:tcPr>
                <w:p w14:paraId="2C8CF832">
                  <w:pPr>
                    <w:pStyle w:val="5"/>
                    <w:bidi w:val="0"/>
                    <w:rPr>
                      <w:rFonts w:hint="eastAsia"/>
                      <w:b w:val="0"/>
                      <w:color w:val="000000"/>
                      <w:lang w:val="en-US" w:eastAsia="zh-CN"/>
                    </w:rPr>
                  </w:pPr>
                  <w:r>
                    <w:rPr>
                      <w:rFonts w:hint="eastAsia"/>
                      <w:b w:val="0"/>
                      <w:color w:val="000000"/>
                      <w:lang w:val="en-US" w:eastAsia="zh-CN"/>
                    </w:rPr>
                    <w:t>《新疆生态环境保护“十四五”规划》</w:t>
                  </w:r>
                </w:p>
              </w:tc>
              <w:tc>
                <w:tcPr>
                  <w:tcW w:w="2648" w:type="pct"/>
                  <w:tcBorders>
                    <w:tl2br w:val="nil"/>
                    <w:tr2bl w:val="nil"/>
                  </w:tcBorders>
                  <w:shd w:val="clear" w:color="auto" w:fill="auto"/>
                  <w:vAlign w:val="center"/>
                </w:tcPr>
                <w:p w14:paraId="5991257A">
                  <w:pPr>
                    <w:pStyle w:val="5"/>
                    <w:bidi w:val="0"/>
                    <w:rPr>
                      <w:rFonts w:hint="eastAsia"/>
                      <w:b w:val="0"/>
                      <w:color w:val="000000"/>
                      <w:lang w:val="en-US" w:eastAsia="zh-CN"/>
                    </w:rPr>
                  </w:pPr>
                  <w:r>
                    <w:rPr>
                      <w:rFonts w:hint="eastAsia"/>
                      <w:b w:val="0"/>
                      <w:color w:val="000000"/>
                      <w:lang w:val="en-US" w:eastAsia="zh-CN"/>
                    </w:rPr>
                    <w:t>“加强工业污染防治，支持企业积极实施节水技术改造，加强工业园区污水集中处理设施运行管理，加快再生水回用设施建设，提升园区水资源循环利用水平”。</w:t>
                  </w:r>
                </w:p>
              </w:tc>
              <w:tc>
                <w:tcPr>
                  <w:tcW w:w="1235" w:type="pct"/>
                  <w:tcBorders>
                    <w:tl2br w:val="nil"/>
                    <w:tr2bl w:val="nil"/>
                  </w:tcBorders>
                  <w:shd w:val="clear" w:color="auto" w:fill="auto"/>
                  <w:vAlign w:val="center"/>
                </w:tcPr>
                <w:p w14:paraId="52EB5CE1">
                  <w:pPr>
                    <w:pStyle w:val="5"/>
                    <w:bidi w:val="0"/>
                    <w:rPr>
                      <w:rFonts w:hint="eastAsia"/>
                      <w:b w:val="0"/>
                      <w:color w:val="000000"/>
                      <w:lang w:val="en-US" w:eastAsia="zh-CN"/>
                    </w:rPr>
                  </w:pPr>
                  <w:r>
                    <w:rPr>
                      <w:rFonts w:hint="eastAsia"/>
                      <w:b w:val="0"/>
                      <w:color w:val="000000"/>
                      <w:lang w:val="en-US" w:eastAsia="zh-CN"/>
                    </w:rPr>
                    <w:t>不涉及</w:t>
                  </w:r>
                </w:p>
              </w:tc>
              <w:tc>
                <w:tcPr>
                  <w:tcW w:w="380" w:type="pct"/>
                  <w:tcBorders>
                    <w:tl2br w:val="nil"/>
                    <w:tr2bl w:val="nil"/>
                  </w:tcBorders>
                  <w:shd w:val="clear" w:color="auto" w:fill="auto"/>
                  <w:vAlign w:val="center"/>
                </w:tcPr>
                <w:p w14:paraId="1EE8ECDE">
                  <w:pPr>
                    <w:pStyle w:val="5"/>
                    <w:bidi w:val="0"/>
                    <w:rPr>
                      <w:rFonts w:hint="eastAsia"/>
                      <w:b w:val="0"/>
                      <w:color w:val="000000"/>
                      <w:lang w:val="en-US" w:eastAsia="zh-CN"/>
                    </w:rPr>
                  </w:pPr>
                  <w:r>
                    <w:rPr>
                      <w:rFonts w:hint="eastAsia"/>
                      <w:b w:val="0"/>
                      <w:color w:val="000000"/>
                      <w:lang w:val="en-US" w:eastAsia="zh-CN"/>
                    </w:rPr>
                    <w:t>符合</w:t>
                  </w:r>
                </w:p>
              </w:tc>
            </w:tr>
            <w:tr w14:paraId="366559E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vMerge w:val="continue"/>
                  <w:tcBorders>
                    <w:tl2br w:val="nil"/>
                    <w:tr2bl w:val="nil"/>
                  </w:tcBorders>
                  <w:shd w:val="clear" w:color="auto" w:fill="auto"/>
                  <w:vAlign w:val="center"/>
                </w:tcPr>
                <w:p w14:paraId="258685D1">
                  <w:pPr>
                    <w:pStyle w:val="5"/>
                    <w:bidi w:val="0"/>
                    <w:rPr>
                      <w:rFonts w:hint="eastAsia"/>
                      <w:b w:val="0"/>
                      <w:color w:val="000000"/>
                      <w:lang w:val="en-US" w:eastAsia="zh-CN"/>
                    </w:rPr>
                  </w:pPr>
                </w:p>
              </w:tc>
              <w:tc>
                <w:tcPr>
                  <w:tcW w:w="2648" w:type="pct"/>
                  <w:tcBorders>
                    <w:tl2br w:val="nil"/>
                    <w:tr2bl w:val="nil"/>
                  </w:tcBorders>
                  <w:shd w:val="clear" w:color="auto" w:fill="auto"/>
                  <w:vAlign w:val="center"/>
                </w:tcPr>
                <w:p w14:paraId="3F20F365">
                  <w:pPr>
                    <w:pStyle w:val="5"/>
                    <w:bidi w:val="0"/>
                    <w:rPr>
                      <w:rFonts w:hint="eastAsia"/>
                      <w:b w:val="0"/>
                      <w:color w:val="000000"/>
                      <w:lang w:val="en-US" w:eastAsia="zh-CN"/>
                    </w:rPr>
                  </w:pPr>
                  <w:r>
                    <w:rPr>
                      <w:rFonts w:hint="eastAsia"/>
                      <w:b w:val="0"/>
                      <w:color w:val="000000"/>
                      <w:lang w:val="en-US" w:eastAsia="zh-CN"/>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tc>
              <w:tc>
                <w:tcPr>
                  <w:tcW w:w="1235" w:type="pct"/>
                  <w:tcBorders>
                    <w:tl2br w:val="nil"/>
                    <w:tr2bl w:val="nil"/>
                  </w:tcBorders>
                  <w:shd w:val="clear" w:color="auto" w:fill="auto"/>
                  <w:vAlign w:val="center"/>
                </w:tcPr>
                <w:p w14:paraId="57EBD526">
                  <w:pPr>
                    <w:pStyle w:val="5"/>
                    <w:bidi w:val="0"/>
                    <w:rPr>
                      <w:rFonts w:hint="default"/>
                      <w:b w:val="0"/>
                      <w:color w:val="000000"/>
                      <w:lang w:val="en-US" w:eastAsia="zh-CN"/>
                    </w:rPr>
                  </w:pPr>
                  <w:r>
                    <w:rPr>
                      <w:rFonts w:hint="eastAsia"/>
                      <w:b w:val="0"/>
                      <w:color w:val="000000"/>
                      <w:lang w:val="en-US" w:eastAsia="zh-CN"/>
                    </w:rPr>
                    <w:t>项目为输煤廊道建设，通过设置全封闭输煤廊道并配合喷雾抑尘、袋式除尘器等措施减少粉尘产生和排放。</w:t>
                  </w:r>
                </w:p>
              </w:tc>
              <w:tc>
                <w:tcPr>
                  <w:tcW w:w="380" w:type="pct"/>
                  <w:tcBorders>
                    <w:tl2br w:val="nil"/>
                    <w:tr2bl w:val="nil"/>
                  </w:tcBorders>
                  <w:shd w:val="clear" w:color="auto" w:fill="auto"/>
                  <w:vAlign w:val="center"/>
                </w:tcPr>
                <w:p w14:paraId="6ABBA9EF">
                  <w:pPr>
                    <w:pStyle w:val="5"/>
                    <w:bidi w:val="0"/>
                    <w:rPr>
                      <w:rFonts w:hint="eastAsia"/>
                      <w:b w:val="0"/>
                      <w:color w:val="000000"/>
                      <w:lang w:val="en-US" w:eastAsia="zh-CN"/>
                    </w:rPr>
                  </w:pPr>
                  <w:r>
                    <w:rPr>
                      <w:rFonts w:hint="eastAsia"/>
                      <w:b w:val="0"/>
                      <w:color w:val="000000"/>
                      <w:lang w:val="en-US" w:eastAsia="zh-CN"/>
                    </w:rPr>
                    <w:t>符合</w:t>
                  </w:r>
                </w:p>
              </w:tc>
            </w:tr>
            <w:tr w14:paraId="5EED064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vMerge w:val="restart"/>
                  <w:tcBorders>
                    <w:tl2br w:val="nil"/>
                    <w:tr2bl w:val="nil"/>
                  </w:tcBorders>
                  <w:shd w:val="clear" w:color="auto" w:fill="auto"/>
                  <w:vAlign w:val="center"/>
                </w:tcPr>
                <w:p w14:paraId="7A36ADA8">
                  <w:pPr>
                    <w:pStyle w:val="5"/>
                    <w:bidi w:val="0"/>
                    <w:rPr>
                      <w:rFonts w:hint="eastAsia"/>
                      <w:b w:val="0"/>
                      <w:color w:val="000000"/>
                      <w:lang w:val="en-US" w:eastAsia="zh-CN"/>
                    </w:rPr>
                  </w:pPr>
                  <w:r>
                    <w:rPr>
                      <w:rFonts w:hint="eastAsia"/>
                      <w:b w:val="0"/>
                      <w:color w:val="000000"/>
                      <w:lang w:val="en-US" w:eastAsia="zh-CN"/>
                    </w:rPr>
                    <w:t>《巴音郭楞蒙古自治州生态环境“十四五”规划》</w:t>
                  </w:r>
                </w:p>
              </w:tc>
              <w:tc>
                <w:tcPr>
                  <w:tcW w:w="2648" w:type="pct"/>
                  <w:tcBorders>
                    <w:tl2br w:val="nil"/>
                    <w:tr2bl w:val="nil"/>
                  </w:tcBorders>
                  <w:shd w:val="clear" w:color="auto" w:fill="auto"/>
                  <w:vAlign w:val="center"/>
                </w:tcPr>
                <w:p w14:paraId="67038709">
                  <w:pPr>
                    <w:pStyle w:val="5"/>
                    <w:bidi w:val="0"/>
                    <w:rPr>
                      <w:rFonts w:hint="eastAsia"/>
                      <w:b w:val="0"/>
                      <w:color w:val="000000"/>
                      <w:lang w:val="en-US" w:eastAsia="zh-CN"/>
                    </w:rPr>
                  </w:pPr>
                  <w:r>
                    <w:rPr>
                      <w:rFonts w:hint="default"/>
                      <w:b w:val="0"/>
                      <w:color w:val="000000"/>
                      <w:lang w:val="en-US" w:eastAsia="zh-CN"/>
                    </w:rPr>
                    <w:t>强化面源污染防控。加强城市扬尘综合防控，积极推进绿色工地和</w:t>
                  </w:r>
                  <w:r>
                    <w:rPr>
                      <w:rFonts w:hint="eastAsia"/>
                      <w:b w:val="0"/>
                      <w:color w:val="000000"/>
                      <w:lang w:val="en-US" w:eastAsia="zh-CN"/>
                    </w:rPr>
                    <w:t>“</w:t>
                  </w:r>
                  <w:r>
                    <w:rPr>
                      <w:rFonts w:hint="default"/>
                      <w:b w:val="0"/>
                      <w:color w:val="000000"/>
                      <w:lang w:val="en-US" w:eastAsia="zh-CN"/>
                    </w:rPr>
                    <w:t>阳光施工</w:t>
                  </w:r>
                  <w:r>
                    <w:rPr>
                      <w:rFonts w:hint="eastAsia"/>
                      <w:b w:val="0"/>
                      <w:color w:val="000000"/>
                      <w:lang w:val="en-US" w:eastAsia="zh-CN"/>
                    </w:rPr>
                    <w:t>”</w:t>
                  </w:r>
                  <w:r>
                    <w:rPr>
                      <w:rFonts w:hint="default"/>
                      <w:b w:val="0"/>
                      <w:color w:val="000000"/>
                      <w:lang w:val="en-US" w:eastAsia="zh-CN"/>
                    </w:rPr>
                    <w:t>创建，县级及以上城市建成区建筑工地扬尘防控标准化管理全覆盖；控制道路交通扬尘污染，加强城市道路清扫保洁和洒水抑尘，提高机械化作业水平；加强矿山粉尘治理，充分运用新型、高效的防尘、降尘、除尘技术，全面加强矿山开采各环节粉尘防控措施；全面推进秸秆实现资源化利用，推进农业大气氨污染防治，加强种植业氨排放控制，调整氮肥结构，加速挥发性氮肥产品的应用。</w:t>
                  </w:r>
                </w:p>
              </w:tc>
              <w:tc>
                <w:tcPr>
                  <w:tcW w:w="1235" w:type="pct"/>
                  <w:tcBorders>
                    <w:tl2br w:val="nil"/>
                    <w:tr2bl w:val="nil"/>
                  </w:tcBorders>
                  <w:shd w:val="clear" w:color="auto" w:fill="auto"/>
                  <w:vAlign w:val="center"/>
                </w:tcPr>
                <w:p w14:paraId="338B99A8">
                  <w:pPr>
                    <w:pStyle w:val="5"/>
                    <w:bidi w:val="0"/>
                    <w:rPr>
                      <w:rFonts w:hint="default"/>
                      <w:b w:val="0"/>
                      <w:color w:val="000000"/>
                      <w:lang w:val="en-US" w:eastAsia="zh-CN"/>
                    </w:rPr>
                  </w:pPr>
                  <w:r>
                    <w:rPr>
                      <w:rFonts w:hint="eastAsia"/>
                      <w:b w:val="0"/>
                      <w:color w:val="000000"/>
                      <w:lang w:val="en-US" w:eastAsia="zh-CN"/>
                    </w:rPr>
                    <w:t>项目建设全封闭输煤廊道，并采取喷雾抑尘、除尘器等措施减少粉尘产生和排放。</w:t>
                  </w:r>
                </w:p>
              </w:tc>
              <w:tc>
                <w:tcPr>
                  <w:tcW w:w="380" w:type="pct"/>
                  <w:tcBorders>
                    <w:tl2br w:val="nil"/>
                    <w:tr2bl w:val="nil"/>
                  </w:tcBorders>
                  <w:shd w:val="clear" w:color="auto" w:fill="auto"/>
                  <w:vAlign w:val="center"/>
                </w:tcPr>
                <w:p w14:paraId="724CBBFE">
                  <w:pPr>
                    <w:pStyle w:val="5"/>
                    <w:bidi w:val="0"/>
                    <w:rPr>
                      <w:rFonts w:hint="eastAsia"/>
                      <w:b w:val="0"/>
                      <w:color w:val="000000"/>
                      <w:lang w:val="en-US" w:eastAsia="zh-CN"/>
                    </w:rPr>
                  </w:pPr>
                  <w:r>
                    <w:rPr>
                      <w:rFonts w:hint="eastAsia"/>
                      <w:b w:val="0"/>
                      <w:color w:val="000000"/>
                      <w:lang w:val="en-US" w:eastAsia="zh-CN"/>
                    </w:rPr>
                    <w:t>符合</w:t>
                  </w:r>
                </w:p>
              </w:tc>
            </w:tr>
            <w:tr w14:paraId="58B1B83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vMerge w:val="continue"/>
                  <w:tcBorders>
                    <w:tl2br w:val="nil"/>
                    <w:tr2bl w:val="nil"/>
                  </w:tcBorders>
                  <w:shd w:val="clear" w:color="auto" w:fill="auto"/>
                  <w:vAlign w:val="center"/>
                </w:tcPr>
                <w:p w14:paraId="36110CCA">
                  <w:pPr>
                    <w:pStyle w:val="5"/>
                    <w:bidi w:val="0"/>
                    <w:rPr>
                      <w:rFonts w:hint="eastAsia"/>
                      <w:b w:val="0"/>
                      <w:color w:val="000000"/>
                      <w:lang w:val="en-US" w:eastAsia="zh-CN"/>
                    </w:rPr>
                  </w:pPr>
                </w:p>
              </w:tc>
              <w:tc>
                <w:tcPr>
                  <w:tcW w:w="2648" w:type="pct"/>
                  <w:tcBorders>
                    <w:tl2br w:val="nil"/>
                    <w:tr2bl w:val="nil"/>
                  </w:tcBorders>
                  <w:shd w:val="clear" w:color="auto" w:fill="auto"/>
                  <w:vAlign w:val="center"/>
                </w:tcPr>
                <w:p w14:paraId="1D78401C">
                  <w:pPr>
                    <w:pStyle w:val="5"/>
                    <w:bidi w:val="0"/>
                    <w:rPr>
                      <w:rFonts w:hint="default"/>
                      <w:b w:val="0"/>
                      <w:color w:val="000000"/>
                      <w:lang w:val="en-US" w:eastAsia="zh-CN"/>
                    </w:rPr>
                  </w:pPr>
                  <w:r>
                    <w:rPr>
                      <w:rFonts w:hint="default"/>
                      <w:b w:val="0"/>
                      <w:color w:val="000000"/>
                      <w:lang w:val="en-US" w:eastAsia="zh-CN"/>
                    </w:rPr>
                    <w:t>促进再生水利用。制定促进再生水利用的政策，以城市及产业集聚区为重点，持续推进污水收集处理，实施再生水利用工程，完善再生水利用设施，工业生产、城市绿化、道路清扫、车辆冲洗、建筑施工以及生态景观等用水，优先使用再生水。</w:t>
                  </w:r>
                </w:p>
              </w:tc>
              <w:tc>
                <w:tcPr>
                  <w:tcW w:w="1235" w:type="pct"/>
                  <w:tcBorders>
                    <w:tl2br w:val="nil"/>
                    <w:tr2bl w:val="nil"/>
                  </w:tcBorders>
                  <w:shd w:val="clear" w:color="auto" w:fill="auto"/>
                  <w:vAlign w:val="center"/>
                </w:tcPr>
                <w:p w14:paraId="5D20F104">
                  <w:pPr>
                    <w:pStyle w:val="5"/>
                    <w:bidi w:val="0"/>
                    <w:rPr>
                      <w:rFonts w:hint="eastAsia"/>
                      <w:b w:val="0"/>
                      <w:color w:val="000000"/>
                      <w:lang w:val="en-US" w:eastAsia="zh-CN"/>
                    </w:rPr>
                  </w:pPr>
                  <w:r>
                    <w:rPr>
                      <w:rFonts w:hint="eastAsia"/>
                      <w:b w:val="0"/>
                      <w:color w:val="000000"/>
                      <w:lang w:val="en-US" w:eastAsia="zh-CN"/>
                    </w:rPr>
                    <w:t>项目抑尘用水来源为矿区矿井水处理系统，属于再生利用水。</w:t>
                  </w:r>
                </w:p>
              </w:tc>
              <w:tc>
                <w:tcPr>
                  <w:tcW w:w="380" w:type="pct"/>
                  <w:tcBorders>
                    <w:tl2br w:val="nil"/>
                    <w:tr2bl w:val="nil"/>
                  </w:tcBorders>
                  <w:shd w:val="clear" w:color="auto" w:fill="auto"/>
                  <w:vAlign w:val="center"/>
                </w:tcPr>
                <w:p w14:paraId="47314F47">
                  <w:pPr>
                    <w:pStyle w:val="5"/>
                    <w:bidi w:val="0"/>
                    <w:rPr>
                      <w:rFonts w:hint="eastAsia"/>
                      <w:b w:val="0"/>
                      <w:color w:val="000000"/>
                      <w:lang w:val="en-US" w:eastAsia="zh-CN"/>
                    </w:rPr>
                  </w:pPr>
                  <w:r>
                    <w:rPr>
                      <w:rFonts w:hint="eastAsia"/>
                      <w:b w:val="0"/>
                      <w:color w:val="000000"/>
                      <w:lang w:val="en-US" w:eastAsia="zh-CN"/>
                    </w:rPr>
                    <w:t>符合</w:t>
                  </w:r>
                </w:p>
              </w:tc>
            </w:tr>
            <w:tr w14:paraId="3287B27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tcBorders>
                    <w:tl2br w:val="nil"/>
                    <w:tr2bl w:val="nil"/>
                  </w:tcBorders>
                  <w:shd w:val="clear" w:color="auto" w:fill="auto"/>
                  <w:vAlign w:val="center"/>
                </w:tcPr>
                <w:p w14:paraId="6B8FC39D">
                  <w:pPr>
                    <w:pStyle w:val="5"/>
                    <w:bidi w:val="0"/>
                    <w:rPr>
                      <w:rFonts w:hint="default"/>
                      <w:b w:val="0"/>
                      <w:color w:val="000000"/>
                      <w:lang w:val="en-US" w:eastAsia="zh-CN"/>
                    </w:rPr>
                  </w:pPr>
                  <w:r>
                    <w:rPr>
                      <w:rFonts w:hint="eastAsia"/>
                      <w:b w:val="0"/>
                      <w:color w:val="000000"/>
                      <w:lang w:val="en-US" w:eastAsia="zh-CN"/>
                    </w:rPr>
                    <w:t>《自治州大气污染防治三年攻坚行动方案（2023－2025 年）》</w:t>
                  </w:r>
                </w:p>
              </w:tc>
              <w:tc>
                <w:tcPr>
                  <w:tcW w:w="2648" w:type="pct"/>
                  <w:tcBorders>
                    <w:tl2br w:val="nil"/>
                    <w:tr2bl w:val="nil"/>
                  </w:tcBorders>
                  <w:shd w:val="clear" w:color="auto" w:fill="auto"/>
                  <w:vAlign w:val="center"/>
                </w:tcPr>
                <w:p w14:paraId="1B8FC020">
                  <w:pPr>
                    <w:pStyle w:val="5"/>
                    <w:bidi w:val="0"/>
                    <w:rPr>
                      <w:rFonts w:hint="eastAsia"/>
                      <w:b w:val="0"/>
                      <w:color w:val="000000"/>
                      <w:lang w:val="en-US" w:eastAsia="zh-CN"/>
                    </w:rPr>
                  </w:pPr>
                  <w:r>
                    <w:rPr>
                      <w:rFonts w:hint="default"/>
                      <w:b w:val="0"/>
                      <w:color w:val="000000"/>
                      <w:lang w:val="en-US" w:eastAsia="zh-CN"/>
                    </w:rPr>
                    <w:t>严把高耗能、高排放、低水平项目准入关口，严格落实国家产业规划、产业政策、</w:t>
                  </w:r>
                  <w:r>
                    <w:rPr>
                      <w:rFonts w:hint="eastAsia"/>
                      <w:b w:val="0"/>
                      <w:color w:val="000000"/>
                      <w:lang w:val="en-US" w:eastAsia="zh-CN"/>
                    </w:rPr>
                    <w:t>“</w:t>
                  </w:r>
                  <w:r>
                    <w:rPr>
                      <w:rFonts w:hint="default"/>
                      <w:b w:val="0"/>
                      <w:color w:val="000000"/>
                      <w:lang w:val="en-US" w:eastAsia="zh-CN"/>
                    </w:rPr>
                    <w:t>三线一单</w:t>
                  </w:r>
                  <w:r>
                    <w:rPr>
                      <w:rFonts w:hint="eastAsia"/>
                      <w:b w:val="0"/>
                      <w:color w:val="000000"/>
                      <w:lang w:val="en-US" w:eastAsia="zh-CN"/>
                    </w:rPr>
                    <w:t>”</w:t>
                  </w:r>
                  <w:r>
                    <w:rPr>
                      <w:rFonts w:hint="default"/>
                      <w:b w:val="0"/>
                      <w:color w:val="000000"/>
                      <w:lang w:val="en-US" w:eastAsia="zh-CN"/>
                    </w:rPr>
                    <w:t>、规划环评</w:t>
                  </w:r>
                  <w:r>
                    <w:rPr>
                      <w:rFonts w:hint="eastAsia"/>
                      <w:b w:val="0"/>
                      <w:color w:val="000000"/>
                      <w:lang w:val="en-US" w:eastAsia="zh-CN"/>
                    </w:rPr>
                    <w:t>以及</w:t>
                  </w:r>
                  <w:r>
                    <w:rPr>
                      <w:rFonts w:hint="default"/>
                      <w:b w:val="0"/>
                      <w:color w:val="000000"/>
                      <w:lang w:val="en-US" w:eastAsia="zh-CN"/>
                    </w:rPr>
                    <w:t>产能置换、煤炭消费减量替代、区域污染物消减要求，对不符合规定的项目坚决停批停建。加强已审批高耗能高排放项目环评文件审查，动态更新管理台账。库尔勒大气污染联防联控区严禁新增钢铁、水泥熟料、平板玻璃、炼油产能。其他地区钢铁、水泥熟料、平板玻璃、炼油、电解铝等新建、扩建项目严格实施产能等量置换要求。</w:t>
                  </w:r>
                </w:p>
              </w:tc>
              <w:tc>
                <w:tcPr>
                  <w:tcW w:w="1235" w:type="pct"/>
                  <w:tcBorders>
                    <w:tl2br w:val="nil"/>
                    <w:tr2bl w:val="nil"/>
                  </w:tcBorders>
                  <w:shd w:val="clear" w:color="auto" w:fill="auto"/>
                  <w:vAlign w:val="center"/>
                </w:tcPr>
                <w:p w14:paraId="3399DA48">
                  <w:pPr>
                    <w:pStyle w:val="5"/>
                    <w:bidi w:val="0"/>
                    <w:rPr>
                      <w:rFonts w:hint="eastAsia"/>
                      <w:b w:val="0"/>
                      <w:color w:val="000000"/>
                      <w:lang w:val="en-US" w:eastAsia="zh-CN"/>
                    </w:rPr>
                  </w:pPr>
                  <w:r>
                    <w:rPr>
                      <w:rFonts w:hint="eastAsia"/>
                      <w:b w:val="0"/>
                      <w:color w:val="000000"/>
                      <w:lang w:val="en-US" w:eastAsia="zh-CN"/>
                    </w:rPr>
                    <w:t>根据</w:t>
                  </w:r>
                  <w:r>
                    <w:rPr>
                      <w:rFonts w:hint="default"/>
                      <w:b w:val="0"/>
                      <w:color w:val="000000"/>
                      <w:lang w:val="en-US" w:eastAsia="zh-CN"/>
                    </w:rPr>
                    <w:t>《产业结构调整指导目录（</w:t>
                  </w:r>
                  <w:r>
                    <w:rPr>
                      <w:rFonts w:hint="eastAsia"/>
                      <w:b w:val="0"/>
                      <w:color w:val="000000"/>
                      <w:lang w:val="en-US" w:eastAsia="zh-CN"/>
                    </w:rPr>
                    <w:t>2024</w:t>
                  </w:r>
                  <w:r>
                    <w:rPr>
                      <w:rFonts w:hint="default"/>
                      <w:b w:val="0"/>
                      <w:color w:val="000000"/>
                      <w:lang w:val="en-US" w:eastAsia="zh-CN"/>
                    </w:rPr>
                    <w:t>年本）》</w:t>
                  </w:r>
                  <w:r>
                    <w:rPr>
                      <w:rFonts w:hint="eastAsia"/>
                      <w:b w:val="0"/>
                      <w:color w:val="000000"/>
                      <w:lang w:val="en-US" w:eastAsia="zh-CN"/>
                    </w:rPr>
                    <w:t>判断项目属于鼓励类</w:t>
                  </w:r>
                  <w:r>
                    <w:rPr>
                      <w:rFonts w:hint="default"/>
                      <w:b w:val="0"/>
                      <w:color w:val="000000"/>
                      <w:lang w:val="en-US" w:eastAsia="zh-CN"/>
                    </w:rPr>
                    <w:t>，不属于《市场准入负面清单（202</w:t>
                  </w:r>
                  <w:r>
                    <w:rPr>
                      <w:rFonts w:hint="eastAsia"/>
                      <w:b w:val="0"/>
                      <w:color w:val="000000"/>
                      <w:lang w:val="en-US" w:eastAsia="zh-CN"/>
                    </w:rPr>
                    <w:t>5</w:t>
                  </w:r>
                  <w:r>
                    <w:rPr>
                      <w:rFonts w:hint="default"/>
                      <w:b w:val="0"/>
                      <w:color w:val="000000"/>
                      <w:lang w:val="en-US" w:eastAsia="zh-CN"/>
                    </w:rPr>
                    <w:t>年版）》禁止准入事项</w:t>
                  </w:r>
                  <w:r>
                    <w:rPr>
                      <w:rFonts w:hint="eastAsia"/>
                      <w:b w:val="0"/>
                      <w:color w:val="000000"/>
                      <w:lang w:val="en-US" w:eastAsia="zh-CN"/>
                    </w:rPr>
                    <w:t>。项目不属于</w:t>
                  </w:r>
                  <w:r>
                    <w:rPr>
                      <w:rFonts w:hint="default"/>
                      <w:b w:val="0"/>
                      <w:color w:val="000000"/>
                      <w:lang w:val="en-US" w:eastAsia="zh-CN"/>
                    </w:rPr>
                    <w:t>高耗能、高排放、低水平项目</w:t>
                  </w:r>
                  <w:r>
                    <w:rPr>
                      <w:rFonts w:hint="eastAsia"/>
                      <w:b w:val="0"/>
                      <w:color w:val="000000"/>
                      <w:lang w:val="en-US" w:eastAsia="zh-CN"/>
                    </w:rPr>
                    <w:t>，将严格落实“</w:t>
                  </w:r>
                  <w:r>
                    <w:rPr>
                      <w:rFonts w:hint="default"/>
                      <w:b w:val="0"/>
                      <w:color w:val="000000"/>
                      <w:lang w:val="en-US" w:eastAsia="zh-CN"/>
                    </w:rPr>
                    <w:t>三线一单</w:t>
                  </w:r>
                  <w:r>
                    <w:rPr>
                      <w:rFonts w:hint="eastAsia"/>
                      <w:b w:val="0"/>
                      <w:color w:val="000000"/>
                      <w:lang w:val="en-US" w:eastAsia="zh-CN"/>
                    </w:rPr>
                    <w:t>”的要求。</w:t>
                  </w:r>
                </w:p>
              </w:tc>
              <w:tc>
                <w:tcPr>
                  <w:tcW w:w="380" w:type="pct"/>
                  <w:tcBorders>
                    <w:tl2br w:val="nil"/>
                    <w:tr2bl w:val="nil"/>
                  </w:tcBorders>
                  <w:shd w:val="clear" w:color="auto" w:fill="auto"/>
                  <w:vAlign w:val="center"/>
                </w:tcPr>
                <w:p w14:paraId="5C43787C">
                  <w:pPr>
                    <w:pStyle w:val="5"/>
                    <w:bidi w:val="0"/>
                    <w:rPr>
                      <w:rFonts w:hint="eastAsia"/>
                      <w:b w:val="0"/>
                      <w:color w:val="000000"/>
                      <w:lang w:val="en-US" w:eastAsia="zh-CN"/>
                    </w:rPr>
                  </w:pPr>
                  <w:r>
                    <w:rPr>
                      <w:rFonts w:hint="eastAsia"/>
                      <w:b w:val="0"/>
                      <w:color w:val="000000"/>
                      <w:lang w:val="en-US" w:eastAsia="zh-CN"/>
                    </w:rPr>
                    <w:t>符合</w:t>
                  </w:r>
                </w:p>
              </w:tc>
            </w:tr>
            <w:tr w14:paraId="4802A54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tcBorders>
                    <w:tl2br w:val="nil"/>
                    <w:tr2bl w:val="nil"/>
                  </w:tcBorders>
                  <w:shd w:val="clear" w:color="auto" w:fill="auto"/>
                  <w:vAlign w:val="center"/>
                </w:tcPr>
                <w:p w14:paraId="7575F082">
                  <w:pPr>
                    <w:pStyle w:val="5"/>
                    <w:bidi w:val="0"/>
                    <w:rPr>
                      <w:rFonts w:hint="eastAsia"/>
                      <w:b w:val="0"/>
                      <w:color w:val="000000"/>
                      <w:lang w:val="en-US" w:eastAsia="zh-CN"/>
                    </w:rPr>
                  </w:pPr>
                  <w:r>
                    <w:rPr>
                      <w:rFonts w:hint="eastAsia"/>
                      <w:b w:val="0"/>
                      <w:color w:val="000000"/>
                      <w:lang w:val="en-US" w:eastAsia="zh-CN"/>
                    </w:rPr>
                    <w:t xml:space="preserve">《轮台县国民经济和社会发展第十四个五年规划及 </w:t>
                  </w:r>
                  <w:r>
                    <w:rPr>
                      <w:rFonts w:hint="default"/>
                      <w:b w:val="0"/>
                      <w:color w:val="000000"/>
                      <w:lang w:val="en-US" w:eastAsia="zh-CN"/>
                    </w:rPr>
                    <w:t xml:space="preserve">2035 </w:t>
                  </w:r>
                  <w:r>
                    <w:rPr>
                      <w:rFonts w:hint="eastAsia"/>
                      <w:b w:val="0"/>
                      <w:color w:val="000000"/>
                      <w:lang w:val="en-US" w:eastAsia="zh-CN"/>
                    </w:rPr>
                    <w:t>年远景目标纲要》</w:t>
                  </w:r>
                </w:p>
              </w:tc>
              <w:tc>
                <w:tcPr>
                  <w:tcW w:w="2648" w:type="pct"/>
                  <w:tcBorders>
                    <w:tl2br w:val="nil"/>
                    <w:tr2bl w:val="nil"/>
                  </w:tcBorders>
                  <w:shd w:val="clear" w:color="auto" w:fill="auto"/>
                  <w:vAlign w:val="center"/>
                </w:tcPr>
                <w:p w14:paraId="0F5C37D1">
                  <w:pPr>
                    <w:pStyle w:val="5"/>
                    <w:bidi w:val="0"/>
                    <w:rPr>
                      <w:rFonts w:hint="default"/>
                      <w:b w:val="0"/>
                      <w:color w:val="000000"/>
                      <w:lang w:val="en-US" w:eastAsia="zh-CN"/>
                    </w:rPr>
                  </w:pPr>
                  <w:r>
                    <w:rPr>
                      <w:rFonts w:hint="eastAsia"/>
                      <w:b w:val="0"/>
                      <w:color w:val="000000"/>
                      <w:lang w:val="en-US" w:eastAsia="zh-CN"/>
                    </w:rPr>
                    <w:t>强化大气污染治理。划分污染控制重点区，强化防治分区施治。对重点控制区，实施更严格的环境准入条件，执行重点行业污染物特别排放限值，采取更有力的污染治理措施。深化多污染源治理，减少污染源头排放。推进石化行业污染防治，重点加强对煤电、煤化工等重点大气污染源的大气污染物综合整治，控制和削减大气污染物排放量。</w:t>
                  </w:r>
                </w:p>
              </w:tc>
              <w:tc>
                <w:tcPr>
                  <w:tcW w:w="1235" w:type="pct"/>
                  <w:tcBorders>
                    <w:tl2br w:val="nil"/>
                    <w:tr2bl w:val="nil"/>
                  </w:tcBorders>
                  <w:shd w:val="clear" w:color="auto" w:fill="auto"/>
                  <w:vAlign w:val="center"/>
                </w:tcPr>
                <w:p w14:paraId="6F4165EF">
                  <w:pPr>
                    <w:pStyle w:val="5"/>
                    <w:bidi w:val="0"/>
                    <w:rPr>
                      <w:rFonts w:hint="default"/>
                      <w:b w:val="0"/>
                      <w:color w:val="000000"/>
                      <w:lang w:val="en-US" w:eastAsia="zh-CN"/>
                    </w:rPr>
                  </w:pPr>
                  <w:r>
                    <w:rPr>
                      <w:rFonts w:hint="eastAsia"/>
                      <w:b w:val="0"/>
                      <w:color w:val="000000"/>
                      <w:lang w:val="en-US" w:eastAsia="zh-CN"/>
                    </w:rPr>
                    <w:t>项目建设全封闭输煤廊道，从源头减少输煤过程中粉尘产生和排放，同时运营配合喷雾抑尘、袋式除尘器等措施减少运输过程粉尘产生和排放。</w:t>
                  </w:r>
                </w:p>
              </w:tc>
              <w:tc>
                <w:tcPr>
                  <w:tcW w:w="380" w:type="pct"/>
                  <w:tcBorders>
                    <w:tl2br w:val="nil"/>
                    <w:tr2bl w:val="nil"/>
                  </w:tcBorders>
                  <w:shd w:val="clear" w:color="auto" w:fill="auto"/>
                  <w:vAlign w:val="center"/>
                </w:tcPr>
                <w:p w14:paraId="3797B814">
                  <w:pPr>
                    <w:pStyle w:val="5"/>
                    <w:bidi w:val="0"/>
                    <w:rPr>
                      <w:rFonts w:hint="eastAsia"/>
                      <w:b w:val="0"/>
                      <w:color w:val="000000"/>
                      <w:lang w:val="en-US" w:eastAsia="zh-CN"/>
                    </w:rPr>
                  </w:pPr>
                  <w:r>
                    <w:rPr>
                      <w:rFonts w:hint="eastAsia"/>
                      <w:b w:val="0"/>
                      <w:color w:val="000000"/>
                      <w:lang w:val="en-US" w:eastAsia="zh-CN"/>
                    </w:rPr>
                    <w:t>符合</w:t>
                  </w:r>
                </w:p>
              </w:tc>
            </w:tr>
            <w:tr w14:paraId="412AF4E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tcBorders>
                    <w:tl2br w:val="nil"/>
                    <w:tr2bl w:val="nil"/>
                  </w:tcBorders>
                  <w:shd w:val="clear" w:color="auto" w:fill="auto"/>
                  <w:vAlign w:val="center"/>
                </w:tcPr>
                <w:p w14:paraId="240F6139">
                  <w:pPr>
                    <w:pStyle w:val="5"/>
                    <w:bidi w:val="0"/>
                    <w:rPr>
                      <w:rFonts w:hint="eastAsia" w:eastAsia="宋体"/>
                      <w:b w:val="0"/>
                      <w:color w:val="000000"/>
                      <w:lang w:val="en-US" w:eastAsia="zh-CN"/>
                    </w:rPr>
                  </w:pPr>
                  <w:r>
                    <w:rPr>
                      <w:rFonts w:hint="eastAsia" w:eastAsia="宋体"/>
                      <w:b w:val="0"/>
                      <w:color w:val="000000"/>
                      <w:lang w:val="en-US" w:eastAsia="zh-CN"/>
                    </w:rPr>
                    <w:t>《空气质量持续改善行动计划》</w:t>
                  </w:r>
                </w:p>
                <w:p w14:paraId="339CCA3D">
                  <w:pPr>
                    <w:pStyle w:val="5"/>
                    <w:bidi w:val="0"/>
                    <w:rPr>
                      <w:rFonts w:hint="eastAsia" w:eastAsia="宋体"/>
                      <w:b w:val="0"/>
                      <w:color w:val="000000"/>
                      <w:lang w:val="en-US" w:eastAsia="zh-CN"/>
                    </w:rPr>
                  </w:pPr>
                </w:p>
              </w:tc>
              <w:tc>
                <w:tcPr>
                  <w:tcW w:w="2648" w:type="pct"/>
                  <w:tcBorders>
                    <w:tl2br w:val="nil"/>
                    <w:tr2bl w:val="nil"/>
                  </w:tcBorders>
                  <w:shd w:val="clear" w:color="auto" w:fill="auto"/>
                  <w:vAlign w:val="center"/>
                </w:tcPr>
                <w:p w14:paraId="53012C5D">
                  <w:pPr>
                    <w:pStyle w:val="5"/>
                    <w:bidi w:val="0"/>
                    <w:rPr>
                      <w:rFonts w:hint="eastAsia" w:eastAsia="宋体"/>
                      <w:b w:val="0"/>
                      <w:color w:val="000000"/>
                      <w:lang w:val="en-US" w:eastAsia="zh-CN"/>
                    </w:rPr>
                  </w:pPr>
                  <w:r>
                    <w:rPr>
                      <w:rFonts w:hint="eastAsia" w:eastAsia="宋体"/>
                      <w:b w:val="0"/>
                      <w:color w:val="000000"/>
                      <w:lang w:val="en-US" w:eastAsia="zh-CN"/>
                    </w:rPr>
                    <w:t>加强铁路专用线和联运转运衔接设施建设，最大程度发挥既有线路效能，重要港区在新建集装箱、大宗干散货作业区时，原则上同步规划建设进港铁路；扩大现有作业区铁路运输能力。对重点区域城市铁路场站进行适货化改造。新建及迁建大宗货物年运量150万吨以上的物流园区、工矿企业和储煤基地，原则上接入铁路专用线或管道。强化用地用海、验收投运、运力调配、铁路运价等措施保障。</w:t>
                  </w:r>
                </w:p>
              </w:tc>
              <w:tc>
                <w:tcPr>
                  <w:tcW w:w="1235" w:type="pct"/>
                  <w:tcBorders>
                    <w:tl2br w:val="nil"/>
                    <w:tr2bl w:val="nil"/>
                  </w:tcBorders>
                  <w:shd w:val="clear" w:color="auto" w:fill="auto"/>
                  <w:vAlign w:val="center"/>
                </w:tcPr>
                <w:p w14:paraId="51660DC4">
                  <w:pPr>
                    <w:pStyle w:val="5"/>
                    <w:bidi w:val="0"/>
                    <w:rPr>
                      <w:rFonts w:hint="default" w:eastAsia="宋体"/>
                      <w:b w:val="0"/>
                      <w:color w:val="000000"/>
                      <w:lang w:val="en-US" w:eastAsia="zh-CN"/>
                    </w:rPr>
                  </w:pPr>
                  <w:r>
                    <w:rPr>
                      <w:rFonts w:hint="eastAsia" w:eastAsia="宋体"/>
                      <w:b w:val="0"/>
                      <w:color w:val="000000"/>
                      <w:lang w:val="en-US" w:eastAsia="zh-CN"/>
                    </w:rPr>
                    <w:t>项目为煤炭</w:t>
                  </w:r>
                  <w:r>
                    <w:rPr>
                      <w:rFonts w:hint="eastAsia"/>
                      <w:b w:val="0"/>
                      <w:color w:val="000000"/>
                      <w:lang w:val="en-US" w:eastAsia="zh-CN"/>
                    </w:rPr>
                    <w:t>运输工程，建设全封闭输煤廊道，输送能力500万t/a</w:t>
                  </w:r>
                  <w:r>
                    <w:rPr>
                      <w:rFonts w:hint="eastAsia" w:eastAsia="宋体"/>
                      <w:b w:val="0"/>
                      <w:color w:val="000000"/>
                      <w:lang w:val="en-US" w:eastAsia="zh-CN"/>
                    </w:rPr>
                    <w:t>。</w:t>
                  </w:r>
                </w:p>
              </w:tc>
              <w:tc>
                <w:tcPr>
                  <w:tcW w:w="380" w:type="pct"/>
                  <w:tcBorders>
                    <w:tl2br w:val="nil"/>
                    <w:tr2bl w:val="nil"/>
                  </w:tcBorders>
                  <w:shd w:val="clear" w:color="auto" w:fill="auto"/>
                  <w:vAlign w:val="center"/>
                </w:tcPr>
                <w:p w14:paraId="22A42311">
                  <w:pPr>
                    <w:pStyle w:val="5"/>
                    <w:bidi w:val="0"/>
                    <w:rPr>
                      <w:rFonts w:hint="eastAsia"/>
                      <w:b w:val="0"/>
                      <w:color w:val="000000"/>
                      <w:lang w:val="en-US" w:eastAsia="zh-CN"/>
                    </w:rPr>
                  </w:pPr>
                  <w:r>
                    <w:rPr>
                      <w:rFonts w:hint="eastAsia"/>
                      <w:b w:val="0"/>
                      <w:color w:val="000000"/>
                      <w:lang w:val="en-US" w:eastAsia="zh-CN"/>
                    </w:rPr>
                    <w:t>符合</w:t>
                  </w:r>
                </w:p>
              </w:tc>
            </w:tr>
            <w:tr w14:paraId="5C9CCFC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35" w:type="pct"/>
                  <w:vMerge w:val="restart"/>
                  <w:tcBorders>
                    <w:tl2br w:val="nil"/>
                    <w:tr2bl w:val="nil"/>
                  </w:tcBorders>
                  <w:shd w:val="clear" w:color="auto" w:fill="auto"/>
                  <w:vAlign w:val="center"/>
                </w:tcPr>
                <w:p w14:paraId="5CE02C45">
                  <w:pPr>
                    <w:pStyle w:val="5"/>
                    <w:bidi w:val="0"/>
                    <w:rPr>
                      <w:rFonts w:hint="eastAsia" w:eastAsia="宋体"/>
                      <w:b w:val="0"/>
                      <w:color w:val="000000"/>
                      <w:lang w:val="en-US" w:eastAsia="zh-CN"/>
                    </w:rPr>
                  </w:pPr>
                  <w:r>
                    <w:rPr>
                      <w:rFonts w:hint="eastAsia"/>
                      <w:b w:val="0"/>
                      <w:color w:val="000000"/>
                      <w:lang w:val="en-US" w:eastAsia="zh-CN"/>
                    </w:rPr>
                    <w:t>关于印发《新疆维吾尔自治区</w:t>
                  </w:r>
                  <w:r>
                    <w:rPr>
                      <w:rFonts w:hint="default"/>
                      <w:b w:val="0"/>
                      <w:color w:val="000000"/>
                      <w:lang w:val="en-US" w:eastAsia="zh-CN"/>
                    </w:rPr>
                    <w:t>2025</w:t>
                  </w:r>
                  <w:r>
                    <w:rPr>
                      <w:rFonts w:hint="eastAsia"/>
                      <w:b w:val="0"/>
                      <w:color w:val="000000"/>
                      <w:lang w:val="en-US" w:eastAsia="zh-CN"/>
                    </w:rPr>
                    <w:t>年空气质量持续改善行动实施方案》的通知（新政办发〔</w:t>
                  </w:r>
                  <w:r>
                    <w:rPr>
                      <w:rFonts w:hint="default"/>
                      <w:b w:val="0"/>
                      <w:color w:val="000000"/>
                      <w:lang w:val="en-US" w:eastAsia="zh-CN"/>
                    </w:rPr>
                    <w:t>2024</w:t>
                  </w:r>
                  <w:r>
                    <w:rPr>
                      <w:rFonts w:hint="eastAsia"/>
                      <w:b w:val="0"/>
                      <w:color w:val="000000"/>
                      <w:lang w:val="en-US" w:eastAsia="zh-CN"/>
                    </w:rPr>
                    <w:t>〕</w:t>
                  </w:r>
                  <w:r>
                    <w:rPr>
                      <w:rFonts w:hint="default"/>
                      <w:b w:val="0"/>
                      <w:color w:val="000000"/>
                      <w:lang w:val="en-US" w:eastAsia="zh-CN"/>
                    </w:rPr>
                    <w:t>58</w:t>
                  </w:r>
                  <w:r>
                    <w:rPr>
                      <w:rFonts w:hint="eastAsia"/>
                      <w:b w:val="0"/>
                      <w:color w:val="000000"/>
                      <w:lang w:val="en-US" w:eastAsia="zh-CN"/>
                    </w:rPr>
                    <w:t>号）</w:t>
                  </w:r>
                </w:p>
              </w:tc>
              <w:tc>
                <w:tcPr>
                  <w:tcW w:w="2648" w:type="pct"/>
                  <w:tcBorders>
                    <w:tl2br w:val="nil"/>
                    <w:tr2bl w:val="nil"/>
                  </w:tcBorders>
                  <w:shd w:val="clear" w:color="auto" w:fill="auto"/>
                  <w:vAlign w:val="center"/>
                </w:tcPr>
                <w:p w14:paraId="668ECA71">
                  <w:pPr>
                    <w:pStyle w:val="5"/>
                    <w:bidi w:val="0"/>
                    <w:rPr>
                      <w:rFonts w:hint="eastAsia" w:eastAsia="宋体"/>
                      <w:b w:val="0"/>
                      <w:color w:val="000000"/>
                      <w:lang w:val="en-US" w:eastAsia="zh-CN"/>
                    </w:rPr>
                  </w:pPr>
                  <w:r>
                    <w:rPr>
                      <w:rFonts w:hint="eastAsia" w:eastAsia="宋体"/>
                      <w:b w:val="0"/>
                      <w:color w:val="000000"/>
                      <w:lang w:val="en-US" w:eastAsia="zh-CN"/>
                    </w:rPr>
                    <w:t>优化货物运输结构。大宗货物中长距离运输优先采用铁路运输，短距离运输优先采用封闭式皮带廊道或新能源车辆。到2025年，全区铁路货运量比2020年增长10%左右，煤炭主产区煤炭和焦炭铁路中长距离运输（运距500公里以上）比例力争达到60%以上。加强铁路专用线和联运转运衔接设施建设，对城市铁路场站进行适货化改造，充分发挥既有线路效能。新建及迁建大宗货物年运量150万吨以上的物流园区、工矿企业及储煤基地，具备条件的原则上要接入铁路专用线或管道。</w:t>
                  </w:r>
                </w:p>
              </w:tc>
              <w:tc>
                <w:tcPr>
                  <w:tcW w:w="1235" w:type="pct"/>
                  <w:tcBorders>
                    <w:tl2br w:val="nil"/>
                    <w:tr2bl w:val="nil"/>
                  </w:tcBorders>
                  <w:shd w:val="clear" w:color="auto" w:fill="auto"/>
                  <w:vAlign w:val="center"/>
                </w:tcPr>
                <w:p w14:paraId="66A3B390">
                  <w:pPr>
                    <w:pStyle w:val="5"/>
                    <w:bidi w:val="0"/>
                    <w:rPr>
                      <w:rFonts w:hint="default" w:eastAsia="宋体"/>
                      <w:b w:val="0"/>
                      <w:color w:val="000000"/>
                      <w:lang w:val="en-US" w:eastAsia="zh-CN"/>
                    </w:rPr>
                  </w:pPr>
                  <w:r>
                    <w:rPr>
                      <w:rFonts w:hint="eastAsia"/>
                      <w:b w:val="0"/>
                      <w:color w:val="000000"/>
                      <w:lang w:val="en-US" w:eastAsia="zh-CN"/>
                    </w:rPr>
                    <w:t>项目建设全封闭输煤廊道，将矿区煤炭输送至阳霞煤炭发运站内，然后采用铁路外运，廊道建设输送能力为500万t/a</w:t>
                  </w:r>
                  <w:r>
                    <w:rPr>
                      <w:rFonts w:hint="eastAsia"/>
                      <w:b w:val="0"/>
                      <w:color w:val="000000"/>
                      <w:sz w:val="21"/>
                      <w:szCs w:val="21"/>
                      <w:lang w:val="en-US" w:eastAsia="zh-CN"/>
                    </w:rPr>
                    <w:t>。</w:t>
                  </w:r>
                </w:p>
              </w:tc>
              <w:tc>
                <w:tcPr>
                  <w:tcW w:w="380" w:type="pct"/>
                  <w:tcBorders>
                    <w:tl2br w:val="nil"/>
                    <w:tr2bl w:val="nil"/>
                  </w:tcBorders>
                  <w:shd w:val="clear" w:color="auto" w:fill="auto"/>
                  <w:vAlign w:val="center"/>
                </w:tcPr>
                <w:p w14:paraId="15C6902A">
                  <w:pPr>
                    <w:pStyle w:val="5"/>
                    <w:bidi w:val="0"/>
                    <w:rPr>
                      <w:rFonts w:hint="default"/>
                      <w:b w:val="0"/>
                      <w:color w:val="000000"/>
                      <w:lang w:val="en-US" w:eastAsia="zh-CN"/>
                    </w:rPr>
                  </w:pPr>
                  <w:r>
                    <w:rPr>
                      <w:rFonts w:hint="eastAsia"/>
                      <w:b w:val="0"/>
                      <w:color w:val="000000"/>
                      <w:lang w:val="en-US" w:eastAsia="zh-CN"/>
                    </w:rPr>
                    <w:t>符合</w:t>
                  </w:r>
                </w:p>
              </w:tc>
            </w:tr>
            <w:tr w14:paraId="0D64866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35" w:type="pct"/>
                  <w:vMerge w:val="continue"/>
                  <w:tcBorders>
                    <w:tl2br w:val="nil"/>
                    <w:tr2bl w:val="nil"/>
                  </w:tcBorders>
                  <w:shd w:val="clear" w:color="auto" w:fill="auto"/>
                  <w:vAlign w:val="center"/>
                </w:tcPr>
                <w:p w14:paraId="132541A0">
                  <w:pPr>
                    <w:pStyle w:val="5"/>
                    <w:bidi w:val="0"/>
                    <w:rPr>
                      <w:rFonts w:hint="eastAsia"/>
                      <w:b w:val="0"/>
                      <w:color w:val="000000"/>
                      <w:lang w:val="en-US" w:eastAsia="zh-CN"/>
                    </w:rPr>
                  </w:pPr>
                </w:p>
              </w:tc>
              <w:tc>
                <w:tcPr>
                  <w:tcW w:w="2648" w:type="pct"/>
                  <w:tcBorders>
                    <w:tl2br w:val="nil"/>
                    <w:tr2bl w:val="nil"/>
                  </w:tcBorders>
                  <w:shd w:val="clear" w:color="auto" w:fill="auto"/>
                  <w:vAlign w:val="center"/>
                </w:tcPr>
                <w:p w14:paraId="04A9509C">
                  <w:pPr>
                    <w:pStyle w:val="5"/>
                    <w:bidi w:val="0"/>
                    <w:rPr>
                      <w:rFonts w:hint="eastAsia" w:eastAsia="宋体"/>
                      <w:b w:val="0"/>
                      <w:color w:val="000000"/>
                      <w:lang w:val="en-US" w:eastAsia="zh-CN"/>
                    </w:rPr>
                  </w:pPr>
                  <w:r>
                    <w:rPr>
                      <w:rFonts w:hint="eastAsia" w:eastAsia="宋体"/>
                      <w:b w:val="0"/>
                      <w:color w:val="000000"/>
                      <w:lang w:val="en-US" w:eastAsia="zh-CN"/>
                    </w:rPr>
                    <w:t>推广新能源、清洁能源汽车应用。到2025年，党政机关新增或更新公务用车中新能源汽车比例不低于80%，公交、出租、城市物流配送、轻型环卫等公共服务领域新增或更新车辆中新能源汽车比例不低于50%，高速公路服务区快充站覆盖率不低于60%，充换电设施逐步适应城市新能源车增加需求。严格执行机动车强制报废标准规定，加快淘汰国三及以下排放标准机动车。加强汽车排放性能维护（维修）站建设。加快淘汰采用稀薄燃烧技术的燃气货车。联防联控区火电、钢铁、煤炭、有色、水泥、煤化工等行业和物流园区推广新能源中重型货车。加强重型货车路检路查和入户检查。</w:t>
                  </w:r>
                </w:p>
              </w:tc>
              <w:tc>
                <w:tcPr>
                  <w:tcW w:w="1235" w:type="pct"/>
                  <w:tcBorders>
                    <w:tl2br w:val="nil"/>
                    <w:tr2bl w:val="nil"/>
                  </w:tcBorders>
                  <w:shd w:val="clear" w:color="auto" w:fill="auto"/>
                  <w:vAlign w:val="center"/>
                </w:tcPr>
                <w:p w14:paraId="11C5A0BE">
                  <w:pPr>
                    <w:pStyle w:val="5"/>
                    <w:bidi w:val="0"/>
                    <w:rPr>
                      <w:rFonts w:hint="eastAsia" w:eastAsia="宋体"/>
                      <w:b w:val="0"/>
                      <w:color w:val="000000"/>
                      <w:lang w:val="en-US" w:eastAsia="zh-CN"/>
                    </w:rPr>
                  </w:pPr>
                  <w:r>
                    <w:rPr>
                      <w:rFonts w:hint="eastAsia"/>
                      <w:b w:val="0"/>
                      <w:color w:val="000000"/>
                      <w:lang w:val="en-US" w:eastAsia="zh-CN"/>
                    </w:rPr>
                    <w:t>不涉及</w:t>
                  </w:r>
                </w:p>
              </w:tc>
              <w:tc>
                <w:tcPr>
                  <w:tcW w:w="380" w:type="pct"/>
                  <w:tcBorders>
                    <w:tl2br w:val="nil"/>
                    <w:tr2bl w:val="nil"/>
                  </w:tcBorders>
                  <w:shd w:val="clear" w:color="auto" w:fill="auto"/>
                  <w:vAlign w:val="center"/>
                </w:tcPr>
                <w:p w14:paraId="34BA1EBD">
                  <w:pPr>
                    <w:pStyle w:val="5"/>
                    <w:bidi w:val="0"/>
                    <w:rPr>
                      <w:rFonts w:hint="eastAsia"/>
                      <w:b w:val="0"/>
                      <w:color w:val="000000"/>
                      <w:lang w:val="en-US" w:eastAsia="zh-CN"/>
                    </w:rPr>
                  </w:pPr>
                  <w:r>
                    <w:rPr>
                      <w:rFonts w:hint="eastAsia"/>
                      <w:b w:val="0"/>
                      <w:color w:val="000000"/>
                      <w:lang w:val="en-US" w:eastAsia="zh-CN"/>
                    </w:rPr>
                    <w:t>符合</w:t>
                  </w:r>
                </w:p>
              </w:tc>
            </w:tr>
          </w:tbl>
          <w:p w14:paraId="51852CFC">
            <w:pPr>
              <w:pStyle w:val="3"/>
              <w:numPr>
                <w:ilvl w:val="0"/>
                <w:numId w:val="0"/>
              </w:numPr>
              <w:bidi w:val="0"/>
              <w:ind w:leftChars="0" w:right="0" w:rightChars="0"/>
              <w:rPr>
                <w:rFonts w:hint="eastAsia"/>
                <w:lang w:val="en-US" w:eastAsia="zh-CN"/>
              </w:rPr>
            </w:pPr>
            <w:r>
              <w:rPr>
                <w:rFonts w:hint="eastAsia"/>
                <w:lang w:val="en-US" w:eastAsia="zh-CN"/>
              </w:rPr>
              <w:t>5.选址合理性分析</w:t>
            </w:r>
          </w:p>
          <w:p w14:paraId="66416A12">
            <w:pPr>
              <w:bidi w:val="0"/>
            </w:pPr>
            <w:r>
              <w:rPr>
                <w:rFonts w:hint="eastAsia"/>
                <w:lang w:val="en-US" w:eastAsia="zh-CN"/>
              </w:rPr>
              <w:t>本项目位于新疆维吾尔自治区</w:t>
            </w:r>
            <w:r>
              <w:fldChar w:fldCharType="begin"/>
            </w:r>
            <w:r>
              <w:instrText xml:space="preserve"> HYPERLINK "https://baike.baidu.com/item/%E5%B7%B4%E9%9F%B3%E9%83%AD%E6%A5%9E%E8%92%99%E5%8F%A4%E8%87%AA%E6%B2%BB%E5%B7%9E?fromModule=lemma_inlink" \t "_blank" </w:instrText>
            </w:r>
            <w:r>
              <w:fldChar w:fldCharType="separate"/>
            </w:r>
            <w:r>
              <w:t>巴音郭楞蒙古自治州</w:t>
            </w:r>
            <w:r>
              <w:fldChar w:fldCharType="end"/>
            </w:r>
            <w:r>
              <w:t>轮台县城北偏东方向，直线距离约33</w:t>
            </w:r>
            <w:r>
              <w:rPr>
                <w:rFonts w:hint="eastAsia"/>
              </w:rPr>
              <w:t xml:space="preserve"> km</w:t>
            </w:r>
            <w:r>
              <w:t>，</w:t>
            </w:r>
            <w:r>
              <w:rPr>
                <w:rFonts w:hint="eastAsia"/>
              </w:rPr>
              <w:t>西</w:t>
            </w:r>
            <w:r>
              <w:t>距阳霞镇</w:t>
            </w:r>
            <w:r>
              <w:rPr>
                <w:rFonts w:hint="eastAsia"/>
              </w:rPr>
              <w:t>3.5km</w:t>
            </w:r>
            <w:r>
              <w:t>，</w:t>
            </w:r>
            <w:r>
              <w:rPr>
                <w:rFonts w:hint="eastAsia"/>
              </w:rPr>
              <w:t>阳霞矿区</w:t>
            </w:r>
            <w:r>
              <w:t>110</w:t>
            </w:r>
            <w:r>
              <w:rPr>
                <w:rFonts w:hint="eastAsia"/>
              </w:rPr>
              <w:t xml:space="preserve"> KV</w:t>
            </w:r>
            <w:r>
              <w:t>变电所西部约2公里处</w:t>
            </w:r>
            <w:r>
              <w:rPr>
                <w:rFonts w:hint="eastAsia"/>
                <w:lang w:eastAsia="zh-CN"/>
              </w:rPr>
              <w:t>，</w:t>
            </w:r>
            <w:r>
              <w:rPr>
                <w:rFonts w:hint="eastAsia"/>
                <w:lang w:val="en-US" w:eastAsia="zh-CN"/>
              </w:rPr>
              <w:t>周边煤矿企业众多，拥有丰富的煤炭资源。本项目为煤矿配套运输系统，运输流向相对较为集中。货物运输路径为：煤矿煤炭采用全封闭式输煤廊道输送至仓储基地洗选，洗选后煤炭采用全封闭式输煤廊道输送至阳霞发运站，采用火车外运。</w:t>
            </w:r>
          </w:p>
          <w:p w14:paraId="4A1B97CD">
            <w:pPr>
              <w:bidi w:val="0"/>
              <w:rPr>
                <w:rFonts w:hint="default"/>
                <w:lang w:val="en-US" w:eastAsia="zh-CN"/>
              </w:rPr>
            </w:pPr>
            <w:r>
              <w:rPr>
                <w:rFonts w:hint="eastAsia"/>
                <w:lang w:val="en-US" w:eastAsia="zh-CN"/>
              </w:rPr>
              <w:t>项目在采取各项环保措施后，废气均可达标排放；噪声排放满足相关标准要求；固体废物均合理处置。项目沿线、起点和终点周边500m范围内以戈壁荒漠为主，不涉及环境敏感区，工程施工及运营对沿线及周边影响较小。综上所述，区域地形开阔，建设条件较好，从环境保护角度分析，项目选址可行。</w:t>
            </w:r>
          </w:p>
        </w:tc>
      </w:tr>
    </w:tbl>
    <w:p w14:paraId="5B7A2D88">
      <w:pPr>
        <w:rPr>
          <w:rFonts w:hint="eastAsia" w:ascii="黑体" w:hAnsi="黑体" w:eastAsia="黑体"/>
          <w:snapToGrid w:val="0"/>
          <w:sz w:val="30"/>
          <w:szCs w:val="30"/>
        </w:rPr>
      </w:pPr>
      <w:r>
        <w:rPr>
          <w:rFonts w:hint="eastAsia" w:ascii="黑体" w:hAnsi="黑体" w:eastAsia="黑体"/>
          <w:snapToGrid w:val="0"/>
          <w:sz w:val="30"/>
          <w:szCs w:val="30"/>
        </w:rPr>
        <w:br w:type="page"/>
      </w:r>
    </w:p>
    <w:p w14:paraId="1B1659FC">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0"/>
        <w:rPr>
          <w:rFonts w:hint="eastAsia" w:ascii="黑体" w:hAnsi="黑体" w:eastAsia="黑体"/>
          <w:snapToGrid w:val="0"/>
          <w:sz w:val="30"/>
          <w:szCs w:val="30"/>
        </w:rPr>
      </w:pPr>
      <w:r>
        <w:rPr>
          <w:rFonts w:hint="eastAsia" w:ascii="黑体" w:hAnsi="黑体" w:eastAsia="黑体"/>
          <w:snapToGrid w:val="0"/>
          <w:sz w:val="30"/>
          <w:szCs w:val="30"/>
          <w:lang w:val="en-US" w:eastAsia="zh-CN"/>
        </w:rPr>
        <w:t>二、</w:t>
      </w:r>
      <w:r>
        <w:rPr>
          <w:rFonts w:hint="eastAsia" w:ascii="黑体" w:hAnsi="黑体" w:eastAsia="黑体"/>
          <w:snapToGrid w:val="0"/>
          <w:sz w:val="30"/>
          <w:szCs w:val="30"/>
        </w:rPr>
        <w:t>建设项目工程分析</w:t>
      </w:r>
    </w:p>
    <w:tbl>
      <w:tblPr>
        <w:tblStyle w:val="43"/>
        <w:tblW w:w="47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144"/>
      </w:tblGrid>
      <w:tr w14:paraId="0997E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59BE96B9">
            <w:pPr>
              <w:pStyle w:val="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eastAsia" w:cs="Times New Roman"/>
                <w:lang w:val="en-US" w:eastAsia="zh-CN"/>
              </w:rPr>
              <w:t>地理位置</w:t>
            </w:r>
          </w:p>
        </w:tc>
        <w:tc>
          <w:tcPr>
            <w:tcW w:w="4575" w:type="pct"/>
            <w:tcBorders>
              <w:tl2br w:val="nil"/>
              <w:tr2bl w:val="nil"/>
            </w:tcBorders>
          </w:tcPr>
          <w:p w14:paraId="7B821F52">
            <w:pPr>
              <w:keepNext w:val="0"/>
              <w:keepLines w:val="0"/>
              <w:pageBreakBefore w:val="0"/>
              <w:widowControl w:val="0"/>
              <w:suppressLineNumbers w:val="0"/>
              <w:kinsoku/>
              <w:wordWrap/>
              <w:overflowPunct/>
              <w:topLinePunct w:val="0"/>
              <w:autoSpaceDE/>
              <w:autoSpaceDN/>
              <w:bidi w:val="0"/>
              <w:adjustRightInd w:val="0"/>
              <w:snapToGrid w:val="0"/>
              <w:ind w:left="0" w:leftChars="0" w:firstLine="480" w:firstLineChars="200"/>
              <w:jc w:val="left"/>
              <w:textAlignment w:val="auto"/>
              <w:rPr>
                <w:rFonts w:hint="eastAsia"/>
                <w:highlight w:val="none"/>
                <w:lang w:val="en-US" w:eastAsia="zh-CN"/>
              </w:rPr>
            </w:pPr>
            <w:r>
              <w:rPr>
                <w:rFonts w:hint="eastAsia"/>
                <w:highlight w:val="none"/>
                <w:lang w:val="en-US" w:eastAsia="zh-CN"/>
              </w:rPr>
              <w:t>项目选址</w:t>
            </w:r>
            <w:r>
              <w:rPr>
                <w:rFonts w:hint="eastAsia"/>
                <w:lang w:val="en-US" w:eastAsia="zh-CN"/>
              </w:rPr>
              <w:t>位</w:t>
            </w:r>
            <w:r>
              <w:rPr>
                <w:rFonts w:hint="eastAsia"/>
                <w:highlight w:val="none"/>
                <w:lang w:val="en-US" w:eastAsia="zh-CN"/>
              </w:rPr>
              <w:t>于新疆维吾尔自治区巴音郭楞蒙古自治州轮台县城北偏东方向，直线距离约33 km，西距阳霞镇3.5km，阳霞矿区110 KV变电所西部约2公里处，行政区划隶属巴音郭楞蒙古自治州轮台县管辖。</w:t>
            </w:r>
          </w:p>
          <w:p w14:paraId="31515080">
            <w:pPr>
              <w:keepNext w:val="0"/>
              <w:keepLines w:val="0"/>
              <w:pageBreakBefore w:val="0"/>
              <w:widowControl w:val="0"/>
              <w:kinsoku/>
              <w:wordWrap/>
              <w:overflowPunct/>
              <w:topLinePunct w:val="0"/>
              <w:bidi w:val="0"/>
              <w:jc w:val="left"/>
              <w:textAlignment w:val="auto"/>
              <w:rPr>
                <w:rFonts w:hint="default" w:ascii="Times New Roman" w:hAnsi="Times New Roman" w:cs="Times New Roman"/>
                <w:lang w:val="en-US" w:eastAsia="zh-CN"/>
              </w:rPr>
            </w:pPr>
            <w:r>
              <w:rPr>
                <w:rFonts w:hint="eastAsia"/>
                <w:lang w:val="en-US" w:eastAsia="zh-CN"/>
              </w:rPr>
              <w:t>东辰煤矿至煤炭仓储加工基地廊道，起点坐标：东经</w:t>
            </w:r>
            <w:r>
              <w:rPr>
                <w:rFonts w:hint="default" w:ascii="Times New Roman" w:hAnsi="Times New Roman" w:cs="Times New Roman"/>
                <w:lang w:val="en-US" w:eastAsia="zh-CN"/>
              </w:rPr>
              <w:t>84°21′17.163″，北纬42°8′5.381″，终点坐标：东经84°25′51.603″，北纬42°2′46.270″</w:t>
            </w:r>
            <w:r>
              <w:rPr>
                <w:rFonts w:hint="eastAsia" w:cs="Times New Roman"/>
                <w:lang w:val="en-US" w:eastAsia="zh-CN"/>
              </w:rPr>
              <w:t>。</w:t>
            </w:r>
          </w:p>
          <w:p w14:paraId="41DB9764">
            <w:pPr>
              <w:keepNext w:val="0"/>
              <w:keepLines w:val="0"/>
              <w:pageBreakBefore w:val="0"/>
              <w:widowControl w:val="0"/>
              <w:kinsoku/>
              <w:wordWrap/>
              <w:overflowPunct/>
              <w:topLinePunct w:val="0"/>
              <w:bidi w:val="0"/>
              <w:jc w:val="left"/>
              <w:textAlignment w:val="auto"/>
              <w:rPr>
                <w:rFonts w:hint="eastAsia" w:ascii="Times New Roman" w:hAnsi="Times New Roman" w:cs="Times New Roman"/>
                <w:kern w:val="2"/>
                <w:szCs w:val="24"/>
                <w:lang w:eastAsia="zh-CN"/>
              </w:rPr>
            </w:pPr>
            <w:r>
              <w:rPr>
                <w:rFonts w:hint="default" w:ascii="Times New Roman" w:hAnsi="Times New Roman" w:cs="Times New Roman"/>
                <w:lang w:val="en-US" w:eastAsia="zh-CN"/>
              </w:rPr>
              <w:t>煤炭仓储加工基地至阳霞</w:t>
            </w:r>
            <w:r>
              <w:rPr>
                <w:rFonts w:hint="eastAsia" w:cs="Times New Roman"/>
                <w:lang w:val="en-US" w:eastAsia="zh-CN"/>
              </w:rPr>
              <w:t>发运站</w:t>
            </w:r>
            <w:r>
              <w:rPr>
                <w:rFonts w:hint="default" w:ascii="Times New Roman" w:hAnsi="Times New Roman" w:cs="Times New Roman"/>
                <w:lang w:val="en-US" w:eastAsia="zh-CN"/>
              </w:rPr>
              <w:t>廊道</w:t>
            </w:r>
            <w:r>
              <w:rPr>
                <w:rFonts w:hint="eastAsia" w:cs="Times New Roman"/>
                <w:lang w:val="en-US" w:eastAsia="zh-CN"/>
              </w:rPr>
              <w:t>，</w:t>
            </w:r>
            <w:r>
              <w:rPr>
                <w:rFonts w:hint="default" w:ascii="Times New Roman" w:hAnsi="Times New Roman" w:cs="Times New Roman"/>
                <w:lang w:val="en-US" w:eastAsia="zh-CN"/>
              </w:rPr>
              <w:t>起点坐标：东经84°26′17.772″</w:t>
            </w:r>
            <w:r>
              <w:rPr>
                <w:rFonts w:hint="eastAsia" w:cs="Times New Roman"/>
                <w:lang w:val="en-US" w:eastAsia="zh-CN"/>
              </w:rPr>
              <w:t>，北纬</w:t>
            </w:r>
            <w:r>
              <w:rPr>
                <w:rFonts w:hint="default" w:ascii="Times New Roman" w:hAnsi="Times New Roman" w:cs="Times New Roman"/>
                <w:lang w:val="en-US" w:eastAsia="zh-CN"/>
              </w:rPr>
              <w:t>42°2′41.558″，终点坐标：东经84°30′44.584″，北纬41°58′11.288″</w:t>
            </w:r>
            <w:r>
              <w:rPr>
                <w:rFonts w:hint="eastAsia" w:cs="Times New Roman"/>
                <w:lang w:val="en-US" w:eastAsia="zh-CN"/>
              </w:rPr>
              <w:t>。</w:t>
            </w:r>
          </w:p>
          <w:p w14:paraId="30CD0713">
            <w:pPr>
              <w:keepNext w:val="0"/>
              <w:keepLines w:val="0"/>
              <w:pageBreakBefore w:val="0"/>
              <w:widowControl w:val="0"/>
              <w:suppressLineNumbers w:val="0"/>
              <w:kinsoku/>
              <w:wordWrap/>
              <w:overflowPunct/>
              <w:topLinePunct w:val="0"/>
              <w:autoSpaceDE/>
              <w:autoSpaceDN/>
              <w:bidi w:val="0"/>
              <w:adjustRightInd w:val="0"/>
              <w:snapToGrid w:val="0"/>
              <w:ind w:left="0" w:leftChars="0" w:firstLine="480" w:firstLineChars="200"/>
              <w:jc w:val="left"/>
              <w:textAlignment w:val="auto"/>
              <w:rPr>
                <w:rFonts w:hint="default"/>
                <w:lang w:val="en-US" w:eastAsia="zh-CN"/>
              </w:rPr>
            </w:pPr>
            <w:r>
              <w:rPr>
                <w:rFonts w:hint="eastAsia"/>
                <w:highlight w:val="none"/>
                <w:lang w:val="en-US" w:eastAsia="zh-CN"/>
              </w:rPr>
              <w:t>地理位置详见附图1，周边关系详见附图2。</w:t>
            </w:r>
          </w:p>
        </w:tc>
      </w:tr>
      <w:tr w14:paraId="5622B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20F04403">
            <w:pPr>
              <w:pStyle w:val="3"/>
              <w:keepNext w:val="0"/>
              <w:keepLines w:val="0"/>
              <w:pageBreakBefore w:val="0"/>
              <w:widowControl w:val="0"/>
              <w:kinsoku/>
              <w:wordWrap/>
              <w:overflowPunct/>
              <w:topLinePunct w:val="0"/>
              <w:bidi w:val="0"/>
              <w:jc w:val="center"/>
              <w:textAlignment w:val="auto"/>
              <w:rPr>
                <w:rFonts w:hint="default" w:ascii="黑体" w:hAnsi="黑体" w:eastAsia="黑体"/>
                <w:snapToGrid w:val="0"/>
                <w:sz w:val="30"/>
                <w:szCs w:val="30"/>
                <w:vertAlign w:val="baseline"/>
                <w:lang w:val="en-US" w:eastAsia="zh-CN"/>
              </w:rPr>
            </w:pPr>
            <w:r>
              <w:rPr>
                <w:rFonts w:hint="eastAsia" w:ascii="Times New Roman" w:hAnsi="Times New Roman" w:eastAsia="宋体" w:cs="Times New Roman"/>
                <w:lang w:val="en-US" w:eastAsia="zh-CN"/>
              </w:rPr>
              <w:t>建设内容</w:t>
            </w:r>
          </w:p>
        </w:tc>
        <w:tc>
          <w:tcPr>
            <w:tcW w:w="4575" w:type="pct"/>
            <w:tcBorders>
              <w:tl2br w:val="nil"/>
              <w:tr2bl w:val="nil"/>
            </w:tcBorders>
          </w:tcPr>
          <w:p w14:paraId="3A39625A">
            <w:pPr>
              <w:pStyle w:val="3"/>
              <w:keepNext w:val="0"/>
              <w:keepLines w:val="0"/>
              <w:pageBreakBefore w:val="0"/>
              <w:widowControl w:val="0"/>
              <w:kinsoku/>
              <w:wordWrap/>
              <w:overflowPunct/>
              <w:topLinePunct w:val="0"/>
              <w:bidi w:val="0"/>
              <w:jc w:val="left"/>
              <w:textAlignment w:val="auto"/>
              <w:rPr>
                <w:rFonts w:hint="eastAsia" w:eastAsia="宋体"/>
                <w:lang w:val="en-US" w:eastAsia="zh-CN"/>
              </w:rPr>
            </w:pPr>
            <w:r>
              <w:rPr>
                <w:rFonts w:hint="eastAsia"/>
                <w:lang w:val="en-US" w:eastAsia="zh-CN"/>
              </w:rPr>
              <w:t>1.</w:t>
            </w:r>
            <w:r>
              <w:rPr>
                <w:rFonts w:hint="eastAsia"/>
                <w:lang w:eastAsia="zh-CN"/>
              </w:rPr>
              <w:t>建设内容</w:t>
            </w:r>
          </w:p>
          <w:p w14:paraId="772CFD76">
            <w:pPr>
              <w:keepNext w:val="0"/>
              <w:keepLines w:val="0"/>
              <w:pageBreakBefore w:val="0"/>
              <w:widowControl w:val="0"/>
              <w:suppressLineNumbers w:val="0"/>
              <w:kinsoku/>
              <w:wordWrap/>
              <w:overflowPunct/>
              <w:topLinePunct w:val="0"/>
              <w:bidi w:val="0"/>
              <w:jc w:val="left"/>
              <w:textAlignment w:val="auto"/>
              <w:rPr>
                <w:rFonts w:hint="eastAsia"/>
                <w:lang w:eastAsia="zh-CN"/>
              </w:rPr>
            </w:pPr>
            <w:r>
              <w:rPr>
                <w:rFonts w:hint="eastAsia"/>
                <w:lang w:val="en-US" w:eastAsia="zh-CN"/>
              </w:rPr>
              <w:t>本项目为新建项目，总投资60300万元，项目总占地面积189270m</w:t>
            </w:r>
            <w:r>
              <w:rPr>
                <w:rFonts w:hint="eastAsia"/>
                <w:vertAlign w:val="superscript"/>
                <w:lang w:val="en-US" w:eastAsia="zh-CN"/>
              </w:rPr>
              <w:t>2</w:t>
            </w:r>
            <w:r>
              <w:rPr>
                <w:rFonts w:hint="eastAsia"/>
                <w:lang w:val="en-US" w:eastAsia="zh-CN"/>
              </w:rPr>
              <w:t>，主要建设内容包括：建设转运站（转运胶带机设备、精煤堆取料机设备、相关带廊、栈桥等）；110KV专用变电站（根据《建设项目环境影响评价分类管理名录（2021年版）》，该110KV变电站需单独编制环境影响评价报告表，因此该变电站不在本次评价范围内）；煤矿至仓储基地廊道；仓储基地至阳霞发运站廊道</w:t>
            </w:r>
            <w:r>
              <w:rPr>
                <w:rFonts w:hint="eastAsia" w:cs="Times New Roman"/>
                <w:lang w:val="en-US" w:eastAsia="zh-CN"/>
              </w:rPr>
              <w:t>。本项目</w:t>
            </w:r>
            <w:r>
              <w:rPr>
                <w:rFonts w:hint="default"/>
                <w:lang w:eastAsia="zh-CN"/>
              </w:rPr>
              <w:t>主要建设内容详见表</w:t>
            </w:r>
            <w:r>
              <w:rPr>
                <w:rFonts w:hint="eastAsia"/>
                <w:lang w:val="en-US" w:eastAsia="zh-CN"/>
              </w:rPr>
              <w:t>2-</w:t>
            </w:r>
            <w:r>
              <w:rPr>
                <w:rFonts w:hint="default"/>
                <w:lang w:eastAsia="zh-CN"/>
              </w:rPr>
              <w:t>1</w:t>
            </w:r>
            <w:r>
              <w:rPr>
                <w:rFonts w:hint="eastAsia"/>
                <w:lang w:eastAsia="zh-CN"/>
              </w:rPr>
              <w:t>。</w:t>
            </w:r>
          </w:p>
          <w:p w14:paraId="5A4E9B58">
            <w:pPr>
              <w:keepNext w:val="0"/>
              <w:keepLines w:val="0"/>
              <w:pageBreakBefore w:val="0"/>
              <w:widowControl w:val="0"/>
              <w:suppressLineNumbers w:val="0"/>
              <w:kinsoku/>
              <w:wordWrap/>
              <w:overflowPunct/>
              <w:topLinePunct w:val="0"/>
              <w:bidi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表2-1   项目组成一览表</w:t>
            </w:r>
          </w:p>
          <w:tbl>
            <w:tblPr>
              <w:tblStyle w:val="42"/>
              <w:tblW w:w="4998"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06"/>
              <w:gridCol w:w="1265"/>
              <w:gridCol w:w="1081"/>
              <w:gridCol w:w="4763"/>
            </w:tblGrid>
            <w:tr w14:paraId="5C8B9E0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tcBorders>
                    <w:tl2br w:val="nil"/>
                    <w:tr2bl w:val="nil"/>
                  </w:tcBorders>
                  <w:shd w:val="clear" w:color="auto" w:fill="auto"/>
                  <w:noWrap w:val="0"/>
                  <w:vAlign w:val="center"/>
                </w:tcPr>
                <w:p w14:paraId="2F8EDA54">
                  <w:pPr>
                    <w:pStyle w:val="5"/>
                    <w:keepNext w:val="0"/>
                    <w:keepLines w:val="0"/>
                    <w:pageBreakBefore w:val="0"/>
                    <w:widowControl w:val="0"/>
                    <w:kinsoku/>
                    <w:wordWrap/>
                    <w:overflowPunct/>
                    <w:topLinePunct w:val="0"/>
                    <w:bidi w:val="0"/>
                    <w:jc w:val="center"/>
                    <w:textAlignment w:val="auto"/>
                    <w:rPr>
                      <w:rFonts w:hint="eastAsia"/>
                      <w:b/>
                      <w:bCs w:val="0"/>
                      <w:color w:val="000000"/>
                    </w:rPr>
                  </w:pPr>
                  <w:r>
                    <w:rPr>
                      <w:rFonts w:hint="eastAsia"/>
                      <w:b/>
                      <w:bCs w:val="0"/>
                      <w:color w:val="000000"/>
                    </w:rPr>
                    <w:t>项目</w:t>
                  </w:r>
                </w:p>
              </w:tc>
              <w:tc>
                <w:tcPr>
                  <w:tcW w:w="799" w:type="pct"/>
                  <w:tcBorders>
                    <w:tl2br w:val="nil"/>
                    <w:tr2bl w:val="nil"/>
                  </w:tcBorders>
                  <w:shd w:val="clear" w:color="auto" w:fill="auto"/>
                  <w:noWrap w:val="0"/>
                  <w:vAlign w:val="center"/>
                </w:tcPr>
                <w:p w14:paraId="522F2383">
                  <w:pPr>
                    <w:pStyle w:val="5"/>
                    <w:keepNext w:val="0"/>
                    <w:keepLines w:val="0"/>
                    <w:pageBreakBefore w:val="0"/>
                    <w:widowControl w:val="0"/>
                    <w:kinsoku/>
                    <w:wordWrap/>
                    <w:overflowPunct/>
                    <w:topLinePunct w:val="0"/>
                    <w:bidi w:val="0"/>
                    <w:jc w:val="center"/>
                    <w:textAlignment w:val="auto"/>
                    <w:rPr>
                      <w:rFonts w:hint="eastAsia"/>
                      <w:b/>
                      <w:bCs w:val="0"/>
                      <w:color w:val="000000"/>
                    </w:rPr>
                  </w:pPr>
                  <w:r>
                    <w:rPr>
                      <w:rFonts w:hint="eastAsia"/>
                      <w:b/>
                      <w:bCs w:val="0"/>
                      <w:color w:val="000000"/>
                    </w:rPr>
                    <w:t>建设名称</w:t>
                  </w:r>
                </w:p>
              </w:tc>
              <w:tc>
                <w:tcPr>
                  <w:tcW w:w="3691" w:type="pct"/>
                  <w:gridSpan w:val="2"/>
                  <w:tcBorders>
                    <w:tl2br w:val="nil"/>
                    <w:tr2bl w:val="nil"/>
                  </w:tcBorders>
                  <w:shd w:val="clear" w:color="auto" w:fill="auto"/>
                  <w:noWrap w:val="0"/>
                  <w:vAlign w:val="center"/>
                </w:tcPr>
                <w:p w14:paraId="52B7E505">
                  <w:pPr>
                    <w:pStyle w:val="5"/>
                    <w:keepNext w:val="0"/>
                    <w:keepLines w:val="0"/>
                    <w:pageBreakBefore w:val="0"/>
                    <w:widowControl w:val="0"/>
                    <w:kinsoku/>
                    <w:wordWrap/>
                    <w:overflowPunct/>
                    <w:topLinePunct w:val="0"/>
                    <w:bidi w:val="0"/>
                    <w:jc w:val="center"/>
                    <w:textAlignment w:val="auto"/>
                    <w:rPr>
                      <w:rFonts w:hint="eastAsia"/>
                      <w:b/>
                      <w:bCs w:val="0"/>
                      <w:color w:val="000000"/>
                    </w:rPr>
                  </w:pPr>
                  <w:r>
                    <w:rPr>
                      <w:rFonts w:hint="eastAsia"/>
                      <w:b/>
                      <w:bCs w:val="0"/>
                      <w:color w:val="000000"/>
                    </w:rPr>
                    <w:t>工程内容</w:t>
                  </w:r>
                </w:p>
              </w:tc>
            </w:tr>
            <w:tr w14:paraId="7F7E6A3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restart"/>
                  <w:tcBorders>
                    <w:tl2br w:val="nil"/>
                    <w:tr2bl w:val="nil"/>
                  </w:tcBorders>
                  <w:shd w:val="clear" w:color="auto" w:fill="auto"/>
                  <w:noWrap w:val="0"/>
                  <w:vAlign w:val="center"/>
                </w:tcPr>
                <w:p w14:paraId="32445661">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主体</w:t>
                  </w:r>
                </w:p>
                <w:p w14:paraId="072BB874">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工程</w:t>
                  </w:r>
                </w:p>
              </w:tc>
              <w:tc>
                <w:tcPr>
                  <w:tcW w:w="799" w:type="pct"/>
                  <w:tcBorders>
                    <w:tl2br w:val="nil"/>
                    <w:tr2bl w:val="nil"/>
                  </w:tcBorders>
                  <w:shd w:val="clear" w:color="auto" w:fill="auto"/>
                  <w:noWrap w:val="0"/>
                  <w:vAlign w:val="center"/>
                </w:tcPr>
                <w:p w14:paraId="583C91D1">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东辰煤矿至煤炭仓储加工基地廊道</w:t>
                  </w:r>
                </w:p>
              </w:tc>
              <w:tc>
                <w:tcPr>
                  <w:tcW w:w="3691" w:type="pct"/>
                  <w:gridSpan w:val="2"/>
                  <w:tcBorders>
                    <w:tl2br w:val="nil"/>
                    <w:tr2bl w:val="nil"/>
                  </w:tcBorders>
                  <w:shd w:val="clear" w:color="auto" w:fill="auto"/>
                  <w:noWrap w:val="0"/>
                  <w:vAlign w:val="center"/>
                </w:tcPr>
                <w:p w14:paraId="7D86C9A7">
                  <w:pPr>
                    <w:pStyle w:val="5"/>
                    <w:keepNext w:val="0"/>
                    <w:keepLines w:val="0"/>
                    <w:pageBreakBefore w:val="0"/>
                    <w:widowControl w:val="0"/>
                    <w:kinsoku/>
                    <w:wordWrap/>
                    <w:overflowPunct/>
                    <w:topLinePunct w:val="0"/>
                    <w:bidi w:val="0"/>
                    <w:ind w:firstLine="0" w:firstLineChars="0"/>
                    <w:jc w:val="both"/>
                    <w:textAlignment w:val="auto"/>
                    <w:rPr>
                      <w:rFonts w:hint="default"/>
                      <w:b w:val="0"/>
                      <w:color w:val="000000"/>
                      <w:lang w:val="en-US" w:eastAsia="zh-CN"/>
                    </w:rPr>
                  </w:pPr>
                  <w:r>
                    <w:rPr>
                      <w:rFonts w:hint="eastAsia"/>
                      <w:b w:val="0"/>
                      <w:color w:val="000000"/>
                      <w:lang w:val="en-US" w:eastAsia="zh-CN"/>
                    </w:rPr>
                    <w:t>东辰煤矿至仓储基地廊道设计运量为1500t/h，选用直径500mm的管状带式输送机，速度为5.0m/s，总长度为12918米，起点与终点的落差为-309米，采用头三尾二的驱动，总设计装机功率为5×1600kW。</w:t>
                  </w:r>
                </w:p>
              </w:tc>
            </w:tr>
            <w:tr w14:paraId="1C68CAA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319A5129">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71B08F33">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lang w:val="en-US" w:eastAsia="zh-CN"/>
                    </w:rPr>
                  </w:pPr>
                  <w:r>
                    <w:rPr>
                      <w:rFonts w:hint="eastAsia"/>
                      <w:b w:val="0"/>
                      <w:color w:val="000000"/>
                      <w:lang w:val="en-US" w:eastAsia="zh-CN"/>
                    </w:rPr>
                    <w:t>T2转运站</w:t>
                  </w:r>
                </w:p>
              </w:tc>
              <w:tc>
                <w:tcPr>
                  <w:tcW w:w="3691" w:type="pct"/>
                  <w:gridSpan w:val="2"/>
                  <w:tcBorders>
                    <w:tl2br w:val="nil"/>
                    <w:tr2bl w:val="nil"/>
                  </w:tcBorders>
                  <w:shd w:val="clear" w:color="auto" w:fill="auto"/>
                  <w:noWrap w:val="0"/>
                  <w:vAlign w:val="center"/>
                </w:tcPr>
                <w:p w14:paraId="34BEB357">
                  <w:pPr>
                    <w:pStyle w:val="5"/>
                    <w:keepNext w:val="0"/>
                    <w:keepLines w:val="0"/>
                    <w:pageBreakBefore w:val="0"/>
                    <w:widowControl w:val="0"/>
                    <w:kinsoku/>
                    <w:wordWrap/>
                    <w:overflowPunct/>
                    <w:topLinePunct w:val="0"/>
                    <w:bidi w:val="0"/>
                    <w:ind w:firstLine="0" w:firstLineChars="0"/>
                    <w:jc w:val="left"/>
                    <w:textAlignment w:val="auto"/>
                    <w:rPr>
                      <w:rFonts w:hint="eastAsia"/>
                      <w:b w:val="0"/>
                      <w:color w:val="000000"/>
                      <w:lang w:val="en-US" w:eastAsia="zh-CN"/>
                    </w:rPr>
                  </w:pPr>
                  <w:r>
                    <w:rPr>
                      <w:rFonts w:hint="eastAsia"/>
                      <w:b w:val="0"/>
                      <w:color w:val="000000"/>
                      <w:lang w:val="en-US" w:eastAsia="zh-CN"/>
                    </w:rPr>
                    <w:t>T2转运站位于煤炭仓储加工基地内，占地面积611m</w:t>
                  </w:r>
                  <w:r>
                    <w:rPr>
                      <w:rFonts w:hint="eastAsia"/>
                      <w:b w:val="0"/>
                      <w:color w:val="000000"/>
                      <w:vertAlign w:val="superscript"/>
                      <w:lang w:val="en-US" w:eastAsia="zh-CN"/>
                    </w:rPr>
                    <w:t>2</w:t>
                  </w:r>
                  <w:r>
                    <w:rPr>
                      <w:rFonts w:hint="eastAsia"/>
                      <w:b w:val="0"/>
                      <w:color w:val="000000"/>
                      <w:lang w:val="en-US" w:eastAsia="zh-CN"/>
                    </w:rPr>
                    <w:t>，建筑面积2221m</w:t>
                  </w:r>
                  <w:r>
                    <w:rPr>
                      <w:rFonts w:hint="eastAsia"/>
                      <w:b w:val="0"/>
                      <w:color w:val="000000"/>
                      <w:vertAlign w:val="superscript"/>
                      <w:lang w:val="en-US" w:eastAsia="zh-CN"/>
                    </w:rPr>
                    <w:t>2</w:t>
                  </w:r>
                  <w:r>
                    <w:rPr>
                      <w:rFonts w:hint="eastAsia"/>
                      <w:b w:val="0"/>
                      <w:color w:val="000000"/>
                      <w:lang w:val="en-US" w:eastAsia="zh-CN"/>
                    </w:rPr>
                    <w:t>，主要组成包括钢桁架转运站、钢桁架转运带廊、钢桁架栈桥、钢桁架转载点、钢桁架机头间、钢桁架入料点等，转载能力为500万t/a。</w:t>
                  </w:r>
                </w:p>
              </w:tc>
            </w:tr>
            <w:tr w14:paraId="177B1C9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20B9B39B">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7254D3B7">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煤炭仓储加工基地至阳霞发运站廊道</w:t>
                  </w:r>
                </w:p>
              </w:tc>
              <w:tc>
                <w:tcPr>
                  <w:tcW w:w="3691" w:type="pct"/>
                  <w:gridSpan w:val="2"/>
                  <w:tcBorders>
                    <w:tl2br w:val="nil"/>
                    <w:tr2bl w:val="nil"/>
                  </w:tcBorders>
                  <w:shd w:val="clear" w:color="auto" w:fill="auto"/>
                  <w:noWrap w:val="0"/>
                  <w:vAlign w:val="center"/>
                </w:tcPr>
                <w:p w14:paraId="263B4693">
                  <w:pPr>
                    <w:pStyle w:val="5"/>
                    <w:keepNext w:val="0"/>
                    <w:keepLines w:val="0"/>
                    <w:pageBreakBefore w:val="0"/>
                    <w:widowControl w:val="0"/>
                    <w:kinsoku/>
                    <w:wordWrap/>
                    <w:overflowPunct/>
                    <w:topLinePunct w:val="0"/>
                    <w:bidi w:val="0"/>
                    <w:jc w:val="both"/>
                    <w:textAlignment w:val="auto"/>
                    <w:rPr>
                      <w:rFonts w:hint="eastAsia"/>
                      <w:b w:val="0"/>
                      <w:color w:val="000000"/>
                      <w:lang w:val="en-US" w:eastAsia="zh-CN"/>
                    </w:rPr>
                  </w:pPr>
                  <w:r>
                    <w:rPr>
                      <w:rFonts w:hint="eastAsia"/>
                      <w:b w:val="0"/>
                      <w:color w:val="000000"/>
                      <w:lang w:val="en-US" w:eastAsia="zh-CN"/>
                    </w:rPr>
                    <w:t>从仓储加工基地内315精煤装车转载点至发运场地T4转运站的运输廊道，按照每年运输能力为500万吨，设计运量为1200t/h，选用直径450mm的管状带式输送机，速度为4.50m/s，平面总长度为11180米，起点与终点的落差为-214米，采用头三尾三的驱动，总设计装机功率为6×1250kW。</w:t>
                  </w:r>
                </w:p>
              </w:tc>
            </w:tr>
            <w:tr w14:paraId="1926547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586C3D4F">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3D99236E">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T4转运站</w:t>
                  </w:r>
                </w:p>
              </w:tc>
              <w:tc>
                <w:tcPr>
                  <w:tcW w:w="3691" w:type="pct"/>
                  <w:gridSpan w:val="2"/>
                  <w:tcBorders>
                    <w:tl2br w:val="nil"/>
                    <w:tr2bl w:val="nil"/>
                  </w:tcBorders>
                  <w:shd w:val="clear" w:color="auto" w:fill="auto"/>
                  <w:noWrap w:val="0"/>
                  <w:vAlign w:val="center"/>
                </w:tcPr>
                <w:p w14:paraId="5E82BE61">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T4转运站位于阳霞发运站内，占地面积552m</w:t>
                  </w:r>
                  <w:r>
                    <w:rPr>
                      <w:rFonts w:hint="eastAsia"/>
                      <w:b w:val="0"/>
                      <w:color w:val="000000"/>
                      <w:vertAlign w:val="superscript"/>
                      <w:lang w:val="en-US" w:eastAsia="zh-CN"/>
                    </w:rPr>
                    <w:t>2</w:t>
                  </w:r>
                  <w:r>
                    <w:rPr>
                      <w:rFonts w:hint="eastAsia"/>
                      <w:b w:val="0"/>
                      <w:color w:val="000000"/>
                      <w:lang w:val="en-US" w:eastAsia="zh-CN"/>
                    </w:rPr>
                    <w:t>，建筑面积1995m</w:t>
                  </w:r>
                  <w:r>
                    <w:rPr>
                      <w:rFonts w:hint="eastAsia"/>
                      <w:b w:val="0"/>
                      <w:color w:val="000000"/>
                      <w:vertAlign w:val="superscript"/>
                      <w:lang w:val="en-US" w:eastAsia="zh-CN"/>
                    </w:rPr>
                    <w:t>2</w:t>
                  </w:r>
                  <w:r>
                    <w:rPr>
                      <w:rFonts w:hint="eastAsia"/>
                      <w:b w:val="0"/>
                      <w:color w:val="000000"/>
                      <w:lang w:val="en-US" w:eastAsia="zh-CN"/>
                    </w:rPr>
                    <w:t>，主要组成包括钢筋砼结构转运站，转载能力为500万t/a。</w:t>
                  </w:r>
                </w:p>
              </w:tc>
            </w:tr>
            <w:tr w14:paraId="3A66C3C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tcBorders>
                    <w:tl2br w:val="nil"/>
                    <w:tr2bl w:val="nil"/>
                  </w:tcBorders>
                  <w:shd w:val="clear" w:color="auto" w:fill="auto"/>
                  <w:noWrap w:val="0"/>
                  <w:vAlign w:val="center"/>
                </w:tcPr>
                <w:p w14:paraId="7888CFBB">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辅助工程</w:t>
                  </w:r>
                </w:p>
              </w:tc>
              <w:tc>
                <w:tcPr>
                  <w:tcW w:w="799" w:type="pct"/>
                  <w:tcBorders>
                    <w:tl2br w:val="nil"/>
                    <w:tr2bl w:val="nil"/>
                  </w:tcBorders>
                  <w:shd w:val="clear" w:color="auto" w:fill="auto"/>
                  <w:noWrap w:val="0"/>
                  <w:vAlign w:val="center"/>
                </w:tcPr>
                <w:p w14:paraId="415803BD">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发运值班室</w:t>
                  </w:r>
                </w:p>
              </w:tc>
              <w:tc>
                <w:tcPr>
                  <w:tcW w:w="3691" w:type="pct"/>
                  <w:gridSpan w:val="2"/>
                  <w:tcBorders>
                    <w:tl2br w:val="nil"/>
                    <w:tr2bl w:val="nil"/>
                  </w:tcBorders>
                  <w:shd w:val="clear" w:color="auto" w:fill="auto"/>
                  <w:noWrap w:val="0"/>
                  <w:vAlign w:val="center"/>
                </w:tcPr>
                <w:p w14:paraId="40652A1D">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位于阳霞发运站内，占地面积306.3m</w:t>
                  </w:r>
                  <w:r>
                    <w:rPr>
                      <w:rFonts w:hint="eastAsia"/>
                      <w:b w:val="0"/>
                      <w:color w:val="000000"/>
                      <w:vertAlign w:val="superscript"/>
                      <w:lang w:val="en-US" w:eastAsia="zh-CN"/>
                    </w:rPr>
                    <w:t>2</w:t>
                  </w:r>
                  <w:r>
                    <w:rPr>
                      <w:rFonts w:hint="eastAsia"/>
                      <w:b w:val="0"/>
                      <w:color w:val="000000"/>
                      <w:lang w:val="en-US" w:eastAsia="zh-CN"/>
                    </w:rPr>
                    <w:t>，1F，砖混结构。</w:t>
                  </w:r>
                </w:p>
              </w:tc>
            </w:tr>
            <w:tr w14:paraId="354D13B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restart"/>
                  <w:tcBorders>
                    <w:tl2br w:val="nil"/>
                    <w:tr2bl w:val="nil"/>
                  </w:tcBorders>
                  <w:shd w:val="clear" w:color="auto" w:fill="auto"/>
                  <w:noWrap w:val="0"/>
                  <w:vAlign w:val="center"/>
                </w:tcPr>
                <w:p w14:paraId="5373E72E">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公用</w:t>
                  </w:r>
                </w:p>
                <w:p w14:paraId="75BC0754">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工程</w:t>
                  </w:r>
                </w:p>
              </w:tc>
              <w:tc>
                <w:tcPr>
                  <w:tcW w:w="799" w:type="pct"/>
                  <w:tcBorders>
                    <w:tl2br w:val="nil"/>
                    <w:tr2bl w:val="nil"/>
                  </w:tcBorders>
                  <w:shd w:val="clear" w:color="auto" w:fill="auto"/>
                  <w:noWrap w:val="0"/>
                  <w:vAlign w:val="center"/>
                </w:tcPr>
                <w:p w14:paraId="3334C77D">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给水</w:t>
                  </w:r>
                </w:p>
              </w:tc>
              <w:tc>
                <w:tcPr>
                  <w:tcW w:w="3691" w:type="pct"/>
                  <w:gridSpan w:val="2"/>
                  <w:tcBorders>
                    <w:tl2br w:val="nil"/>
                    <w:tr2bl w:val="nil"/>
                  </w:tcBorders>
                  <w:shd w:val="clear" w:color="auto" w:fill="auto"/>
                  <w:noWrap w:val="0"/>
                  <w:vAlign w:val="center"/>
                </w:tcPr>
                <w:p w14:paraId="39DAB472">
                  <w:pPr>
                    <w:pStyle w:val="5"/>
                    <w:keepNext w:val="0"/>
                    <w:keepLines w:val="0"/>
                    <w:pageBreakBefore w:val="0"/>
                    <w:widowControl w:val="0"/>
                    <w:kinsoku/>
                    <w:wordWrap/>
                    <w:overflowPunct/>
                    <w:topLinePunct w:val="0"/>
                    <w:bidi w:val="0"/>
                    <w:jc w:val="left"/>
                    <w:textAlignment w:val="auto"/>
                    <w:rPr>
                      <w:rFonts w:hint="eastAsia" w:eastAsia="宋体"/>
                      <w:b w:val="0"/>
                      <w:color w:val="000000"/>
                      <w:lang w:eastAsia="zh-CN"/>
                    </w:rPr>
                  </w:pPr>
                  <w:r>
                    <w:rPr>
                      <w:rFonts w:hint="eastAsia"/>
                      <w:b w:val="0"/>
                      <w:color w:val="000000"/>
                      <w:lang w:val="en-US" w:eastAsia="zh-CN"/>
                    </w:rPr>
                    <w:t>供水由东辰煤矿矿井水处理系统提供</w:t>
                  </w:r>
                  <w:r>
                    <w:rPr>
                      <w:rFonts w:hint="eastAsia"/>
                      <w:b w:val="0"/>
                      <w:color w:val="000000"/>
                      <w:lang w:eastAsia="zh-CN"/>
                    </w:rPr>
                    <w:t>。</w:t>
                  </w:r>
                </w:p>
              </w:tc>
            </w:tr>
            <w:tr w14:paraId="2639B01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48AAC395">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179DEB27">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供电</w:t>
                  </w:r>
                </w:p>
              </w:tc>
              <w:tc>
                <w:tcPr>
                  <w:tcW w:w="3691" w:type="pct"/>
                  <w:gridSpan w:val="2"/>
                  <w:tcBorders>
                    <w:tl2br w:val="nil"/>
                    <w:tr2bl w:val="nil"/>
                  </w:tcBorders>
                  <w:shd w:val="clear" w:color="auto" w:fill="auto"/>
                  <w:noWrap w:val="0"/>
                  <w:vAlign w:val="center"/>
                </w:tcPr>
                <w:p w14:paraId="1AA13DD4">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用电接国家电网，由东辰煤矿现有变电站接入。</w:t>
                  </w:r>
                </w:p>
              </w:tc>
            </w:tr>
            <w:tr w14:paraId="394873E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2" w:hRule="atLeast"/>
                <w:jc w:val="center"/>
              </w:trPr>
              <w:tc>
                <w:tcPr>
                  <w:tcW w:w="509" w:type="pct"/>
                  <w:vMerge w:val="continue"/>
                  <w:tcBorders>
                    <w:tl2br w:val="nil"/>
                    <w:tr2bl w:val="nil"/>
                  </w:tcBorders>
                  <w:shd w:val="clear" w:color="auto" w:fill="auto"/>
                  <w:noWrap w:val="0"/>
                  <w:vAlign w:val="center"/>
                </w:tcPr>
                <w:p w14:paraId="764862DA">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15F1F886">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排水</w:t>
                  </w:r>
                </w:p>
              </w:tc>
              <w:tc>
                <w:tcPr>
                  <w:tcW w:w="3691" w:type="pct"/>
                  <w:gridSpan w:val="2"/>
                  <w:tcBorders>
                    <w:tl2br w:val="nil"/>
                    <w:tr2bl w:val="nil"/>
                  </w:tcBorders>
                  <w:shd w:val="clear" w:color="auto" w:fill="auto"/>
                  <w:noWrap w:val="0"/>
                  <w:vAlign w:val="center"/>
                </w:tcPr>
                <w:p w14:paraId="79FF6294">
                  <w:pPr>
                    <w:pStyle w:val="5"/>
                    <w:keepNext w:val="0"/>
                    <w:keepLines w:val="0"/>
                    <w:pageBreakBefore w:val="0"/>
                    <w:widowControl w:val="0"/>
                    <w:kinsoku/>
                    <w:wordWrap/>
                    <w:overflowPunct/>
                    <w:topLinePunct w:val="0"/>
                    <w:bidi w:val="0"/>
                    <w:jc w:val="left"/>
                    <w:textAlignment w:val="auto"/>
                    <w:rPr>
                      <w:rFonts w:hint="eastAsia"/>
                      <w:b w:val="0"/>
                      <w:color w:val="000000"/>
                      <w:lang w:val="en-US" w:eastAsia="zh-CN"/>
                    </w:rPr>
                  </w:pPr>
                  <w:r>
                    <w:rPr>
                      <w:rFonts w:hint="eastAsia"/>
                      <w:b w:val="0"/>
                      <w:color w:val="000000"/>
                      <w:lang w:val="en-US" w:eastAsia="zh-CN"/>
                    </w:rPr>
                    <w:t>输煤廊道沿线抑尘用水自然蒸发损耗。</w:t>
                  </w:r>
                </w:p>
              </w:tc>
            </w:tr>
            <w:tr w14:paraId="524D220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4FFA8B17">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7B494896">
                  <w:pPr>
                    <w:pStyle w:val="5"/>
                    <w:keepNext w:val="0"/>
                    <w:keepLines w:val="0"/>
                    <w:pageBreakBefore w:val="0"/>
                    <w:widowControl w:val="0"/>
                    <w:kinsoku/>
                    <w:wordWrap/>
                    <w:overflowPunct/>
                    <w:topLinePunct w:val="0"/>
                    <w:bidi w:val="0"/>
                    <w:jc w:val="center"/>
                    <w:textAlignment w:val="auto"/>
                    <w:rPr>
                      <w:rFonts w:hint="eastAsia"/>
                      <w:b w:val="0"/>
                      <w:color w:val="000000"/>
                      <w:lang w:eastAsia="zh-CN"/>
                    </w:rPr>
                  </w:pPr>
                  <w:r>
                    <w:rPr>
                      <w:rFonts w:hint="eastAsia"/>
                      <w:b w:val="0"/>
                      <w:color w:val="000000"/>
                      <w:lang w:val="en-US" w:eastAsia="zh-CN"/>
                    </w:rPr>
                    <w:t>供热</w:t>
                  </w:r>
                </w:p>
              </w:tc>
              <w:tc>
                <w:tcPr>
                  <w:tcW w:w="3691" w:type="pct"/>
                  <w:gridSpan w:val="2"/>
                  <w:tcBorders>
                    <w:tl2br w:val="nil"/>
                    <w:tr2bl w:val="nil"/>
                  </w:tcBorders>
                  <w:shd w:val="clear" w:color="auto" w:fill="auto"/>
                  <w:noWrap w:val="0"/>
                  <w:vAlign w:val="center"/>
                </w:tcPr>
                <w:p w14:paraId="5796FC3A">
                  <w:pPr>
                    <w:pStyle w:val="5"/>
                    <w:keepNext w:val="0"/>
                    <w:keepLines w:val="0"/>
                    <w:pageBreakBefore w:val="0"/>
                    <w:widowControl w:val="0"/>
                    <w:kinsoku/>
                    <w:wordWrap/>
                    <w:overflowPunct/>
                    <w:topLinePunct w:val="0"/>
                    <w:bidi w:val="0"/>
                    <w:jc w:val="left"/>
                    <w:textAlignment w:val="auto"/>
                    <w:rPr>
                      <w:rFonts w:hint="eastAsia"/>
                      <w:b w:val="0"/>
                      <w:color w:val="000000"/>
                      <w:lang w:eastAsia="zh-CN"/>
                    </w:rPr>
                  </w:pPr>
                  <w:r>
                    <w:rPr>
                      <w:rFonts w:hint="eastAsia"/>
                      <w:b w:val="0"/>
                      <w:color w:val="000000"/>
                      <w:lang w:val="en-US" w:eastAsia="zh-CN"/>
                    </w:rPr>
                    <w:t>本项目为煤炭输送工程，无需用热。</w:t>
                  </w:r>
                </w:p>
              </w:tc>
            </w:tr>
            <w:tr w14:paraId="59842CE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restart"/>
                  <w:tcBorders>
                    <w:tl2br w:val="nil"/>
                    <w:tr2bl w:val="nil"/>
                  </w:tcBorders>
                  <w:shd w:val="clear" w:color="auto" w:fill="auto"/>
                  <w:noWrap w:val="0"/>
                  <w:vAlign w:val="center"/>
                </w:tcPr>
                <w:p w14:paraId="7D1B9A27">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环保</w:t>
                  </w:r>
                </w:p>
                <w:p w14:paraId="5C14905F">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rPr>
                    <w:t>工程</w:t>
                  </w:r>
                </w:p>
              </w:tc>
              <w:tc>
                <w:tcPr>
                  <w:tcW w:w="799" w:type="pct"/>
                  <w:tcBorders>
                    <w:tl2br w:val="nil"/>
                    <w:tr2bl w:val="nil"/>
                  </w:tcBorders>
                  <w:shd w:val="clear" w:color="auto" w:fill="auto"/>
                  <w:noWrap w:val="0"/>
                  <w:vAlign w:val="center"/>
                </w:tcPr>
                <w:p w14:paraId="75C7E985">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废气</w:t>
                  </w:r>
                </w:p>
              </w:tc>
              <w:tc>
                <w:tcPr>
                  <w:tcW w:w="3691" w:type="pct"/>
                  <w:gridSpan w:val="2"/>
                  <w:tcBorders>
                    <w:tl2br w:val="nil"/>
                    <w:tr2bl w:val="nil"/>
                  </w:tcBorders>
                  <w:shd w:val="clear" w:color="auto" w:fill="auto"/>
                  <w:noWrap w:val="0"/>
                  <w:vAlign w:val="center"/>
                </w:tcPr>
                <w:p w14:paraId="43099DD7">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输煤廊道全封闭，沿线定期喷雾抑尘；转运站全封闭设置，并采用袋式除尘器收集治理后通过15m排气筒排放。</w:t>
                  </w:r>
                </w:p>
              </w:tc>
            </w:tr>
            <w:tr w14:paraId="1FD6831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591B180F">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78C694B9">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废水</w:t>
                  </w:r>
                </w:p>
              </w:tc>
              <w:tc>
                <w:tcPr>
                  <w:tcW w:w="3691" w:type="pct"/>
                  <w:gridSpan w:val="2"/>
                  <w:tcBorders>
                    <w:tl2br w:val="nil"/>
                    <w:tr2bl w:val="nil"/>
                  </w:tcBorders>
                  <w:shd w:val="clear" w:color="auto" w:fill="auto"/>
                  <w:noWrap w:val="0"/>
                  <w:vAlign w:val="center"/>
                </w:tcPr>
                <w:p w14:paraId="444FB36B">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喷雾抑尘废水自然蒸发损耗。</w:t>
                  </w:r>
                </w:p>
              </w:tc>
            </w:tr>
            <w:tr w14:paraId="68A945B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09" w:type="pct"/>
                  <w:vMerge w:val="continue"/>
                  <w:tcBorders>
                    <w:tl2br w:val="nil"/>
                    <w:tr2bl w:val="nil"/>
                  </w:tcBorders>
                  <w:shd w:val="clear" w:color="auto" w:fill="auto"/>
                  <w:noWrap w:val="0"/>
                  <w:vAlign w:val="center"/>
                </w:tcPr>
                <w:p w14:paraId="3FE93A40">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741AC7C9">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噪声</w:t>
                  </w:r>
                </w:p>
              </w:tc>
              <w:tc>
                <w:tcPr>
                  <w:tcW w:w="3691" w:type="pct"/>
                  <w:gridSpan w:val="2"/>
                  <w:tcBorders>
                    <w:tl2br w:val="nil"/>
                    <w:tr2bl w:val="nil"/>
                  </w:tcBorders>
                  <w:shd w:val="clear" w:color="auto" w:fill="auto"/>
                  <w:noWrap w:val="0"/>
                  <w:vAlign w:val="center"/>
                </w:tcPr>
                <w:p w14:paraId="72CDAE81">
                  <w:pPr>
                    <w:pStyle w:val="5"/>
                    <w:keepNext w:val="0"/>
                    <w:keepLines w:val="0"/>
                    <w:pageBreakBefore w:val="0"/>
                    <w:widowControl w:val="0"/>
                    <w:kinsoku/>
                    <w:wordWrap/>
                    <w:overflowPunct/>
                    <w:topLinePunct w:val="0"/>
                    <w:bidi w:val="0"/>
                    <w:jc w:val="left"/>
                    <w:textAlignment w:val="auto"/>
                    <w:rPr>
                      <w:rFonts w:hint="default" w:eastAsia="宋体"/>
                      <w:b w:val="0"/>
                      <w:color w:val="000000"/>
                      <w:lang w:val="en-US" w:eastAsia="zh-CN"/>
                    </w:rPr>
                  </w:pPr>
                  <w:r>
                    <w:rPr>
                      <w:rFonts w:hint="eastAsia"/>
                      <w:b w:val="0"/>
                      <w:color w:val="000000"/>
                      <w:lang w:val="en-US" w:eastAsia="zh-CN"/>
                    </w:rPr>
                    <w:t>基础减振、隔音。</w:t>
                  </w:r>
                </w:p>
              </w:tc>
            </w:tr>
            <w:tr w14:paraId="03CEB4B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1" w:hRule="atLeast"/>
                <w:jc w:val="center"/>
              </w:trPr>
              <w:tc>
                <w:tcPr>
                  <w:tcW w:w="509" w:type="pct"/>
                  <w:vMerge w:val="continue"/>
                  <w:tcBorders>
                    <w:tl2br w:val="nil"/>
                    <w:tr2bl w:val="nil"/>
                  </w:tcBorders>
                  <w:shd w:val="clear" w:color="auto" w:fill="auto"/>
                  <w:noWrap w:val="0"/>
                  <w:vAlign w:val="center"/>
                </w:tcPr>
                <w:p w14:paraId="17977564">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vMerge w:val="restart"/>
                  <w:tcBorders>
                    <w:tl2br w:val="nil"/>
                    <w:tr2bl w:val="nil"/>
                  </w:tcBorders>
                  <w:shd w:val="clear" w:color="auto" w:fill="auto"/>
                  <w:noWrap w:val="0"/>
                  <w:vAlign w:val="center"/>
                </w:tcPr>
                <w:p w14:paraId="7FC4F97B">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固废</w:t>
                  </w:r>
                </w:p>
              </w:tc>
              <w:tc>
                <w:tcPr>
                  <w:tcW w:w="683" w:type="pct"/>
                  <w:tcBorders>
                    <w:tl2br w:val="nil"/>
                    <w:tr2bl w:val="nil"/>
                  </w:tcBorders>
                  <w:shd w:val="clear" w:color="auto" w:fill="auto"/>
                  <w:noWrap w:val="0"/>
                  <w:vAlign w:val="center"/>
                </w:tcPr>
                <w:p w14:paraId="0EEC19E9">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一般固废</w:t>
                  </w:r>
                </w:p>
              </w:tc>
              <w:tc>
                <w:tcPr>
                  <w:tcW w:w="3008" w:type="pct"/>
                  <w:tcBorders>
                    <w:tl2br w:val="nil"/>
                    <w:tr2bl w:val="nil"/>
                  </w:tcBorders>
                  <w:shd w:val="clear" w:color="auto" w:fill="auto"/>
                  <w:noWrap w:val="0"/>
                  <w:vAlign w:val="center"/>
                </w:tcPr>
                <w:p w14:paraId="1443D632">
                  <w:pPr>
                    <w:pStyle w:val="5"/>
                    <w:keepNext w:val="0"/>
                    <w:keepLines w:val="0"/>
                    <w:pageBreakBefore w:val="0"/>
                    <w:widowControl w:val="0"/>
                    <w:kinsoku/>
                    <w:wordWrap/>
                    <w:overflowPunct/>
                    <w:topLinePunct w:val="0"/>
                    <w:bidi w:val="0"/>
                    <w:jc w:val="both"/>
                    <w:textAlignment w:val="auto"/>
                    <w:rPr>
                      <w:rFonts w:hint="default"/>
                      <w:b w:val="0"/>
                      <w:color w:val="000000"/>
                      <w:lang w:val="en-US" w:eastAsia="zh-CN"/>
                    </w:rPr>
                  </w:pPr>
                  <w:r>
                    <w:rPr>
                      <w:rFonts w:hint="eastAsia"/>
                      <w:b w:val="0"/>
                      <w:color w:val="000000"/>
                      <w:lang w:val="en-US" w:eastAsia="zh-CN"/>
                    </w:rPr>
                    <w:t>除尘灰统一收集混入原煤外售；废布袋由除尘器厂家更换并带走处置。</w:t>
                  </w:r>
                </w:p>
              </w:tc>
            </w:tr>
            <w:tr w14:paraId="10785BB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4" w:hRule="atLeast"/>
                <w:jc w:val="center"/>
              </w:trPr>
              <w:tc>
                <w:tcPr>
                  <w:tcW w:w="509" w:type="pct"/>
                  <w:vMerge w:val="continue"/>
                  <w:tcBorders>
                    <w:tl2br w:val="nil"/>
                    <w:tr2bl w:val="nil"/>
                  </w:tcBorders>
                  <w:shd w:val="clear" w:color="auto" w:fill="auto"/>
                  <w:noWrap w:val="0"/>
                  <w:vAlign w:val="center"/>
                </w:tcPr>
                <w:p w14:paraId="077F6409">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vMerge w:val="continue"/>
                  <w:tcBorders>
                    <w:tl2br w:val="nil"/>
                    <w:tr2bl w:val="nil"/>
                  </w:tcBorders>
                  <w:shd w:val="clear" w:color="auto" w:fill="auto"/>
                  <w:noWrap w:val="0"/>
                  <w:vAlign w:val="center"/>
                </w:tcPr>
                <w:p w14:paraId="4F89B99E">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p>
              </w:tc>
              <w:tc>
                <w:tcPr>
                  <w:tcW w:w="683" w:type="pct"/>
                  <w:tcBorders>
                    <w:tl2br w:val="nil"/>
                    <w:tr2bl w:val="nil"/>
                  </w:tcBorders>
                  <w:shd w:val="clear" w:color="auto" w:fill="auto"/>
                  <w:noWrap w:val="0"/>
                  <w:vAlign w:val="center"/>
                </w:tcPr>
                <w:p w14:paraId="5745FE58">
                  <w:pPr>
                    <w:pStyle w:val="5"/>
                    <w:keepNext w:val="0"/>
                    <w:keepLines w:val="0"/>
                    <w:pageBreakBefore w:val="0"/>
                    <w:widowControl w:val="0"/>
                    <w:kinsoku/>
                    <w:wordWrap/>
                    <w:overflowPunct/>
                    <w:topLinePunct w:val="0"/>
                    <w:bidi w:val="0"/>
                    <w:jc w:val="left"/>
                    <w:textAlignment w:val="auto"/>
                    <w:rPr>
                      <w:rFonts w:hint="default"/>
                      <w:b w:val="0"/>
                      <w:color w:val="000000"/>
                      <w:lang w:val="en-US" w:eastAsia="zh-CN"/>
                    </w:rPr>
                  </w:pPr>
                  <w:r>
                    <w:rPr>
                      <w:rFonts w:hint="eastAsia"/>
                      <w:b w:val="0"/>
                      <w:color w:val="000000"/>
                      <w:lang w:val="en-US" w:eastAsia="zh-CN"/>
                    </w:rPr>
                    <w:t>危险废物</w:t>
                  </w:r>
                </w:p>
              </w:tc>
              <w:tc>
                <w:tcPr>
                  <w:tcW w:w="3008" w:type="pct"/>
                  <w:tcBorders>
                    <w:tl2br w:val="nil"/>
                    <w:tr2bl w:val="nil"/>
                  </w:tcBorders>
                  <w:shd w:val="clear" w:color="auto" w:fill="auto"/>
                  <w:noWrap w:val="0"/>
                  <w:vAlign w:val="center"/>
                </w:tcPr>
                <w:p w14:paraId="29DC8887">
                  <w:pPr>
                    <w:pStyle w:val="5"/>
                    <w:keepNext w:val="0"/>
                    <w:keepLines w:val="0"/>
                    <w:pageBreakBefore w:val="0"/>
                    <w:widowControl w:val="0"/>
                    <w:kinsoku/>
                    <w:wordWrap/>
                    <w:overflowPunct/>
                    <w:topLinePunct w:val="0"/>
                    <w:bidi w:val="0"/>
                    <w:jc w:val="both"/>
                    <w:textAlignment w:val="auto"/>
                    <w:rPr>
                      <w:rFonts w:hint="default"/>
                      <w:b w:val="0"/>
                      <w:color w:val="000000"/>
                      <w:lang w:val="en-US" w:eastAsia="zh-CN"/>
                    </w:rPr>
                  </w:pPr>
                  <w:r>
                    <w:rPr>
                      <w:rFonts w:hint="eastAsia"/>
                      <w:b w:val="0"/>
                      <w:color w:val="000000"/>
                      <w:lang w:val="en-US" w:eastAsia="zh-CN"/>
                    </w:rPr>
                    <w:t>废润滑油、废油桶、含油抹布、手套集中收集至东辰煤矿危险废物贮存库，委托有资质单位处置。</w:t>
                  </w:r>
                </w:p>
              </w:tc>
            </w:tr>
            <w:tr w14:paraId="54B68C1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1" w:hRule="atLeast"/>
                <w:jc w:val="center"/>
              </w:trPr>
              <w:tc>
                <w:tcPr>
                  <w:tcW w:w="509" w:type="pct"/>
                  <w:vMerge w:val="restart"/>
                  <w:tcBorders>
                    <w:tl2br w:val="nil"/>
                    <w:tr2bl w:val="nil"/>
                  </w:tcBorders>
                  <w:shd w:val="clear" w:color="auto" w:fill="auto"/>
                  <w:noWrap w:val="0"/>
                  <w:vAlign w:val="center"/>
                </w:tcPr>
                <w:p w14:paraId="5E5A936B">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依托工程</w:t>
                  </w:r>
                </w:p>
              </w:tc>
              <w:tc>
                <w:tcPr>
                  <w:tcW w:w="799" w:type="pct"/>
                  <w:tcBorders>
                    <w:tl2br w:val="nil"/>
                    <w:tr2bl w:val="nil"/>
                  </w:tcBorders>
                  <w:shd w:val="clear" w:color="auto" w:fill="auto"/>
                  <w:noWrap w:val="0"/>
                  <w:vAlign w:val="center"/>
                </w:tcPr>
                <w:p w14:paraId="1EF4312C">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供水</w:t>
                  </w:r>
                </w:p>
              </w:tc>
              <w:tc>
                <w:tcPr>
                  <w:tcW w:w="3691" w:type="pct"/>
                  <w:gridSpan w:val="2"/>
                  <w:tcBorders>
                    <w:tl2br w:val="nil"/>
                    <w:tr2bl w:val="nil"/>
                  </w:tcBorders>
                  <w:shd w:val="clear" w:color="auto" w:fill="auto"/>
                  <w:noWrap w:val="0"/>
                  <w:vAlign w:val="center"/>
                </w:tcPr>
                <w:p w14:paraId="5FBC3D66">
                  <w:pPr>
                    <w:pStyle w:val="5"/>
                    <w:keepNext w:val="0"/>
                    <w:keepLines w:val="0"/>
                    <w:pageBreakBefore w:val="0"/>
                    <w:widowControl w:val="0"/>
                    <w:kinsoku/>
                    <w:wordWrap/>
                    <w:overflowPunct/>
                    <w:topLinePunct w:val="0"/>
                    <w:bidi w:val="0"/>
                    <w:jc w:val="both"/>
                    <w:textAlignment w:val="auto"/>
                    <w:rPr>
                      <w:rFonts w:hint="default"/>
                      <w:b w:val="0"/>
                      <w:color w:val="000000"/>
                      <w:lang w:val="en-US" w:eastAsia="zh-CN"/>
                    </w:rPr>
                  </w:pPr>
                  <w:r>
                    <w:rPr>
                      <w:rFonts w:hint="eastAsia"/>
                      <w:b w:val="0"/>
                      <w:color w:val="000000"/>
                      <w:lang w:val="en-US" w:eastAsia="zh-CN"/>
                    </w:rPr>
                    <w:t>依托东辰煤矿矿井水处理系统。</w:t>
                  </w:r>
                </w:p>
              </w:tc>
            </w:tr>
            <w:tr w14:paraId="65853DF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6" w:hRule="atLeast"/>
                <w:jc w:val="center"/>
              </w:trPr>
              <w:tc>
                <w:tcPr>
                  <w:tcW w:w="509" w:type="pct"/>
                  <w:vMerge w:val="continue"/>
                  <w:tcBorders>
                    <w:tl2br w:val="nil"/>
                    <w:tr2bl w:val="nil"/>
                  </w:tcBorders>
                  <w:shd w:val="clear" w:color="auto" w:fill="auto"/>
                  <w:noWrap w:val="0"/>
                  <w:vAlign w:val="center"/>
                </w:tcPr>
                <w:p w14:paraId="78C7AEEC">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5E95A315">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供电</w:t>
                  </w:r>
                </w:p>
              </w:tc>
              <w:tc>
                <w:tcPr>
                  <w:tcW w:w="3691" w:type="pct"/>
                  <w:gridSpan w:val="2"/>
                  <w:tcBorders>
                    <w:tl2br w:val="nil"/>
                    <w:tr2bl w:val="nil"/>
                  </w:tcBorders>
                  <w:shd w:val="clear" w:color="auto" w:fill="auto"/>
                  <w:noWrap w:val="0"/>
                  <w:vAlign w:val="center"/>
                </w:tcPr>
                <w:p w14:paraId="1EC09377">
                  <w:pPr>
                    <w:pStyle w:val="5"/>
                    <w:keepNext w:val="0"/>
                    <w:keepLines w:val="0"/>
                    <w:pageBreakBefore w:val="0"/>
                    <w:widowControl w:val="0"/>
                    <w:kinsoku/>
                    <w:wordWrap/>
                    <w:overflowPunct/>
                    <w:topLinePunct w:val="0"/>
                    <w:bidi w:val="0"/>
                    <w:jc w:val="both"/>
                    <w:textAlignment w:val="auto"/>
                    <w:rPr>
                      <w:rFonts w:hint="default"/>
                      <w:b w:val="0"/>
                      <w:color w:val="000000"/>
                      <w:lang w:val="en-US" w:eastAsia="zh-CN"/>
                    </w:rPr>
                  </w:pPr>
                  <w:r>
                    <w:rPr>
                      <w:rFonts w:hint="eastAsia"/>
                      <w:b w:val="0"/>
                      <w:color w:val="000000"/>
                      <w:lang w:val="en-US" w:eastAsia="zh-CN"/>
                    </w:rPr>
                    <w:t>依托东辰煤矿电网。</w:t>
                  </w:r>
                </w:p>
              </w:tc>
            </w:tr>
            <w:tr w14:paraId="6EA0186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3" w:hRule="atLeast"/>
                <w:jc w:val="center"/>
              </w:trPr>
              <w:tc>
                <w:tcPr>
                  <w:tcW w:w="509" w:type="pct"/>
                  <w:vMerge w:val="continue"/>
                  <w:tcBorders>
                    <w:tl2br w:val="nil"/>
                    <w:tr2bl w:val="nil"/>
                  </w:tcBorders>
                  <w:shd w:val="clear" w:color="auto" w:fill="auto"/>
                  <w:noWrap w:val="0"/>
                  <w:vAlign w:val="center"/>
                </w:tcPr>
                <w:p w14:paraId="72092597">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29732BCC">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办公、生活</w:t>
                  </w:r>
                </w:p>
              </w:tc>
              <w:tc>
                <w:tcPr>
                  <w:tcW w:w="3691" w:type="pct"/>
                  <w:gridSpan w:val="2"/>
                  <w:tcBorders>
                    <w:tl2br w:val="nil"/>
                    <w:tr2bl w:val="nil"/>
                  </w:tcBorders>
                  <w:shd w:val="clear" w:color="auto" w:fill="auto"/>
                  <w:noWrap w:val="0"/>
                  <w:vAlign w:val="center"/>
                </w:tcPr>
                <w:p w14:paraId="751392AC">
                  <w:pPr>
                    <w:pStyle w:val="5"/>
                    <w:keepNext w:val="0"/>
                    <w:keepLines w:val="0"/>
                    <w:pageBreakBefore w:val="0"/>
                    <w:widowControl w:val="0"/>
                    <w:kinsoku/>
                    <w:wordWrap/>
                    <w:overflowPunct/>
                    <w:topLinePunct w:val="0"/>
                    <w:bidi w:val="0"/>
                    <w:jc w:val="both"/>
                    <w:textAlignment w:val="auto"/>
                    <w:rPr>
                      <w:rFonts w:hint="default"/>
                      <w:b w:val="0"/>
                      <w:color w:val="000000"/>
                      <w:lang w:val="en-US" w:eastAsia="zh-CN"/>
                    </w:rPr>
                  </w:pPr>
                  <w:r>
                    <w:rPr>
                      <w:rFonts w:hint="eastAsia"/>
                      <w:b w:val="0"/>
                      <w:color w:val="000000"/>
                      <w:lang w:val="en-US" w:eastAsia="zh-CN"/>
                    </w:rPr>
                    <w:t>不新增劳动人员，依托东辰煤矿既有人员。</w:t>
                  </w:r>
                </w:p>
              </w:tc>
            </w:tr>
            <w:tr w14:paraId="175537E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3" w:hRule="atLeast"/>
                <w:jc w:val="center"/>
              </w:trPr>
              <w:tc>
                <w:tcPr>
                  <w:tcW w:w="509" w:type="pct"/>
                  <w:vMerge w:val="continue"/>
                  <w:tcBorders>
                    <w:tl2br w:val="nil"/>
                    <w:tr2bl w:val="nil"/>
                  </w:tcBorders>
                  <w:shd w:val="clear" w:color="auto" w:fill="auto"/>
                  <w:noWrap w:val="0"/>
                  <w:vAlign w:val="center"/>
                </w:tcPr>
                <w:p w14:paraId="0118EA80">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799" w:type="pct"/>
                  <w:tcBorders>
                    <w:tl2br w:val="nil"/>
                    <w:tr2bl w:val="nil"/>
                  </w:tcBorders>
                  <w:shd w:val="clear" w:color="auto" w:fill="auto"/>
                  <w:noWrap w:val="0"/>
                  <w:vAlign w:val="center"/>
                </w:tcPr>
                <w:p w14:paraId="6C0699AA">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危险废物贮存库</w:t>
                  </w:r>
                </w:p>
              </w:tc>
              <w:tc>
                <w:tcPr>
                  <w:tcW w:w="3691" w:type="pct"/>
                  <w:gridSpan w:val="2"/>
                  <w:tcBorders>
                    <w:tl2br w:val="nil"/>
                    <w:tr2bl w:val="nil"/>
                  </w:tcBorders>
                  <w:shd w:val="clear" w:color="auto" w:fill="auto"/>
                  <w:noWrap w:val="0"/>
                  <w:vAlign w:val="center"/>
                </w:tcPr>
                <w:p w14:paraId="6DE17EA8">
                  <w:pPr>
                    <w:pStyle w:val="5"/>
                    <w:keepNext w:val="0"/>
                    <w:keepLines w:val="0"/>
                    <w:pageBreakBefore w:val="0"/>
                    <w:widowControl w:val="0"/>
                    <w:kinsoku/>
                    <w:wordWrap/>
                    <w:overflowPunct/>
                    <w:topLinePunct w:val="0"/>
                    <w:bidi w:val="0"/>
                    <w:jc w:val="both"/>
                    <w:textAlignment w:val="auto"/>
                    <w:rPr>
                      <w:rFonts w:hint="default"/>
                      <w:b w:val="0"/>
                      <w:color w:val="000000"/>
                      <w:lang w:val="en-US" w:eastAsia="zh-CN"/>
                    </w:rPr>
                  </w:pPr>
                  <w:r>
                    <w:rPr>
                      <w:rFonts w:hint="eastAsia"/>
                      <w:b w:val="0"/>
                      <w:color w:val="000000"/>
                      <w:lang w:val="en-US" w:eastAsia="zh-CN"/>
                    </w:rPr>
                    <w:t>运营期产生的危险废物贮存依托东辰煤矿现有危险废物贮存库，该贮存库占地面积50m</w:t>
                  </w:r>
                  <w:r>
                    <w:rPr>
                      <w:rFonts w:hint="eastAsia"/>
                      <w:b w:val="0"/>
                      <w:color w:val="000000"/>
                      <w:vertAlign w:val="superscript"/>
                      <w:lang w:val="en-US" w:eastAsia="zh-CN"/>
                    </w:rPr>
                    <w:t>2</w:t>
                  </w:r>
                  <w:r>
                    <w:rPr>
                      <w:rFonts w:hint="eastAsia"/>
                      <w:b w:val="0"/>
                      <w:color w:val="000000"/>
                      <w:lang w:val="en-US" w:eastAsia="zh-CN"/>
                    </w:rPr>
                    <w:t>，设计最大贮存量15t。</w:t>
                  </w:r>
                </w:p>
              </w:tc>
            </w:tr>
          </w:tbl>
          <w:p w14:paraId="6B02543E">
            <w:pPr>
              <w:pStyle w:val="3"/>
              <w:keepNext w:val="0"/>
              <w:keepLines w:val="0"/>
              <w:pageBreakBefore w:val="0"/>
              <w:widowControl w:val="0"/>
              <w:numPr>
                <w:ilvl w:val="0"/>
                <w:numId w:val="0"/>
              </w:numPr>
              <w:kinsoku/>
              <w:wordWrap/>
              <w:overflowPunct/>
              <w:topLinePunct w:val="0"/>
              <w:bidi w:val="0"/>
              <w:ind w:leftChars="0"/>
              <w:jc w:val="left"/>
              <w:textAlignment w:val="auto"/>
              <w:rPr>
                <w:rFonts w:hint="eastAsia"/>
                <w:lang w:val="en-US" w:eastAsia="zh-CN"/>
              </w:rPr>
            </w:pPr>
            <w:r>
              <w:rPr>
                <w:rFonts w:hint="eastAsia"/>
                <w:lang w:val="en-US" w:eastAsia="zh-CN"/>
              </w:rPr>
              <w:t>2.建（构）筑物</w:t>
            </w:r>
          </w:p>
          <w:p w14:paraId="4DE4E123">
            <w:pPr>
              <w:keepNext w:val="0"/>
              <w:keepLines w:val="0"/>
              <w:pageBreakBefore w:val="0"/>
              <w:widowControl w:val="0"/>
              <w:kinsoku/>
              <w:wordWrap/>
              <w:overflowPunct/>
              <w:topLinePunct w:val="0"/>
              <w:bidi w:val="0"/>
              <w:jc w:val="left"/>
              <w:textAlignment w:val="auto"/>
              <w:rPr>
                <w:rFonts w:hint="default"/>
                <w:lang w:val="en-US" w:eastAsia="zh-CN"/>
              </w:rPr>
            </w:pPr>
            <w:r>
              <w:rPr>
                <w:rFonts w:hint="eastAsia"/>
                <w:lang w:val="en-US" w:eastAsia="zh-CN"/>
              </w:rPr>
              <w:t>地面建筑按50年设计。当服务年限超过50年时，构筑物必须进行技术鉴定，对所有建筑物做出安全评估，必要时采取补强措施，以保证建筑物在服务年限内的安全使用。对于钢结构应按要求，定期进行防锈、防腐涂装的维护，满足钢结构耐久性的要求。</w:t>
            </w:r>
          </w:p>
          <w:p w14:paraId="156DC7D9">
            <w:pPr>
              <w:keepNext w:val="0"/>
              <w:keepLines w:val="0"/>
              <w:pageBreakBefore w:val="0"/>
              <w:widowControl w:val="0"/>
              <w:numPr>
                <w:ilvl w:val="0"/>
                <w:numId w:val="0"/>
              </w:numPr>
              <w:kinsoku/>
              <w:wordWrap/>
              <w:overflowPunct/>
              <w:topLinePunct w:val="0"/>
              <w:bidi w:val="0"/>
              <w:ind w:firstLine="480" w:firstLineChars="200"/>
              <w:textAlignment w:val="auto"/>
              <w:rPr>
                <w:rFonts w:hint="eastAsia"/>
                <w:lang w:val="en-US" w:eastAsia="zh-CN"/>
              </w:rPr>
            </w:pPr>
            <w:r>
              <w:rPr>
                <w:rFonts w:hint="eastAsia"/>
                <w:lang w:val="en-US" w:eastAsia="zh-CN"/>
              </w:rPr>
              <w:t>（1）皮带输送机栈桥：地面以下地道采用现浇钢筋混凝土闭合框架结构；地面以上采用钢结构（钢桁架），全封闭栈桥外围护采用岩棉保温彩板，简易栈桥不围护。全封闭栈桥窗户采用独立断桥铝合金推拉窗、双层玻璃。楼板采用钢筋混凝土组合楼板或简易钢楼板。生产类别为丙类，耐火等级为二级，钢结构应做防火处理。单独基础。</w:t>
            </w:r>
          </w:p>
          <w:p w14:paraId="62CE5968">
            <w:pPr>
              <w:keepNext w:val="0"/>
              <w:keepLines w:val="0"/>
              <w:pageBreakBefore w:val="0"/>
              <w:widowControl w:val="0"/>
              <w:numPr>
                <w:ilvl w:val="0"/>
                <w:numId w:val="0"/>
              </w:numPr>
              <w:kinsoku/>
              <w:wordWrap/>
              <w:overflowPunct/>
              <w:topLinePunct w:val="0"/>
              <w:bidi w:val="0"/>
              <w:ind w:firstLine="480" w:firstLineChars="200"/>
              <w:textAlignment w:val="auto"/>
              <w:rPr>
                <w:rFonts w:hint="eastAsia"/>
                <w:lang w:val="en-US" w:eastAsia="zh-CN"/>
              </w:rPr>
            </w:pPr>
            <w:r>
              <w:rPr>
                <w:rFonts w:hint="eastAsia"/>
                <w:lang w:val="en-US" w:eastAsia="zh-CN"/>
              </w:rPr>
              <w:t>（2）发运值班室：砖混结构，条形基础。外墙采用砖墙围护，屋面保温采用聚苯板，SBS防水层。窗户采用断桥铝平开窗、双层玻璃。</w:t>
            </w:r>
          </w:p>
          <w:p w14:paraId="4428681C">
            <w:pPr>
              <w:keepNext w:val="0"/>
              <w:keepLines w:val="0"/>
              <w:pageBreakBefore w:val="0"/>
              <w:widowControl w:val="0"/>
              <w:numPr>
                <w:ilvl w:val="0"/>
                <w:numId w:val="0"/>
              </w:numPr>
              <w:kinsoku/>
              <w:wordWrap/>
              <w:overflowPunct/>
              <w:topLinePunct w:val="0"/>
              <w:bidi w:val="0"/>
              <w:ind w:firstLine="480" w:firstLineChars="200"/>
              <w:textAlignment w:val="auto"/>
              <w:rPr>
                <w:rFonts w:hint="eastAsia"/>
                <w:lang w:val="en-US" w:eastAsia="zh-CN"/>
              </w:rPr>
            </w:pPr>
            <w:r>
              <w:rPr>
                <w:rFonts w:hint="eastAsia"/>
                <w:lang w:val="en-US" w:eastAsia="zh-CN"/>
              </w:rPr>
              <w:t>（3）转载点：地上部分用现浇钢筋混凝土框架结构，有地下部分则采用筏板基础，无地下部分采用现浇钢筋混凝土独立基础。外墙采用加气混凝土砌块围护，屋面保温采用聚苯板，SBS防水层。窗户采用断桥铝合金平开窗、双层玻璃。</w:t>
            </w:r>
          </w:p>
          <w:p w14:paraId="4186B84D">
            <w:pPr>
              <w:keepNext w:val="0"/>
              <w:keepLines w:val="0"/>
              <w:pageBreakBefore w:val="0"/>
              <w:widowControl w:val="0"/>
              <w:numPr>
                <w:ilvl w:val="0"/>
                <w:numId w:val="0"/>
              </w:numPr>
              <w:kinsoku/>
              <w:wordWrap/>
              <w:overflowPunct/>
              <w:topLinePunct w:val="0"/>
              <w:bidi w:val="0"/>
              <w:ind w:firstLine="480" w:firstLineChars="200"/>
              <w:textAlignment w:val="auto"/>
              <w:rPr>
                <w:rFonts w:hint="default"/>
                <w:lang w:val="en-US" w:eastAsia="zh-CN"/>
              </w:rPr>
            </w:pPr>
            <w:r>
              <w:rPr>
                <w:rFonts w:hint="eastAsia"/>
                <w:lang w:val="en-US" w:eastAsia="zh-CN"/>
              </w:rPr>
              <w:t>（4）河道跨越工程：本项目输煤廊道工程涉及跨越河流3处，均为跨越塔里克河，廊道施工建设依托《阳霞矿区煤炭洗选及配套公路煤炭运输廊道工程（阳霞矿区煤炭运输廊道及配套附属设施一期工程）》已设计建设的3座桥梁进行廊道建设。</w:t>
            </w:r>
          </w:p>
          <w:p w14:paraId="6CC4D4E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cs="Times New Roman"/>
                <w:b w:val="0"/>
                <w:bCs/>
                <w:color w:val="000000" w:themeColor="text1"/>
                <w:kern w:val="0"/>
                <w:highlight w:val="none"/>
                <w:lang w:val="en-US" w:eastAsia="zh-CN"/>
                <w14:textFill>
                  <w14:solidFill>
                    <w14:schemeClr w14:val="tx1"/>
                  </w14:solidFill>
                </w14:textFill>
              </w:rPr>
            </w:pPr>
            <w:r>
              <w:rPr>
                <w:rFonts w:hint="eastAsia" w:cs="Times New Roman"/>
                <w:b w:val="0"/>
                <w:bCs/>
                <w:color w:val="000000" w:themeColor="text1"/>
                <w:kern w:val="0"/>
                <w:highlight w:val="none"/>
                <w:lang w:val="en-US" w:eastAsia="zh-CN"/>
                <w14:textFill>
                  <w14:solidFill>
                    <w14:schemeClr w14:val="tx1"/>
                  </w14:solidFill>
                </w14:textFill>
              </w:rPr>
              <w:t>桥梁宽度：</w:t>
            </w:r>
          </w:p>
          <w:p w14:paraId="76AAFD4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cs="Times New Roman"/>
                <w:b w:val="0"/>
                <w:bCs/>
                <w:color w:val="000000" w:themeColor="text1"/>
                <w:kern w:val="0"/>
                <w:highlight w:val="none"/>
                <w:lang w:val="en-US" w:eastAsia="zh-CN"/>
                <w14:textFill>
                  <w14:solidFill>
                    <w14:schemeClr w14:val="tx1"/>
                  </w14:solidFill>
                </w14:textFill>
              </w:rPr>
            </w:pPr>
            <w:r>
              <w:rPr>
                <w:rFonts w:hint="eastAsia" w:cs="Times New Roman"/>
                <w:b w:val="0"/>
                <w:bCs/>
                <w:color w:val="000000" w:themeColor="text1"/>
                <w:kern w:val="0"/>
                <w:highlight w:val="none"/>
                <w:lang w:val="en-US" w:eastAsia="zh-CN"/>
                <w14:textFill>
                  <w14:solidFill>
                    <w14:schemeClr w14:val="tx1"/>
                  </w14:solidFill>
                </w14:textFill>
              </w:rPr>
              <w:t>①0.5m边护栏+3.25m管带机+0.5m中护栏+7.25m行车道+0.5m边护栏=12m。</w:t>
            </w:r>
          </w:p>
          <w:p w14:paraId="06F6CD9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color w:val="000000" w:themeColor="text1"/>
                <w:kern w:val="0"/>
                <w:highlight w:val="none"/>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3060065" cy="2190750"/>
                  <wp:effectExtent l="0" t="0" r="6985"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1"/>
                          <a:stretch>
                            <a:fillRect/>
                          </a:stretch>
                        </pic:blipFill>
                        <pic:spPr>
                          <a:xfrm>
                            <a:off x="0" y="0"/>
                            <a:ext cx="3060065" cy="2190750"/>
                          </a:xfrm>
                          <a:prstGeom prst="rect">
                            <a:avLst/>
                          </a:prstGeom>
                          <a:noFill/>
                          <a:ln>
                            <a:noFill/>
                          </a:ln>
                        </pic:spPr>
                      </pic:pic>
                    </a:graphicData>
                  </a:graphic>
                </wp:inline>
              </w:drawing>
            </w:r>
          </w:p>
          <w:p w14:paraId="214199C6">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图2</w:t>
            </w:r>
            <w:r>
              <w:rPr>
                <w:rFonts w:hint="eastAsia" w:cs="Times New Roman"/>
                <w:b/>
                <w:bCs/>
                <w:color w:val="000000" w:themeColor="text1"/>
                <w:sz w:val="21"/>
                <w:szCs w:val="21"/>
                <w:highlight w:val="none"/>
                <w:lang w:val="en-US" w:eastAsia="zh-CN"/>
                <w14:textFill>
                  <w14:solidFill>
                    <w14:schemeClr w14:val="tx1"/>
                  </w14:solidFill>
                </w14:textFill>
              </w:rPr>
              <w:t xml:space="preserve">-1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施工横断面图</w:t>
            </w:r>
          </w:p>
          <w:p w14:paraId="3D1F3D78">
            <w:pPr>
              <w:pStyle w:val="3"/>
              <w:keepNext w:val="0"/>
              <w:keepLines w:val="0"/>
              <w:pageBreakBefore w:val="0"/>
              <w:widowControl w:val="0"/>
              <w:numPr>
                <w:ilvl w:val="0"/>
                <w:numId w:val="0"/>
              </w:numPr>
              <w:kinsoku/>
              <w:wordWrap/>
              <w:overflowPunct/>
              <w:topLinePunct w:val="0"/>
              <w:bidi w:val="0"/>
              <w:ind w:leftChars="0" w:firstLine="480" w:firstLineChars="200"/>
              <w:jc w:val="left"/>
              <w:textAlignment w:val="auto"/>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（5）高速公路跨越工程：本项目设计穿越吐和高速处，穿高速公路下原有排水涵洞进入高速路南，折向东行</w:t>
            </w:r>
            <w:r>
              <w:rPr>
                <w:rFonts w:hint="eastAsia" w:cs="Times New Roman"/>
                <w:b w:val="0"/>
                <w:bCs w:val="0"/>
                <w:kern w:val="2"/>
                <w:sz w:val="24"/>
                <w:szCs w:val="24"/>
                <w:lang w:val="en-US" w:eastAsia="zh-CN" w:bidi="ar-SA"/>
              </w:rPr>
              <w:t>进入</w:t>
            </w:r>
            <w:r>
              <w:rPr>
                <w:rFonts w:hint="eastAsia" w:ascii="Times New Roman" w:hAnsi="Times New Roman" w:eastAsia="宋体" w:cs="Times New Roman"/>
                <w:b w:val="0"/>
                <w:bCs w:val="0"/>
                <w:kern w:val="2"/>
                <w:sz w:val="24"/>
                <w:szCs w:val="24"/>
                <w:lang w:val="en-US" w:eastAsia="zh-CN" w:bidi="ar-SA"/>
              </w:rPr>
              <w:t>阳霞发运场地内，目前企业正在申请取得交通主管部门同意，待取得交通主管部门同意后方进行跨越工程施工。</w:t>
            </w:r>
          </w:p>
          <w:p w14:paraId="50333D11">
            <w:pPr>
              <w:pStyle w:val="3"/>
              <w:keepNext w:val="0"/>
              <w:keepLines w:val="0"/>
              <w:pageBreakBefore w:val="0"/>
              <w:widowControl w:val="0"/>
              <w:numPr>
                <w:ilvl w:val="0"/>
                <w:numId w:val="0"/>
              </w:numPr>
              <w:kinsoku/>
              <w:wordWrap/>
              <w:overflowPunct/>
              <w:topLinePunct w:val="0"/>
              <w:bidi w:val="0"/>
              <w:ind w:leftChars="0"/>
              <w:jc w:val="left"/>
              <w:textAlignment w:val="auto"/>
              <w:rPr>
                <w:rFonts w:hint="default" w:ascii="Times New Roman" w:hAnsi="Times New Roman" w:eastAsia="宋体" w:cs="Times New Roman"/>
                <w:b w:val="0"/>
                <w:bCs w:val="0"/>
                <w:kern w:val="2"/>
                <w:sz w:val="24"/>
                <w:szCs w:val="24"/>
                <w:lang w:val="en-US" w:eastAsia="zh-CN" w:bidi="ar-SA"/>
              </w:rPr>
            </w:pPr>
            <w:r>
              <w:rPr>
                <w:rFonts w:hint="eastAsia"/>
                <w:lang w:val="en-US" w:eastAsia="zh-CN"/>
              </w:rPr>
              <w:t>3</w:t>
            </w:r>
            <w:r>
              <w:rPr>
                <w:rFonts w:hint="eastAsia" w:ascii="Times New Roman" w:hAnsi="Times New Roman" w:eastAsia="宋体" w:cs="Times New Roman"/>
                <w:b/>
                <w:bCs/>
                <w:kern w:val="2"/>
                <w:sz w:val="24"/>
                <w:szCs w:val="24"/>
                <w:lang w:val="en-US" w:eastAsia="zh-CN" w:bidi="ar-SA"/>
              </w:rPr>
              <w:t>.主要用地指标</w:t>
            </w:r>
          </w:p>
          <w:p w14:paraId="78C5A77C">
            <w:pPr>
              <w:pStyle w:val="3"/>
              <w:keepNext w:val="0"/>
              <w:keepLines w:val="0"/>
              <w:pageBreakBefore w:val="0"/>
              <w:widowControl w:val="0"/>
              <w:numPr>
                <w:ilvl w:val="0"/>
                <w:numId w:val="0"/>
              </w:numPr>
              <w:kinsoku/>
              <w:wordWrap/>
              <w:overflowPunct/>
              <w:topLinePunct w:val="0"/>
              <w:bidi w:val="0"/>
              <w:ind w:leftChars="0" w:firstLine="480" w:firstLineChars="200"/>
              <w:jc w:val="left"/>
              <w:textAlignment w:val="auto"/>
              <w:rPr>
                <w:rFonts w:hint="eastAsia" w:ascii="Times New Roman" w:hAnsi="Times New Roman" w:eastAsia="宋体" w:cs="Times New Roman"/>
                <w:b/>
                <w:bCs w:val="0"/>
                <w:kern w:val="21"/>
                <w:sz w:val="21"/>
                <w:szCs w:val="20"/>
                <w:lang w:val="en-US" w:eastAsia="zh-CN" w:bidi="ar-SA"/>
              </w:rPr>
            </w:pPr>
            <w:r>
              <w:rPr>
                <w:rFonts w:hint="eastAsia" w:cs="Times New Roman"/>
                <w:b w:val="0"/>
                <w:bCs w:val="0"/>
                <w:kern w:val="2"/>
                <w:sz w:val="24"/>
                <w:szCs w:val="24"/>
                <w:lang w:val="en-US" w:eastAsia="zh-CN" w:bidi="ar-SA"/>
              </w:rPr>
              <w:t>主要工程占地情况见下表2-2。</w:t>
            </w:r>
          </w:p>
          <w:p w14:paraId="040FFE48">
            <w:pPr>
              <w:pStyle w:val="3"/>
              <w:keepNext w:val="0"/>
              <w:keepLines w:val="0"/>
              <w:pageBreakBefore w:val="0"/>
              <w:widowControl w:val="0"/>
              <w:numPr>
                <w:ilvl w:val="0"/>
                <w:numId w:val="0"/>
              </w:numPr>
              <w:kinsoku/>
              <w:wordWrap/>
              <w:overflowPunct/>
              <w:topLinePunct w:val="0"/>
              <w:bidi w:val="0"/>
              <w:spacing w:line="240" w:lineRule="auto"/>
              <w:ind w:leftChars="0"/>
              <w:jc w:val="center"/>
              <w:textAlignment w:val="auto"/>
              <w:rPr>
                <w:rFonts w:hint="default" w:ascii="Times New Roman" w:hAnsi="Times New Roman" w:eastAsia="宋体" w:cs="Times New Roman"/>
                <w:b/>
                <w:bCs w:val="0"/>
                <w:kern w:val="21"/>
                <w:sz w:val="21"/>
                <w:szCs w:val="20"/>
                <w:lang w:val="en-US" w:eastAsia="zh-CN" w:bidi="ar-SA"/>
              </w:rPr>
            </w:pPr>
            <w:r>
              <w:rPr>
                <w:rFonts w:hint="eastAsia" w:ascii="Times New Roman" w:hAnsi="Times New Roman" w:eastAsia="宋体" w:cs="Times New Roman"/>
                <w:b/>
                <w:bCs w:val="0"/>
                <w:kern w:val="21"/>
                <w:sz w:val="21"/>
                <w:szCs w:val="20"/>
                <w:lang w:val="en-US" w:eastAsia="zh-CN" w:bidi="ar-SA"/>
              </w:rPr>
              <w:t>表2-2   用地指标统计表</w:t>
            </w:r>
          </w:p>
          <w:tbl>
            <w:tblPr>
              <w:tblStyle w:val="43"/>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739"/>
              <w:gridCol w:w="768"/>
              <w:gridCol w:w="920"/>
              <w:gridCol w:w="1793"/>
            </w:tblGrid>
            <w:tr w14:paraId="3C464B3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6B388CE3">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val="0"/>
                      <w:color w:val="000000"/>
                      <w:lang w:val="en-US" w:eastAsia="zh-CN"/>
                    </w:rPr>
                  </w:pPr>
                  <w:r>
                    <w:rPr>
                      <w:rFonts w:hint="eastAsia"/>
                      <w:b/>
                      <w:bCs w:val="0"/>
                      <w:color w:val="000000"/>
                      <w:lang w:val="en-US" w:eastAsia="zh-CN"/>
                    </w:rPr>
                    <w:t>序号</w:t>
                  </w:r>
                </w:p>
              </w:tc>
              <w:tc>
                <w:tcPr>
                  <w:tcW w:w="2361" w:type="pct"/>
                  <w:tcBorders>
                    <w:tl2br w:val="nil"/>
                    <w:tr2bl w:val="nil"/>
                  </w:tcBorders>
                  <w:vAlign w:val="center"/>
                </w:tcPr>
                <w:p w14:paraId="7A9D8850">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val="0"/>
                      <w:color w:val="000000"/>
                      <w:lang w:val="en-US" w:eastAsia="zh-CN"/>
                    </w:rPr>
                  </w:pPr>
                  <w:r>
                    <w:rPr>
                      <w:rFonts w:hint="eastAsia"/>
                      <w:b/>
                      <w:bCs w:val="0"/>
                      <w:color w:val="000000"/>
                      <w:lang w:val="en-US" w:eastAsia="zh-CN"/>
                    </w:rPr>
                    <w:t>工程</w:t>
                  </w:r>
                </w:p>
              </w:tc>
              <w:tc>
                <w:tcPr>
                  <w:tcW w:w="485" w:type="pct"/>
                  <w:tcBorders>
                    <w:tl2br w:val="nil"/>
                    <w:tr2bl w:val="nil"/>
                  </w:tcBorders>
                  <w:vAlign w:val="center"/>
                </w:tcPr>
                <w:p w14:paraId="5B33B7BB">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val="0"/>
                      <w:color w:val="000000"/>
                      <w:lang w:val="en-US" w:eastAsia="zh-CN"/>
                    </w:rPr>
                  </w:pPr>
                  <w:r>
                    <w:rPr>
                      <w:rFonts w:hint="eastAsia"/>
                      <w:b/>
                      <w:bCs w:val="0"/>
                      <w:color w:val="000000"/>
                      <w:lang w:val="en-US" w:eastAsia="zh-CN"/>
                    </w:rPr>
                    <w:t>单位</w:t>
                  </w:r>
                </w:p>
              </w:tc>
              <w:tc>
                <w:tcPr>
                  <w:tcW w:w="581" w:type="pct"/>
                  <w:tcBorders>
                    <w:tl2br w:val="nil"/>
                    <w:tr2bl w:val="nil"/>
                  </w:tcBorders>
                  <w:vAlign w:val="center"/>
                </w:tcPr>
                <w:p w14:paraId="08E37DB4">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val="0"/>
                      <w:color w:val="000000"/>
                      <w:lang w:val="en-US" w:eastAsia="zh-CN"/>
                    </w:rPr>
                  </w:pPr>
                  <w:r>
                    <w:rPr>
                      <w:rFonts w:hint="eastAsia"/>
                      <w:b/>
                      <w:bCs w:val="0"/>
                      <w:color w:val="000000"/>
                      <w:lang w:val="en-US" w:eastAsia="zh-CN"/>
                    </w:rPr>
                    <w:t>数量</w:t>
                  </w:r>
                </w:p>
              </w:tc>
              <w:tc>
                <w:tcPr>
                  <w:tcW w:w="1132" w:type="pct"/>
                  <w:tcBorders>
                    <w:tl2br w:val="nil"/>
                    <w:tr2bl w:val="nil"/>
                  </w:tcBorders>
                  <w:vAlign w:val="center"/>
                </w:tcPr>
                <w:p w14:paraId="2BFB2D58">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val="0"/>
                      <w:color w:val="000000"/>
                      <w:lang w:val="en-US" w:eastAsia="zh-CN"/>
                    </w:rPr>
                  </w:pPr>
                  <w:r>
                    <w:rPr>
                      <w:rFonts w:hint="eastAsia"/>
                      <w:b/>
                      <w:bCs w:val="0"/>
                      <w:color w:val="000000"/>
                      <w:lang w:val="en-US" w:eastAsia="zh-CN"/>
                    </w:rPr>
                    <w:t>占地类型</w:t>
                  </w:r>
                </w:p>
              </w:tc>
            </w:tr>
            <w:tr w14:paraId="7338C87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72AA0962">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1</w:t>
                  </w:r>
                </w:p>
              </w:tc>
              <w:tc>
                <w:tcPr>
                  <w:tcW w:w="2361" w:type="pct"/>
                  <w:tcBorders>
                    <w:tl2br w:val="nil"/>
                    <w:tr2bl w:val="nil"/>
                  </w:tcBorders>
                  <w:vAlign w:val="center"/>
                </w:tcPr>
                <w:p w14:paraId="1AF83813">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东辰煤矿至煤炭仓储加工基地廊道</w:t>
                  </w:r>
                </w:p>
              </w:tc>
              <w:tc>
                <w:tcPr>
                  <w:tcW w:w="485" w:type="pct"/>
                  <w:tcBorders>
                    <w:tl2br w:val="nil"/>
                    <w:tr2bl w:val="nil"/>
                  </w:tcBorders>
                  <w:vAlign w:val="center"/>
                </w:tcPr>
                <w:p w14:paraId="212B9C8B">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m</w:t>
                  </w:r>
                  <w:r>
                    <w:rPr>
                      <w:rFonts w:hint="eastAsia"/>
                      <w:b w:val="0"/>
                      <w:bCs/>
                      <w:color w:val="000000"/>
                      <w:vertAlign w:val="superscript"/>
                      <w:lang w:val="en-US" w:eastAsia="zh-CN"/>
                    </w:rPr>
                    <w:t>2</w:t>
                  </w:r>
                </w:p>
              </w:tc>
              <w:tc>
                <w:tcPr>
                  <w:tcW w:w="581" w:type="pct"/>
                  <w:tcBorders>
                    <w:tl2br w:val="nil"/>
                    <w:tr2bl w:val="nil"/>
                  </w:tcBorders>
                  <w:vAlign w:val="center"/>
                </w:tcPr>
                <w:p w14:paraId="21A650D3">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46830</w:t>
                  </w:r>
                </w:p>
              </w:tc>
              <w:tc>
                <w:tcPr>
                  <w:tcW w:w="1132" w:type="pct"/>
                  <w:tcBorders>
                    <w:tl2br w:val="nil"/>
                    <w:tr2bl w:val="nil"/>
                  </w:tcBorders>
                  <w:vAlign w:val="center"/>
                </w:tcPr>
                <w:p w14:paraId="2943E609">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低密度草地、裸岩石质地、戈壁</w:t>
                  </w:r>
                </w:p>
              </w:tc>
            </w:tr>
            <w:tr w14:paraId="705836B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7204B7ED">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2</w:t>
                  </w:r>
                </w:p>
              </w:tc>
              <w:tc>
                <w:tcPr>
                  <w:tcW w:w="2361" w:type="pct"/>
                  <w:tcBorders>
                    <w:tl2br w:val="nil"/>
                    <w:tr2bl w:val="nil"/>
                  </w:tcBorders>
                  <w:vAlign w:val="center"/>
                </w:tcPr>
                <w:p w14:paraId="2986BEFB">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eastAsia"/>
                      <w:b w:val="0"/>
                      <w:bCs/>
                      <w:color w:val="000000"/>
                      <w:lang w:val="en-US" w:eastAsia="zh-CN"/>
                    </w:rPr>
                  </w:pPr>
                  <w:r>
                    <w:rPr>
                      <w:rFonts w:hint="eastAsia"/>
                      <w:b w:val="0"/>
                      <w:bCs/>
                      <w:color w:val="000000"/>
                      <w:lang w:val="en-US" w:eastAsia="zh-CN"/>
                    </w:rPr>
                    <w:t>T2转运站</w:t>
                  </w:r>
                </w:p>
              </w:tc>
              <w:tc>
                <w:tcPr>
                  <w:tcW w:w="485" w:type="pct"/>
                  <w:tcBorders>
                    <w:tl2br w:val="nil"/>
                    <w:tr2bl w:val="nil"/>
                  </w:tcBorders>
                  <w:vAlign w:val="center"/>
                </w:tcPr>
                <w:p w14:paraId="329D2164">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eastAsia"/>
                      <w:b w:val="0"/>
                      <w:bCs/>
                      <w:color w:val="000000"/>
                      <w:lang w:val="en-US" w:eastAsia="zh-CN"/>
                    </w:rPr>
                  </w:pPr>
                  <w:r>
                    <w:rPr>
                      <w:rFonts w:hint="eastAsia"/>
                      <w:b w:val="0"/>
                      <w:bCs/>
                      <w:color w:val="000000"/>
                      <w:lang w:val="en-US" w:eastAsia="zh-CN"/>
                    </w:rPr>
                    <w:t>m</w:t>
                  </w:r>
                  <w:r>
                    <w:rPr>
                      <w:rFonts w:hint="eastAsia"/>
                      <w:b w:val="0"/>
                      <w:bCs/>
                      <w:color w:val="000000"/>
                      <w:vertAlign w:val="superscript"/>
                      <w:lang w:val="en-US" w:eastAsia="zh-CN"/>
                    </w:rPr>
                    <w:t>2</w:t>
                  </w:r>
                </w:p>
              </w:tc>
              <w:tc>
                <w:tcPr>
                  <w:tcW w:w="581" w:type="pct"/>
                  <w:tcBorders>
                    <w:tl2br w:val="nil"/>
                    <w:tr2bl w:val="nil"/>
                  </w:tcBorders>
                  <w:vAlign w:val="center"/>
                </w:tcPr>
                <w:p w14:paraId="14F0D3CF">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17660</w:t>
                  </w:r>
                </w:p>
              </w:tc>
              <w:tc>
                <w:tcPr>
                  <w:tcW w:w="1132" w:type="pct"/>
                  <w:tcBorders>
                    <w:tl2br w:val="nil"/>
                    <w:tr2bl w:val="nil"/>
                  </w:tcBorders>
                  <w:vAlign w:val="center"/>
                </w:tcPr>
                <w:p w14:paraId="0972000C">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戈壁</w:t>
                  </w:r>
                </w:p>
              </w:tc>
            </w:tr>
            <w:tr w14:paraId="748CB26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38C073A5">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3</w:t>
                  </w:r>
                </w:p>
              </w:tc>
              <w:tc>
                <w:tcPr>
                  <w:tcW w:w="2361" w:type="pct"/>
                  <w:tcBorders>
                    <w:tl2br w:val="nil"/>
                    <w:tr2bl w:val="nil"/>
                  </w:tcBorders>
                  <w:vAlign w:val="center"/>
                </w:tcPr>
                <w:p w14:paraId="7E0B8C0D">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煤炭仓储加工基地至阳霞发运站廊道</w:t>
                  </w:r>
                </w:p>
              </w:tc>
              <w:tc>
                <w:tcPr>
                  <w:tcW w:w="485" w:type="pct"/>
                  <w:tcBorders>
                    <w:tl2br w:val="nil"/>
                    <w:tr2bl w:val="nil"/>
                  </w:tcBorders>
                  <w:vAlign w:val="center"/>
                </w:tcPr>
                <w:p w14:paraId="7453AC57">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val="0"/>
                      <w:color w:val="000000"/>
                      <w:lang w:val="en-US" w:eastAsia="zh-CN"/>
                    </w:rPr>
                  </w:pPr>
                  <w:r>
                    <w:rPr>
                      <w:rFonts w:hint="eastAsia"/>
                      <w:b w:val="0"/>
                      <w:bCs/>
                      <w:color w:val="000000"/>
                      <w:lang w:val="en-US" w:eastAsia="zh-CN"/>
                    </w:rPr>
                    <w:t>m</w:t>
                  </w:r>
                  <w:r>
                    <w:rPr>
                      <w:rFonts w:hint="eastAsia"/>
                      <w:b w:val="0"/>
                      <w:bCs/>
                      <w:color w:val="000000"/>
                      <w:vertAlign w:val="superscript"/>
                      <w:lang w:val="en-US" w:eastAsia="zh-CN"/>
                    </w:rPr>
                    <w:t>2</w:t>
                  </w:r>
                </w:p>
              </w:tc>
              <w:tc>
                <w:tcPr>
                  <w:tcW w:w="581" w:type="pct"/>
                  <w:tcBorders>
                    <w:tl2br w:val="nil"/>
                    <w:tr2bl w:val="nil"/>
                  </w:tcBorders>
                  <w:vAlign w:val="center"/>
                </w:tcPr>
                <w:p w14:paraId="0BCA17B6">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54520</w:t>
                  </w:r>
                </w:p>
              </w:tc>
              <w:tc>
                <w:tcPr>
                  <w:tcW w:w="1132" w:type="pct"/>
                  <w:tcBorders>
                    <w:tl2br w:val="nil"/>
                    <w:tr2bl w:val="nil"/>
                  </w:tcBorders>
                  <w:vAlign w:val="center"/>
                </w:tcPr>
                <w:p w14:paraId="15691C97">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戈壁</w:t>
                  </w:r>
                </w:p>
              </w:tc>
            </w:tr>
            <w:tr w14:paraId="3300073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2C06D8C4">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4</w:t>
                  </w:r>
                </w:p>
              </w:tc>
              <w:tc>
                <w:tcPr>
                  <w:tcW w:w="2361" w:type="pct"/>
                  <w:tcBorders>
                    <w:tl2br w:val="nil"/>
                    <w:tr2bl w:val="nil"/>
                  </w:tcBorders>
                  <w:vAlign w:val="center"/>
                </w:tcPr>
                <w:p w14:paraId="75115DAC">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T4转运站</w:t>
                  </w:r>
                </w:p>
              </w:tc>
              <w:tc>
                <w:tcPr>
                  <w:tcW w:w="485" w:type="pct"/>
                  <w:tcBorders>
                    <w:tl2br w:val="nil"/>
                    <w:tr2bl w:val="nil"/>
                  </w:tcBorders>
                  <w:vAlign w:val="center"/>
                </w:tcPr>
                <w:p w14:paraId="451EC76B">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val="0"/>
                      <w:color w:val="000000"/>
                      <w:lang w:val="en-US" w:eastAsia="zh-CN"/>
                    </w:rPr>
                  </w:pPr>
                  <w:r>
                    <w:rPr>
                      <w:rFonts w:hint="eastAsia"/>
                      <w:b w:val="0"/>
                      <w:bCs/>
                      <w:color w:val="000000"/>
                      <w:lang w:val="en-US" w:eastAsia="zh-CN"/>
                    </w:rPr>
                    <w:t>m</w:t>
                  </w:r>
                  <w:r>
                    <w:rPr>
                      <w:rFonts w:hint="eastAsia"/>
                      <w:b w:val="0"/>
                      <w:bCs/>
                      <w:color w:val="000000"/>
                      <w:vertAlign w:val="superscript"/>
                      <w:lang w:val="en-US" w:eastAsia="zh-CN"/>
                    </w:rPr>
                    <w:t>2</w:t>
                  </w:r>
                </w:p>
              </w:tc>
              <w:tc>
                <w:tcPr>
                  <w:tcW w:w="581" w:type="pct"/>
                  <w:tcBorders>
                    <w:tl2br w:val="nil"/>
                    <w:tr2bl w:val="nil"/>
                  </w:tcBorders>
                  <w:vAlign w:val="center"/>
                </w:tcPr>
                <w:p w14:paraId="608D8C84">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70260</w:t>
                  </w:r>
                </w:p>
              </w:tc>
              <w:tc>
                <w:tcPr>
                  <w:tcW w:w="1132" w:type="pct"/>
                  <w:tcBorders>
                    <w:tl2br w:val="nil"/>
                    <w:tr2bl w:val="nil"/>
                  </w:tcBorders>
                  <w:vAlign w:val="center"/>
                </w:tcPr>
                <w:p w14:paraId="31F95839">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戈壁</w:t>
                  </w:r>
                </w:p>
              </w:tc>
            </w:tr>
            <w:tr w14:paraId="3EB64B5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801" w:type="pct"/>
                  <w:gridSpan w:val="2"/>
                  <w:tcBorders>
                    <w:tl2br w:val="nil"/>
                    <w:tr2bl w:val="nil"/>
                  </w:tcBorders>
                  <w:vAlign w:val="center"/>
                </w:tcPr>
                <w:p w14:paraId="29C5D187">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合计</w:t>
                  </w:r>
                </w:p>
              </w:tc>
              <w:tc>
                <w:tcPr>
                  <w:tcW w:w="485" w:type="pct"/>
                  <w:tcBorders>
                    <w:tl2br w:val="nil"/>
                    <w:tr2bl w:val="nil"/>
                  </w:tcBorders>
                  <w:vAlign w:val="center"/>
                </w:tcPr>
                <w:p w14:paraId="4BA0D4B2">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eastAsia"/>
                      <w:b w:val="0"/>
                      <w:bCs/>
                      <w:color w:val="000000"/>
                      <w:lang w:val="en-US" w:eastAsia="zh-CN"/>
                    </w:rPr>
                  </w:pPr>
                  <w:r>
                    <w:rPr>
                      <w:rFonts w:hint="eastAsia"/>
                      <w:b w:val="0"/>
                      <w:bCs/>
                      <w:color w:val="000000"/>
                      <w:lang w:val="en-US" w:eastAsia="zh-CN"/>
                    </w:rPr>
                    <w:t>m</w:t>
                  </w:r>
                  <w:r>
                    <w:rPr>
                      <w:rFonts w:hint="eastAsia"/>
                      <w:b w:val="0"/>
                      <w:bCs/>
                      <w:color w:val="000000"/>
                      <w:vertAlign w:val="superscript"/>
                      <w:lang w:val="en-US" w:eastAsia="zh-CN"/>
                    </w:rPr>
                    <w:t>2</w:t>
                  </w:r>
                </w:p>
              </w:tc>
              <w:tc>
                <w:tcPr>
                  <w:tcW w:w="581" w:type="pct"/>
                  <w:tcBorders>
                    <w:tl2br w:val="nil"/>
                    <w:tr2bl w:val="nil"/>
                  </w:tcBorders>
                  <w:vAlign w:val="center"/>
                </w:tcPr>
                <w:p w14:paraId="43520878">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189270</w:t>
                  </w:r>
                </w:p>
              </w:tc>
              <w:tc>
                <w:tcPr>
                  <w:tcW w:w="1132" w:type="pct"/>
                  <w:tcBorders>
                    <w:tl2br w:val="nil"/>
                    <w:tr2bl w:val="nil"/>
                  </w:tcBorders>
                  <w:vAlign w:val="center"/>
                </w:tcPr>
                <w:p w14:paraId="7431C541">
                  <w:pPr>
                    <w:pStyle w:val="5"/>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000000"/>
                      <w:lang w:val="en-US" w:eastAsia="zh-CN"/>
                    </w:rPr>
                  </w:pPr>
                  <w:r>
                    <w:rPr>
                      <w:rFonts w:hint="eastAsia"/>
                      <w:b w:val="0"/>
                      <w:bCs/>
                      <w:color w:val="000000"/>
                      <w:lang w:val="en-US" w:eastAsia="zh-CN"/>
                    </w:rPr>
                    <w:t>/</w:t>
                  </w:r>
                </w:p>
              </w:tc>
            </w:tr>
          </w:tbl>
          <w:p w14:paraId="1DC2605C">
            <w:pPr>
              <w:pStyle w:val="3"/>
              <w:keepNext w:val="0"/>
              <w:keepLines w:val="0"/>
              <w:pageBreakBefore w:val="0"/>
              <w:widowControl w:val="0"/>
              <w:numPr>
                <w:ilvl w:val="0"/>
                <w:numId w:val="0"/>
              </w:numPr>
              <w:kinsoku/>
              <w:wordWrap/>
              <w:overflowPunct/>
              <w:topLinePunct w:val="0"/>
              <w:bidi w:val="0"/>
              <w:ind w:leftChars="0"/>
              <w:jc w:val="left"/>
              <w:textAlignment w:val="auto"/>
              <w:rPr>
                <w:rFonts w:hint="default"/>
                <w:lang w:val="en-US" w:eastAsia="zh-CN"/>
              </w:rPr>
            </w:pPr>
            <w:r>
              <w:rPr>
                <w:rFonts w:hint="eastAsia"/>
                <w:lang w:val="en-US" w:eastAsia="zh-CN"/>
              </w:rPr>
              <w:t>4.</w:t>
            </w:r>
            <w:r>
              <w:rPr>
                <w:rFonts w:hint="default"/>
                <w:lang w:val="en-US" w:eastAsia="zh-CN"/>
              </w:rPr>
              <w:t>主要设备</w:t>
            </w:r>
          </w:p>
          <w:p w14:paraId="20DA5BDD">
            <w:pPr>
              <w:keepNext w:val="0"/>
              <w:keepLines w:val="0"/>
              <w:pageBreakBefore w:val="0"/>
              <w:widowControl w:val="0"/>
              <w:kinsoku/>
              <w:wordWrap/>
              <w:overflowPunct/>
              <w:topLinePunct w:val="0"/>
              <w:bidi w:val="0"/>
              <w:jc w:val="left"/>
              <w:textAlignment w:val="auto"/>
              <w:rPr>
                <w:rFonts w:hint="default"/>
                <w:lang w:val="en-US" w:eastAsia="zh-CN"/>
              </w:rPr>
            </w:pPr>
            <w:r>
              <w:rPr>
                <w:rFonts w:hint="eastAsia"/>
                <w:lang w:val="en-US" w:eastAsia="zh-CN"/>
              </w:rPr>
              <w:t>本项目建设设备详见下表2-3：</w:t>
            </w:r>
          </w:p>
          <w:p w14:paraId="3D5AC6FE">
            <w:pPr>
              <w:pStyle w:val="13"/>
              <w:keepNext w:val="0"/>
              <w:keepLines w:val="0"/>
              <w:pageBreakBefore w:val="0"/>
              <w:widowControl w:val="0"/>
              <w:kinsoku/>
              <w:wordWrap/>
              <w:overflowPunct/>
              <w:topLinePunct w:val="0"/>
              <w:bidi w:val="0"/>
              <w:jc w:val="center"/>
              <w:textAlignment w:val="auto"/>
              <w:rPr>
                <w:rFonts w:hint="default"/>
                <w:lang w:val="en-US" w:eastAsia="zh-CN"/>
              </w:rPr>
            </w:pPr>
            <w:r>
              <w:rPr>
                <w:rFonts w:hint="default"/>
                <w:lang w:val="en-US" w:eastAsia="zh-CN"/>
              </w:rPr>
              <w:t>表</w:t>
            </w:r>
            <w:r>
              <w:rPr>
                <w:rFonts w:hint="eastAsia"/>
                <w:lang w:val="en-US" w:eastAsia="zh-CN"/>
              </w:rPr>
              <w:t xml:space="preserve">2-3     </w:t>
            </w:r>
            <w:r>
              <w:rPr>
                <w:rFonts w:hint="default"/>
                <w:lang w:val="en-US" w:eastAsia="zh-CN"/>
              </w:rPr>
              <w:t xml:space="preserve"> 主要生产设备</w:t>
            </w:r>
          </w:p>
          <w:tbl>
            <w:tblPr>
              <w:tblStyle w:val="42"/>
              <w:tblW w:w="4998" w:type="pct"/>
              <w:tblInd w:w="0"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99"/>
              <w:gridCol w:w="2431"/>
              <w:gridCol w:w="3509"/>
              <w:gridCol w:w="670"/>
              <w:gridCol w:w="706"/>
            </w:tblGrid>
            <w:tr w14:paraId="2E19FFB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379" w:type="pct"/>
                  <w:vMerge w:val="restart"/>
                  <w:tcBorders>
                    <w:tl2br w:val="nil"/>
                    <w:tr2bl w:val="nil"/>
                  </w:tcBorders>
                  <w:shd w:val="clear" w:color="auto" w:fill="auto"/>
                  <w:vAlign w:val="center"/>
                </w:tcPr>
                <w:p w14:paraId="742884A4">
                  <w:pPr>
                    <w:pStyle w:val="5"/>
                    <w:keepNext w:val="0"/>
                    <w:keepLines w:val="0"/>
                    <w:pageBreakBefore w:val="0"/>
                    <w:widowControl w:val="0"/>
                    <w:kinsoku/>
                    <w:wordWrap/>
                    <w:overflowPunct/>
                    <w:topLinePunct w:val="0"/>
                    <w:bidi w:val="0"/>
                    <w:jc w:val="center"/>
                    <w:textAlignment w:val="auto"/>
                    <w:rPr>
                      <w:rFonts w:hint="eastAsia" w:eastAsia="宋体"/>
                      <w:b/>
                      <w:bCs w:val="0"/>
                      <w:color w:val="000000"/>
                      <w:lang w:val="en-US" w:eastAsia="zh-CN"/>
                    </w:rPr>
                  </w:pPr>
                  <w:r>
                    <w:rPr>
                      <w:rFonts w:hint="eastAsia"/>
                      <w:b/>
                      <w:bCs w:val="0"/>
                      <w:color w:val="000000"/>
                      <w:lang w:val="en-US" w:eastAsia="zh-CN"/>
                    </w:rPr>
                    <w:t>序号</w:t>
                  </w:r>
                </w:p>
              </w:tc>
              <w:tc>
                <w:tcPr>
                  <w:tcW w:w="1535" w:type="pct"/>
                  <w:vMerge w:val="restart"/>
                  <w:tcBorders>
                    <w:tl2br w:val="nil"/>
                    <w:tr2bl w:val="nil"/>
                  </w:tcBorders>
                  <w:shd w:val="clear" w:color="auto" w:fill="auto"/>
                  <w:noWrap/>
                  <w:vAlign w:val="center"/>
                </w:tcPr>
                <w:p w14:paraId="6C0A9EEC">
                  <w:pPr>
                    <w:pStyle w:val="5"/>
                    <w:keepNext w:val="0"/>
                    <w:keepLines w:val="0"/>
                    <w:pageBreakBefore w:val="0"/>
                    <w:widowControl w:val="0"/>
                    <w:kinsoku/>
                    <w:wordWrap/>
                    <w:overflowPunct/>
                    <w:topLinePunct w:val="0"/>
                    <w:bidi w:val="0"/>
                    <w:jc w:val="center"/>
                    <w:textAlignment w:val="auto"/>
                    <w:rPr>
                      <w:rFonts w:hint="eastAsia"/>
                      <w:b/>
                      <w:bCs w:val="0"/>
                      <w:color w:val="000000"/>
                    </w:rPr>
                  </w:pPr>
                  <w:r>
                    <w:rPr>
                      <w:rFonts w:hint="eastAsia"/>
                      <w:b/>
                      <w:bCs w:val="0"/>
                      <w:color w:val="000000"/>
                      <w:lang w:val="en-US" w:eastAsia="zh-CN"/>
                    </w:rPr>
                    <w:t>设 备 名 称</w:t>
                  </w:r>
                </w:p>
              </w:tc>
              <w:tc>
                <w:tcPr>
                  <w:tcW w:w="2216" w:type="pct"/>
                  <w:vMerge w:val="restart"/>
                  <w:tcBorders>
                    <w:tl2br w:val="nil"/>
                    <w:tr2bl w:val="nil"/>
                  </w:tcBorders>
                  <w:shd w:val="clear" w:color="auto" w:fill="auto"/>
                  <w:noWrap/>
                  <w:vAlign w:val="center"/>
                </w:tcPr>
                <w:p w14:paraId="70B91899">
                  <w:pPr>
                    <w:pStyle w:val="5"/>
                    <w:keepNext w:val="0"/>
                    <w:keepLines w:val="0"/>
                    <w:pageBreakBefore w:val="0"/>
                    <w:widowControl w:val="0"/>
                    <w:kinsoku/>
                    <w:wordWrap/>
                    <w:overflowPunct/>
                    <w:topLinePunct w:val="0"/>
                    <w:bidi w:val="0"/>
                    <w:jc w:val="center"/>
                    <w:textAlignment w:val="auto"/>
                    <w:rPr>
                      <w:rFonts w:hint="eastAsia"/>
                      <w:b/>
                      <w:bCs w:val="0"/>
                      <w:color w:val="000000"/>
                    </w:rPr>
                  </w:pPr>
                  <w:r>
                    <w:rPr>
                      <w:rFonts w:hint="eastAsia"/>
                      <w:b/>
                      <w:bCs w:val="0"/>
                      <w:color w:val="000000"/>
                      <w:lang w:val="en-US" w:eastAsia="zh-CN"/>
                    </w:rPr>
                    <w:t>技 术 特 征</w:t>
                  </w:r>
                </w:p>
              </w:tc>
              <w:tc>
                <w:tcPr>
                  <w:tcW w:w="423" w:type="pct"/>
                  <w:vMerge w:val="restart"/>
                  <w:tcBorders>
                    <w:tl2br w:val="nil"/>
                    <w:tr2bl w:val="nil"/>
                  </w:tcBorders>
                  <w:shd w:val="clear" w:color="auto" w:fill="auto"/>
                  <w:noWrap/>
                  <w:vAlign w:val="center"/>
                </w:tcPr>
                <w:p w14:paraId="7BBA92E8">
                  <w:pPr>
                    <w:pStyle w:val="5"/>
                    <w:keepNext w:val="0"/>
                    <w:keepLines w:val="0"/>
                    <w:pageBreakBefore w:val="0"/>
                    <w:widowControl w:val="0"/>
                    <w:kinsoku/>
                    <w:wordWrap/>
                    <w:overflowPunct/>
                    <w:topLinePunct w:val="0"/>
                    <w:bidi w:val="0"/>
                    <w:jc w:val="center"/>
                    <w:textAlignment w:val="auto"/>
                    <w:rPr>
                      <w:rFonts w:hint="eastAsia"/>
                      <w:b/>
                      <w:bCs w:val="0"/>
                      <w:color w:val="000000"/>
                    </w:rPr>
                  </w:pPr>
                  <w:r>
                    <w:rPr>
                      <w:rFonts w:hint="eastAsia"/>
                      <w:b/>
                      <w:bCs w:val="0"/>
                      <w:color w:val="000000"/>
                      <w:lang w:val="en-US" w:eastAsia="zh-CN"/>
                    </w:rPr>
                    <w:t>单位</w:t>
                  </w:r>
                </w:p>
              </w:tc>
              <w:tc>
                <w:tcPr>
                  <w:tcW w:w="444" w:type="pct"/>
                  <w:vMerge w:val="restart"/>
                  <w:tcBorders>
                    <w:tl2br w:val="nil"/>
                    <w:tr2bl w:val="nil"/>
                  </w:tcBorders>
                  <w:shd w:val="clear" w:color="auto" w:fill="auto"/>
                  <w:noWrap/>
                  <w:vAlign w:val="center"/>
                </w:tcPr>
                <w:p w14:paraId="38AED4E4">
                  <w:pPr>
                    <w:pStyle w:val="5"/>
                    <w:keepNext w:val="0"/>
                    <w:keepLines w:val="0"/>
                    <w:pageBreakBefore w:val="0"/>
                    <w:widowControl w:val="0"/>
                    <w:kinsoku/>
                    <w:wordWrap/>
                    <w:overflowPunct/>
                    <w:topLinePunct w:val="0"/>
                    <w:bidi w:val="0"/>
                    <w:jc w:val="center"/>
                    <w:textAlignment w:val="auto"/>
                    <w:rPr>
                      <w:rFonts w:hint="eastAsia" w:eastAsia="宋体"/>
                      <w:b/>
                      <w:bCs w:val="0"/>
                      <w:color w:val="000000"/>
                      <w:lang w:val="en-US" w:eastAsia="zh-CN"/>
                    </w:rPr>
                  </w:pPr>
                  <w:r>
                    <w:rPr>
                      <w:rFonts w:hint="eastAsia"/>
                      <w:b/>
                      <w:bCs w:val="0"/>
                      <w:color w:val="000000"/>
                      <w:lang w:val="en-US" w:eastAsia="zh-CN"/>
                    </w:rPr>
                    <w:t>数量</w:t>
                  </w:r>
                </w:p>
              </w:tc>
            </w:tr>
            <w:tr w14:paraId="2535B9B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379" w:type="pct"/>
                  <w:vMerge w:val="continue"/>
                  <w:tcBorders>
                    <w:tl2br w:val="nil"/>
                    <w:tr2bl w:val="nil"/>
                  </w:tcBorders>
                  <w:shd w:val="clear" w:color="auto" w:fill="auto"/>
                  <w:textDirection w:val="tbRlV"/>
                  <w:vAlign w:val="center"/>
                </w:tcPr>
                <w:p w14:paraId="19184A91">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1535" w:type="pct"/>
                  <w:vMerge w:val="continue"/>
                  <w:tcBorders>
                    <w:tl2br w:val="nil"/>
                    <w:tr2bl w:val="nil"/>
                  </w:tcBorders>
                  <w:shd w:val="clear" w:color="auto" w:fill="auto"/>
                  <w:noWrap/>
                  <w:vAlign w:val="center"/>
                </w:tcPr>
                <w:p w14:paraId="4DD7C865">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2216" w:type="pct"/>
                  <w:vMerge w:val="continue"/>
                  <w:tcBorders>
                    <w:tl2br w:val="nil"/>
                    <w:tr2bl w:val="nil"/>
                  </w:tcBorders>
                  <w:shd w:val="clear" w:color="auto" w:fill="auto"/>
                  <w:noWrap/>
                  <w:vAlign w:val="center"/>
                </w:tcPr>
                <w:p w14:paraId="4152C059">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423" w:type="pct"/>
                  <w:vMerge w:val="continue"/>
                  <w:tcBorders>
                    <w:tl2br w:val="nil"/>
                    <w:tr2bl w:val="nil"/>
                  </w:tcBorders>
                  <w:shd w:val="clear" w:color="auto" w:fill="auto"/>
                  <w:noWrap/>
                  <w:textDirection w:val="tbRlV"/>
                  <w:vAlign w:val="center"/>
                </w:tcPr>
                <w:p w14:paraId="7D22313E">
                  <w:pPr>
                    <w:pStyle w:val="5"/>
                    <w:keepNext w:val="0"/>
                    <w:keepLines w:val="0"/>
                    <w:pageBreakBefore w:val="0"/>
                    <w:widowControl w:val="0"/>
                    <w:kinsoku/>
                    <w:wordWrap/>
                    <w:overflowPunct/>
                    <w:topLinePunct w:val="0"/>
                    <w:bidi w:val="0"/>
                    <w:jc w:val="center"/>
                    <w:textAlignment w:val="auto"/>
                    <w:rPr>
                      <w:rFonts w:hint="eastAsia"/>
                      <w:b w:val="0"/>
                      <w:color w:val="000000"/>
                    </w:rPr>
                  </w:pPr>
                </w:p>
              </w:tc>
              <w:tc>
                <w:tcPr>
                  <w:tcW w:w="444" w:type="pct"/>
                  <w:vMerge w:val="continue"/>
                  <w:tcBorders>
                    <w:tl2br w:val="nil"/>
                    <w:tr2bl w:val="nil"/>
                  </w:tcBorders>
                  <w:shd w:val="clear" w:color="auto" w:fill="auto"/>
                  <w:noWrap/>
                  <w:textDirection w:val="tbRlV"/>
                  <w:vAlign w:val="center"/>
                </w:tcPr>
                <w:p w14:paraId="6BCE369D">
                  <w:pPr>
                    <w:pStyle w:val="5"/>
                    <w:keepNext w:val="0"/>
                    <w:keepLines w:val="0"/>
                    <w:pageBreakBefore w:val="0"/>
                    <w:widowControl w:val="0"/>
                    <w:kinsoku/>
                    <w:wordWrap/>
                    <w:overflowPunct/>
                    <w:topLinePunct w:val="0"/>
                    <w:bidi w:val="0"/>
                    <w:jc w:val="center"/>
                    <w:textAlignment w:val="auto"/>
                    <w:rPr>
                      <w:rFonts w:hint="eastAsia"/>
                      <w:b w:val="0"/>
                      <w:color w:val="000000"/>
                    </w:rPr>
                  </w:pPr>
                </w:p>
              </w:tc>
            </w:tr>
            <w:tr w14:paraId="3C9324C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9" w:type="pct"/>
                  <w:tcBorders>
                    <w:tl2br w:val="nil"/>
                    <w:tr2bl w:val="nil"/>
                  </w:tcBorders>
                  <w:shd w:val="clear" w:color="auto" w:fill="auto"/>
                  <w:noWrap/>
                  <w:vAlign w:val="center"/>
                </w:tcPr>
                <w:p w14:paraId="0B41DFC0">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一</w:t>
                  </w:r>
                </w:p>
              </w:tc>
              <w:tc>
                <w:tcPr>
                  <w:tcW w:w="4620" w:type="pct"/>
                  <w:gridSpan w:val="4"/>
                  <w:tcBorders>
                    <w:tl2br w:val="nil"/>
                    <w:tr2bl w:val="nil"/>
                  </w:tcBorders>
                  <w:shd w:val="clear" w:color="auto" w:fill="auto"/>
                  <w:noWrap/>
                  <w:vAlign w:val="center"/>
                </w:tcPr>
                <w:p w14:paraId="725A1ADB">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煤炭仓储加工基地</w:t>
                  </w:r>
                </w:p>
              </w:tc>
            </w:tr>
            <w:tr w14:paraId="15431BB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6A5E0FD9">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1</w:t>
                  </w:r>
                </w:p>
              </w:tc>
              <w:tc>
                <w:tcPr>
                  <w:tcW w:w="1535" w:type="pct"/>
                  <w:tcBorders>
                    <w:tl2br w:val="nil"/>
                    <w:tr2bl w:val="nil"/>
                  </w:tcBorders>
                  <w:shd w:val="clear" w:color="auto" w:fill="auto"/>
                  <w:noWrap/>
                  <w:vAlign w:val="center"/>
                </w:tcPr>
                <w:p w14:paraId="68876905">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2101原煤1#入厂胶带机</w:t>
                  </w:r>
                </w:p>
              </w:tc>
              <w:tc>
                <w:tcPr>
                  <w:tcW w:w="2216" w:type="pct"/>
                  <w:tcBorders>
                    <w:tl2br w:val="nil"/>
                    <w:tr2bl w:val="nil"/>
                  </w:tcBorders>
                  <w:shd w:val="clear" w:color="auto" w:fill="auto"/>
                  <w:noWrap/>
                  <w:vAlign w:val="center"/>
                </w:tcPr>
                <w:p w14:paraId="287B7B81">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B=1400mm，Q=1500t/h，α=0-13.573°   L=62.885m   V=3.15m/s</w:t>
                  </w:r>
                </w:p>
              </w:tc>
              <w:tc>
                <w:tcPr>
                  <w:tcW w:w="423" w:type="pct"/>
                  <w:tcBorders>
                    <w:tl2br w:val="nil"/>
                    <w:tr2bl w:val="nil"/>
                  </w:tcBorders>
                  <w:shd w:val="clear" w:color="auto" w:fill="auto"/>
                  <w:noWrap/>
                  <w:vAlign w:val="center"/>
                </w:tcPr>
                <w:p w14:paraId="52FEA554">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09F59386">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004C430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A777618">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2</w:t>
                  </w:r>
                </w:p>
              </w:tc>
              <w:tc>
                <w:tcPr>
                  <w:tcW w:w="1535" w:type="pct"/>
                  <w:tcBorders>
                    <w:tl2br w:val="nil"/>
                    <w:tr2bl w:val="nil"/>
                  </w:tcBorders>
                  <w:shd w:val="clear" w:color="auto" w:fill="auto"/>
                  <w:noWrap/>
                  <w:vAlign w:val="center"/>
                </w:tcPr>
                <w:p w14:paraId="195F3F19">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2102原煤2#入厂胶带机</w:t>
                  </w:r>
                </w:p>
              </w:tc>
              <w:tc>
                <w:tcPr>
                  <w:tcW w:w="2216" w:type="pct"/>
                  <w:tcBorders>
                    <w:tl2br w:val="nil"/>
                    <w:tr2bl w:val="nil"/>
                  </w:tcBorders>
                  <w:shd w:val="clear" w:color="auto" w:fill="auto"/>
                  <w:noWrap/>
                  <w:vAlign w:val="center"/>
                </w:tcPr>
                <w:p w14:paraId="78D0C1F9">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B=1400mm，Q=1500t/h，α=0-13.573°   L=62.885m     V=3.15m/s</w:t>
                  </w:r>
                </w:p>
              </w:tc>
              <w:tc>
                <w:tcPr>
                  <w:tcW w:w="423" w:type="pct"/>
                  <w:tcBorders>
                    <w:tl2br w:val="nil"/>
                    <w:tr2bl w:val="nil"/>
                  </w:tcBorders>
                  <w:shd w:val="clear" w:color="auto" w:fill="auto"/>
                  <w:noWrap/>
                  <w:vAlign w:val="center"/>
                </w:tcPr>
                <w:p w14:paraId="6CF67335">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5780DEB9">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56F9200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DFEA050">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3</w:t>
                  </w:r>
                </w:p>
              </w:tc>
              <w:tc>
                <w:tcPr>
                  <w:tcW w:w="1535" w:type="pct"/>
                  <w:tcBorders>
                    <w:tl2br w:val="nil"/>
                    <w:tr2bl w:val="nil"/>
                  </w:tcBorders>
                  <w:shd w:val="clear" w:color="auto" w:fill="auto"/>
                  <w:noWrap/>
                  <w:vAlign w:val="center"/>
                </w:tcPr>
                <w:p w14:paraId="7B10E42B">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3202矿井原煤入仓胶带机</w:t>
                  </w:r>
                </w:p>
              </w:tc>
              <w:tc>
                <w:tcPr>
                  <w:tcW w:w="2216" w:type="pct"/>
                  <w:tcBorders>
                    <w:tl2br w:val="nil"/>
                    <w:tr2bl w:val="nil"/>
                  </w:tcBorders>
                  <w:shd w:val="clear" w:color="auto" w:fill="auto"/>
                  <w:noWrap/>
                  <w:vAlign w:val="center"/>
                </w:tcPr>
                <w:p w14:paraId="2A74E427">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B=1400mm  L=169.14m   a=18.5-1.67°   Q=1500t/h      V=3.15m/s</w:t>
                  </w:r>
                </w:p>
              </w:tc>
              <w:tc>
                <w:tcPr>
                  <w:tcW w:w="423" w:type="pct"/>
                  <w:tcBorders>
                    <w:tl2br w:val="nil"/>
                    <w:tr2bl w:val="nil"/>
                  </w:tcBorders>
                  <w:shd w:val="clear" w:color="auto" w:fill="auto"/>
                  <w:noWrap/>
                  <w:vAlign w:val="center"/>
                </w:tcPr>
                <w:p w14:paraId="720C2BA7">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36443691">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443022E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4456E702">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4</w:t>
                  </w:r>
                </w:p>
              </w:tc>
              <w:tc>
                <w:tcPr>
                  <w:tcW w:w="1535" w:type="pct"/>
                  <w:tcBorders>
                    <w:tl2br w:val="nil"/>
                    <w:tr2bl w:val="nil"/>
                  </w:tcBorders>
                  <w:shd w:val="clear" w:color="auto" w:fill="auto"/>
                  <w:noWrap/>
                  <w:vAlign w:val="center"/>
                </w:tcPr>
                <w:p w14:paraId="5DFBD6A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4207精煤1#堆取料机</w:t>
                  </w:r>
                </w:p>
              </w:tc>
              <w:tc>
                <w:tcPr>
                  <w:tcW w:w="2216" w:type="pct"/>
                  <w:tcBorders>
                    <w:tl2br w:val="nil"/>
                    <w:tr2bl w:val="nil"/>
                  </w:tcBorders>
                  <w:shd w:val="clear" w:color="auto" w:fill="auto"/>
                  <w:noWrap/>
                  <w:vAlign w:val="center"/>
                </w:tcPr>
                <w:p w14:paraId="2001CC35">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斗轮式堆取料机堆料能力1500t/h， 取料能力1500t/h， 回转半径40米，</w:t>
                  </w:r>
                </w:p>
              </w:tc>
              <w:tc>
                <w:tcPr>
                  <w:tcW w:w="423" w:type="pct"/>
                  <w:tcBorders>
                    <w:tl2br w:val="nil"/>
                    <w:tr2bl w:val="nil"/>
                  </w:tcBorders>
                  <w:shd w:val="clear" w:color="auto" w:fill="auto"/>
                  <w:noWrap/>
                  <w:vAlign w:val="center"/>
                </w:tcPr>
                <w:p w14:paraId="6502D8A6">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71B5B3A5">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732E0A7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B798B02">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5</w:t>
                  </w:r>
                </w:p>
              </w:tc>
              <w:tc>
                <w:tcPr>
                  <w:tcW w:w="1535" w:type="pct"/>
                  <w:tcBorders>
                    <w:tl2br w:val="nil"/>
                    <w:tr2bl w:val="nil"/>
                  </w:tcBorders>
                  <w:shd w:val="clear" w:color="auto" w:fill="auto"/>
                  <w:noWrap/>
                  <w:vAlign w:val="center"/>
                </w:tcPr>
                <w:p w14:paraId="4577F559">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地面胶带机</w:t>
                  </w:r>
                </w:p>
              </w:tc>
              <w:tc>
                <w:tcPr>
                  <w:tcW w:w="2216" w:type="pct"/>
                  <w:tcBorders>
                    <w:tl2br w:val="nil"/>
                    <w:tr2bl w:val="nil"/>
                  </w:tcBorders>
                  <w:shd w:val="clear" w:color="auto" w:fill="auto"/>
                  <w:noWrap/>
                  <w:vAlign w:val="center"/>
                </w:tcPr>
                <w:p w14:paraId="209E50DB">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DTII(A)B=1400mm V=3.15m/s， Q=1500t/h，α=0-16°   胶带机L=318.286m</w:t>
                  </w:r>
                </w:p>
              </w:tc>
              <w:tc>
                <w:tcPr>
                  <w:tcW w:w="423" w:type="pct"/>
                  <w:tcBorders>
                    <w:tl2br w:val="nil"/>
                    <w:tr2bl w:val="nil"/>
                  </w:tcBorders>
                  <w:shd w:val="clear" w:color="auto" w:fill="auto"/>
                  <w:noWrap/>
                  <w:vAlign w:val="center"/>
                </w:tcPr>
                <w:p w14:paraId="2AE62EF0">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511FA0AE">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5DA4788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7DB75E0B">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6</w:t>
                  </w:r>
                </w:p>
              </w:tc>
              <w:tc>
                <w:tcPr>
                  <w:tcW w:w="1535" w:type="pct"/>
                  <w:tcBorders>
                    <w:tl2br w:val="nil"/>
                    <w:tr2bl w:val="nil"/>
                  </w:tcBorders>
                  <w:shd w:val="clear" w:color="auto" w:fill="auto"/>
                  <w:noWrap/>
                  <w:vAlign w:val="center"/>
                </w:tcPr>
                <w:p w14:paraId="1390F9C6">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4210末精煤返煤皮带机</w:t>
                  </w:r>
                </w:p>
              </w:tc>
              <w:tc>
                <w:tcPr>
                  <w:tcW w:w="2216" w:type="pct"/>
                  <w:tcBorders>
                    <w:tl2br w:val="nil"/>
                    <w:tr2bl w:val="nil"/>
                  </w:tcBorders>
                  <w:shd w:val="clear" w:color="auto" w:fill="auto"/>
                  <w:noWrap/>
                  <w:vAlign w:val="center"/>
                </w:tcPr>
                <w:p w14:paraId="69ABAD0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DTII(A)  B=1400mm，Q=1500t/h，α=-2.3-12.50°    L=210.223m   V=3.15m/s</w:t>
                  </w:r>
                </w:p>
              </w:tc>
              <w:tc>
                <w:tcPr>
                  <w:tcW w:w="423" w:type="pct"/>
                  <w:tcBorders>
                    <w:tl2br w:val="nil"/>
                    <w:tr2bl w:val="nil"/>
                  </w:tcBorders>
                  <w:shd w:val="clear" w:color="auto" w:fill="auto"/>
                  <w:noWrap/>
                  <w:vAlign w:val="center"/>
                </w:tcPr>
                <w:p w14:paraId="1F54492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5FAADADB">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16AD3EE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1BB5F70">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7</w:t>
                  </w:r>
                </w:p>
              </w:tc>
              <w:tc>
                <w:tcPr>
                  <w:tcW w:w="1535" w:type="pct"/>
                  <w:tcBorders>
                    <w:tl2br w:val="nil"/>
                    <w:tr2bl w:val="nil"/>
                  </w:tcBorders>
                  <w:shd w:val="clear" w:color="auto" w:fill="auto"/>
                  <w:noWrap/>
                  <w:vAlign w:val="center"/>
                </w:tcPr>
                <w:p w14:paraId="131BE34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4211末精煤上仓皮带机</w:t>
                  </w:r>
                </w:p>
              </w:tc>
              <w:tc>
                <w:tcPr>
                  <w:tcW w:w="2216" w:type="pct"/>
                  <w:tcBorders>
                    <w:tl2br w:val="nil"/>
                    <w:tr2bl w:val="nil"/>
                  </w:tcBorders>
                  <w:shd w:val="clear" w:color="auto" w:fill="auto"/>
                  <w:noWrap/>
                  <w:vAlign w:val="center"/>
                </w:tcPr>
                <w:p w14:paraId="2A321197">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B=1400mm，Q=1500t/h，α=18.356°   L=115.545m   V=3.15m/s</w:t>
                  </w:r>
                </w:p>
              </w:tc>
              <w:tc>
                <w:tcPr>
                  <w:tcW w:w="423" w:type="pct"/>
                  <w:tcBorders>
                    <w:tl2br w:val="nil"/>
                    <w:tr2bl w:val="nil"/>
                  </w:tcBorders>
                  <w:shd w:val="clear" w:color="auto" w:fill="auto"/>
                  <w:noWrap/>
                  <w:vAlign w:val="center"/>
                </w:tcPr>
                <w:p w14:paraId="46E60D86">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5670FF96">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7B12F17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2F648382">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8</w:t>
                  </w:r>
                </w:p>
              </w:tc>
              <w:tc>
                <w:tcPr>
                  <w:tcW w:w="1535" w:type="pct"/>
                  <w:tcBorders>
                    <w:tl2br w:val="nil"/>
                    <w:tr2bl w:val="nil"/>
                  </w:tcBorders>
                  <w:shd w:val="clear" w:color="auto" w:fill="auto"/>
                  <w:noWrap/>
                  <w:vAlign w:val="center"/>
                </w:tcPr>
                <w:p w14:paraId="3E182B9F">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4212末精煤配仓皮带机</w:t>
                  </w:r>
                </w:p>
              </w:tc>
              <w:tc>
                <w:tcPr>
                  <w:tcW w:w="2216" w:type="pct"/>
                  <w:tcBorders>
                    <w:tl2br w:val="nil"/>
                    <w:tr2bl w:val="nil"/>
                  </w:tcBorders>
                  <w:shd w:val="clear" w:color="auto" w:fill="auto"/>
                  <w:noWrap/>
                  <w:vAlign w:val="center"/>
                </w:tcPr>
                <w:p w14:paraId="2CCFF40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B=1400mm，Q=1500t/h，α=0°   L=21.80m   V=3.15m/s</w:t>
                  </w:r>
                </w:p>
              </w:tc>
              <w:tc>
                <w:tcPr>
                  <w:tcW w:w="423" w:type="pct"/>
                  <w:tcBorders>
                    <w:tl2br w:val="nil"/>
                    <w:tr2bl w:val="nil"/>
                  </w:tcBorders>
                  <w:shd w:val="clear" w:color="auto" w:fill="auto"/>
                  <w:noWrap/>
                  <w:vAlign w:val="center"/>
                </w:tcPr>
                <w:p w14:paraId="3D137170">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7366247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1</w:t>
                  </w:r>
                </w:p>
              </w:tc>
            </w:tr>
            <w:tr w14:paraId="0D8E4D6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BEACD48">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9</w:t>
                  </w:r>
                </w:p>
              </w:tc>
              <w:tc>
                <w:tcPr>
                  <w:tcW w:w="1535" w:type="pct"/>
                  <w:tcBorders>
                    <w:tl2br w:val="nil"/>
                    <w:tr2bl w:val="nil"/>
                  </w:tcBorders>
                  <w:shd w:val="clear" w:color="auto" w:fill="auto"/>
                  <w:noWrap/>
                  <w:vAlign w:val="center"/>
                </w:tcPr>
                <w:p w14:paraId="1F1266A2">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4213-4216末精煤装车仓下甲带给煤机</w:t>
                  </w:r>
                </w:p>
              </w:tc>
              <w:tc>
                <w:tcPr>
                  <w:tcW w:w="2216" w:type="pct"/>
                  <w:tcBorders>
                    <w:tl2br w:val="nil"/>
                    <w:tr2bl w:val="nil"/>
                  </w:tcBorders>
                  <w:shd w:val="clear" w:color="auto" w:fill="auto"/>
                  <w:noWrap/>
                  <w:vAlign w:val="center"/>
                </w:tcPr>
                <w:p w14:paraId="698B890E">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GLD1000*2600 /7.5    Q=100-800t/h  无级调速，仓口大小为直径1400mm，与4227-4230为成套设备，用于快速装车使用</w:t>
                  </w:r>
                </w:p>
              </w:tc>
              <w:tc>
                <w:tcPr>
                  <w:tcW w:w="423" w:type="pct"/>
                  <w:tcBorders>
                    <w:tl2br w:val="nil"/>
                    <w:tr2bl w:val="nil"/>
                  </w:tcBorders>
                  <w:shd w:val="clear" w:color="auto" w:fill="auto"/>
                  <w:noWrap/>
                  <w:vAlign w:val="center"/>
                </w:tcPr>
                <w:p w14:paraId="0029CBBE">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677897A4">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w:t>
                  </w:r>
                </w:p>
              </w:tc>
            </w:tr>
            <w:tr w14:paraId="3960CC1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06498F20">
                  <w:pPr>
                    <w:pStyle w:val="5"/>
                    <w:keepNext w:val="0"/>
                    <w:keepLines w:val="0"/>
                    <w:pageBreakBefore w:val="0"/>
                    <w:widowControl w:val="0"/>
                    <w:kinsoku/>
                    <w:wordWrap/>
                    <w:overflowPunct/>
                    <w:topLinePunct w:val="0"/>
                    <w:bidi w:val="0"/>
                    <w:ind w:firstLine="0" w:firstLineChars="0"/>
                    <w:jc w:val="center"/>
                    <w:textAlignment w:val="auto"/>
                    <w:rPr>
                      <w:rFonts w:hint="default" w:eastAsia="宋体"/>
                      <w:b w:val="0"/>
                      <w:color w:val="000000"/>
                      <w:lang w:val="en-US" w:eastAsia="zh-CN"/>
                    </w:rPr>
                  </w:pPr>
                  <w:r>
                    <w:rPr>
                      <w:rFonts w:hint="eastAsia"/>
                      <w:b w:val="0"/>
                      <w:color w:val="000000"/>
                      <w:lang w:val="en-US" w:eastAsia="zh-CN"/>
                    </w:rPr>
                    <w:t>10</w:t>
                  </w:r>
                </w:p>
              </w:tc>
              <w:tc>
                <w:tcPr>
                  <w:tcW w:w="1535" w:type="pct"/>
                  <w:tcBorders>
                    <w:tl2br w:val="nil"/>
                    <w:tr2bl w:val="nil"/>
                  </w:tcBorders>
                  <w:shd w:val="clear" w:color="auto" w:fill="auto"/>
                  <w:noWrap/>
                  <w:vAlign w:val="center"/>
                </w:tcPr>
                <w:p w14:paraId="1B9CB87D">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4227-4230末精煤仓下地中衡</w:t>
                  </w:r>
                </w:p>
              </w:tc>
              <w:tc>
                <w:tcPr>
                  <w:tcW w:w="2216" w:type="pct"/>
                  <w:tcBorders>
                    <w:tl2br w:val="nil"/>
                    <w:tr2bl w:val="nil"/>
                  </w:tcBorders>
                  <w:shd w:val="clear" w:color="auto" w:fill="auto"/>
                  <w:noWrap/>
                  <w:vAlign w:val="center"/>
                </w:tcPr>
                <w:p w14:paraId="081B69F0">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ZCS-100-3421   称量重量100t，称重检定分度值e(kg)50kg   共计10个传感器</w:t>
                  </w:r>
                </w:p>
              </w:tc>
              <w:tc>
                <w:tcPr>
                  <w:tcW w:w="423" w:type="pct"/>
                  <w:tcBorders>
                    <w:tl2br w:val="nil"/>
                    <w:tr2bl w:val="nil"/>
                  </w:tcBorders>
                  <w:shd w:val="clear" w:color="auto" w:fill="auto"/>
                  <w:noWrap/>
                  <w:vAlign w:val="center"/>
                </w:tcPr>
                <w:p w14:paraId="4346F455">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台</w:t>
                  </w:r>
                </w:p>
              </w:tc>
              <w:tc>
                <w:tcPr>
                  <w:tcW w:w="444" w:type="pct"/>
                  <w:tcBorders>
                    <w:tl2br w:val="nil"/>
                    <w:tr2bl w:val="nil"/>
                  </w:tcBorders>
                  <w:shd w:val="clear" w:color="auto" w:fill="auto"/>
                  <w:noWrap/>
                  <w:vAlign w:val="center"/>
                </w:tcPr>
                <w:p w14:paraId="435B1B75">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4</w:t>
                  </w:r>
                </w:p>
              </w:tc>
            </w:tr>
            <w:tr w14:paraId="7B955C8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407B933B">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11</w:t>
                  </w:r>
                </w:p>
              </w:tc>
              <w:tc>
                <w:tcPr>
                  <w:tcW w:w="1535" w:type="pct"/>
                  <w:tcBorders>
                    <w:tl2br w:val="nil"/>
                    <w:tr2bl w:val="nil"/>
                  </w:tcBorders>
                  <w:shd w:val="clear" w:color="auto" w:fill="auto"/>
                  <w:noWrap/>
                  <w:vAlign w:val="center"/>
                </w:tcPr>
                <w:p w14:paraId="3835600C">
                  <w:pPr>
                    <w:pStyle w:val="1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除尘器</w:t>
                  </w:r>
                </w:p>
              </w:tc>
              <w:tc>
                <w:tcPr>
                  <w:tcW w:w="2216" w:type="pct"/>
                  <w:tcBorders>
                    <w:tl2br w:val="nil"/>
                    <w:tr2bl w:val="nil"/>
                  </w:tcBorders>
                  <w:shd w:val="clear" w:color="auto" w:fill="auto"/>
                  <w:noWrap/>
                  <w:vAlign w:val="center"/>
                </w:tcPr>
                <w:p w14:paraId="226AF0EE">
                  <w:pPr>
                    <w:pStyle w:val="17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20000m</w:t>
                  </w:r>
                  <w:r>
                    <w:rPr>
                      <w:rFonts w:hint="eastAsia" w:ascii="Times New Roman" w:hAnsi="Times New Roman" w:eastAsia="宋体" w:cs="Times New Roman"/>
                      <w:b w:val="0"/>
                      <w:bCs/>
                      <w:color w:val="000000"/>
                      <w:kern w:val="2"/>
                      <w:sz w:val="21"/>
                      <w:szCs w:val="28"/>
                      <w:vertAlign w:val="superscript"/>
                      <w:lang w:val="en-US" w:eastAsia="zh-CN" w:bidi="ar-SA"/>
                    </w:rPr>
                    <w:t>3</w:t>
                  </w:r>
                  <w:r>
                    <w:rPr>
                      <w:rFonts w:hint="eastAsia" w:ascii="Times New Roman" w:hAnsi="Times New Roman" w:eastAsia="宋体" w:cs="Times New Roman"/>
                      <w:b w:val="0"/>
                      <w:bCs/>
                      <w:color w:val="000000"/>
                      <w:kern w:val="2"/>
                      <w:sz w:val="21"/>
                      <w:szCs w:val="28"/>
                      <w:lang w:val="en-US" w:eastAsia="zh-CN" w:bidi="ar-SA"/>
                    </w:rPr>
                    <w:t>/h</w:t>
                  </w:r>
                </w:p>
              </w:tc>
              <w:tc>
                <w:tcPr>
                  <w:tcW w:w="423" w:type="pct"/>
                  <w:tcBorders>
                    <w:tl2br w:val="nil"/>
                    <w:tr2bl w:val="nil"/>
                  </w:tcBorders>
                  <w:shd w:val="clear" w:color="auto" w:fill="auto"/>
                  <w:noWrap/>
                  <w:vAlign w:val="center"/>
                </w:tcPr>
                <w:p w14:paraId="132DA8AE">
                  <w:pPr>
                    <w:pStyle w:val="5"/>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b w:val="0"/>
                      <w:color w:val="000000"/>
                      <w:lang w:val="en-US" w:eastAsia="zh-CN"/>
                    </w:rPr>
                    <w:t>台</w:t>
                  </w:r>
                </w:p>
              </w:tc>
              <w:tc>
                <w:tcPr>
                  <w:tcW w:w="444" w:type="pct"/>
                  <w:tcBorders>
                    <w:tl2br w:val="nil"/>
                    <w:tr2bl w:val="nil"/>
                  </w:tcBorders>
                  <w:shd w:val="clear" w:color="auto" w:fill="auto"/>
                  <w:noWrap/>
                  <w:vAlign w:val="center"/>
                </w:tcPr>
                <w:p w14:paraId="274E8DAE">
                  <w:pPr>
                    <w:pStyle w:val="5"/>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b w:val="0"/>
                      <w:color w:val="000000"/>
                      <w:lang w:val="en-US" w:eastAsia="zh-CN"/>
                    </w:rPr>
                    <w:t>1</w:t>
                  </w:r>
                </w:p>
              </w:tc>
            </w:tr>
            <w:tr w14:paraId="2A89AF8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A417393">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二</w:t>
                  </w:r>
                </w:p>
              </w:tc>
              <w:tc>
                <w:tcPr>
                  <w:tcW w:w="4620" w:type="pct"/>
                  <w:gridSpan w:val="4"/>
                  <w:tcBorders>
                    <w:tl2br w:val="nil"/>
                    <w:tr2bl w:val="nil"/>
                  </w:tcBorders>
                  <w:shd w:val="clear" w:color="auto" w:fill="auto"/>
                  <w:noWrap/>
                  <w:vAlign w:val="center"/>
                </w:tcPr>
                <w:p w14:paraId="474FDDCA">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阳霞发运站</w:t>
                  </w:r>
                </w:p>
              </w:tc>
            </w:tr>
            <w:tr w14:paraId="69F9936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9" w:type="pct"/>
                  <w:tcBorders>
                    <w:tl2br w:val="nil"/>
                    <w:tr2bl w:val="nil"/>
                  </w:tcBorders>
                  <w:shd w:val="clear" w:color="auto" w:fill="auto"/>
                  <w:noWrap/>
                  <w:vAlign w:val="center"/>
                </w:tcPr>
                <w:p w14:paraId="4FA06CE4">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1</w:t>
                  </w:r>
                </w:p>
              </w:tc>
              <w:tc>
                <w:tcPr>
                  <w:tcW w:w="1535" w:type="pct"/>
                  <w:tcBorders>
                    <w:tl2br w:val="nil"/>
                    <w:tr2bl w:val="nil"/>
                  </w:tcBorders>
                  <w:shd w:val="clear" w:color="auto" w:fill="auto"/>
                  <w:noWrap/>
                  <w:vAlign w:val="center"/>
                </w:tcPr>
                <w:p w14:paraId="6B399E27">
                  <w:pPr>
                    <w:pStyle w:val="5"/>
                    <w:keepNext w:val="0"/>
                    <w:keepLines w:val="0"/>
                    <w:pageBreakBefore w:val="0"/>
                    <w:widowControl w:val="0"/>
                    <w:kinsoku/>
                    <w:wordWrap/>
                    <w:overflowPunct/>
                    <w:topLinePunct w:val="0"/>
                    <w:bidi w:val="0"/>
                    <w:jc w:val="center"/>
                    <w:textAlignment w:val="auto"/>
                    <w:rPr>
                      <w:rFonts w:hint="eastAsia" w:ascii="Times New Roman" w:hAnsi="Times New Roman" w:eastAsia="宋体" w:cs="Times New Roman"/>
                      <w:b w:val="0"/>
                      <w:color w:val="000000"/>
                    </w:rPr>
                  </w:pPr>
                  <w:r>
                    <w:rPr>
                      <w:rFonts w:hint="eastAsia" w:ascii="Times New Roman" w:hAnsi="Times New Roman" w:eastAsia="宋体" w:cs="Times New Roman"/>
                      <w:b w:val="0"/>
                      <w:color w:val="000000"/>
                    </w:rPr>
                    <w:t>1303 缓存仓下甲带给煤机</w:t>
                  </w:r>
                </w:p>
              </w:tc>
              <w:tc>
                <w:tcPr>
                  <w:tcW w:w="2216" w:type="pct"/>
                  <w:tcBorders>
                    <w:tl2br w:val="nil"/>
                    <w:tr2bl w:val="nil"/>
                  </w:tcBorders>
                  <w:shd w:val="clear" w:color="auto" w:fill="auto"/>
                  <w:noWrap/>
                  <w:vAlign w:val="center"/>
                </w:tcPr>
                <w:p w14:paraId="728C33A7">
                  <w:pPr>
                    <w:pStyle w:val="17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GLD1400*2600 /7.5    Q=800-2500t/h  无级调速，仓口大小为直径1400mm，</w:t>
                  </w:r>
                </w:p>
              </w:tc>
              <w:tc>
                <w:tcPr>
                  <w:tcW w:w="423" w:type="pct"/>
                  <w:tcBorders>
                    <w:tl2br w:val="nil"/>
                    <w:tr2bl w:val="nil"/>
                  </w:tcBorders>
                  <w:shd w:val="clear" w:color="auto" w:fill="auto"/>
                  <w:noWrap/>
                  <w:vAlign w:val="center"/>
                </w:tcPr>
                <w:p w14:paraId="08BBD56C">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台</w:t>
                  </w:r>
                </w:p>
              </w:tc>
              <w:tc>
                <w:tcPr>
                  <w:tcW w:w="444" w:type="pct"/>
                  <w:tcBorders>
                    <w:tl2br w:val="nil"/>
                    <w:tr2bl w:val="nil"/>
                  </w:tcBorders>
                  <w:shd w:val="clear" w:color="auto" w:fill="auto"/>
                  <w:noWrap/>
                  <w:vAlign w:val="center"/>
                </w:tcPr>
                <w:p w14:paraId="09BEC1D9">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1</w:t>
                  </w:r>
                </w:p>
              </w:tc>
            </w:tr>
            <w:tr w14:paraId="74C5611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9" w:type="pct"/>
                  <w:tcBorders>
                    <w:tl2br w:val="nil"/>
                    <w:tr2bl w:val="nil"/>
                  </w:tcBorders>
                  <w:shd w:val="clear" w:color="auto" w:fill="auto"/>
                  <w:noWrap/>
                  <w:vAlign w:val="center"/>
                </w:tcPr>
                <w:p w14:paraId="688EF92C">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2</w:t>
                  </w:r>
                </w:p>
              </w:tc>
              <w:tc>
                <w:tcPr>
                  <w:tcW w:w="1535" w:type="pct"/>
                  <w:tcBorders>
                    <w:tl2br w:val="nil"/>
                    <w:tr2bl w:val="nil"/>
                  </w:tcBorders>
                  <w:shd w:val="clear" w:color="auto" w:fill="auto"/>
                  <w:noWrap/>
                  <w:vAlign w:val="center"/>
                </w:tcPr>
                <w:p w14:paraId="0004071A">
                  <w:pPr>
                    <w:pStyle w:val="5"/>
                    <w:keepNext w:val="0"/>
                    <w:keepLines w:val="0"/>
                    <w:pageBreakBefore w:val="0"/>
                    <w:widowControl w:val="0"/>
                    <w:kinsoku/>
                    <w:wordWrap/>
                    <w:overflowPunct/>
                    <w:topLinePunct w:val="0"/>
                    <w:bidi w:val="0"/>
                    <w:jc w:val="center"/>
                    <w:textAlignment w:val="auto"/>
                    <w:rPr>
                      <w:rFonts w:hint="eastAsia" w:ascii="Times New Roman" w:hAnsi="Times New Roman" w:eastAsia="宋体" w:cs="Times New Roman"/>
                      <w:b w:val="0"/>
                      <w:color w:val="000000"/>
                    </w:rPr>
                  </w:pPr>
                  <w:r>
                    <w:rPr>
                      <w:rFonts w:hint="eastAsia" w:ascii="Times New Roman" w:hAnsi="Times New Roman" w:eastAsia="宋体" w:cs="Times New Roman"/>
                      <w:b w:val="0"/>
                      <w:color w:val="000000"/>
                    </w:rPr>
                    <w:t>1306  T4转运站湿式除尘器</w:t>
                  </w:r>
                </w:p>
              </w:tc>
              <w:tc>
                <w:tcPr>
                  <w:tcW w:w="2216" w:type="pct"/>
                  <w:tcBorders>
                    <w:tl2br w:val="nil"/>
                    <w:tr2bl w:val="nil"/>
                  </w:tcBorders>
                  <w:shd w:val="clear" w:color="auto" w:fill="auto"/>
                  <w:noWrap/>
                  <w:vAlign w:val="center"/>
                </w:tcPr>
                <w:p w14:paraId="06353638">
                  <w:pPr>
                    <w:pStyle w:val="17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AB-S-8.5 设计风量32000（m³/h），出口煤尘含量小于等于10（mg/l），漏风率小于等于3%，除尘效率大于等于97%，噪声小于等于80dB，液气比小于等于0.1L/m</w:t>
                  </w:r>
                  <w:r>
                    <w:rPr>
                      <w:rFonts w:hint="eastAsia" w:ascii="Times New Roman" w:hAnsi="Times New Roman" w:eastAsia="宋体" w:cs="Times New Roman"/>
                      <w:b w:val="0"/>
                      <w:bCs/>
                      <w:color w:val="000000"/>
                      <w:kern w:val="2"/>
                      <w:sz w:val="21"/>
                      <w:szCs w:val="28"/>
                      <w:vertAlign w:val="superscript"/>
                      <w:lang w:val="en-US" w:eastAsia="zh-CN" w:bidi="ar-SA"/>
                    </w:rPr>
                    <w:t>3</w:t>
                  </w:r>
                  <w:r>
                    <w:rPr>
                      <w:rFonts w:hint="eastAsia" w:ascii="Times New Roman" w:hAnsi="Times New Roman" w:eastAsia="宋体" w:cs="Times New Roman"/>
                      <w:b w:val="0"/>
                      <w:bCs/>
                      <w:color w:val="000000"/>
                      <w:kern w:val="2"/>
                      <w:sz w:val="21"/>
                      <w:szCs w:val="28"/>
                      <w:lang w:val="en-US" w:eastAsia="zh-CN" w:bidi="ar-SA"/>
                    </w:rPr>
                    <w:t>，</w:t>
                  </w:r>
                </w:p>
              </w:tc>
              <w:tc>
                <w:tcPr>
                  <w:tcW w:w="423" w:type="pct"/>
                  <w:tcBorders>
                    <w:tl2br w:val="nil"/>
                    <w:tr2bl w:val="nil"/>
                  </w:tcBorders>
                  <w:shd w:val="clear" w:color="auto" w:fill="auto"/>
                  <w:noWrap/>
                  <w:vAlign w:val="center"/>
                </w:tcPr>
                <w:p w14:paraId="1AAC26E3">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台</w:t>
                  </w:r>
                </w:p>
              </w:tc>
              <w:tc>
                <w:tcPr>
                  <w:tcW w:w="444" w:type="pct"/>
                  <w:tcBorders>
                    <w:tl2br w:val="nil"/>
                    <w:tr2bl w:val="nil"/>
                  </w:tcBorders>
                  <w:shd w:val="clear" w:color="auto" w:fill="auto"/>
                  <w:noWrap/>
                  <w:vAlign w:val="center"/>
                </w:tcPr>
                <w:p w14:paraId="5D410A27">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1</w:t>
                  </w:r>
                </w:p>
              </w:tc>
            </w:tr>
            <w:tr w14:paraId="20B9F8F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12084CFC">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3</w:t>
                  </w:r>
                </w:p>
              </w:tc>
              <w:tc>
                <w:tcPr>
                  <w:tcW w:w="1535" w:type="pct"/>
                  <w:tcBorders>
                    <w:tl2br w:val="nil"/>
                    <w:tr2bl w:val="nil"/>
                  </w:tcBorders>
                  <w:shd w:val="clear" w:color="auto" w:fill="auto"/>
                  <w:noWrap/>
                  <w:vAlign w:val="center"/>
                </w:tcPr>
                <w:p w14:paraId="5E346B91">
                  <w:pPr>
                    <w:pStyle w:val="5"/>
                    <w:keepNext w:val="0"/>
                    <w:keepLines w:val="0"/>
                    <w:pageBreakBefore w:val="0"/>
                    <w:widowControl w:val="0"/>
                    <w:kinsoku/>
                    <w:wordWrap/>
                    <w:overflowPunct/>
                    <w:topLinePunct w:val="0"/>
                    <w:bidi w:val="0"/>
                    <w:jc w:val="center"/>
                    <w:textAlignment w:val="auto"/>
                    <w:rPr>
                      <w:rFonts w:hint="eastAsia" w:ascii="Times New Roman" w:hAnsi="Times New Roman" w:eastAsia="宋体" w:cs="Times New Roman"/>
                      <w:b w:val="0"/>
                      <w:color w:val="000000"/>
                    </w:rPr>
                  </w:pPr>
                  <w:r>
                    <w:rPr>
                      <w:rFonts w:hint="eastAsia" w:ascii="Times New Roman" w:hAnsi="Times New Roman" w:eastAsia="宋体" w:cs="Times New Roman"/>
                      <w:b w:val="0"/>
                      <w:color w:val="000000"/>
                    </w:rPr>
                    <w:t>1308-1309超低温空气源热泵机组</w:t>
                  </w:r>
                </w:p>
              </w:tc>
              <w:tc>
                <w:tcPr>
                  <w:tcW w:w="2216" w:type="pct"/>
                  <w:tcBorders>
                    <w:tl2br w:val="nil"/>
                    <w:tr2bl w:val="nil"/>
                  </w:tcBorders>
                  <w:shd w:val="clear" w:color="auto" w:fill="auto"/>
                  <w:noWrap/>
                  <w:vAlign w:val="center"/>
                </w:tcPr>
                <w:p w14:paraId="7C996673">
                  <w:pPr>
                    <w:pStyle w:val="17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额定制热量155kW/台，cop=3.2</w:t>
                  </w:r>
                </w:p>
              </w:tc>
              <w:tc>
                <w:tcPr>
                  <w:tcW w:w="423" w:type="pct"/>
                  <w:tcBorders>
                    <w:tl2br w:val="nil"/>
                    <w:tr2bl w:val="nil"/>
                  </w:tcBorders>
                  <w:shd w:val="clear" w:color="auto" w:fill="auto"/>
                  <w:noWrap/>
                  <w:vAlign w:val="center"/>
                </w:tcPr>
                <w:p w14:paraId="6C997075">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b w:val="0"/>
                      <w:color w:val="000000"/>
                      <w:lang w:val="en-US" w:eastAsia="zh-CN"/>
                    </w:rPr>
                    <w:t>台</w:t>
                  </w:r>
                </w:p>
              </w:tc>
              <w:tc>
                <w:tcPr>
                  <w:tcW w:w="444" w:type="pct"/>
                  <w:tcBorders>
                    <w:tl2br w:val="nil"/>
                    <w:tr2bl w:val="nil"/>
                  </w:tcBorders>
                  <w:shd w:val="clear" w:color="auto" w:fill="auto"/>
                  <w:noWrap/>
                  <w:vAlign w:val="center"/>
                </w:tcPr>
                <w:p w14:paraId="6F2B4B8D">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4</w:t>
                  </w:r>
                </w:p>
              </w:tc>
            </w:tr>
            <w:tr w14:paraId="2E6764E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4B2F6803">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4</w:t>
                  </w:r>
                </w:p>
              </w:tc>
              <w:tc>
                <w:tcPr>
                  <w:tcW w:w="1535" w:type="pct"/>
                  <w:tcBorders>
                    <w:tl2br w:val="nil"/>
                    <w:tr2bl w:val="nil"/>
                  </w:tcBorders>
                  <w:shd w:val="clear" w:color="auto" w:fill="auto"/>
                  <w:noWrap/>
                  <w:vAlign w:val="center"/>
                </w:tcPr>
                <w:p w14:paraId="7B166F31">
                  <w:pPr>
                    <w:pStyle w:val="5"/>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除尘器</w:t>
                  </w:r>
                </w:p>
              </w:tc>
              <w:tc>
                <w:tcPr>
                  <w:tcW w:w="2216" w:type="pct"/>
                  <w:tcBorders>
                    <w:tl2br w:val="nil"/>
                    <w:tr2bl w:val="nil"/>
                  </w:tcBorders>
                  <w:shd w:val="clear" w:color="auto" w:fill="auto"/>
                  <w:noWrap/>
                  <w:vAlign w:val="center"/>
                </w:tcPr>
                <w:p w14:paraId="22552488">
                  <w:pPr>
                    <w:pStyle w:val="17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color w:val="000000"/>
                      <w:kern w:val="2"/>
                      <w:sz w:val="21"/>
                      <w:szCs w:val="28"/>
                      <w:lang w:val="en-US" w:eastAsia="zh-CN" w:bidi="ar-SA"/>
                    </w:rPr>
                  </w:pPr>
                  <w:r>
                    <w:rPr>
                      <w:rFonts w:hint="eastAsia" w:ascii="Times New Roman" w:hAnsi="Times New Roman" w:eastAsia="宋体" w:cs="Times New Roman"/>
                      <w:b w:val="0"/>
                      <w:bCs/>
                      <w:color w:val="000000"/>
                      <w:kern w:val="2"/>
                      <w:sz w:val="21"/>
                      <w:szCs w:val="28"/>
                      <w:lang w:val="en-US" w:eastAsia="zh-CN" w:bidi="ar-SA"/>
                    </w:rPr>
                    <w:t>20000m</w:t>
                  </w:r>
                  <w:r>
                    <w:rPr>
                      <w:rFonts w:hint="eastAsia" w:ascii="Times New Roman" w:hAnsi="Times New Roman" w:eastAsia="宋体" w:cs="Times New Roman"/>
                      <w:b w:val="0"/>
                      <w:bCs/>
                      <w:color w:val="000000"/>
                      <w:kern w:val="2"/>
                      <w:sz w:val="21"/>
                      <w:szCs w:val="28"/>
                      <w:vertAlign w:val="superscript"/>
                      <w:lang w:val="en-US" w:eastAsia="zh-CN" w:bidi="ar-SA"/>
                    </w:rPr>
                    <w:t>3</w:t>
                  </w:r>
                  <w:r>
                    <w:rPr>
                      <w:rFonts w:hint="eastAsia" w:ascii="Times New Roman" w:hAnsi="Times New Roman" w:eastAsia="宋体" w:cs="Times New Roman"/>
                      <w:b w:val="0"/>
                      <w:bCs/>
                      <w:color w:val="000000"/>
                      <w:kern w:val="2"/>
                      <w:sz w:val="21"/>
                      <w:szCs w:val="28"/>
                      <w:lang w:val="en-US" w:eastAsia="zh-CN" w:bidi="ar-SA"/>
                    </w:rPr>
                    <w:t>/h</w:t>
                  </w:r>
                </w:p>
              </w:tc>
              <w:tc>
                <w:tcPr>
                  <w:tcW w:w="423" w:type="pct"/>
                  <w:tcBorders>
                    <w:tl2br w:val="nil"/>
                    <w:tr2bl w:val="nil"/>
                  </w:tcBorders>
                  <w:shd w:val="clear" w:color="auto" w:fill="auto"/>
                  <w:noWrap/>
                  <w:vAlign w:val="center"/>
                </w:tcPr>
                <w:p w14:paraId="112CCBDD">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台</w:t>
                  </w:r>
                </w:p>
              </w:tc>
              <w:tc>
                <w:tcPr>
                  <w:tcW w:w="444" w:type="pct"/>
                  <w:tcBorders>
                    <w:tl2br w:val="nil"/>
                    <w:tr2bl w:val="nil"/>
                  </w:tcBorders>
                  <w:shd w:val="clear" w:color="auto" w:fill="auto"/>
                  <w:noWrap/>
                  <w:vAlign w:val="center"/>
                </w:tcPr>
                <w:p w14:paraId="13950610">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1</w:t>
                  </w:r>
                </w:p>
              </w:tc>
            </w:tr>
            <w:tr w14:paraId="4953C8B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3A5161F9">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三</w:t>
                  </w:r>
                </w:p>
              </w:tc>
              <w:tc>
                <w:tcPr>
                  <w:tcW w:w="4620" w:type="pct"/>
                  <w:gridSpan w:val="4"/>
                  <w:tcBorders>
                    <w:tl2br w:val="nil"/>
                    <w:tr2bl w:val="nil"/>
                  </w:tcBorders>
                  <w:shd w:val="clear" w:color="auto" w:fill="auto"/>
                  <w:noWrap/>
                  <w:vAlign w:val="center"/>
                </w:tcPr>
                <w:p w14:paraId="3F1CC51D">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东辰煤矿至煤炭仓储加工基地廊道</w:t>
                  </w:r>
                </w:p>
              </w:tc>
            </w:tr>
            <w:tr w14:paraId="462F4197">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5552CFD0">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1</w:t>
                  </w:r>
                </w:p>
              </w:tc>
              <w:tc>
                <w:tcPr>
                  <w:tcW w:w="1535" w:type="pct"/>
                  <w:tcBorders>
                    <w:tl2br w:val="nil"/>
                    <w:tr2bl w:val="nil"/>
                  </w:tcBorders>
                  <w:shd w:val="clear" w:color="auto" w:fill="auto"/>
                  <w:noWrap/>
                  <w:vAlign w:val="center"/>
                </w:tcPr>
                <w:p w14:paraId="794C08C5">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永磁变频直驱系统</w:t>
                  </w:r>
                </w:p>
              </w:tc>
              <w:tc>
                <w:tcPr>
                  <w:tcW w:w="2216" w:type="pct"/>
                  <w:tcBorders>
                    <w:tl2br w:val="nil"/>
                    <w:tr2bl w:val="nil"/>
                  </w:tcBorders>
                  <w:shd w:val="clear" w:color="auto" w:fill="auto"/>
                  <w:noWrap/>
                  <w:vAlign w:val="center"/>
                </w:tcPr>
                <w:p w14:paraId="06019730">
                  <w:pPr>
                    <w:pStyle w:val="5"/>
                    <w:keepNext w:val="0"/>
                    <w:keepLines w:val="0"/>
                    <w:pageBreakBefore w:val="0"/>
                    <w:widowControl w:val="0"/>
                    <w:kinsoku/>
                    <w:wordWrap/>
                    <w:overflowPunct/>
                    <w:topLinePunct w:val="0"/>
                    <w:bidi w:val="0"/>
                    <w:jc w:val="center"/>
                    <w:textAlignment w:val="auto"/>
                    <w:rPr>
                      <w:rFonts w:hint="eastAsia"/>
                      <w:b w:val="0"/>
                      <w:color w:val="000000"/>
                    </w:rPr>
                  </w:pPr>
                  <w:r>
                    <w:rPr>
                      <w:rFonts w:hint="eastAsia" w:ascii="宋体" w:hAnsi="宋体" w:eastAsia="宋体" w:cs="宋体"/>
                      <w:color w:val="000000" w:themeColor="text1"/>
                      <w14:textFill>
                        <w14:solidFill>
                          <w14:schemeClr w14:val="tx1"/>
                        </w14:solidFill>
                      </w14:textFill>
                    </w:rPr>
                    <w:t>永磁直驱电机</w:t>
                  </w:r>
                  <w:r>
                    <w:rPr>
                      <w:color w:val="000000" w:themeColor="text1"/>
                      <w14:textFill>
                        <w14:solidFill>
                          <w14:schemeClr w14:val="tx1"/>
                        </w14:solidFill>
                      </w14:textFill>
                    </w:rPr>
                    <w:t>TBYF</w:t>
                  </w:r>
                  <w:r>
                    <w:rPr>
                      <w:rFonts w:hint="eastAsia" w:ascii="宋体" w:hAnsi="宋体" w:eastAsia="宋体" w:cs="宋体"/>
                      <w:color w:val="000000" w:themeColor="text1"/>
                      <w14:textFill>
                        <w14:solidFill>
                          <w14:schemeClr w14:val="tx1"/>
                        </w14:solidFill>
                      </w14:textFill>
                    </w:rPr>
                    <w:t>型</w:t>
                  </w:r>
                  <w:r>
                    <w:rPr>
                      <w:rFonts w:hint="eastAsia" w:eastAsiaTheme="minorEastAsia"/>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台、</w:t>
                  </w:r>
                  <w:r>
                    <w:rPr>
                      <w:rFonts w:hint="eastAsia" w:eastAsiaTheme="minorEastAsia"/>
                      <w:color w:val="000000" w:themeColor="text1"/>
                      <w14:textFill>
                        <w14:solidFill>
                          <w14:schemeClr w14:val="tx1"/>
                        </w14:solidFill>
                      </w14:textFill>
                    </w:rPr>
                    <w:t>160</w:t>
                  </w:r>
                  <w:r>
                    <w:rPr>
                      <w:color w:val="000000" w:themeColor="text1"/>
                      <w14:textFill>
                        <w14:solidFill>
                          <w14:schemeClr w14:val="tx1"/>
                        </w14:solidFill>
                      </w14:textFill>
                    </w:rPr>
                    <w:t>0kW</w:t>
                  </w:r>
                </w:p>
              </w:tc>
              <w:tc>
                <w:tcPr>
                  <w:tcW w:w="423" w:type="pct"/>
                  <w:tcBorders>
                    <w:tl2br w:val="nil"/>
                    <w:tr2bl w:val="nil"/>
                  </w:tcBorders>
                  <w:shd w:val="clear" w:color="auto" w:fill="auto"/>
                  <w:noWrap/>
                  <w:vAlign w:val="center"/>
                </w:tcPr>
                <w:p w14:paraId="7AF7F150">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套</w:t>
                  </w:r>
                </w:p>
              </w:tc>
              <w:tc>
                <w:tcPr>
                  <w:tcW w:w="444" w:type="pct"/>
                  <w:tcBorders>
                    <w:tl2br w:val="nil"/>
                    <w:tr2bl w:val="nil"/>
                  </w:tcBorders>
                  <w:shd w:val="clear" w:color="auto" w:fill="auto"/>
                  <w:noWrap/>
                  <w:vAlign w:val="center"/>
                </w:tcPr>
                <w:p w14:paraId="63444449">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5</w:t>
                  </w:r>
                </w:p>
              </w:tc>
            </w:tr>
            <w:tr w14:paraId="7A894F5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738883B4">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2</w:t>
                  </w:r>
                </w:p>
              </w:tc>
              <w:tc>
                <w:tcPr>
                  <w:tcW w:w="1535" w:type="pct"/>
                  <w:tcBorders>
                    <w:tl2br w:val="nil"/>
                    <w:tr2bl w:val="nil"/>
                  </w:tcBorders>
                  <w:shd w:val="clear" w:color="auto" w:fill="auto"/>
                  <w:noWrap/>
                  <w:vAlign w:val="center"/>
                </w:tcPr>
                <w:p w14:paraId="6EF4476A">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运输廊道专用胶带</w:t>
                  </w:r>
                </w:p>
              </w:tc>
              <w:tc>
                <w:tcPr>
                  <w:tcW w:w="2216" w:type="pct"/>
                  <w:tcBorders>
                    <w:tl2br w:val="nil"/>
                    <w:tr2bl w:val="nil"/>
                  </w:tcBorders>
                  <w:shd w:val="clear" w:color="auto" w:fill="auto"/>
                  <w:noWrap/>
                  <w:vAlign w:val="center"/>
                </w:tcPr>
                <w:p w14:paraId="50DC81D6">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ST3150（10+8）</w:t>
                  </w:r>
                </w:p>
              </w:tc>
              <w:tc>
                <w:tcPr>
                  <w:tcW w:w="423" w:type="pct"/>
                  <w:tcBorders>
                    <w:tl2br w:val="nil"/>
                    <w:tr2bl w:val="nil"/>
                  </w:tcBorders>
                  <w:shd w:val="clear" w:color="auto" w:fill="auto"/>
                  <w:noWrap/>
                  <w:vAlign w:val="center"/>
                </w:tcPr>
                <w:p w14:paraId="5176FB23">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m</w:t>
                  </w:r>
                </w:p>
              </w:tc>
              <w:tc>
                <w:tcPr>
                  <w:tcW w:w="444" w:type="pct"/>
                  <w:tcBorders>
                    <w:tl2br w:val="nil"/>
                    <w:tr2bl w:val="nil"/>
                  </w:tcBorders>
                  <w:shd w:val="clear" w:color="auto" w:fill="auto"/>
                  <w:noWrap/>
                  <w:vAlign w:val="center"/>
                </w:tcPr>
                <w:p w14:paraId="73C2ABBC">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12918</w:t>
                  </w:r>
                </w:p>
              </w:tc>
            </w:tr>
            <w:tr w14:paraId="56DF1ED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4A19F35F">
                  <w:pPr>
                    <w:pStyle w:val="5"/>
                    <w:keepNext w:val="0"/>
                    <w:keepLines w:val="0"/>
                    <w:pageBreakBefore w:val="0"/>
                    <w:widowControl w:val="0"/>
                    <w:kinsoku/>
                    <w:wordWrap/>
                    <w:overflowPunct/>
                    <w:topLinePunct w:val="0"/>
                    <w:bidi w:val="0"/>
                    <w:jc w:val="center"/>
                    <w:textAlignment w:val="auto"/>
                    <w:rPr>
                      <w:rFonts w:hint="eastAsia" w:eastAsia="宋体"/>
                      <w:b w:val="0"/>
                      <w:color w:val="000000"/>
                      <w:lang w:val="en-US" w:eastAsia="zh-CN"/>
                    </w:rPr>
                  </w:pPr>
                  <w:r>
                    <w:rPr>
                      <w:rFonts w:hint="eastAsia"/>
                      <w:b w:val="0"/>
                      <w:color w:val="000000"/>
                      <w:lang w:val="en-US" w:eastAsia="zh-CN"/>
                    </w:rPr>
                    <w:t>四</w:t>
                  </w:r>
                </w:p>
              </w:tc>
              <w:tc>
                <w:tcPr>
                  <w:tcW w:w="4620" w:type="pct"/>
                  <w:gridSpan w:val="4"/>
                  <w:tcBorders>
                    <w:tl2br w:val="nil"/>
                    <w:tr2bl w:val="nil"/>
                  </w:tcBorders>
                  <w:shd w:val="clear" w:color="auto" w:fill="auto"/>
                  <w:noWrap/>
                  <w:vAlign w:val="center"/>
                </w:tcPr>
                <w:p w14:paraId="45A2E6EC">
                  <w:pPr>
                    <w:pStyle w:val="5"/>
                    <w:keepNext w:val="0"/>
                    <w:keepLines w:val="0"/>
                    <w:pageBreakBefore w:val="0"/>
                    <w:widowControl w:val="0"/>
                    <w:kinsoku/>
                    <w:wordWrap/>
                    <w:overflowPunct/>
                    <w:topLinePunct w:val="0"/>
                    <w:bidi w:val="0"/>
                    <w:jc w:val="center"/>
                    <w:textAlignment w:val="auto"/>
                    <w:rPr>
                      <w:rFonts w:hint="default" w:eastAsia="宋体"/>
                      <w:b w:val="0"/>
                      <w:color w:val="000000"/>
                      <w:lang w:val="en-US" w:eastAsia="zh-CN"/>
                    </w:rPr>
                  </w:pPr>
                  <w:r>
                    <w:rPr>
                      <w:rFonts w:hint="eastAsia"/>
                      <w:b w:val="0"/>
                      <w:color w:val="000000"/>
                      <w:lang w:val="en-US" w:eastAsia="zh-CN"/>
                    </w:rPr>
                    <w:t>煤炭仓储加工基地至阳霞发运站廊道</w:t>
                  </w:r>
                </w:p>
              </w:tc>
            </w:tr>
            <w:tr w14:paraId="0A6EB8A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64A29B52">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1</w:t>
                  </w:r>
                </w:p>
              </w:tc>
              <w:tc>
                <w:tcPr>
                  <w:tcW w:w="1535" w:type="pct"/>
                  <w:tcBorders>
                    <w:tl2br w:val="nil"/>
                    <w:tr2bl w:val="nil"/>
                  </w:tcBorders>
                  <w:shd w:val="clear" w:color="auto" w:fill="auto"/>
                  <w:noWrap/>
                  <w:vAlign w:val="center"/>
                </w:tcPr>
                <w:p w14:paraId="20FE1E10">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永磁变频直驱系统</w:t>
                  </w:r>
                </w:p>
              </w:tc>
              <w:tc>
                <w:tcPr>
                  <w:tcW w:w="2216" w:type="pct"/>
                  <w:tcBorders>
                    <w:tl2br w:val="nil"/>
                    <w:tr2bl w:val="nil"/>
                  </w:tcBorders>
                  <w:shd w:val="clear" w:color="auto" w:fill="auto"/>
                  <w:noWrap/>
                  <w:vAlign w:val="center"/>
                </w:tcPr>
                <w:p w14:paraId="2DDCAEEA">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ascii="宋体" w:hAnsi="宋体" w:eastAsia="宋体" w:cs="宋体"/>
                      <w:color w:val="000000" w:themeColor="text1"/>
                      <w14:textFill>
                        <w14:solidFill>
                          <w14:schemeClr w14:val="tx1"/>
                        </w14:solidFill>
                      </w14:textFill>
                    </w:rPr>
                    <w:t>永磁直驱电机</w:t>
                  </w:r>
                  <w:r>
                    <w:rPr>
                      <w:color w:val="000000" w:themeColor="text1"/>
                      <w14:textFill>
                        <w14:solidFill>
                          <w14:schemeClr w14:val="tx1"/>
                        </w14:solidFill>
                      </w14:textFill>
                    </w:rPr>
                    <w:t>TBYF</w:t>
                  </w:r>
                  <w:r>
                    <w:rPr>
                      <w:rFonts w:hint="eastAsia" w:ascii="宋体" w:hAnsi="宋体" w:eastAsia="宋体" w:cs="宋体"/>
                      <w:color w:val="000000" w:themeColor="text1"/>
                      <w14:textFill>
                        <w14:solidFill>
                          <w14:schemeClr w14:val="tx1"/>
                        </w14:solidFill>
                      </w14:textFill>
                    </w:rPr>
                    <w:t>型</w:t>
                  </w:r>
                  <w:r>
                    <w:rPr>
                      <w:rFonts w:hint="eastAsia" w:eastAsiaTheme="minorEastAsia"/>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台、</w:t>
                  </w:r>
                  <w:r>
                    <w:rPr>
                      <w:rFonts w:hint="eastAsia" w:eastAsiaTheme="minorEastAsia"/>
                      <w:color w:val="000000" w:themeColor="text1"/>
                      <w14:textFill>
                        <w14:solidFill>
                          <w14:schemeClr w14:val="tx1"/>
                        </w14:solidFill>
                      </w14:textFill>
                    </w:rPr>
                    <w:t>160</w:t>
                  </w:r>
                  <w:r>
                    <w:rPr>
                      <w:color w:val="000000" w:themeColor="text1"/>
                      <w14:textFill>
                        <w14:solidFill>
                          <w14:schemeClr w14:val="tx1"/>
                        </w14:solidFill>
                      </w14:textFill>
                    </w:rPr>
                    <w:t>0kW</w:t>
                  </w:r>
                </w:p>
              </w:tc>
              <w:tc>
                <w:tcPr>
                  <w:tcW w:w="423" w:type="pct"/>
                  <w:tcBorders>
                    <w:tl2br w:val="nil"/>
                    <w:tr2bl w:val="nil"/>
                  </w:tcBorders>
                  <w:shd w:val="clear" w:color="auto" w:fill="auto"/>
                  <w:noWrap/>
                  <w:vAlign w:val="center"/>
                </w:tcPr>
                <w:p w14:paraId="001D40EB">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套</w:t>
                  </w:r>
                </w:p>
              </w:tc>
              <w:tc>
                <w:tcPr>
                  <w:tcW w:w="444" w:type="pct"/>
                  <w:tcBorders>
                    <w:tl2br w:val="nil"/>
                    <w:tr2bl w:val="nil"/>
                  </w:tcBorders>
                  <w:shd w:val="clear" w:color="auto" w:fill="auto"/>
                  <w:noWrap/>
                  <w:vAlign w:val="center"/>
                </w:tcPr>
                <w:p w14:paraId="1B2397B4">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5</w:t>
                  </w:r>
                </w:p>
              </w:tc>
            </w:tr>
            <w:tr w14:paraId="16BFD7C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79" w:type="pct"/>
                  <w:tcBorders>
                    <w:tl2br w:val="nil"/>
                    <w:tr2bl w:val="nil"/>
                  </w:tcBorders>
                  <w:shd w:val="clear" w:color="auto" w:fill="auto"/>
                  <w:noWrap/>
                  <w:vAlign w:val="center"/>
                </w:tcPr>
                <w:p w14:paraId="06ECD4BA">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2</w:t>
                  </w:r>
                </w:p>
              </w:tc>
              <w:tc>
                <w:tcPr>
                  <w:tcW w:w="1535" w:type="pct"/>
                  <w:tcBorders>
                    <w:tl2br w:val="nil"/>
                    <w:tr2bl w:val="nil"/>
                  </w:tcBorders>
                  <w:shd w:val="clear" w:color="auto" w:fill="auto"/>
                  <w:noWrap/>
                  <w:vAlign w:val="center"/>
                </w:tcPr>
                <w:p w14:paraId="71F5C77F">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运输廊道专用胶带</w:t>
                  </w:r>
                </w:p>
              </w:tc>
              <w:tc>
                <w:tcPr>
                  <w:tcW w:w="2216" w:type="pct"/>
                  <w:tcBorders>
                    <w:tl2br w:val="nil"/>
                    <w:tr2bl w:val="nil"/>
                  </w:tcBorders>
                  <w:shd w:val="clear" w:color="auto" w:fill="auto"/>
                  <w:noWrap/>
                  <w:vAlign w:val="center"/>
                </w:tcPr>
                <w:p w14:paraId="56C8D36F">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ST3150（10+8）</w:t>
                  </w:r>
                </w:p>
              </w:tc>
              <w:tc>
                <w:tcPr>
                  <w:tcW w:w="423" w:type="pct"/>
                  <w:tcBorders>
                    <w:tl2br w:val="nil"/>
                    <w:tr2bl w:val="nil"/>
                  </w:tcBorders>
                  <w:shd w:val="clear" w:color="auto" w:fill="auto"/>
                  <w:noWrap/>
                  <w:vAlign w:val="center"/>
                </w:tcPr>
                <w:p w14:paraId="67E6392E">
                  <w:pPr>
                    <w:pStyle w:val="5"/>
                    <w:keepNext w:val="0"/>
                    <w:keepLines w:val="0"/>
                    <w:pageBreakBefore w:val="0"/>
                    <w:widowControl w:val="0"/>
                    <w:kinsoku/>
                    <w:wordWrap/>
                    <w:overflowPunct/>
                    <w:topLinePunct w:val="0"/>
                    <w:bidi w:val="0"/>
                    <w:ind w:firstLine="0" w:firstLineChars="0"/>
                    <w:jc w:val="center"/>
                    <w:textAlignment w:val="auto"/>
                    <w:rPr>
                      <w:rFonts w:hint="eastAsia"/>
                      <w:b w:val="0"/>
                      <w:color w:val="000000"/>
                    </w:rPr>
                  </w:pPr>
                  <w:r>
                    <w:rPr>
                      <w:rFonts w:hint="eastAsia"/>
                      <w:b w:val="0"/>
                      <w:color w:val="000000"/>
                      <w:lang w:val="en-US" w:eastAsia="zh-CN"/>
                    </w:rPr>
                    <w:t>m</w:t>
                  </w:r>
                </w:p>
              </w:tc>
              <w:tc>
                <w:tcPr>
                  <w:tcW w:w="444" w:type="pct"/>
                  <w:tcBorders>
                    <w:tl2br w:val="nil"/>
                    <w:tr2bl w:val="nil"/>
                  </w:tcBorders>
                  <w:shd w:val="clear" w:color="auto" w:fill="auto"/>
                  <w:noWrap/>
                  <w:vAlign w:val="center"/>
                </w:tcPr>
                <w:p w14:paraId="60A146C7">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rPr>
                  </w:pPr>
                  <w:r>
                    <w:rPr>
                      <w:rFonts w:hint="eastAsia"/>
                      <w:b w:val="0"/>
                      <w:color w:val="000000"/>
                      <w:lang w:val="en-US" w:eastAsia="zh-CN"/>
                    </w:rPr>
                    <w:t>11180</w:t>
                  </w:r>
                </w:p>
              </w:tc>
            </w:tr>
          </w:tbl>
          <w:p w14:paraId="30BAB995">
            <w:pPr>
              <w:pStyle w:val="3"/>
              <w:keepNext w:val="0"/>
              <w:keepLines w:val="0"/>
              <w:pageBreakBefore w:val="0"/>
              <w:widowControl w:val="0"/>
              <w:kinsoku/>
              <w:wordWrap/>
              <w:overflowPunct/>
              <w:topLinePunct w:val="0"/>
              <w:bidi w:val="0"/>
              <w:jc w:val="left"/>
              <w:textAlignment w:val="auto"/>
              <w:rPr>
                <w:rFonts w:hint="default"/>
                <w:lang w:val="en-US" w:eastAsia="zh-CN"/>
              </w:rPr>
            </w:pPr>
            <w:r>
              <w:rPr>
                <w:rFonts w:hint="eastAsia"/>
                <w:lang w:val="en-US" w:eastAsia="zh-CN"/>
              </w:rPr>
              <w:t>5.</w:t>
            </w:r>
            <w:r>
              <w:rPr>
                <w:rFonts w:hint="default"/>
                <w:lang w:val="en-US" w:eastAsia="zh-CN"/>
              </w:rPr>
              <w:t>主要原辅材料</w:t>
            </w:r>
            <w:r>
              <w:rPr>
                <w:rFonts w:hint="eastAsia"/>
                <w:lang w:val="en-US" w:eastAsia="zh-CN"/>
              </w:rPr>
              <w:t>及能源消耗</w:t>
            </w:r>
          </w:p>
          <w:p w14:paraId="6E9E5003">
            <w:pPr>
              <w:keepNext w:val="0"/>
              <w:keepLines w:val="0"/>
              <w:pageBreakBefore w:val="0"/>
              <w:widowControl w:val="0"/>
              <w:kinsoku/>
              <w:wordWrap/>
              <w:overflowPunct/>
              <w:topLinePunct w:val="0"/>
              <w:bidi w:val="0"/>
              <w:jc w:val="left"/>
              <w:textAlignment w:val="auto"/>
              <w:rPr>
                <w:rFonts w:hint="default"/>
              </w:rPr>
            </w:pPr>
            <w:r>
              <w:rPr>
                <w:rFonts w:hint="default"/>
              </w:rPr>
              <w:t>本项目具体原辅材料消耗情况见表</w:t>
            </w:r>
            <w:r>
              <w:rPr>
                <w:rFonts w:hint="eastAsia"/>
                <w:lang w:val="en-US" w:eastAsia="zh-CN"/>
              </w:rPr>
              <w:t>2-4</w:t>
            </w:r>
            <w:r>
              <w:rPr>
                <w:rFonts w:hint="default"/>
              </w:rPr>
              <w:t>。</w:t>
            </w:r>
          </w:p>
          <w:p w14:paraId="1B6D95E8">
            <w:pPr>
              <w:pStyle w:val="13"/>
              <w:keepNext w:val="0"/>
              <w:keepLines w:val="0"/>
              <w:pageBreakBefore w:val="0"/>
              <w:widowControl w:val="0"/>
              <w:kinsoku/>
              <w:wordWrap/>
              <w:overflowPunct/>
              <w:topLinePunct w:val="0"/>
              <w:bidi w:val="0"/>
              <w:jc w:val="center"/>
              <w:textAlignment w:val="auto"/>
              <w:rPr>
                <w:rFonts w:hint="default"/>
                <w:lang w:val="en-US" w:eastAsia="zh-CN"/>
              </w:rPr>
            </w:pPr>
            <w:r>
              <w:rPr>
                <w:rFonts w:hint="default"/>
                <w:lang w:val="en-US" w:eastAsia="zh-CN"/>
              </w:rPr>
              <w:t>表</w:t>
            </w:r>
            <w:r>
              <w:rPr>
                <w:rFonts w:hint="eastAsia"/>
                <w:lang w:val="en-US" w:eastAsia="zh-CN"/>
              </w:rPr>
              <w:t xml:space="preserve">2-4    </w:t>
            </w:r>
            <w:r>
              <w:rPr>
                <w:rFonts w:hint="default"/>
                <w:lang w:val="en-US" w:eastAsia="zh-CN"/>
              </w:rPr>
              <w:t>主要原辅材料及能源消耗一览表</w:t>
            </w:r>
          </w:p>
          <w:tbl>
            <w:tblPr>
              <w:tblStyle w:val="42"/>
              <w:tblW w:w="4998"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4"/>
              <w:gridCol w:w="1276"/>
              <w:gridCol w:w="1050"/>
              <w:gridCol w:w="1031"/>
              <w:gridCol w:w="1112"/>
              <w:gridCol w:w="2762"/>
            </w:tblGrid>
            <w:tr w14:paraId="7AB9376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32" w:type="pct"/>
                  <w:tcBorders>
                    <w:tl2br w:val="nil"/>
                    <w:tr2bl w:val="nil"/>
                  </w:tcBorders>
                  <w:shd w:val="clear" w:color="auto" w:fill="auto"/>
                  <w:noWrap w:val="0"/>
                  <w:vAlign w:val="center"/>
                </w:tcPr>
                <w:p w14:paraId="368B5300">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序号</w:t>
                  </w:r>
                </w:p>
              </w:tc>
              <w:tc>
                <w:tcPr>
                  <w:tcW w:w="1469" w:type="pct"/>
                  <w:gridSpan w:val="2"/>
                  <w:tcBorders>
                    <w:tl2br w:val="nil"/>
                    <w:tr2bl w:val="nil"/>
                  </w:tcBorders>
                  <w:shd w:val="clear" w:color="auto" w:fill="auto"/>
                  <w:noWrap w:val="0"/>
                  <w:vAlign w:val="center"/>
                </w:tcPr>
                <w:p w14:paraId="4E085B83">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名称</w:t>
                  </w:r>
                </w:p>
              </w:tc>
              <w:tc>
                <w:tcPr>
                  <w:tcW w:w="651" w:type="pct"/>
                  <w:tcBorders>
                    <w:tl2br w:val="nil"/>
                    <w:tr2bl w:val="nil"/>
                  </w:tcBorders>
                  <w:shd w:val="clear" w:color="auto" w:fill="auto"/>
                  <w:noWrap w:val="0"/>
                  <w:vAlign w:val="center"/>
                </w:tcPr>
                <w:p w14:paraId="534E2FE4">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单位</w:t>
                  </w:r>
                </w:p>
              </w:tc>
              <w:tc>
                <w:tcPr>
                  <w:tcW w:w="702" w:type="pct"/>
                  <w:tcBorders>
                    <w:tl2br w:val="nil"/>
                    <w:tr2bl w:val="nil"/>
                  </w:tcBorders>
                  <w:shd w:val="clear" w:color="auto" w:fill="auto"/>
                  <w:noWrap w:val="0"/>
                  <w:vAlign w:val="center"/>
                </w:tcPr>
                <w:p w14:paraId="28676E70">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消耗量</w:t>
                  </w:r>
                </w:p>
              </w:tc>
              <w:tc>
                <w:tcPr>
                  <w:tcW w:w="1744" w:type="pct"/>
                  <w:tcBorders>
                    <w:tl2br w:val="nil"/>
                    <w:tr2bl w:val="nil"/>
                  </w:tcBorders>
                  <w:shd w:val="clear" w:color="auto" w:fill="auto"/>
                  <w:noWrap w:val="0"/>
                  <w:vAlign w:val="center"/>
                </w:tcPr>
                <w:p w14:paraId="41C17A3F">
                  <w:pPr>
                    <w:pStyle w:val="5"/>
                    <w:keepNext w:val="0"/>
                    <w:keepLines w:val="0"/>
                    <w:pageBreakBefore w:val="0"/>
                    <w:widowControl w:val="0"/>
                    <w:kinsoku/>
                    <w:wordWrap/>
                    <w:overflowPunct/>
                    <w:topLinePunct w:val="0"/>
                    <w:bidi w:val="0"/>
                    <w:jc w:val="center"/>
                    <w:textAlignment w:val="auto"/>
                    <w:rPr>
                      <w:rFonts w:hint="eastAsia"/>
                      <w:b w:val="0"/>
                      <w:color w:val="000000"/>
                      <w:lang w:eastAsia="zh-CN"/>
                    </w:rPr>
                  </w:pPr>
                  <w:r>
                    <w:rPr>
                      <w:rFonts w:hint="eastAsia"/>
                      <w:b w:val="0"/>
                      <w:color w:val="000000"/>
                      <w:lang w:eastAsia="zh-CN"/>
                    </w:rPr>
                    <w:t>来源</w:t>
                  </w:r>
                </w:p>
              </w:tc>
            </w:tr>
            <w:tr w14:paraId="6B4C64E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32" w:type="pct"/>
                  <w:tcBorders>
                    <w:tl2br w:val="nil"/>
                    <w:tr2bl w:val="nil"/>
                  </w:tcBorders>
                  <w:shd w:val="clear" w:color="auto" w:fill="auto"/>
                  <w:noWrap w:val="0"/>
                  <w:vAlign w:val="center"/>
                </w:tcPr>
                <w:p w14:paraId="1655D791">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default"/>
                      <w:b w:val="0"/>
                      <w:color w:val="000000"/>
                      <w:lang w:val="en-US" w:eastAsia="zh-CN"/>
                    </w:rPr>
                    <w:t>1</w:t>
                  </w:r>
                </w:p>
              </w:tc>
              <w:tc>
                <w:tcPr>
                  <w:tcW w:w="806" w:type="pct"/>
                  <w:vMerge w:val="restart"/>
                  <w:tcBorders>
                    <w:tl2br w:val="nil"/>
                    <w:tr2bl w:val="nil"/>
                  </w:tcBorders>
                  <w:shd w:val="clear" w:color="auto" w:fill="auto"/>
                  <w:noWrap w:val="0"/>
                  <w:vAlign w:val="center"/>
                </w:tcPr>
                <w:p w14:paraId="0854A12F">
                  <w:pPr>
                    <w:pStyle w:val="5"/>
                    <w:keepNext w:val="0"/>
                    <w:keepLines w:val="0"/>
                    <w:pageBreakBefore w:val="0"/>
                    <w:widowControl w:val="0"/>
                    <w:kinsoku/>
                    <w:wordWrap/>
                    <w:overflowPunct/>
                    <w:topLinePunct w:val="0"/>
                    <w:bidi w:val="0"/>
                    <w:jc w:val="center"/>
                    <w:textAlignment w:val="auto"/>
                    <w:rPr>
                      <w:rFonts w:hint="default"/>
                      <w:b w:val="0"/>
                      <w:color w:val="000000"/>
                      <w:lang w:eastAsia="zh-CN"/>
                    </w:rPr>
                  </w:pPr>
                  <w:r>
                    <w:rPr>
                      <w:rFonts w:hint="default"/>
                      <w:b w:val="0"/>
                      <w:color w:val="000000"/>
                      <w:lang w:eastAsia="zh-CN"/>
                    </w:rPr>
                    <w:t>能源消耗</w:t>
                  </w:r>
                </w:p>
              </w:tc>
              <w:tc>
                <w:tcPr>
                  <w:tcW w:w="662" w:type="pct"/>
                  <w:tcBorders>
                    <w:tl2br w:val="nil"/>
                    <w:tr2bl w:val="nil"/>
                  </w:tcBorders>
                  <w:shd w:val="clear" w:color="auto" w:fill="auto"/>
                  <w:noWrap w:val="0"/>
                  <w:vAlign w:val="center"/>
                </w:tcPr>
                <w:p w14:paraId="6638AC3F">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水</w:t>
                  </w:r>
                </w:p>
              </w:tc>
              <w:tc>
                <w:tcPr>
                  <w:tcW w:w="651" w:type="pct"/>
                  <w:tcBorders>
                    <w:tl2br w:val="nil"/>
                    <w:tr2bl w:val="nil"/>
                  </w:tcBorders>
                  <w:shd w:val="clear" w:color="auto" w:fill="auto"/>
                  <w:noWrap w:val="0"/>
                  <w:vAlign w:val="center"/>
                </w:tcPr>
                <w:p w14:paraId="3183D6A3">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m</w:t>
                  </w:r>
                  <w:r>
                    <w:rPr>
                      <w:rFonts w:hint="default"/>
                      <w:b w:val="0"/>
                      <w:color w:val="000000"/>
                      <w:vertAlign w:val="superscript"/>
                    </w:rPr>
                    <w:t>3</w:t>
                  </w:r>
                  <w:r>
                    <w:rPr>
                      <w:rFonts w:hint="default"/>
                      <w:b w:val="0"/>
                      <w:color w:val="000000"/>
                    </w:rPr>
                    <w:t>/a</w:t>
                  </w:r>
                </w:p>
              </w:tc>
              <w:tc>
                <w:tcPr>
                  <w:tcW w:w="702" w:type="pct"/>
                  <w:tcBorders>
                    <w:tl2br w:val="nil"/>
                    <w:tr2bl w:val="nil"/>
                  </w:tcBorders>
                  <w:shd w:val="clear" w:color="auto" w:fill="auto"/>
                  <w:noWrap w:val="0"/>
                  <w:vAlign w:val="center"/>
                </w:tcPr>
                <w:p w14:paraId="4FB27E11">
                  <w:pPr>
                    <w:pStyle w:val="5"/>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1140</w:t>
                  </w:r>
                </w:p>
              </w:tc>
              <w:tc>
                <w:tcPr>
                  <w:tcW w:w="1744" w:type="pct"/>
                  <w:tcBorders>
                    <w:tl2br w:val="nil"/>
                    <w:tr2bl w:val="nil"/>
                  </w:tcBorders>
                  <w:shd w:val="clear" w:color="auto" w:fill="auto"/>
                  <w:noWrap w:val="0"/>
                  <w:vAlign w:val="center"/>
                </w:tcPr>
                <w:p w14:paraId="7BB1AA8D">
                  <w:pPr>
                    <w:pStyle w:val="5"/>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b w:val="0"/>
                      <w:color w:val="000000"/>
                    </w:rPr>
                  </w:pPr>
                  <w:r>
                    <w:rPr>
                      <w:rFonts w:hint="default" w:ascii="Times New Roman" w:hAnsi="Times New Roman" w:eastAsia="宋体" w:cs="Times New Roman"/>
                      <w:b w:val="0"/>
                      <w:color w:val="000000"/>
                    </w:rPr>
                    <w:t>由供水管线供给</w:t>
                  </w:r>
                </w:p>
              </w:tc>
            </w:tr>
            <w:tr w14:paraId="2B9D66C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32" w:type="pct"/>
                  <w:tcBorders>
                    <w:tl2br w:val="nil"/>
                    <w:tr2bl w:val="nil"/>
                  </w:tcBorders>
                  <w:shd w:val="clear" w:color="auto" w:fill="auto"/>
                  <w:noWrap w:val="0"/>
                  <w:vAlign w:val="center"/>
                </w:tcPr>
                <w:p w14:paraId="08E9BFD0">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default"/>
                      <w:b w:val="0"/>
                      <w:color w:val="000000"/>
                      <w:lang w:val="en-US" w:eastAsia="zh-CN"/>
                    </w:rPr>
                    <w:t>2</w:t>
                  </w:r>
                </w:p>
              </w:tc>
              <w:tc>
                <w:tcPr>
                  <w:tcW w:w="806" w:type="pct"/>
                  <w:vMerge w:val="continue"/>
                  <w:tcBorders>
                    <w:tl2br w:val="nil"/>
                    <w:tr2bl w:val="nil"/>
                  </w:tcBorders>
                  <w:shd w:val="clear" w:color="auto" w:fill="auto"/>
                  <w:noWrap w:val="0"/>
                  <w:vAlign w:val="center"/>
                </w:tcPr>
                <w:p w14:paraId="63F2CA7D">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p>
              </w:tc>
              <w:tc>
                <w:tcPr>
                  <w:tcW w:w="662" w:type="pct"/>
                  <w:tcBorders>
                    <w:tl2br w:val="nil"/>
                    <w:tr2bl w:val="nil"/>
                  </w:tcBorders>
                  <w:shd w:val="clear" w:color="auto" w:fill="auto"/>
                  <w:noWrap w:val="0"/>
                  <w:vAlign w:val="center"/>
                </w:tcPr>
                <w:p w14:paraId="6775E1F3">
                  <w:pPr>
                    <w:pStyle w:val="5"/>
                    <w:keepNext w:val="0"/>
                    <w:keepLines w:val="0"/>
                    <w:pageBreakBefore w:val="0"/>
                    <w:widowControl w:val="0"/>
                    <w:kinsoku/>
                    <w:wordWrap/>
                    <w:overflowPunct/>
                    <w:topLinePunct w:val="0"/>
                    <w:bidi w:val="0"/>
                    <w:jc w:val="center"/>
                    <w:textAlignment w:val="auto"/>
                    <w:rPr>
                      <w:rFonts w:hint="default"/>
                      <w:b w:val="0"/>
                      <w:color w:val="000000"/>
                    </w:rPr>
                  </w:pPr>
                  <w:r>
                    <w:rPr>
                      <w:rFonts w:hint="default"/>
                      <w:b w:val="0"/>
                      <w:color w:val="000000"/>
                    </w:rPr>
                    <w:t>电</w:t>
                  </w:r>
                </w:p>
              </w:tc>
              <w:tc>
                <w:tcPr>
                  <w:tcW w:w="651" w:type="pct"/>
                  <w:tcBorders>
                    <w:tl2br w:val="nil"/>
                    <w:tr2bl w:val="nil"/>
                  </w:tcBorders>
                  <w:shd w:val="clear" w:color="auto" w:fill="auto"/>
                  <w:noWrap w:val="0"/>
                  <w:vAlign w:val="center"/>
                </w:tcPr>
                <w:p w14:paraId="3E575085">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default"/>
                      <w:b w:val="0"/>
                      <w:color w:val="000000"/>
                    </w:rPr>
                    <w:t>万kwh/a</w:t>
                  </w:r>
                </w:p>
              </w:tc>
              <w:tc>
                <w:tcPr>
                  <w:tcW w:w="702" w:type="pct"/>
                  <w:tcBorders>
                    <w:tl2br w:val="nil"/>
                    <w:tr2bl w:val="nil"/>
                  </w:tcBorders>
                  <w:shd w:val="clear" w:color="auto" w:fill="auto"/>
                  <w:noWrap w:val="0"/>
                  <w:vAlign w:val="center"/>
                </w:tcPr>
                <w:p w14:paraId="5794D508">
                  <w:pPr>
                    <w:pStyle w:val="5"/>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6206</w:t>
                  </w:r>
                </w:p>
              </w:tc>
              <w:tc>
                <w:tcPr>
                  <w:tcW w:w="1744" w:type="pct"/>
                  <w:tcBorders>
                    <w:tl2br w:val="nil"/>
                    <w:tr2bl w:val="nil"/>
                  </w:tcBorders>
                  <w:shd w:val="clear" w:color="auto" w:fill="auto"/>
                  <w:noWrap w:val="0"/>
                  <w:vAlign w:val="center"/>
                </w:tcPr>
                <w:p w14:paraId="2D6E5526">
                  <w:pPr>
                    <w:pStyle w:val="5"/>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rPr>
                    <w:t>由</w:t>
                  </w:r>
                  <w:r>
                    <w:rPr>
                      <w:rFonts w:hint="eastAsia" w:ascii="Times New Roman" w:hAnsi="Times New Roman" w:eastAsia="宋体" w:cs="Times New Roman"/>
                      <w:b w:val="0"/>
                      <w:color w:val="000000"/>
                      <w:lang w:val="en-US" w:eastAsia="zh-CN"/>
                    </w:rPr>
                    <w:t>国家</w:t>
                  </w:r>
                  <w:r>
                    <w:rPr>
                      <w:rFonts w:hint="default" w:ascii="Times New Roman" w:hAnsi="Times New Roman" w:eastAsia="宋体" w:cs="Times New Roman"/>
                      <w:b w:val="0"/>
                      <w:color w:val="000000"/>
                    </w:rPr>
                    <w:t>电网供应</w:t>
                  </w:r>
                </w:p>
              </w:tc>
            </w:tr>
            <w:tr w14:paraId="3CD5CA9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432" w:type="pct"/>
                  <w:tcBorders>
                    <w:tl2br w:val="nil"/>
                    <w:tr2bl w:val="nil"/>
                  </w:tcBorders>
                  <w:shd w:val="clear" w:color="auto" w:fill="auto"/>
                  <w:noWrap w:val="0"/>
                  <w:vAlign w:val="center"/>
                </w:tcPr>
                <w:p w14:paraId="1DB827EF">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3</w:t>
                  </w:r>
                </w:p>
              </w:tc>
              <w:tc>
                <w:tcPr>
                  <w:tcW w:w="806" w:type="pct"/>
                  <w:tcBorders>
                    <w:tl2br w:val="nil"/>
                    <w:tr2bl w:val="nil"/>
                  </w:tcBorders>
                  <w:shd w:val="clear" w:color="auto" w:fill="auto"/>
                  <w:noWrap w:val="0"/>
                  <w:vAlign w:val="center"/>
                </w:tcPr>
                <w:p w14:paraId="54296576">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运料</w:t>
                  </w:r>
                </w:p>
              </w:tc>
              <w:tc>
                <w:tcPr>
                  <w:tcW w:w="662" w:type="pct"/>
                  <w:tcBorders>
                    <w:tl2br w:val="nil"/>
                    <w:tr2bl w:val="nil"/>
                  </w:tcBorders>
                  <w:shd w:val="clear" w:color="auto" w:fill="auto"/>
                  <w:noWrap w:val="0"/>
                  <w:vAlign w:val="center"/>
                </w:tcPr>
                <w:p w14:paraId="5D54D4DB">
                  <w:pPr>
                    <w:pStyle w:val="5"/>
                    <w:keepNext w:val="0"/>
                    <w:keepLines w:val="0"/>
                    <w:pageBreakBefore w:val="0"/>
                    <w:widowControl w:val="0"/>
                    <w:kinsoku/>
                    <w:wordWrap/>
                    <w:overflowPunct/>
                    <w:topLinePunct w:val="0"/>
                    <w:bidi w:val="0"/>
                    <w:jc w:val="center"/>
                    <w:textAlignment w:val="auto"/>
                    <w:rPr>
                      <w:rFonts w:hint="eastAsia"/>
                      <w:b w:val="0"/>
                      <w:color w:val="000000"/>
                      <w:lang w:eastAsia="zh-CN"/>
                    </w:rPr>
                  </w:pPr>
                  <w:r>
                    <w:rPr>
                      <w:rFonts w:hint="eastAsia"/>
                      <w:b w:val="0"/>
                      <w:color w:val="000000"/>
                      <w:lang w:val="en-US" w:eastAsia="zh-CN"/>
                    </w:rPr>
                    <w:t>煤</w:t>
                  </w:r>
                </w:p>
              </w:tc>
              <w:tc>
                <w:tcPr>
                  <w:tcW w:w="651" w:type="pct"/>
                  <w:tcBorders>
                    <w:tl2br w:val="nil"/>
                    <w:tr2bl w:val="nil"/>
                  </w:tcBorders>
                  <w:shd w:val="clear" w:color="auto" w:fill="auto"/>
                  <w:noWrap w:val="0"/>
                  <w:vAlign w:val="center"/>
                </w:tcPr>
                <w:p w14:paraId="4D5F8E2A">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万</w:t>
                  </w:r>
                  <w:r>
                    <w:rPr>
                      <w:b w:val="0"/>
                      <w:color w:val="000000"/>
                      <w:lang w:eastAsia="zh-CN"/>
                    </w:rPr>
                    <w:t>t/a</w:t>
                  </w:r>
                </w:p>
              </w:tc>
              <w:tc>
                <w:tcPr>
                  <w:tcW w:w="702" w:type="pct"/>
                  <w:tcBorders>
                    <w:tl2br w:val="nil"/>
                    <w:tr2bl w:val="nil"/>
                  </w:tcBorders>
                  <w:shd w:val="clear" w:color="auto" w:fill="auto"/>
                  <w:noWrap w:val="0"/>
                  <w:vAlign w:val="center"/>
                </w:tcPr>
                <w:p w14:paraId="3E6D8394">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500</w:t>
                  </w:r>
                </w:p>
              </w:tc>
              <w:tc>
                <w:tcPr>
                  <w:tcW w:w="1744" w:type="pct"/>
                  <w:tcBorders>
                    <w:tl2br w:val="nil"/>
                    <w:tr2bl w:val="nil"/>
                  </w:tcBorders>
                  <w:shd w:val="clear" w:color="auto" w:fill="auto"/>
                  <w:noWrap w:val="0"/>
                  <w:vAlign w:val="center"/>
                </w:tcPr>
                <w:p w14:paraId="451602D0">
                  <w:pPr>
                    <w:pStyle w:val="5"/>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东辰煤矿</w:t>
                  </w:r>
                </w:p>
              </w:tc>
            </w:tr>
          </w:tbl>
          <w:p w14:paraId="72FA9AD9">
            <w:pPr>
              <w:pStyle w:val="3"/>
              <w:keepNext w:val="0"/>
              <w:keepLines w:val="0"/>
              <w:pageBreakBefore w:val="0"/>
              <w:widowControl w:val="0"/>
              <w:numPr>
                <w:ilvl w:val="0"/>
                <w:numId w:val="0"/>
              </w:numPr>
              <w:kinsoku/>
              <w:wordWrap/>
              <w:overflowPunct/>
              <w:topLinePunct w:val="0"/>
              <w:bidi w:val="0"/>
              <w:ind w:leftChars="0"/>
              <w:jc w:val="left"/>
              <w:textAlignment w:val="auto"/>
              <w:rPr>
                <w:rFonts w:hint="eastAsia"/>
                <w:lang w:val="en-US" w:eastAsia="zh-CN"/>
              </w:rPr>
            </w:pPr>
            <w:r>
              <w:rPr>
                <w:rFonts w:hint="eastAsia"/>
                <w:lang w:val="en-US" w:eastAsia="zh-CN"/>
              </w:rPr>
              <w:t>6.劳动定员及工作制度</w:t>
            </w:r>
          </w:p>
          <w:p w14:paraId="717CAD51">
            <w:pPr>
              <w:keepNext w:val="0"/>
              <w:keepLines w:val="0"/>
              <w:pageBreakBefore w:val="0"/>
              <w:widowControl w:val="0"/>
              <w:kinsoku/>
              <w:wordWrap/>
              <w:overflowPunct/>
              <w:topLinePunct w:val="0"/>
              <w:bidi w:val="0"/>
              <w:jc w:val="left"/>
              <w:textAlignment w:val="auto"/>
              <w:rPr>
                <w:rFonts w:hint="default"/>
                <w:lang w:val="en-US" w:eastAsia="zh-CN"/>
              </w:rPr>
            </w:pPr>
            <w:r>
              <w:rPr>
                <w:rFonts w:hint="eastAsia"/>
                <w:lang w:val="en-US" w:eastAsia="zh-CN"/>
              </w:rPr>
              <w:t>本项目不新增</w:t>
            </w:r>
            <w:r>
              <w:rPr>
                <w:rFonts w:hint="eastAsia"/>
                <w:lang w:eastAsia="zh-CN"/>
              </w:rPr>
              <w:t>劳动</w:t>
            </w:r>
            <w:r>
              <w:rPr>
                <w:rFonts w:hint="eastAsia"/>
                <w:lang w:val="en-US" w:eastAsia="zh-CN"/>
              </w:rPr>
              <w:t>人员，日常运营维护从东辰煤矿现有人员中调配</w:t>
            </w:r>
            <w:r>
              <w:rPr>
                <w:rFonts w:hint="eastAsia"/>
                <w:lang w:eastAsia="zh-CN"/>
              </w:rPr>
              <w:t>，</w:t>
            </w:r>
            <w:r>
              <w:rPr>
                <w:rFonts w:hint="eastAsia"/>
                <w:lang w:val="en-US" w:eastAsia="zh-CN"/>
              </w:rPr>
              <w:t>输煤廊道</w:t>
            </w:r>
            <w:r>
              <w:rPr>
                <w:rFonts w:hint="eastAsia"/>
                <w:lang w:eastAsia="zh-CN"/>
              </w:rPr>
              <w:t>全年工作</w:t>
            </w:r>
            <w:r>
              <w:rPr>
                <w:rFonts w:hint="eastAsia"/>
                <w:lang w:val="en-US" w:eastAsia="zh-CN"/>
              </w:rPr>
              <w:t>330</w:t>
            </w:r>
            <w:r>
              <w:rPr>
                <w:rFonts w:hint="default"/>
                <w:lang w:eastAsia="zh-CN"/>
              </w:rPr>
              <w:t>d</w:t>
            </w:r>
            <w:r>
              <w:rPr>
                <w:rFonts w:hint="eastAsia"/>
                <w:lang w:eastAsia="zh-CN"/>
              </w:rPr>
              <w:t>（</w:t>
            </w:r>
            <w:r>
              <w:rPr>
                <w:rFonts w:hint="eastAsia"/>
                <w:lang w:val="en-US" w:eastAsia="zh-CN"/>
              </w:rPr>
              <w:t>7920h）</w:t>
            </w:r>
            <w:r>
              <w:rPr>
                <w:rFonts w:hint="eastAsia"/>
                <w:lang w:eastAsia="zh-CN"/>
              </w:rPr>
              <w:t>。</w:t>
            </w:r>
          </w:p>
          <w:p w14:paraId="42A1591A">
            <w:pPr>
              <w:pStyle w:val="3"/>
              <w:keepNext w:val="0"/>
              <w:keepLines w:val="0"/>
              <w:pageBreakBefore w:val="0"/>
              <w:widowControl w:val="0"/>
              <w:numPr>
                <w:ilvl w:val="0"/>
                <w:numId w:val="0"/>
              </w:numPr>
              <w:kinsoku/>
              <w:wordWrap/>
              <w:overflowPunct/>
              <w:topLinePunct w:val="0"/>
              <w:bidi w:val="0"/>
              <w:ind w:leftChars="0"/>
              <w:jc w:val="left"/>
              <w:textAlignment w:val="auto"/>
              <w:rPr>
                <w:rFonts w:hint="default"/>
              </w:rPr>
            </w:pPr>
            <w:r>
              <w:rPr>
                <w:rFonts w:hint="eastAsia"/>
                <w:lang w:val="en-US" w:eastAsia="zh-CN"/>
              </w:rPr>
              <w:t>7.</w:t>
            </w:r>
            <w:r>
              <w:rPr>
                <w:rFonts w:hint="default"/>
              </w:rPr>
              <w:t>公用工程</w:t>
            </w:r>
          </w:p>
          <w:p w14:paraId="5CE8D744">
            <w:pPr>
              <w:keepNext w:val="0"/>
              <w:keepLines w:val="0"/>
              <w:pageBreakBefore w:val="0"/>
              <w:widowControl w:val="0"/>
              <w:kinsoku/>
              <w:wordWrap/>
              <w:overflowPunct/>
              <w:topLinePunct w:val="0"/>
              <w:bidi w:val="0"/>
              <w:jc w:val="left"/>
              <w:textAlignment w:val="auto"/>
              <w:rPr>
                <w:rFonts w:hint="eastAsia"/>
                <w:lang w:val="en-US" w:eastAsia="zh-CN"/>
              </w:rPr>
            </w:pPr>
            <w:r>
              <w:rPr>
                <w:rFonts w:hint="default"/>
                <w:lang w:val="en-US" w:eastAsia="zh-CN"/>
              </w:rPr>
              <w:t>（1）</w:t>
            </w:r>
            <w:r>
              <w:rPr>
                <w:rFonts w:hint="eastAsia"/>
                <w:lang w:val="en-US" w:eastAsia="zh-CN"/>
              </w:rPr>
              <w:t>供水</w:t>
            </w:r>
          </w:p>
          <w:p w14:paraId="5F8C36AA">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运营期主要用水环节为</w:t>
            </w:r>
            <w:r>
              <w:rPr>
                <w:rFonts w:hint="default" w:ascii="Times New Roman" w:hAnsi="Times New Roman" w:eastAsia="宋体" w:cs="Times New Roman"/>
                <w:color w:val="000000"/>
                <w:sz w:val="24"/>
                <w:szCs w:val="24"/>
              </w:rPr>
              <w:t>供</w:t>
            </w:r>
            <w:r>
              <w:rPr>
                <w:rFonts w:hint="eastAsia" w:cs="Times New Roman"/>
                <w:color w:val="000000"/>
                <w:sz w:val="24"/>
                <w:szCs w:val="24"/>
                <w:lang w:val="en-US" w:eastAsia="zh-CN"/>
              </w:rPr>
              <w:t>输煤廊道沿线喷雾抑尘用水，由</w:t>
            </w:r>
            <w:r>
              <w:rPr>
                <w:rFonts w:hint="eastAsia"/>
                <w:b w:val="0"/>
                <w:color w:val="000000"/>
                <w:lang w:val="en-US" w:eastAsia="zh-CN"/>
              </w:rPr>
              <w:t>东辰煤矿矿井水处理系统提供</w:t>
            </w:r>
            <w:r>
              <w:rPr>
                <w:rFonts w:hint="default" w:ascii="Times New Roman" w:hAnsi="Times New Roman" w:eastAsia="宋体" w:cs="Times New Roman"/>
                <w:color w:val="000000"/>
                <w:sz w:val="24"/>
                <w:szCs w:val="24"/>
              </w:rPr>
              <w:t>。</w:t>
            </w:r>
          </w:p>
          <w:p w14:paraId="4CB7DDCC">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①生活</w:t>
            </w:r>
            <w:r>
              <w:rPr>
                <w:rFonts w:hint="default" w:ascii="Times New Roman" w:hAnsi="Times New Roman" w:eastAsia="宋体" w:cs="Times New Roman"/>
                <w:color w:val="auto"/>
                <w:sz w:val="24"/>
                <w:szCs w:val="24"/>
                <w:lang w:val="en-US" w:eastAsia="zh-CN"/>
              </w:rPr>
              <w:t>用水</w:t>
            </w:r>
          </w:p>
          <w:p w14:paraId="0157B9A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left"/>
              <w:textAlignment w:val="auto"/>
              <w:outlineLvl w:val="9"/>
              <w:rPr>
                <w:rFonts w:hint="default" w:cs="Times New Roman"/>
                <w:color w:val="auto"/>
                <w:sz w:val="24"/>
                <w:szCs w:val="24"/>
                <w:highlight w:val="none"/>
                <w:lang w:val="en-US" w:eastAsia="zh-CN"/>
              </w:rPr>
            </w:pPr>
            <w:r>
              <w:rPr>
                <w:rFonts w:hint="eastAsia" w:cs="Times New Roman"/>
                <w:color w:val="auto"/>
                <w:sz w:val="24"/>
                <w:szCs w:val="24"/>
                <w:lang w:val="en-US" w:eastAsia="zh-CN"/>
              </w:rPr>
              <w:t>不新增劳动人员，无新增生活用水</w:t>
            </w:r>
            <w:r>
              <w:rPr>
                <w:rFonts w:hint="eastAsia" w:cs="Times New Roman"/>
                <w:color w:val="auto"/>
                <w:sz w:val="24"/>
                <w:szCs w:val="24"/>
                <w:highlight w:val="none"/>
                <w:lang w:val="en-US" w:eastAsia="zh-CN"/>
              </w:rPr>
              <w:t>。</w:t>
            </w:r>
          </w:p>
          <w:p w14:paraId="05E6D0C4">
            <w:pPr>
              <w:keepNext w:val="0"/>
              <w:keepLines w:val="0"/>
              <w:pageBreakBefore w:val="0"/>
              <w:widowControl w:val="0"/>
              <w:kinsoku/>
              <w:wordWrap/>
              <w:overflowPunct/>
              <w:topLinePunct w:val="0"/>
              <w:bidi w:val="0"/>
              <w:jc w:val="left"/>
              <w:textAlignment w:val="auto"/>
              <w:rPr>
                <w:rFonts w:hint="eastAsia"/>
                <w:lang w:val="en-US" w:eastAsia="zh-CN"/>
              </w:rPr>
            </w:pPr>
            <w:r>
              <w:rPr>
                <w:rFonts w:hint="eastAsia"/>
                <w:lang w:val="en-US" w:eastAsia="zh-CN"/>
              </w:rPr>
              <w:t>②生产用水</w:t>
            </w:r>
          </w:p>
          <w:p w14:paraId="412523BD">
            <w:pPr>
              <w:keepNext w:val="0"/>
              <w:keepLines w:val="0"/>
              <w:pageBreakBefore w:val="0"/>
              <w:widowControl w:val="0"/>
              <w:kinsoku/>
              <w:wordWrap/>
              <w:overflowPunct/>
              <w:topLinePunct w:val="0"/>
              <w:bidi w:val="0"/>
              <w:jc w:val="left"/>
              <w:textAlignment w:val="auto"/>
              <w:rPr>
                <w:rFonts w:hint="eastAsia"/>
                <w:lang w:val="en-US" w:eastAsia="zh-CN"/>
              </w:rPr>
            </w:pPr>
            <w:r>
              <w:rPr>
                <w:rFonts w:hint="eastAsia"/>
                <w:lang w:val="en-US" w:eastAsia="zh-CN"/>
              </w:rPr>
              <w:t>输煤廊道沿线喷雾抑尘用水年设计使用量1140m</w:t>
            </w:r>
            <w:r>
              <w:rPr>
                <w:rFonts w:hint="eastAsia"/>
                <w:vertAlign w:val="superscript"/>
                <w:lang w:val="en-US" w:eastAsia="zh-CN"/>
              </w:rPr>
              <w:t>3</w:t>
            </w:r>
            <w:r>
              <w:rPr>
                <w:rFonts w:hint="eastAsia"/>
                <w:lang w:val="en-US" w:eastAsia="zh-CN"/>
              </w:rPr>
              <w:t>/a，均为</w:t>
            </w:r>
            <w:r>
              <w:rPr>
                <w:rFonts w:hint="eastAsia"/>
                <w:b w:val="0"/>
                <w:color w:val="000000"/>
                <w:lang w:val="en-US" w:eastAsia="zh-CN"/>
              </w:rPr>
              <w:t>东辰煤矿矿井水处理系统回用水</w:t>
            </w:r>
            <w:r>
              <w:rPr>
                <w:rFonts w:hint="eastAsia"/>
                <w:lang w:val="en-US" w:eastAsia="zh-CN"/>
              </w:rPr>
              <w:t>。</w:t>
            </w:r>
          </w:p>
          <w:p w14:paraId="1188926E">
            <w:pPr>
              <w:keepNext w:val="0"/>
              <w:keepLines w:val="0"/>
              <w:pageBreakBefore w:val="0"/>
              <w:widowControl w:val="0"/>
              <w:kinsoku/>
              <w:wordWrap/>
              <w:overflowPunct/>
              <w:topLinePunct w:val="0"/>
              <w:bidi w:val="0"/>
              <w:jc w:val="left"/>
              <w:textAlignment w:val="auto"/>
              <w:rPr>
                <w:rFonts w:hint="default"/>
              </w:rPr>
            </w:pPr>
            <w:r>
              <w:rPr>
                <w:rFonts w:hint="eastAsia"/>
                <w:lang w:eastAsia="zh-CN"/>
              </w:rPr>
              <w:t>（</w:t>
            </w:r>
            <w:r>
              <w:rPr>
                <w:rFonts w:hint="eastAsia"/>
                <w:lang w:val="en-US" w:eastAsia="zh-CN"/>
              </w:rPr>
              <w:t>2</w:t>
            </w:r>
            <w:r>
              <w:rPr>
                <w:rFonts w:hint="eastAsia"/>
                <w:lang w:eastAsia="zh-CN"/>
              </w:rPr>
              <w:t>）</w:t>
            </w:r>
            <w:r>
              <w:rPr>
                <w:rFonts w:hint="default"/>
              </w:rPr>
              <w:t>排水</w:t>
            </w:r>
          </w:p>
          <w:p w14:paraId="7AE52DC2">
            <w:pPr>
              <w:keepNext w:val="0"/>
              <w:keepLines w:val="0"/>
              <w:pageBreakBefore w:val="0"/>
              <w:widowControl w:val="0"/>
              <w:kinsoku/>
              <w:wordWrap/>
              <w:overflowPunct/>
              <w:topLinePunct w:val="0"/>
              <w:bidi w:val="0"/>
              <w:jc w:val="left"/>
              <w:textAlignment w:val="auto"/>
              <w:rPr>
                <w:rFonts w:hint="default"/>
                <w:lang w:val="en-US" w:eastAsia="zh-CN"/>
              </w:rPr>
            </w:pPr>
            <w:r>
              <w:rPr>
                <w:rFonts w:hint="eastAsia"/>
                <w:lang w:val="en-US" w:eastAsia="zh-CN"/>
              </w:rPr>
              <w:t>①生产废水</w:t>
            </w:r>
          </w:p>
          <w:p w14:paraId="57801600">
            <w:pPr>
              <w:keepNext w:val="0"/>
              <w:keepLines w:val="0"/>
              <w:pageBreakBefore w:val="0"/>
              <w:widowControl w:val="0"/>
              <w:kinsoku/>
              <w:wordWrap/>
              <w:overflowPunct/>
              <w:topLinePunct w:val="0"/>
              <w:bidi w:val="0"/>
              <w:jc w:val="left"/>
              <w:textAlignment w:val="auto"/>
              <w:rPr>
                <w:rFonts w:hint="eastAsia"/>
                <w:highlight w:val="none"/>
                <w:lang w:val="en-US" w:eastAsia="zh-CN"/>
              </w:rPr>
            </w:pPr>
            <w:r>
              <w:rPr>
                <w:rFonts w:hint="eastAsia"/>
                <w:color w:val="000000" w:themeColor="text1"/>
                <w:vertAlign w:val="baseline"/>
                <w:lang w:val="en-US" w:eastAsia="zh-CN"/>
                <w14:textFill>
                  <w14:solidFill>
                    <w14:schemeClr w14:val="tx1"/>
                  </w14:solidFill>
                </w14:textFill>
              </w:rPr>
              <w:t>输煤廊道沿线喷雾抑尘用水量为1140m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/a，全部蒸发损耗</w:t>
            </w:r>
            <w:r>
              <w:rPr>
                <w:rFonts w:hint="eastAsia"/>
                <w:highlight w:val="none"/>
                <w:lang w:val="en-US" w:eastAsia="zh-CN"/>
              </w:rPr>
              <w:t>。</w:t>
            </w:r>
          </w:p>
          <w:p w14:paraId="630783C1">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eastAsia"/>
                <w:lang w:val="en-US" w:eastAsia="zh-CN"/>
              </w:rPr>
            </w:pPr>
            <w:r>
              <w:rPr>
                <w:rFonts w:hint="eastAsia"/>
                <w:lang w:val="en-US" w:eastAsia="zh-CN"/>
              </w:rPr>
              <w:t>②生活用水</w:t>
            </w:r>
          </w:p>
          <w:p w14:paraId="1D87901E">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lang w:val="en-US" w:eastAsia="zh-CN"/>
              </w:rPr>
            </w:pPr>
            <w:r>
              <w:rPr>
                <w:rFonts w:hint="eastAsia"/>
                <w:lang w:val="en-US" w:eastAsia="zh-CN"/>
              </w:rPr>
              <w:t>项目不新增劳动人员，无新增生活污水产生和排放。</w:t>
            </w:r>
          </w:p>
          <w:p w14:paraId="3C4A0F11">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4878070" cy="476250"/>
                  <wp:effectExtent l="0" t="0" r="0" b="0"/>
                  <wp:docPr id="6" name="ECB019B1-382A-4266-B25C-5B523AA43C14-1" descr="C:/Users/MyPC/AppData/Local/Temp/wps.JnfRp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MyPC/AppData/Local/Temp/wps.JnfRpJwps"/>
                          <pic:cNvPicPr>
                            <a:picLocks noChangeAspect="1"/>
                          </pic:cNvPicPr>
                        </pic:nvPicPr>
                        <pic:blipFill>
                          <a:blip r:embed="rId22"/>
                          <a:srcRect l="3166" t="21561" r="2934" b="18101"/>
                          <a:stretch>
                            <a:fillRect/>
                          </a:stretch>
                        </pic:blipFill>
                        <pic:spPr>
                          <a:xfrm>
                            <a:off x="0" y="0"/>
                            <a:ext cx="4878070" cy="476250"/>
                          </a:xfrm>
                          <a:prstGeom prst="rect">
                            <a:avLst/>
                          </a:prstGeom>
                        </pic:spPr>
                      </pic:pic>
                    </a:graphicData>
                  </a:graphic>
                </wp:inline>
              </w:drawing>
            </w:r>
          </w:p>
          <w:p w14:paraId="6B6DF517">
            <w:pPr>
              <w:pStyle w:val="13"/>
              <w:keepNext w:val="0"/>
              <w:keepLines w:val="0"/>
              <w:pageBreakBefore w:val="0"/>
              <w:widowControl w:val="0"/>
              <w:kinsoku/>
              <w:wordWrap/>
              <w:overflowPunct/>
              <w:topLinePunct w:val="0"/>
              <w:bidi w:val="0"/>
              <w:spacing w:line="240" w:lineRule="auto"/>
              <w:jc w:val="center"/>
              <w:textAlignment w:val="auto"/>
              <w:rPr>
                <w:rFonts w:hint="default"/>
                <w:lang w:val="en-US" w:eastAsia="zh-CN"/>
              </w:rPr>
            </w:pPr>
            <w:r>
              <w:rPr>
                <w:rFonts w:hint="eastAsia"/>
              </w:rPr>
              <w:t>图</w:t>
            </w:r>
            <w:r>
              <w:rPr>
                <w:rFonts w:hint="eastAsia"/>
                <w:lang w:val="en-US" w:eastAsia="zh-CN"/>
              </w:rPr>
              <w:t xml:space="preserve">2-1      </w:t>
            </w:r>
            <w:r>
              <w:rPr>
                <w:rFonts w:hint="eastAsia"/>
              </w:rPr>
              <w:tab/>
            </w:r>
            <w:r>
              <w:rPr>
                <w:rFonts w:hint="eastAsia"/>
                <w:lang w:val="en-US" w:eastAsia="zh-CN"/>
              </w:rPr>
              <w:t xml:space="preserve">  </w:t>
            </w:r>
            <w:r>
              <w:rPr>
                <w:rFonts w:hint="eastAsia"/>
              </w:rPr>
              <w:t>项目水平衡图（</w:t>
            </w:r>
            <w:r>
              <w:rPr>
                <w:rFonts w:hint="eastAsia"/>
                <w:lang w:eastAsia="zh-CN"/>
              </w:rPr>
              <w:t>m</w:t>
            </w:r>
            <w:r>
              <w:rPr>
                <w:rFonts w:hint="default"/>
                <w:lang w:eastAsia="zh-CN"/>
              </w:rPr>
              <w:t>³</w:t>
            </w:r>
            <w:r>
              <w:rPr>
                <w:rFonts w:hint="eastAsia"/>
              </w:rPr>
              <w:t>/</w:t>
            </w:r>
            <w:r>
              <w:rPr>
                <w:rFonts w:hint="eastAsia"/>
                <w:lang w:val="en-US" w:eastAsia="zh-CN"/>
              </w:rPr>
              <w:t>a</w:t>
            </w:r>
            <w:r>
              <w:rPr>
                <w:rFonts w:hint="eastAsia"/>
              </w:rPr>
              <w:t>）</w:t>
            </w:r>
          </w:p>
          <w:p w14:paraId="088C9A85">
            <w:pPr>
              <w:keepNext w:val="0"/>
              <w:keepLines w:val="0"/>
              <w:pageBreakBefore w:val="0"/>
              <w:widowControl w:val="0"/>
              <w:numPr>
                <w:ilvl w:val="0"/>
                <w:numId w:val="3"/>
              </w:numPr>
              <w:kinsoku/>
              <w:wordWrap/>
              <w:overflowPunct/>
              <w:topLinePunct w:val="0"/>
              <w:bidi w:val="0"/>
              <w:jc w:val="left"/>
              <w:textAlignment w:val="auto"/>
              <w:rPr>
                <w:rFonts w:hint="default"/>
              </w:rPr>
            </w:pPr>
            <w:r>
              <w:rPr>
                <w:rFonts w:hint="default"/>
              </w:rPr>
              <w:t>供电：</w:t>
            </w:r>
            <w:r>
              <w:rPr>
                <w:rFonts w:hint="eastAsia"/>
                <w:lang w:val="en-US" w:eastAsia="zh-CN"/>
              </w:rPr>
              <w:t>用电接东辰煤矿电网，用电有保障</w:t>
            </w:r>
            <w:r>
              <w:rPr>
                <w:rFonts w:hint="default"/>
              </w:rPr>
              <w:t>。</w:t>
            </w:r>
          </w:p>
          <w:p w14:paraId="00398D0D">
            <w:pPr>
              <w:keepNext w:val="0"/>
              <w:keepLines w:val="0"/>
              <w:pageBreakBefore w:val="0"/>
              <w:widowControl w:val="0"/>
              <w:numPr>
                <w:ilvl w:val="0"/>
                <w:numId w:val="3"/>
              </w:numPr>
              <w:suppressLineNumbers w:val="0"/>
              <w:kinsoku/>
              <w:wordWrap/>
              <w:overflowPunct/>
              <w:topLinePunct w:val="0"/>
              <w:bidi w:val="0"/>
              <w:ind w:left="0" w:leftChars="0" w:firstLine="480" w:firstLineChars="200"/>
              <w:jc w:val="left"/>
              <w:textAlignment w:val="auto"/>
              <w:rPr>
                <w:rFonts w:hint="eastAsia" w:cs="Times New Roman"/>
                <w:color w:val="auto"/>
                <w:sz w:val="24"/>
                <w:szCs w:val="24"/>
                <w:highlight w:val="none"/>
                <w:lang w:val="en-US" w:eastAsia="zh-CN"/>
              </w:rPr>
            </w:pPr>
            <w:r>
              <w:rPr>
                <w:rFonts w:hint="eastAsia"/>
                <w:lang w:eastAsia="zh-CN"/>
              </w:rPr>
              <w:t>供暖：</w:t>
            </w:r>
            <w:r>
              <w:rPr>
                <w:rFonts w:hint="eastAsia"/>
                <w:lang w:val="en-US" w:eastAsia="zh-CN"/>
              </w:rPr>
              <w:t>输煤廊道冬季运行无需供暖</w:t>
            </w:r>
            <w:r>
              <w:rPr>
                <w:rFonts w:hint="eastAsia" w:cs="Times New Roman"/>
                <w:color w:val="auto"/>
                <w:sz w:val="24"/>
                <w:szCs w:val="24"/>
                <w:highlight w:val="none"/>
                <w:lang w:val="en-US" w:eastAsia="zh-CN"/>
              </w:rPr>
              <w:t>。</w:t>
            </w:r>
          </w:p>
        </w:tc>
      </w:tr>
      <w:tr w14:paraId="44484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743615B0">
            <w:pPr>
              <w:pStyle w:val="3"/>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lang w:val="en-US" w:eastAsia="zh-CN"/>
              </w:rPr>
            </w:pPr>
            <w:r>
              <w:rPr>
                <w:rFonts w:hint="eastAsia" w:cs="Times New Roman"/>
                <w:lang w:val="en-US" w:eastAsia="zh-CN"/>
              </w:rPr>
              <w:t>总平面及现场布置</w:t>
            </w:r>
          </w:p>
        </w:tc>
        <w:tc>
          <w:tcPr>
            <w:tcW w:w="4575" w:type="pct"/>
            <w:tcBorders>
              <w:tl2br w:val="nil"/>
              <w:tr2bl w:val="nil"/>
            </w:tcBorders>
          </w:tcPr>
          <w:p w14:paraId="16B40BBE">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为新疆巴州轮台阳霞矿区输煤廊道建设项目，建设阳霞矿区东辰煤矿至煤炭仓储加工基地输煤廊道（长度12918m）和煤炭仓储加工基地至阳霞发运站输煤廊道（长度11180m），起点位于东辰煤矿工业广场T1转运站（东辰煤矿内已建），终点位于阳霞发运站T4转运站（本项目建设内容）。项目线路布置见附图2。</w:t>
            </w:r>
          </w:p>
        </w:tc>
      </w:tr>
      <w:tr w14:paraId="1E883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0C10EDB7">
            <w:pPr>
              <w:pStyle w:val="3"/>
              <w:keepNext w:val="0"/>
              <w:keepLines w:val="0"/>
              <w:pageBreakBefore w:val="0"/>
              <w:widowControl w:val="0"/>
              <w:kinsoku/>
              <w:wordWrap/>
              <w:overflowPunct/>
              <w:topLinePunct w:val="0"/>
              <w:bidi w:val="0"/>
              <w:jc w:val="center"/>
              <w:textAlignment w:val="auto"/>
              <w:rPr>
                <w:rFonts w:hint="default" w:cs="Times New Roman"/>
                <w:lang w:val="en-US" w:eastAsia="zh-CN"/>
              </w:rPr>
            </w:pPr>
            <w:r>
              <w:rPr>
                <w:rFonts w:hint="eastAsia" w:cs="Times New Roman"/>
                <w:lang w:val="en-US" w:eastAsia="zh-CN"/>
              </w:rPr>
              <w:t>施工方案</w:t>
            </w:r>
          </w:p>
        </w:tc>
        <w:tc>
          <w:tcPr>
            <w:tcW w:w="4575" w:type="pct"/>
            <w:tcBorders>
              <w:tl2br w:val="nil"/>
              <w:tr2bl w:val="nil"/>
            </w:tcBorders>
          </w:tcPr>
          <w:p w14:paraId="62A42BCF">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jc w:val="left"/>
              <w:textAlignment w:val="auto"/>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1.施工工艺流程</w:t>
            </w:r>
          </w:p>
          <w:p w14:paraId="2DCDE63A">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2" w:firstLineChars="20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1.1基础及结构施工方案</w:t>
            </w:r>
          </w:p>
          <w:p w14:paraId="77621F18">
            <w:pPr>
              <w:keepNext w:val="0"/>
              <w:keepLines w:val="0"/>
              <w:pageBreakBefore w:val="0"/>
              <w:widowControl w:val="0"/>
              <w:numPr>
                <w:ilvl w:val="0"/>
                <w:numId w:val="0"/>
              </w:numPr>
              <w:suppressLineNumbers w:val="0"/>
              <w:kinsoku/>
              <w:wordWrap/>
              <w:overflowPunct/>
              <w:topLinePunct w:val="0"/>
              <w:bidi w:val="0"/>
              <w:adjustRightInd w:val="0"/>
              <w:snapToGrid w:val="0"/>
              <w:spacing w:line="240" w:lineRule="auto"/>
              <w:jc w:val="center"/>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drawing>
                <wp:inline distT="0" distB="0" distL="114300" distR="114300">
                  <wp:extent cx="5019040" cy="1448435"/>
                  <wp:effectExtent l="0" t="0" r="0" b="0"/>
                  <wp:docPr id="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wps"/>
                          <pic:cNvPicPr>
                            <a:picLocks noChangeAspect="1"/>
                          </pic:cNvPicPr>
                        </pic:nvPicPr>
                        <pic:blipFill>
                          <a:blip r:embed="rId23"/>
                          <a:srcRect l="2322" t="7866" r="2119" b="7903"/>
                          <a:stretch>
                            <a:fillRect/>
                          </a:stretch>
                        </pic:blipFill>
                        <pic:spPr>
                          <a:xfrm>
                            <a:off x="0" y="0"/>
                            <a:ext cx="5019040" cy="1448435"/>
                          </a:xfrm>
                          <a:prstGeom prst="rect">
                            <a:avLst/>
                          </a:prstGeom>
                        </pic:spPr>
                      </pic:pic>
                    </a:graphicData>
                  </a:graphic>
                </wp:inline>
              </w:drawing>
            </w:r>
          </w:p>
          <w:p w14:paraId="0A95949D">
            <w:pPr>
              <w:keepNext w:val="0"/>
              <w:keepLines w:val="0"/>
              <w:pageBreakBefore w:val="0"/>
              <w:widowControl w:val="0"/>
              <w:numPr>
                <w:ilvl w:val="0"/>
                <w:numId w:val="0"/>
              </w:numPr>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kern w:val="21"/>
                <w:sz w:val="21"/>
                <w:szCs w:val="20"/>
                <w:lang w:val="en-US" w:eastAsia="zh-CN" w:bidi="ar-SA"/>
              </w:rPr>
            </w:pPr>
            <w:r>
              <w:rPr>
                <w:rFonts w:hint="eastAsia" w:ascii="Times New Roman" w:hAnsi="Times New Roman" w:eastAsia="宋体" w:cs="Times New Roman"/>
                <w:b/>
                <w:kern w:val="21"/>
                <w:sz w:val="21"/>
                <w:szCs w:val="20"/>
                <w:lang w:val="en-US" w:eastAsia="zh-CN" w:bidi="ar-SA"/>
              </w:rPr>
              <w:t>图2-2   基础及结构施工方案图</w:t>
            </w:r>
          </w:p>
          <w:p w14:paraId="51CFECBF">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2" w:firstLineChars="20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1.2施工周期</w:t>
            </w:r>
          </w:p>
          <w:p w14:paraId="45D059CE">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本项目计划施工周期为2026年3月1日开工，计划竣工日期2027年3月1日，施工周期1年。</w:t>
            </w:r>
          </w:p>
          <w:p w14:paraId="5F768D24">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2" w:firstLineChars="20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1.3施工顺序</w:t>
            </w:r>
          </w:p>
          <w:p w14:paraId="35F88475">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施工工序较多，交叉作业频繁，在施工准备阶段，由现场负责人编制详细的各工序衔接的计划书，全面考虑影响各工序交叉作业的因素，并提出解决方案。再由现场负责人统一安排各施工队作业计划，各施工队应提出对于交叉作业中可能出现的问题，现场负责人针对这些问题制定出相应的解决方案。本项目工程各分项工程按由下到上的原则进行施工，下一工序未验收前，不得进行上一道工序的施工，减少返工，加快施工进度。</w:t>
            </w:r>
          </w:p>
          <w:p w14:paraId="079C172A">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2" w:firstLineChars="20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1.4施工进度</w:t>
            </w:r>
          </w:p>
          <w:p w14:paraId="008CC8D5">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结合工程施工条件和规模，计划安排施工期为10个月，工程调试期为2个月。计划2026年3月1日开工，拟定施工人员130人。</w:t>
            </w:r>
          </w:p>
          <w:p w14:paraId="196BD45D">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2" w:firstLineChars="20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1.5施工临时占地</w:t>
            </w:r>
          </w:p>
          <w:p w14:paraId="2BED14E6">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0" w:firstLineChars="200"/>
              <w:jc w:val="left"/>
              <w:textAlignment w:val="auto"/>
              <w:rPr>
                <w:rFonts w:hint="default" w:cs="Times New Roman"/>
                <w:b/>
                <w:bCs/>
                <w:color w:val="auto"/>
                <w:sz w:val="24"/>
                <w:szCs w:val="24"/>
                <w:highlight w:val="none"/>
                <w:lang w:val="en-US" w:eastAsia="zh-CN"/>
              </w:rPr>
            </w:pPr>
            <w:r>
              <w:rPr>
                <w:rFonts w:hint="eastAsia" w:cs="Times New Roman"/>
                <w:b w:val="0"/>
                <w:bCs w:val="0"/>
                <w:color w:val="auto"/>
                <w:sz w:val="24"/>
                <w:szCs w:val="24"/>
                <w:highlight w:val="none"/>
                <w:lang w:val="en-US" w:eastAsia="zh-CN"/>
              </w:rPr>
              <w:t>施工期不设置施工营地，施工人员依托煤炭仓储加工基地和阳霞发运站施工营地生活办公，不单独设置施工便道，施工材料运输依托现有施工道路，该施工便道为东辰煤矿至阳霞发运站道路工程建设修建的临时便道（</w:t>
            </w:r>
            <w:r>
              <w:rPr>
                <w:rFonts w:hint="eastAsia"/>
                <w:sz w:val="24"/>
                <w:szCs w:val="24"/>
                <w:lang w:val="en-US" w:eastAsia="zh-CN"/>
              </w:rPr>
              <w:t>道路环评：巴环评价函〔2024〕90号），因此本项目无新增临时占地。</w:t>
            </w:r>
          </w:p>
          <w:p w14:paraId="0A029403">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2" w:firstLineChars="200"/>
              <w:jc w:val="left"/>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1.6土石方平衡</w:t>
            </w:r>
          </w:p>
          <w:p w14:paraId="5D40AD65">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本项目工程挖方量4.93万m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，无填方，无借方，弃方量4.93万m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，全部拉运至东辰煤矿建设指定弃渣场堆存。</w:t>
            </w:r>
          </w:p>
          <w:p w14:paraId="52272A1B">
            <w:pPr>
              <w:pStyle w:val="3"/>
              <w:keepNext w:val="0"/>
              <w:keepLines w:val="0"/>
              <w:pageBreakBefore w:val="0"/>
              <w:widowControl w:val="0"/>
              <w:numPr>
                <w:ilvl w:val="0"/>
                <w:numId w:val="0"/>
              </w:numPr>
              <w:kinsoku/>
              <w:wordWrap/>
              <w:overflowPunct/>
              <w:topLinePunct w:val="0"/>
              <w:bidi w:val="0"/>
              <w:ind w:right="0" w:rightChars="0"/>
              <w:jc w:val="left"/>
              <w:textAlignment w:val="auto"/>
              <w:rPr>
                <w:rFonts w:hint="eastAsia"/>
                <w:lang w:val="en-US" w:eastAsia="zh-CN"/>
              </w:rPr>
            </w:pPr>
            <w:r>
              <w:rPr>
                <w:rFonts w:hint="eastAsia"/>
                <w:lang w:val="en-US" w:eastAsia="zh-CN"/>
              </w:rPr>
              <w:t>2.运营期生产</w:t>
            </w:r>
            <w:r>
              <w:rPr>
                <w:rFonts w:hint="eastAsia"/>
                <w:lang w:eastAsia="zh-CN"/>
              </w:rPr>
              <w:t>工艺流程和产排污环节</w:t>
            </w:r>
          </w:p>
          <w:p w14:paraId="7C620B41">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4779010" cy="1980565"/>
                  <wp:effectExtent l="0" t="0" r="2540" b="635"/>
                  <wp:docPr id="3" name="ECB019B1-382A-4266-B25C-5B523AA43C14-3" descr="C:/Users/MyPC/AppData/Local/Temp/wps.ARwXv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MyPC/AppData/Local/Temp/wps.ARwXvhwps"/>
                          <pic:cNvPicPr>
                            <a:picLocks noChangeAspect="1"/>
                          </pic:cNvPicPr>
                        </pic:nvPicPr>
                        <pic:blipFill>
                          <a:blip r:embed="rId24"/>
                          <a:srcRect l="2106" t="5896" r="1957" b="5830"/>
                          <a:stretch>
                            <a:fillRect/>
                          </a:stretch>
                        </pic:blipFill>
                        <pic:spPr>
                          <a:xfrm>
                            <a:off x="0" y="0"/>
                            <a:ext cx="4779010" cy="1980565"/>
                          </a:xfrm>
                          <a:prstGeom prst="rect">
                            <a:avLst/>
                          </a:prstGeom>
                        </pic:spPr>
                      </pic:pic>
                    </a:graphicData>
                  </a:graphic>
                </wp:inline>
              </w:drawing>
            </w:r>
          </w:p>
          <w:p w14:paraId="17EA57A0">
            <w:pPr>
              <w:pStyle w:val="13"/>
              <w:keepNext w:val="0"/>
              <w:keepLines w:val="0"/>
              <w:pageBreakBefore w:val="0"/>
              <w:widowControl w:val="0"/>
              <w:kinsoku/>
              <w:wordWrap/>
              <w:overflowPunct/>
              <w:topLinePunct w:val="0"/>
              <w:bidi w:val="0"/>
              <w:jc w:val="center"/>
              <w:textAlignment w:val="auto"/>
              <w:rPr>
                <w:rFonts w:hint="eastAsia"/>
                <w:lang w:val="en-US" w:eastAsia="zh-CN"/>
              </w:rPr>
            </w:pPr>
            <w:r>
              <w:rPr>
                <w:rFonts w:hint="eastAsia"/>
                <w:lang w:val="en-US" w:eastAsia="zh-CN"/>
              </w:rPr>
              <w:t>图2-3  输煤工艺流程及产污环节图</w:t>
            </w:r>
          </w:p>
          <w:p w14:paraId="0EF358DF">
            <w:pPr>
              <w:pStyle w:val="3"/>
              <w:keepNext w:val="0"/>
              <w:keepLines w:val="0"/>
              <w:pageBreakBefore w:val="0"/>
              <w:widowControl w:val="0"/>
              <w:kinsoku/>
              <w:wordWrap/>
              <w:overflowPunct/>
              <w:topLinePunct w:val="0"/>
              <w:bidi w:val="0"/>
              <w:jc w:val="left"/>
              <w:textAlignment w:val="auto"/>
              <w:rPr>
                <w:rFonts w:hint="eastAsia"/>
                <w:lang w:val="en-US" w:eastAsia="zh-CN"/>
              </w:rPr>
            </w:pPr>
            <w:r>
              <w:rPr>
                <w:rFonts w:hint="eastAsia"/>
                <w:lang w:val="en-US" w:eastAsia="zh-CN"/>
              </w:rPr>
              <w:t>生产工艺简述：</w:t>
            </w:r>
          </w:p>
          <w:p w14:paraId="6A2F6801">
            <w:pPr>
              <w:keepNext w:val="0"/>
              <w:keepLines w:val="0"/>
              <w:pageBreakBefore w:val="0"/>
              <w:widowControl w:val="0"/>
              <w:suppressLineNumbers w:val="0"/>
              <w:kinsoku/>
              <w:wordWrap/>
              <w:overflowPunct/>
              <w:topLinePunct w:val="0"/>
              <w:bidi w:val="0"/>
              <w:jc w:val="left"/>
              <w:textAlignment w:val="auto"/>
              <w:rPr>
                <w:rFonts w:hint="eastAsia" w:ascii="宋体" w:hAnsi="宋体" w:cs="宋体"/>
                <w:color w:val="000000"/>
                <w:kern w:val="0"/>
                <w:sz w:val="24"/>
                <w:szCs w:val="24"/>
                <w:lang w:val="en-US" w:eastAsia="zh-CN" w:bidi="ar"/>
              </w:rPr>
            </w:pPr>
            <w:r>
              <w:rPr>
                <w:rFonts w:hint="eastAsia"/>
                <w:sz w:val="24"/>
                <w:szCs w:val="24"/>
              </w:rPr>
              <w:t>东辰原煤在经过运输廊道运输至T2转运站</w:t>
            </w:r>
            <w:r>
              <w:rPr>
                <w:rFonts w:hint="eastAsia"/>
                <w:sz w:val="24"/>
                <w:szCs w:val="24"/>
                <w:lang w:eastAsia="zh-CN"/>
              </w:rPr>
              <w:t>（</w:t>
            </w:r>
            <w:r>
              <w:rPr>
                <w:rFonts w:hint="eastAsia"/>
                <w:sz w:val="24"/>
                <w:szCs w:val="24"/>
                <w:lang w:val="en-US" w:eastAsia="zh-CN"/>
              </w:rPr>
              <w:t>位于煤炭仓储加工基地内</w:t>
            </w:r>
            <w:r>
              <w:rPr>
                <w:rFonts w:hint="eastAsia"/>
                <w:sz w:val="24"/>
                <w:szCs w:val="24"/>
                <w:lang w:eastAsia="zh-CN"/>
              </w:rPr>
              <w:t>）</w:t>
            </w:r>
            <w:r>
              <w:rPr>
                <w:rFonts w:hint="eastAsia"/>
                <w:sz w:val="24"/>
                <w:szCs w:val="24"/>
              </w:rPr>
              <w:t>后</w:t>
            </w:r>
            <w:r>
              <w:rPr>
                <w:rFonts w:hint="eastAsia"/>
                <w:sz w:val="24"/>
                <w:szCs w:val="24"/>
                <w:lang w:eastAsia="zh-CN"/>
              </w:rPr>
              <w:t>，</w:t>
            </w:r>
            <w:r>
              <w:rPr>
                <w:rFonts w:hint="eastAsia"/>
                <w:sz w:val="24"/>
                <w:szCs w:val="24"/>
                <w:lang w:val="en-US" w:eastAsia="zh-CN"/>
              </w:rPr>
              <w:t>在T2转运站内，来煤经给煤机分配至不同工段胶带机，由煤炭仓储加工基地的</w:t>
            </w:r>
            <w:r>
              <w:rPr>
                <w:rFonts w:hint="eastAsia"/>
                <w:sz w:val="24"/>
                <w:szCs w:val="24"/>
              </w:rPr>
              <w:t>原煤胶带机转运</w:t>
            </w:r>
            <w:r>
              <w:rPr>
                <w:rFonts w:hint="eastAsia"/>
                <w:sz w:val="24"/>
                <w:szCs w:val="24"/>
                <w:lang w:val="en-US" w:eastAsia="zh-CN"/>
              </w:rPr>
              <w:t>至加工基地</w:t>
            </w:r>
            <w:r>
              <w:rPr>
                <w:rFonts w:hint="eastAsia"/>
                <w:sz w:val="24"/>
                <w:szCs w:val="24"/>
              </w:rPr>
              <w:t>内的原煤封闭储煤棚</w:t>
            </w:r>
            <w:r>
              <w:rPr>
                <w:rFonts w:hint="eastAsia"/>
                <w:sz w:val="24"/>
                <w:szCs w:val="24"/>
                <w:lang w:val="en-US" w:eastAsia="zh-CN"/>
              </w:rPr>
              <w:t>或生产工段</w:t>
            </w:r>
            <w:r>
              <w:rPr>
                <w:rFonts w:hint="eastAsia"/>
                <w:sz w:val="24"/>
                <w:szCs w:val="24"/>
                <w:lang w:eastAsia="zh-CN"/>
              </w:rPr>
              <w:t>；</w:t>
            </w:r>
            <w:r>
              <w:rPr>
                <w:rFonts w:hint="eastAsia"/>
                <w:sz w:val="24"/>
                <w:szCs w:val="24"/>
                <w:lang w:val="en-US" w:eastAsia="zh-CN"/>
              </w:rPr>
              <w:t>原煤经煤炭仓储加工基地加工洗选后</w:t>
            </w:r>
            <w:r>
              <w:rPr>
                <w:rFonts w:hint="eastAsia"/>
                <w:sz w:val="24"/>
                <w:szCs w:val="24"/>
              </w:rPr>
              <w:t>，将精煤（或者矿井原煤）转载至仓储基地至阳霞发运站</w:t>
            </w:r>
            <w:r>
              <w:rPr>
                <w:rFonts w:hint="eastAsia"/>
                <w:sz w:val="24"/>
                <w:szCs w:val="24"/>
                <w:lang w:val="en-US" w:eastAsia="zh-CN"/>
              </w:rPr>
              <w:t>全封闭</w:t>
            </w:r>
            <w:r>
              <w:rPr>
                <w:rFonts w:hint="eastAsia"/>
                <w:sz w:val="24"/>
                <w:szCs w:val="24"/>
              </w:rPr>
              <w:t>廊道中，</w:t>
            </w:r>
            <w:r>
              <w:rPr>
                <w:rFonts w:hint="eastAsia"/>
                <w:sz w:val="24"/>
                <w:szCs w:val="24"/>
                <w:lang w:val="en-US" w:eastAsia="zh-CN"/>
              </w:rPr>
              <w:t>通过廊道运输</w:t>
            </w:r>
            <w:r>
              <w:rPr>
                <w:rFonts w:hint="eastAsia"/>
                <w:sz w:val="24"/>
                <w:szCs w:val="24"/>
              </w:rPr>
              <w:t>至阳霞发运场地内进入T4</w:t>
            </w:r>
            <w:r>
              <w:rPr>
                <w:rFonts w:hint="eastAsia"/>
                <w:sz w:val="24"/>
                <w:szCs w:val="24"/>
                <w:lang w:eastAsia="zh-CN"/>
              </w:rPr>
              <w:t>转运站，</w:t>
            </w:r>
            <w:r>
              <w:rPr>
                <w:rFonts w:hint="eastAsia"/>
                <w:sz w:val="24"/>
                <w:szCs w:val="24"/>
                <w:lang w:val="en-US" w:eastAsia="zh-CN"/>
              </w:rPr>
              <w:t>在T2转运站内，来煤经给煤机分配至不同胶带机，转运至储煤场或发运站台</w:t>
            </w:r>
            <w:r>
              <w:rPr>
                <w:rFonts w:hint="eastAsia"/>
                <w:sz w:val="24"/>
                <w:szCs w:val="24"/>
                <w:lang w:eastAsia="zh-CN"/>
              </w:rPr>
              <w:t>，</w:t>
            </w:r>
            <w:r>
              <w:rPr>
                <w:rFonts w:hint="eastAsia"/>
                <w:sz w:val="24"/>
                <w:szCs w:val="24"/>
                <w:lang w:val="en-US" w:eastAsia="zh-CN"/>
              </w:rPr>
              <w:t>在发运站通过火车或汽车外输</w:t>
            </w:r>
            <w:r>
              <w:rPr>
                <w:rFonts w:hint="eastAsia" w:ascii="宋体" w:hAnsi="宋体" w:cs="宋体"/>
                <w:color w:val="000000"/>
                <w:kern w:val="0"/>
                <w:sz w:val="24"/>
                <w:szCs w:val="24"/>
                <w:lang w:val="en-US" w:eastAsia="zh-CN" w:bidi="ar"/>
              </w:rPr>
              <w:t>。煤炭运输过程中采用全封闭廊道输送，暂不考虑该过程无组织粉尘产生和排放，输送过程中主要考虑噪声污染影响；转运站煤炭转运过程中会产生粉尘和噪声。</w:t>
            </w:r>
          </w:p>
          <w:p w14:paraId="14C56918">
            <w:pPr>
              <w:keepNext w:val="0"/>
              <w:keepLines w:val="0"/>
              <w:pageBreakBefore w:val="0"/>
              <w:widowControl w:val="0"/>
              <w:suppressLineNumbers w:val="0"/>
              <w:kinsoku/>
              <w:wordWrap/>
              <w:overflowPunct/>
              <w:topLinePunct w:val="0"/>
              <w:bidi w:val="0"/>
              <w:jc w:val="left"/>
              <w:textAlignment w:val="auto"/>
              <w:rPr>
                <w:rFonts w:hint="eastAsia"/>
                <w:lang w:val="en-US" w:eastAsia="zh-CN"/>
              </w:rPr>
            </w:pPr>
            <w:r>
              <w:rPr>
                <w:rFonts w:hint="eastAsia"/>
                <w:lang w:val="en-US" w:eastAsia="zh-CN"/>
              </w:rPr>
              <w:t>运营期产排污节点一览表。</w:t>
            </w:r>
          </w:p>
          <w:p w14:paraId="14D11ED4">
            <w:pPr>
              <w:pStyle w:val="13"/>
              <w:keepNext w:val="0"/>
              <w:keepLines w:val="0"/>
              <w:pageBreakBefore w:val="0"/>
              <w:widowControl w:val="0"/>
              <w:kinsoku/>
              <w:wordWrap/>
              <w:overflowPunct/>
              <w:topLinePunct w:val="0"/>
              <w:bidi w:val="0"/>
              <w:jc w:val="center"/>
              <w:textAlignment w:val="auto"/>
              <w:rPr>
                <w:rFonts w:hint="default"/>
                <w:lang w:val="en-US" w:eastAsia="zh-CN"/>
              </w:rPr>
            </w:pPr>
            <w:r>
              <w:rPr>
                <w:rFonts w:hint="eastAsia"/>
                <w:lang w:val="en-US" w:eastAsia="zh-CN"/>
              </w:rPr>
              <w:t>表2-5   产排污节点一览表</w:t>
            </w:r>
          </w:p>
          <w:tbl>
            <w:tblPr>
              <w:tblStyle w:val="42"/>
              <w:tblW w:w="4995"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28" w:type="dxa"/>
                <w:bottom w:w="0" w:type="dxa"/>
                <w:right w:w="28" w:type="dxa"/>
              </w:tblCellMar>
            </w:tblPr>
            <w:tblGrid>
              <w:gridCol w:w="956"/>
              <w:gridCol w:w="1573"/>
              <w:gridCol w:w="1942"/>
              <w:gridCol w:w="3439"/>
            </w:tblGrid>
            <w:tr w14:paraId="5263C61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0" w:hRule="atLeast"/>
                <w:jc w:val="center"/>
              </w:trPr>
              <w:tc>
                <w:tcPr>
                  <w:tcW w:w="604" w:type="pct"/>
                  <w:tcBorders>
                    <w:tl2br w:val="nil"/>
                    <w:tr2bl w:val="nil"/>
                  </w:tcBorders>
                  <w:shd w:val="clear" w:color="auto" w:fill="auto"/>
                  <w:noWrap w:val="0"/>
                  <w:vAlign w:val="center"/>
                </w:tcPr>
                <w:p w14:paraId="13112755">
                  <w:pPr>
                    <w:pStyle w:val="5"/>
                    <w:keepNext w:val="0"/>
                    <w:keepLines w:val="0"/>
                    <w:pageBreakBefore w:val="0"/>
                    <w:widowControl w:val="0"/>
                    <w:kinsoku/>
                    <w:wordWrap/>
                    <w:overflowPunct/>
                    <w:topLinePunct w:val="0"/>
                    <w:bidi w:val="0"/>
                    <w:jc w:val="center"/>
                    <w:textAlignment w:val="auto"/>
                    <w:rPr>
                      <w:rFonts w:hint="eastAsia"/>
                      <w:b/>
                      <w:bCs w:val="0"/>
                      <w:color w:val="000000"/>
                      <w:lang w:val="en-US" w:eastAsia="zh-CN"/>
                    </w:rPr>
                  </w:pPr>
                  <w:r>
                    <w:rPr>
                      <w:rFonts w:hint="eastAsia"/>
                      <w:b/>
                      <w:bCs w:val="0"/>
                      <w:color w:val="000000"/>
                      <w:lang w:val="en-US" w:eastAsia="zh-CN"/>
                    </w:rPr>
                    <w:t>类型</w:t>
                  </w:r>
                </w:p>
              </w:tc>
              <w:tc>
                <w:tcPr>
                  <w:tcW w:w="994" w:type="pct"/>
                  <w:tcBorders>
                    <w:tl2br w:val="nil"/>
                    <w:tr2bl w:val="nil"/>
                  </w:tcBorders>
                  <w:shd w:val="clear" w:color="auto" w:fill="auto"/>
                  <w:noWrap w:val="0"/>
                  <w:vAlign w:val="center"/>
                </w:tcPr>
                <w:p w14:paraId="69BE1C96">
                  <w:pPr>
                    <w:pStyle w:val="5"/>
                    <w:keepNext w:val="0"/>
                    <w:keepLines w:val="0"/>
                    <w:pageBreakBefore w:val="0"/>
                    <w:widowControl w:val="0"/>
                    <w:kinsoku/>
                    <w:wordWrap/>
                    <w:overflowPunct/>
                    <w:topLinePunct w:val="0"/>
                    <w:bidi w:val="0"/>
                    <w:jc w:val="center"/>
                    <w:textAlignment w:val="auto"/>
                    <w:rPr>
                      <w:rFonts w:hint="default"/>
                      <w:b/>
                      <w:bCs w:val="0"/>
                      <w:color w:val="000000"/>
                      <w:lang w:val="en-US" w:eastAsia="zh-CN"/>
                    </w:rPr>
                  </w:pPr>
                  <w:r>
                    <w:rPr>
                      <w:rFonts w:hint="eastAsia"/>
                      <w:b/>
                      <w:bCs w:val="0"/>
                      <w:color w:val="000000"/>
                      <w:lang w:val="en-US" w:eastAsia="zh-CN"/>
                    </w:rPr>
                    <w:t>主要生产单元</w:t>
                  </w:r>
                </w:p>
              </w:tc>
              <w:tc>
                <w:tcPr>
                  <w:tcW w:w="1227" w:type="pct"/>
                  <w:tcBorders>
                    <w:tl2br w:val="nil"/>
                    <w:tr2bl w:val="nil"/>
                  </w:tcBorders>
                  <w:shd w:val="clear" w:color="auto" w:fill="auto"/>
                  <w:noWrap w:val="0"/>
                  <w:vAlign w:val="center"/>
                </w:tcPr>
                <w:p w14:paraId="62871E49">
                  <w:pPr>
                    <w:pStyle w:val="5"/>
                    <w:keepNext w:val="0"/>
                    <w:keepLines w:val="0"/>
                    <w:pageBreakBefore w:val="0"/>
                    <w:widowControl w:val="0"/>
                    <w:kinsoku/>
                    <w:wordWrap/>
                    <w:overflowPunct/>
                    <w:topLinePunct w:val="0"/>
                    <w:bidi w:val="0"/>
                    <w:jc w:val="center"/>
                    <w:textAlignment w:val="auto"/>
                    <w:rPr>
                      <w:rFonts w:hint="default"/>
                      <w:b/>
                      <w:bCs w:val="0"/>
                      <w:color w:val="000000"/>
                      <w:lang w:val="en-US" w:eastAsia="zh-CN"/>
                    </w:rPr>
                  </w:pPr>
                  <w:r>
                    <w:rPr>
                      <w:rFonts w:hint="eastAsia"/>
                      <w:b/>
                      <w:bCs w:val="0"/>
                      <w:color w:val="000000"/>
                      <w:lang w:val="en-US" w:eastAsia="zh-CN"/>
                    </w:rPr>
                    <w:t>产排污环节</w:t>
                  </w:r>
                </w:p>
              </w:tc>
              <w:tc>
                <w:tcPr>
                  <w:tcW w:w="2173" w:type="pct"/>
                  <w:tcBorders>
                    <w:tl2br w:val="nil"/>
                    <w:tr2bl w:val="nil"/>
                  </w:tcBorders>
                  <w:shd w:val="clear" w:color="auto" w:fill="auto"/>
                  <w:noWrap w:val="0"/>
                  <w:vAlign w:val="center"/>
                </w:tcPr>
                <w:p w14:paraId="32431AB6">
                  <w:pPr>
                    <w:pStyle w:val="5"/>
                    <w:keepNext w:val="0"/>
                    <w:keepLines w:val="0"/>
                    <w:pageBreakBefore w:val="0"/>
                    <w:widowControl w:val="0"/>
                    <w:kinsoku/>
                    <w:wordWrap/>
                    <w:overflowPunct/>
                    <w:topLinePunct w:val="0"/>
                    <w:bidi w:val="0"/>
                    <w:jc w:val="center"/>
                    <w:textAlignment w:val="auto"/>
                    <w:rPr>
                      <w:rFonts w:hint="default"/>
                      <w:b/>
                      <w:bCs w:val="0"/>
                      <w:color w:val="000000"/>
                      <w:lang w:val="en-US" w:eastAsia="zh-CN"/>
                    </w:rPr>
                  </w:pPr>
                  <w:r>
                    <w:rPr>
                      <w:rFonts w:hint="eastAsia"/>
                      <w:b/>
                      <w:bCs w:val="0"/>
                      <w:color w:val="000000"/>
                      <w:lang w:val="en-US" w:eastAsia="zh-CN"/>
                    </w:rPr>
                    <w:t>污染物种类</w:t>
                  </w:r>
                </w:p>
              </w:tc>
            </w:tr>
            <w:tr w14:paraId="6F55FB8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trHeight w:val="233" w:hRule="atLeast"/>
                <w:jc w:val="center"/>
              </w:trPr>
              <w:tc>
                <w:tcPr>
                  <w:tcW w:w="604" w:type="pct"/>
                  <w:vMerge w:val="restart"/>
                  <w:tcBorders>
                    <w:tl2br w:val="nil"/>
                    <w:tr2bl w:val="nil"/>
                  </w:tcBorders>
                  <w:shd w:val="clear" w:color="auto" w:fill="auto"/>
                  <w:noWrap w:val="0"/>
                  <w:vAlign w:val="center"/>
                </w:tcPr>
                <w:p w14:paraId="2DE3286B">
                  <w:pPr>
                    <w:pStyle w:val="5"/>
                    <w:keepNext w:val="0"/>
                    <w:keepLines w:val="0"/>
                    <w:pageBreakBefore w:val="0"/>
                    <w:widowControl w:val="0"/>
                    <w:kinsoku/>
                    <w:wordWrap/>
                    <w:overflowPunct/>
                    <w:topLinePunct w:val="0"/>
                    <w:bidi w:val="0"/>
                    <w:jc w:val="center"/>
                    <w:textAlignment w:val="auto"/>
                    <w:rPr>
                      <w:rFonts w:hint="eastAsia"/>
                      <w:b w:val="0"/>
                      <w:color w:val="000000"/>
                      <w:lang w:val="en-US" w:eastAsia="zh-CN"/>
                    </w:rPr>
                  </w:pPr>
                  <w:r>
                    <w:rPr>
                      <w:rFonts w:hint="eastAsia"/>
                      <w:b w:val="0"/>
                      <w:color w:val="000000"/>
                      <w:lang w:val="en-US" w:eastAsia="zh-CN"/>
                    </w:rPr>
                    <w:t>废气</w:t>
                  </w:r>
                </w:p>
              </w:tc>
              <w:tc>
                <w:tcPr>
                  <w:tcW w:w="994" w:type="pct"/>
                  <w:tcBorders>
                    <w:tl2br w:val="nil"/>
                    <w:tr2bl w:val="nil"/>
                  </w:tcBorders>
                  <w:shd w:val="clear" w:color="auto" w:fill="auto"/>
                  <w:noWrap w:val="0"/>
                  <w:vAlign w:val="center"/>
                </w:tcPr>
                <w:p w14:paraId="35A0C14F">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输煤廊道</w:t>
                  </w:r>
                </w:p>
              </w:tc>
              <w:tc>
                <w:tcPr>
                  <w:tcW w:w="1227" w:type="pct"/>
                  <w:tcBorders>
                    <w:tl2br w:val="nil"/>
                    <w:tr2bl w:val="nil"/>
                  </w:tcBorders>
                  <w:shd w:val="clear" w:color="auto" w:fill="auto"/>
                  <w:noWrap w:val="0"/>
                  <w:vAlign w:val="center"/>
                </w:tcPr>
                <w:p w14:paraId="14591913">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煤炭输送</w:t>
                  </w:r>
                </w:p>
              </w:tc>
              <w:tc>
                <w:tcPr>
                  <w:tcW w:w="2173" w:type="pct"/>
                  <w:tcBorders>
                    <w:tl2br w:val="nil"/>
                    <w:tr2bl w:val="nil"/>
                  </w:tcBorders>
                  <w:shd w:val="clear" w:color="auto" w:fill="auto"/>
                  <w:noWrap w:val="0"/>
                  <w:vAlign w:val="center"/>
                </w:tcPr>
                <w:p w14:paraId="1BEF1C4A">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颗粒物</w:t>
                  </w:r>
                </w:p>
              </w:tc>
            </w:tr>
            <w:tr w14:paraId="6E52ADD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trHeight w:val="233" w:hRule="atLeast"/>
                <w:jc w:val="center"/>
              </w:trPr>
              <w:tc>
                <w:tcPr>
                  <w:tcW w:w="604" w:type="pct"/>
                  <w:vMerge w:val="continue"/>
                  <w:tcBorders>
                    <w:tl2br w:val="nil"/>
                    <w:tr2bl w:val="nil"/>
                  </w:tcBorders>
                  <w:shd w:val="clear" w:color="auto" w:fill="auto"/>
                  <w:noWrap w:val="0"/>
                  <w:vAlign w:val="center"/>
                </w:tcPr>
                <w:p w14:paraId="40D13137">
                  <w:pPr>
                    <w:pStyle w:val="5"/>
                    <w:keepNext w:val="0"/>
                    <w:keepLines w:val="0"/>
                    <w:pageBreakBefore w:val="0"/>
                    <w:widowControl w:val="0"/>
                    <w:kinsoku/>
                    <w:wordWrap/>
                    <w:overflowPunct/>
                    <w:topLinePunct w:val="0"/>
                    <w:bidi w:val="0"/>
                    <w:jc w:val="center"/>
                    <w:textAlignment w:val="auto"/>
                    <w:rPr>
                      <w:rFonts w:hint="eastAsia"/>
                      <w:b w:val="0"/>
                      <w:color w:val="000000"/>
                      <w:lang w:val="en-US" w:eastAsia="zh-CN"/>
                    </w:rPr>
                  </w:pPr>
                </w:p>
              </w:tc>
              <w:tc>
                <w:tcPr>
                  <w:tcW w:w="994" w:type="pct"/>
                  <w:tcBorders>
                    <w:tl2br w:val="nil"/>
                    <w:tr2bl w:val="nil"/>
                  </w:tcBorders>
                  <w:shd w:val="clear" w:color="auto" w:fill="auto"/>
                  <w:noWrap w:val="0"/>
                  <w:vAlign w:val="center"/>
                </w:tcPr>
                <w:p w14:paraId="73A44304">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T2转运站</w:t>
                  </w:r>
                </w:p>
              </w:tc>
              <w:tc>
                <w:tcPr>
                  <w:tcW w:w="1227" w:type="pct"/>
                  <w:tcBorders>
                    <w:tl2br w:val="nil"/>
                    <w:tr2bl w:val="nil"/>
                  </w:tcBorders>
                  <w:shd w:val="clear" w:color="auto" w:fill="auto"/>
                  <w:noWrap w:val="0"/>
                  <w:vAlign w:val="center"/>
                </w:tcPr>
                <w:p w14:paraId="334EE277">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煤炭转运</w:t>
                  </w:r>
                </w:p>
              </w:tc>
              <w:tc>
                <w:tcPr>
                  <w:tcW w:w="2173" w:type="pct"/>
                  <w:tcBorders>
                    <w:tl2br w:val="nil"/>
                    <w:tr2bl w:val="nil"/>
                  </w:tcBorders>
                  <w:shd w:val="clear" w:color="auto" w:fill="auto"/>
                  <w:noWrap w:val="0"/>
                  <w:vAlign w:val="center"/>
                </w:tcPr>
                <w:p w14:paraId="4BAB1FB3">
                  <w:pPr>
                    <w:pStyle w:val="5"/>
                    <w:keepNext w:val="0"/>
                    <w:keepLines w:val="0"/>
                    <w:pageBreakBefore w:val="0"/>
                    <w:widowControl w:val="0"/>
                    <w:kinsoku/>
                    <w:wordWrap/>
                    <w:overflowPunct/>
                    <w:topLinePunct w:val="0"/>
                    <w:bidi w:val="0"/>
                    <w:jc w:val="center"/>
                    <w:textAlignment w:val="auto"/>
                    <w:rPr>
                      <w:rFonts w:hint="eastAsia"/>
                      <w:b w:val="0"/>
                      <w:color w:val="000000"/>
                      <w:lang w:val="en-US" w:eastAsia="zh-CN"/>
                    </w:rPr>
                  </w:pPr>
                  <w:r>
                    <w:rPr>
                      <w:rFonts w:hint="eastAsia"/>
                      <w:b w:val="0"/>
                      <w:color w:val="000000"/>
                      <w:lang w:val="en-US" w:eastAsia="zh-CN"/>
                    </w:rPr>
                    <w:t>颗粒物</w:t>
                  </w:r>
                </w:p>
              </w:tc>
            </w:tr>
            <w:tr w14:paraId="38F5A93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233" w:hRule="atLeast"/>
                <w:jc w:val="center"/>
              </w:trPr>
              <w:tc>
                <w:tcPr>
                  <w:tcW w:w="604" w:type="pct"/>
                  <w:vMerge w:val="continue"/>
                  <w:tcBorders>
                    <w:tl2br w:val="nil"/>
                    <w:tr2bl w:val="nil"/>
                  </w:tcBorders>
                  <w:shd w:val="clear" w:color="auto" w:fill="auto"/>
                  <w:noWrap w:val="0"/>
                  <w:vAlign w:val="center"/>
                </w:tcPr>
                <w:p w14:paraId="4E976406">
                  <w:pPr>
                    <w:pStyle w:val="5"/>
                    <w:keepNext w:val="0"/>
                    <w:keepLines w:val="0"/>
                    <w:pageBreakBefore w:val="0"/>
                    <w:widowControl w:val="0"/>
                    <w:kinsoku/>
                    <w:wordWrap/>
                    <w:overflowPunct/>
                    <w:topLinePunct w:val="0"/>
                    <w:bidi w:val="0"/>
                    <w:jc w:val="center"/>
                    <w:textAlignment w:val="auto"/>
                    <w:rPr>
                      <w:rFonts w:hint="eastAsia"/>
                      <w:b w:val="0"/>
                      <w:color w:val="000000"/>
                      <w:lang w:val="en-US" w:eastAsia="zh-CN"/>
                    </w:rPr>
                  </w:pPr>
                </w:p>
              </w:tc>
              <w:tc>
                <w:tcPr>
                  <w:tcW w:w="994" w:type="pct"/>
                  <w:tcBorders>
                    <w:tl2br w:val="nil"/>
                    <w:tr2bl w:val="nil"/>
                  </w:tcBorders>
                  <w:shd w:val="clear" w:color="auto" w:fill="auto"/>
                  <w:noWrap w:val="0"/>
                  <w:vAlign w:val="center"/>
                </w:tcPr>
                <w:p w14:paraId="07FC6808">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T4转运站</w:t>
                  </w:r>
                </w:p>
              </w:tc>
              <w:tc>
                <w:tcPr>
                  <w:tcW w:w="1227" w:type="pct"/>
                  <w:tcBorders>
                    <w:tl2br w:val="nil"/>
                    <w:tr2bl w:val="nil"/>
                  </w:tcBorders>
                  <w:shd w:val="clear" w:color="auto" w:fill="auto"/>
                  <w:noWrap w:val="0"/>
                  <w:vAlign w:val="center"/>
                </w:tcPr>
                <w:p w14:paraId="73D6D079">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煤炭转运</w:t>
                  </w:r>
                </w:p>
              </w:tc>
              <w:tc>
                <w:tcPr>
                  <w:tcW w:w="2173" w:type="pct"/>
                  <w:tcBorders>
                    <w:tl2br w:val="nil"/>
                    <w:tr2bl w:val="nil"/>
                  </w:tcBorders>
                  <w:shd w:val="clear" w:color="auto" w:fill="auto"/>
                  <w:noWrap w:val="0"/>
                  <w:vAlign w:val="center"/>
                </w:tcPr>
                <w:p w14:paraId="789A0960">
                  <w:pPr>
                    <w:pStyle w:val="5"/>
                    <w:keepNext w:val="0"/>
                    <w:keepLines w:val="0"/>
                    <w:pageBreakBefore w:val="0"/>
                    <w:widowControl w:val="0"/>
                    <w:kinsoku/>
                    <w:wordWrap/>
                    <w:overflowPunct/>
                    <w:topLinePunct w:val="0"/>
                    <w:bidi w:val="0"/>
                    <w:jc w:val="center"/>
                    <w:textAlignment w:val="auto"/>
                    <w:rPr>
                      <w:rFonts w:hint="eastAsia"/>
                      <w:b w:val="0"/>
                      <w:color w:val="000000"/>
                      <w:lang w:val="en-US" w:eastAsia="zh-CN"/>
                    </w:rPr>
                  </w:pPr>
                  <w:r>
                    <w:rPr>
                      <w:rFonts w:hint="eastAsia"/>
                      <w:b w:val="0"/>
                      <w:color w:val="000000"/>
                      <w:lang w:val="en-US" w:eastAsia="zh-CN"/>
                    </w:rPr>
                    <w:t>颗粒物</w:t>
                  </w:r>
                </w:p>
              </w:tc>
            </w:tr>
            <w:tr w14:paraId="225D251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604" w:type="pct"/>
                  <w:tcBorders>
                    <w:tl2br w:val="nil"/>
                    <w:tr2bl w:val="nil"/>
                  </w:tcBorders>
                  <w:shd w:val="clear" w:color="auto" w:fill="auto"/>
                  <w:noWrap w:val="0"/>
                  <w:vAlign w:val="center"/>
                </w:tcPr>
                <w:p w14:paraId="0904D865">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噪声</w:t>
                  </w:r>
                </w:p>
              </w:tc>
              <w:tc>
                <w:tcPr>
                  <w:tcW w:w="994" w:type="pct"/>
                  <w:tcBorders>
                    <w:tl2br w:val="nil"/>
                    <w:tr2bl w:val="nil"/>
                  </w:tcBorders>
                  <w:shd w:val="clear" w:color="auto" w:fill="auto"/>
                  <w:noWrap w:val="0"/>
                  <w:vAlign w:val="center"/>
                </w:tcPr>
                <w:p w14:paraId="4C5FE482">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设备噪声</w:t>
                  </w:r>
                </w:p>
              </w:tc>
              <w:tc>
                <w:tcPr>
                  <w:tcW w:w="1227" w:type="pct"/>
                  <w:tcBorders>
                    <w:tl2br w:val="nil"/>
                    <w:tr2bl w:val="nil"/>
                  </w:tcBorders>
                  <w:shd w:val="clear" w:color="auto" w:fill="auto"/>
                  <w:noWrap w:val="0"/>
                  <w:vAlign w:val="center"/>
                </w:tcPr>
                <w:p w14:paraId="6406D20A">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煤炭转运、设备噪声</w:t>
                  </w:r>
                </w:p>
              </w:tc>
              <w:tc>
                <w:tcPr>
                  <w:tcW w:w="2173" w:type="pct"/>
                  <w:tcBorders>
                    <w:tl2br w:val="nil"/>
                    <w:tr2bl w:val="nil"/>
                  </w:tcBorders>
                  <w:shd w:val="clear" w:color="auto" w:fill="auto"/>
                  <w:noWrap w:val="0"/>
                  <w:vAlign w:val="center"/>
                </w:tcPr>
                <w:p w14:paraId="309BF9C1">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输送机噪声、电机噪声等</w:t>
                  </w:r>
                </w:p>
              </w:tc>
            </w:tr>
            <w:tr w14:paraId="0900274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0" w:hRule="atLeast"/>
                <w:jc w:val="center"/>
              </w:trPr>
              <w:tc>
                <w:tcPr>
                  <w:tcW w:w="604" w:type="pct"/>
                  <w:tcBorders>
                    <w:tl2br w:val="nil"/>
                    <w:tr2bl w:val="nil"/>
                  </w:tcBorders>
                  <w:shd w:val="clear" w:color="auto" w:fill="auto"/>
                  <w:noWrap w:val="0"/>
                  <w:vAlign w:val="center"/>
                </w:tcPr>
                <w:p w14:paraId="56639476">
                  <w:pPr>
                    <w:pStyle w:val="5"/>
                    <w:keepNext w:val="0"/>
                    <w:keepLines w:val="0"/>
                    <w:pageBreakBefore w:val="0"/>
                    <w:widowControl w:val="0"/>
                    <w:kinsoku/>
                    <w:wordWrap/>
                    <w:overflowPunct/>
                    <w:topLinePunct w:val="0"/>
                    <w:bidi w:val="0"/>
                    <w:jc w:val="center"/>
                    <w:textAlignment w:val="auto"/>
                    <w:rPr>
                      <w:rFonts w:hint="eastAsia"/>
                      <w:b w:val="0"/>
                      <w:color w:val="000000"/>
                      <w:lang w:val="en-US" w:eastAsia="zh-CN"/>
                    </w:rPr>
                  </w:pPr>
                  <w:r>
                    <w:rPr>
                      <w:rFonts w:hint="eastAsia"/>
                      <w:b w:val="0"/>
                      <w:color w:val="000000"/>
                      <w:lang w:val="en-US" w:eastAsia="zh-CN"/>
                    </w:rPr>
                    <w:t>固体废物</w:t>
                  </w:r>
                </w:p>
              </w:tc>
              <w:tc>
                <w:tcPr>
                  <w:tcW w:w="994" w:type="pct"/>
                  <w:tcBorders>
                    <w:tl2br w:val="nil"/>
                    <w:tr2bl w:val="nil"/>
                  </w:tcBorders>
                  <w:shd w:val="clear" w:color="auto" w:fill="auto"/>
                  <w:noWrap w:val="0"/>
                  <w:vAlign w:val="center"/>
                </w:tcPr>
                <w:p w14:paraId="24E50481">
                  <w:pPr>
                    <w:pStyle w:val="5"/>
                    <w:keepNext w:val="0"/>
                    <w:keepLines w:val="0"/>
                    <w:pageBreakBefore w:val="0"/>
                    <w:widowControl w:val="0"/>
                    <w:kinsoku/>
                    <w:wordWrap/>
                    <w:overflowPunct/>
                    <w:topLinePunct w:val="0"/>
                    <w:bidi w:val="0"/>
                    <w:jc w:val="center"/>
                    <w:textAlignment w:val="auto"/>
                    <w:rPr>
                      <w:rFonts w:hint="default"/>
                      <w:b w:val="0"/>
                      <w:color w:val="000000"/>
                      <w:lang w:val="en-US" w:eastAsia="zh-CN"/>
                    </w:rPr>
                  </w:pPr>
                  <w:r>
                    <w:rPr>
                      <w:rFonts w:hint="eastAsia"/>
                      <w:b w:val="0"/>
                      <w:color w:val="000000"/>
                      <w:lang w:val="en-US" w:eastAsia="zh-CN"/>
                    </w:rPr>
                    <w:t>输煤廊道</w:t>
                  </w:r>
                </w:p>
              </w:tc>
              <w:tc>
                <w:tcPr>
                  <w:tcW w:w="1227" w:type="pct"/>
                  <w:tcBorders>
                    <w:tl2br w:val="nil"/>
                    <w:tr2bl w:val="nil"/>
                  </w:tcBorders>
                  <w:shd w:val="clear" w:color="auto" w:fill="auto"/>
                  <w:noWrap w:val="0"/>
                  <w:vAlign w:val="center"/>
                </w:tcPr>
                <w:p w14:paraId="17B52CF2">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eastAsia"/>
                      <w:b w:val="0"/>
                      <w:color w:val="000000"/>
                      <w:lang w:val="en-US" w:eastAsia="zh-CN"/>
                    </w:rPr>
                    <w:t>机械维修</w:t>
                  </w:r>
                </w:p>
              </w:tc>
              <w:tc>
                <w:tcPr>
                  <w:tcW w:w="2173" w:type="pct"/>
                  <w:tcBorders>
                    <w:tl2br w:val="nil"/>
                    <w:tr2bl w:val="nil"/>
                  </w:tcBorders>
                  <w:shd w:val="clear" w:color="auto" w:fill="auto"/>
                  <w:noWrap w:val="0"/>
                  <w:vAlign w:val="center"/>
                </w:tcPr>
                <w:p w14:paraId="6A712C76">
                  <w:pPr>
                    <w:pStyle w:val="5"/>
                    <w:keepNext w:val="0"/>
                    <w:keepLines w:val="0"/>
                    <w:pageBreakBefore w:val="0"/>
                    <w:widowControl w:val="0"/>
                    <w:kinsoku/>
                    <w:wordWrap/>
                    <w:overflowPunct/>
                    <w:topLinePunct w:val="0"/>
                    <w:bidi w:val="0"/>
                    <w:ind w:firstLine="0" w:firstLineChars="0"/>
                    <w:jc w:val="center"/>
                    <w:textAlignment w:val="auto"/>
                    <w:rPr>
                      <w:rFonts w:hint="default"/>
                      <w:b w:val="0"/>
                      <w:color w:val="000000"/>
                      <w:lang w:val="en-US" w:eastAsia="zh-CN"/>
                    </w:rPr>
                  </w:pPr>
                  <w:r>
                    <w:rPr>
                      <w:rFonts w:hint="default"/>
                      <w:b w:val="0"/>
                      <w:color w:val="000000"/>
                      <w:lang w:val="en-US" w:eastAsia="zh-CN"/>
                    </w:rPr>
                    <w:t>废</w:t>
                  </w:r>
                  <w:r>
                    <w:rPr>
                      <w:rFonts w:hint="eastAsia"/>
                      <w:b w:val="0"/>
                      <w:color w:val="000000"/>
                      <w:lang w:val="en-US" w:eastAsia="zh-CN"/>
                    </w:rPr>
                    <w:t>润滑油、</w:t>
                  </w:r>
                  <w:r>
                    <w:rPr>
                      <w:rFonts w:hint="default"/>
                      <w:b w:val="0"/>
                      <w:color w:val="000000"/>
                      <w:lang w:val="en-US" w:eastAsia="zh-CN"/>
                    </w:rPr>
                    <w:t>废油</w:t>
                  </w:r>
                  <w:r>
                    <w:rPr>
                      <w:rFonts w:hint="eastAsia"/>
                      <w:b w:val="0"/>
                      <w:color w:val="000000"/>
                      <w:lang w:val="en-US" w:eastAsia="zh-CN"/>
                    </w:rPr>
                    <w:t>桶、</w:t>
                  </w:r>
                  <w:r>
                    <w:rPr>
                      <w:rFonts w:hint="eastAsia"/>
                      <w:b w:val="0"/>
                      <w:color w:val="000000"/>
                      <w:lang w:eastAsia="zh-CN"/>
                    </w:rPr>
                    <w:t>含油</w:t>
                  </w:r>
                  <w:r>
                    <w:rPr>
                      <w:rFonts w:hint="eastAsia"/>
                      <w:b w:val="0"/>
                      <w:color w:val="000000"/>
                      <w:lang w:val="en-US" w:eastAsia="zh-CN"/>
                    </w:rPr>
                    <w:t>手套、抹布</w:t>
                  </w:r>
                </w:p>
              </w:tc>
            </w:tr>
          </w:tbl>
          <w:p w14:paraId="2A983FD3">
            <w:pPr>
              <w:keepNext w:val="0"/>
              <w:keepLines w:val="0"/>
              <w:pageBreakBefore w:val="0"/>
              <w:widowControl w:val="0"/>
              <w:numPr>
                <w:ilvl w:val="0"/>
                <w:numId w:val="0"/>
              </w:numPr>
              <w:suppressLineNumbers w:val="0"/>
              <w:kinsoku/>
              <w:wordWrap/>
              <w:overflowPunct/>
              <w:topLinePunct w:val="0"/>
              <w:bidi w:val="0"/>
              <w:adjustRightInd w:val="0"/>
              <w:snapToGrid w:val="0"/>
              <w:spacing w:line="360" w:lineRule="auto"/>
              <w:jc w:val="left"/>
              <w:textAlignment w:val="auto"/>
              <w:rPr>
                <w:rFonts w:hint="default" w:cs="Times New Roman"/>
                <w:color w:val="auto"/>
                <w:sz w:val="24"/>
                <w:szCs w:val="24"/>
                <w:highlight w:val="none"/>
                <w:lang w:val="en-US" w:eastAsia="zh-CN"/>
              </w:rPr>
            </w:pPr>
          </w:p>
        </w:tc>
      </w:tr>
      <w:tr w14:paraId="7EBCF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32C9CF27">
            <w:pPr>
              <w:pStyle w:val="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黑体" w:hAnsi="黑体" w:eastAsia="黑体"/>
                <w:snapToGrid w:val="0"/>
                <w:sz w:val="30"/>
                <w:szCs w:val="30"/>
                <w:vertAlign w:val="baseline"/>
                <w:lang w:val="en-US" w:eastAsia="zh-CN"/>
              </w:rPr>
            </w:pPr>
            <w:r>
              <w:rPr>
                <w:rFonts w:hint="eastAsia"/>
                <w:lang w:val="en-US" w:eastAsia="zh-CN"/>
              </w:rPr>
              <w:t>其他</w:t>
            </w:r>
          </w:p>
        </w:tc>
        <w:tc>
          <w:tcPr>
            <w:tcW w:w="4575" w:type="pct"/>
            <w:tcBorders>
              <w:tl2br w:val="nil"/>
              <w:tr2bl w:val="nil"/>
            </w:tcBorders>
            <w:vAlign w:val="top"/>
          </w:tcPr>
          <w:p w14:paraId="10CFFFA8">
            <w:pPr>
              <w:keepNext w:val="0"/>
              <w:keepLines w:val="0"/>
              <w:pageBreakBefore w:val="0"/>
              <w:widowControl w:val="0"/>
              <w:numPr>
                <w:ilvl w:val="0"/>
                <w:numId w:val="0"/>
              </w:numPr>
              <w:kinsoku/>
              <w:wordWrap/>
              <w:overflowPunct/>
              <w:topLinePunct w:val="0"/>
              <w:bidi w:val="0"/>
              <w:jc w:val="both"/>
              <w:textAlignment w:val="auto"/>
              <w:rPr>
                <w:rFonts w:hint="eastAsia"/>
                <w:b/>
                <w:bCs/>
                <w:lang w:val="en-US" w:eastAsia="zh-CN"/>
              </w:rPr>
            </w:pPr>
            <w:r>
              <w:rPr>
                <w:rFonts w:hint="eastAsia"/>
                <w:b/>
                <w:bCs/>
                <w:lang w:val="en-US" w:eastAsia="zh-CN"/>
              </w:rPr>
              <w:t>1.比选方案</w:t>
            </w:r>
          </w:p>
          <w:p w14:paraId="10873C1D">
            <w:pPr>
              <w:pStyle w:val="171"/>
              <w:keepNext w:val="0"/>
              <w:keepLines w:val="0"/>
              <w:pageBreakBefore w:val="0"/>
              <w:widowControl w:val="0"/>
              <w:kinsoku/>
              <w:wordWrap/>
              <w:overflowPunct/>
              <w:topLinePunct w:val="0"/>
              <w:autoSpaceDE/>
              <w:autoSpaceDN/>
              <w:bidi w:val="0"/>
              <w:adjustRightInd/>
              <w:snapToGrid/>
              <w:spacing w:line="360" w:lineRule="auto"/>
              <w:ind w:firstLine="506" w:firstLineChars="200"/>
              <w:textAlignment w:val="auto"/>
              <w:rPr>
                <w:b/>
                <w:bCs w:val="0"/>
              </w:rPr>
            </w:pPr>
            <w:r>
              <w:rPr>
                <w:rFonts w:hint="eastAsia"/>
                <w:b/>
                <w:bCs w:val="0"/>
                <w:lang w:eastAsia="zh-CN"/>
              </w:rPr>
              <w:t>（</w:t>
            </w:r>
            <w:r>
              <w:rPr>
                <w:rFonts w:hint="eastAsia"/>
                <w:b/>
                <w:bCs w:val="0"/>
                <w:lang w:val="en-US" w:eastAsia="zh-CN"/>
              </w:rPr>
              <w:t>1</w:t>
            </w:r>
            <w:r>
              <w:rPr>
                <w:rFonts w:hint="eastAsia"/>
                <w:b/>
                <w:bCs w:val="0"/>
                <w:lang w:eastAsia="zh-CN"/>
              </w:rPr>
              <w:t>）</w:t>
            </w:r>
            <w:r>
              <w:rPr>
                <w:b/>
                <w:bCs w:val="0"/>
              </w:rPr>
              <w:t>公路运输方式</w:t>
            </w:r>
          </w:p>
          <w:p w14:paraId="05B4F30D">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整个阳霞矿区煤炭运输前期已做过公路运输的相关咨询设计工作，巴州交通投资有限公司投资建设阳霞矿区公路工程（投资17.48亿元，路线全程105.773公里），已完成用地、可研及前期各项审批手续，但在矿区煤矿项目单项环评审查中，上级部门提出公路运输煤炭不符合《关于加强高耗能、高排放建设项目生态环境源头防控的指导意见》中大宗物料优先采用铁路、管道或水路运输，短途接驳优先使用新能源车辆运输的减污降碳协同控制措施；而目前新能源车辆作为运输工具新的研发方向，仍处于研制、应用试验、改进完善阶段，针对新疆等高寒地区其电池组的可靠性仍有待大量的研发试验、改进等。因此本次设计认为采用公路燃油汽车运输方式目前不符合政策要求，不作为本次设计运输方式，而新能源车辆运输方式因环境因素其经济效益不具备优势，也不适合作为当前的运输方式。</w:t>
            </w:r>
          </w:p>
          <w:p w14:paraId="3AF863B0">
            <w:pPr>
              <w:pStyle w:val="171"/>
              <w:keepNext w:val="0"/>
              <w:keepLines w:val="0"/>
              <w:pageBreakBefore w:val="0"/>
              <w:widowControl w:val="0"/>
              <w:kinsoku/>
              <w:wordWrap/>
              <w:overflowPunct/>
              <w:topLinePunct w:val="0"/>
              <w:autoSpaceDE/>
              <w:autoSpaceDN/>
              <w:bidi w:val="0"/>
              <w:adjustRightInd/>
              <w:snapToGrid/>
              <w:spacing w:line="360" w:lineRule="auto"/>
              <w:ind w:firstLine="506" w:firstLineChars="200"/>
              <w:textAlignment w:val="auto"/>
              <w:rPr>
                <w:b/>
                <w:bCs w:val="0"/>
              </w:rPr>
            </w:pPr>
            <w:r>
              <w:rPr>
                <w:rFonts w:hint="eastAsia"/>
                <w:b/>
                <w:bCs w:val="0"/>
                <w:lang w:eastAsia="zh-CN"/>
              </w:rPr>
              <w:t>（</w:t>
            </w:r>
            <w:r>
              <w:rPr>
                <w:rFonts w:hint="eastAsia"/>
                <w:b/>
                <w:bCs w:val="0"/>
                <w:lang w:val="en-US" w:eastAsia="zh-CN"/>
              </w:rPr>
              <w:t>2</w:t>
            </w:r>
            <w:r>
              <w:rPr>
                <w:rFonts w:hint="eastAsia"/>
                <w:b/>
                <w:bCs w:val="0"/>
                <w:lang w:eastAsia="zh-CN"/>
              </w:rPr>
              <w:t>）</w:t>
            </w:r>
            <w:r>
              <w:rPr>
                <w:b/>
                <w:bCs w:val="0"/>
              </w:rPr>
              <w:t>铁路运输方式</w:t>
            </w:r>
          </w:p>
          <w:p w14:paraId="771646AA">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铁路运输一般不易受气候条件的影响，可保障全年的正常运行，具有高度的连续性，此外，铁路运输还具有载运量大、运行速度快，运费低廉、运输准确、安全性高等特点。</w:t>
            </w:r>
          </w:p>
          <w:p w14:paraId="6C9A0A96">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default" w:ascii="Times New Roman" w:hAnsi="Times New Roman" w:eastAsia="宋体" w:cs="Times New Roman"/>
                <w:bCs w:val="0"/>
                <w:color w:val="000000"/>
                <w:spacing w:val="0"/>
                <w:kern w:val="0"/>
                <w:sz w:val="24"/>
                <w:szCs w:val="24"/>
                <w:lang w:val="en-US" w:eastAsia="zh-CN" w:bidi="ar"/>
              </w:rPr>
              <w:t>考虑到本项目线路实际地形以及铁路爬坡角度、转弯半径不能过大、运输距离较短（仓储加工基地仅为10 km左右）、单位投资过大，倒运及装卸均需专业设备等诸多制约条件，且目前铁路线路无法到达仓储加工基地附近。因此，铁路运输不作为本次设计的运输方式。</w:t>
            </w:r>
          </w:p>
          <w:p w14:paraId="4D7ED7B8">
            <w:pPr>
              <w:pStyle w:val="171"/>
              <w:keepNext w:val="0"/>
              <w:keepLines w:val="0"/>
              <w:pageBreakBefore w:val="0"/>
              <w:widowControl w:val="0"/>
              <w:kinsoku/>
              <w:wordWrap/>
              <w:overflowPunct/>
              <w:topLinePunct w:val="0"/>
              <w:autoSpaceDE/>
              <w:autoSpaceDN/>
              <w:bidi w:val="0"/>
              <w:adjustRightInd/>
              <w:snapToGrid/>
              <w:spacing w:line="360" w:lineRule="auto"/>
              <w:ind w:firstLine="506" w:firstLineChars="200"/>
              <w:textAlignment w:val="auto"/>
              <w:rPr>
                <w:b/>
                <w:bCs w:val="0"/>
              </w:rPr>
            </w:pPr>
            <w:r>
              <w:rPr>
                <w:rFonts w:hint="eastAsia"/>
                <w:b/>
                <w:bCs w:val="0"/>
                <w:lang w:eastAsia="zh-CN"/>
              </w:rPr>
              <w:t>（</w:t>
            </w:r>
            <w:r>
              <w:rPr>
                <w:rFonts w:hint="eastAsia"/>
                <w:b/>
                <w:bCs w:val="0"/>
                <w:lang w:val="en-US" w:eastAsia="zh-CN"/>
              </w:rPr>
              <w:t>3</w:t>
            </w:r>
            <w:r>
              <w:rPr>
                <w:rFonts w:hint="eastAsia"/>
                <w:b/>
                <w:bCs w:val="0"/>
                <w:lang w:eastAsia="zh-CN"/>
              </w:rPr>
              <w:t>）</w:t>
            </w:r>
            <w:r>
              <w:rPr>
                <w:b/>
                <w:bCs w:val="0"/>
              </w:rPr>
              <w:t>带式输送机运输方式</w:t>
            </w:r>
          </w:p>
          <w:p w14:paraId="7A189BC7">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散料运输采用带式输送系统在国内外已经得到广泛</w:t>
            </w:r>
            <w:r>
              <w:rPr>
                <w:rFonts w:hint="eastAsia" w:cs="Times New Roman"/>
                <w:bCs w:val="0"/>
                <w:color w:val="000000"/>
                <w:spacing w:val="0"/>
                <w:kern w:val="0"/>
                <w:sz w:val="24"/>
                <w:szCs w:val="24"/>
                <w:lang w:val="en-US" w:eastAsia="zh-CN" w:bidi="ar"/>
              </w:rPr>
              <w:t>地</w:t>
            </w:r>
            <w:r>
              <w:rPr>
                <w:rFonts w:hint="default" w:ascii="Times New Roman" w:hAnsi="Times New Roman" w:eastAsia="宋体" w:cs="Times New Roman"/>
                <w:bCs w:val="0"/>
                <w:color w:val="000000"/>
                <w:spacing w:val="0"/>
                <w:kern w:val="0"/>
                <w:sz w:val="24"/>
                <w:szCs w:val="24"/>
                <w:lang w:val="en-US" w:eastAsia="zh-CN" w:bidi="ar"/>
              </w:rPr>
              <w:t>应用，技术十分成熟。带式输送机运输方式与其他运输设备相比，具有运量大、连续输送等优点，而且运行可靠，实现自动控制，节省人力物力，是长距离物料运输的优选方案。</w:t>
            </w:r>
          </w:p>
          <w:p w14:paraId="7154A5F2">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带式输送机运输系统线路适应性强，可以跨越河流、公路，可以绕开已有的建（构）筑物，可基本沿地形布置，限界等均比铁路（公路）要求低，工程条件相对铁路（公路）简单，土建投资较铁路（公路）节省。</w:t>
            </w:r>
          </w:p>
          <w:p w14:paraId="36DFE773">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带式输送机采用优质钢材及输送带，结实、耐用，性能稳定可以连续工作，故障率低。运输方式受天气影响小，雾天、雨天、雪天等恶劣天气均可正常工作，是全天候的连续输送方式。</w:t>
            </w:r>
          </w:p>
          <w:p w14:paraId="2C4CCC6E">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带式输送机全程物料被密封，物料不受雨水、风、雪影响，沿途无粉尘、噪声污染，环保性能好，社会效益良好。</w:t>
            </w:r>
          </w:p>
          <w:p w14:paraId="3230D780">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带式输送方式较公路、铁路等方式占地少，可节约大量的土地资源；另外，带式输送方式主要采用电力驱动，可节约大量能源，符合节能减排要求。</w:t>
            </w:r>
          </w:p>
          <w:p w14:paraId="4AEE02A2">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default" w:ascii="Times New Roman" w:hAnsi="Times New Roman" w:eastAsia="宋体" w:cs="Times New Roman"/>
                <w:bCs w:val="0"/>
                <w:color w:val="000000"/>
                <w:spacing w:val="0"/>
                <w:kern w:val="0"/>
                <w:sz w:val="24"/>
                <w:szCs w:val="24"/>
                <w:lang w:val="en-US" w:eastAsia="zh-CN" w:bidi="ar"/>
              </w:rPr>
              <w:t>但普通带式输送机无法实现在平面的转向，均需设置转载站进行多次搭接实现转向，增加了设备台数和相关操作人员，增大故障率。同时带式输送机需设置带廊，增加整体投资。</w:t>
            </w:r>
          </w:p>
          <w:p w14:paraId="52126C01">
            <w:pPr>
              <w:pStyle w:val="171"/>
              <w:keepNext w:val="0"/>
              <w:keepLines w:val="0"/>
              <w:pageBreakBefore w:val="0"/>
              <w:widowControl w:val="0"/>
              <w:kinsoku/>
              <w:wordWrap/>
              <w:overflowPunct/>
              <w:topLinePunct w:val="0"/>
              <w:autoSpaceDE/>
              <w:autoSpaceDN/>
              <w:bidi w:val="0"/>
              <w:adjustRightInd/>
              <w:snapToGrid/>
              <w:spacing w:line="360" w:lineRule="auto"/>
              <w:ind w:firstLine="506" w:firstLineChars="200"/>
              <w:textAlignment w:val="auto"/>
              <w:rPr>
                <w:b/>
                <w:bCs w:val="0"/>
              </w:rPr>
            </w:pPr>
            <w:r>
              <w:rPr>
                <w:rFonts w:hint="eastAsia"/>
                <w:b/>
                <w:bCs w:val="0"/>
                <w:lang w:eastAsia="zh-CN"/>
              </w:rPr>
              <w:t>（</w:t>
            </w:r>
            <w:r>
              <w:rPr>
                <w:rFonts w:hint="eastAsia"/>
                <w:b/>
                <w:bCs w:val="0"/>
                <w:lang w:val="en-US" w:eastAsia="zh-CN"/>
              </w:rPr>
              <w:t>4</w:t>
            </w:r>
            <w:r>
              <w:rPr>
                <w:rFonts w:hint="eastAsia"/>
                <w:b/>
                <w:bCs w:val="0"/>
                <w:lang w:eastAsia="zh-CN"/>
              </w:rPr>
              <w:t>）</w:t>
            </w:r>
            <w:r>
              <w:rPr>
                <w:b/>
                <w:bCs w:val="0"/>
              </w:rPr>
              <w:t>管状带式输送机运输方式</w:t>
            </w:r>
          </w:p>
          <w:p w14:paraId="4975D7E4">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散料运输采用管状带式输送机在国外早已得到广泛的应用，技术十分成熟。近些年来国内的长距离（一般超过2</w:t>
            </w:r>
            <w:r>
              <w:rPr>
                <w:rFonts w:hint="eastAsia" w:ascii="Times New Roman" w:hAnsi="Times New Roman" w:eastAsia="宋体" w:cs="Times New Roman"/>
                <w:bCs w:val="0"/>
                <w:color w:val="000000"/>
                <w:spacing w:val="0"/>
                <w:kern w:val="0"/>
                <w:sz w:val="24"/>
                <w:szCs w:val="24"/>
                <w:lang w:val="en-US" w:eastAsia="zh-CN" w:bidi="ar"/>
              </w:rPr>
              <w:t xml:space="preserve"> km</w:t>
            </w:r>
            <w:r>
              <w:rPr>
                <w:rFonts w:hint="default" w:ascii="Times New Roman" w:hAnsi="Times New Roman" w:eastAsia="宋体" w:cs="Times New Roman"/>
                <w:bCs w:val="0"/>
                <w:color w:val="000000"/>
                <w:spacing w:val="0"/>
                <w:kern w:val="0"/>
                <w:sz w:val="24"/>
                <w:szCs w:val="24"/>
                <w:lang w:val="en-US" w:eastAsia="zh-CN" w:bidi="ar"/>
              </w:rPr>
              <w:t>）的散料运输均采用管状带式输送机进行运输，与带式输送机运输方式相比，管状带式输送机是一种新型带式输送机，在装料区和卸料区，胶带打开呈槽形，装料或卸料后，胶带被指压托辊卷成圆形，管状形成后，呈六边形布置的托辊保持其管状。由于胶带在输送线路上呈管形，物料不会撒落，物料也不会因刮风、下雨而受外部环境的影响，这样既避免了因物料的</w:t>
            </w:r>
            <w:r>
              <w:rPr>
                <w:rFonts w:hint="eastAsia" w:ascii="Times New Roman" w:hAnsi="Times New Roman" w:eastAsia="宋体" w:cs="Times New Roman"/>
                <w:bCs w:val="0"/>
                <w:color w:val="000000"/>
                <w:spacing w:val="0"/>
                <w:kern w:val="0"/>
                <w:sz w:val="24"/>
                <w:szCs w:val="24"/>
                <w:lang w:val="en-US" w:eastAsia="zh-CN" w:bidi="ar"/>
              </w:rPr>
              <w:t>洒落</w:t>
            </w:r>
            <w:r>
              <w:rPr>
                <w:rFonts w:hint="default" w:ascii="Times New Roman" w:hAnsi="Times New Roman" w:eastAsia="宋体" w:cs="Times New Roman"/>
                <w:bCs w:val="0"/>
                <w:color w:val="000000"/>
                <w:spacing w:val="0"/>
                <w:kern w:val="0"/>
                <w:sz w:val="24"/>
                <w:szCs w:val="24"/>
                <w:lang w:val="en-US" w:eastAsia="zh-CN" w:bidi="ar"/>
              </w:rPr>
              <w:t>而污染环境，也避免了外部环境对物料的污染，达到无泄漏密闭输送。</w:t>
            </w:r>
          </w:p>
          <w:p w14:paraId="0186A9ED">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管状带式输送机</w:t>
            </w:r>
            <w:r>
              <w:rPr>
                <w:rFonts w:hint="eastAsia" w:ascii="Times New Roman" w:hAnsi="Times New Roman" w:eastAsia="宋体" w:cs="Times New Roman"/>
                <w:bCs w:val="0"/>
                <w:color w:val="000000"/>
                <w:spacing w:val="0"/>
                <w:kern w:val="0"/>
                <w:sz w:val="24"/>
                <w:szCs w:val="24"/>
                <w:lang w:val="en-US" w:eastAsia="zh-CN" w:bidi="ar"/>
              </w:rPr>
              <w:t>可</w:t>
            </w:r>
            <w:r>
              <w:rPr>
                <w:rFonts w:hint="default" w:ascii="Times New Roman" w:hAnsi="Times New Roman" w:eastAsia="宋体" w:cs="Times New Roman"/>
                <w:bCs w:val="0"/>
                <w:color w:val="000000"/>
                <w:spacing w:val="0"/>
                <w:kern w:val="0"/>
                <w:sz w:val="24"/>
                <w:szCs w:val="24"/>
                <w:lang w:val="en-US" w:eastAsia="zh-CN" w:bidi="ar"/>
              </w:rPr>
              <w:t>沿空间曲线灵活布置，在复杂地形条件下长距离输送物料，同时与普通带式输送机相比，具有经济、可靠、安全、高效等优点。</w:t>
            </w:r>
          </w:p>
          <w:p w14:paraId="09D7C030">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val="0"/>
                <w:color w:val="000000"/>
                <w:spacing w:val="0"/>
                <w:kern w:val="0"/>
                <w:sz w:val="24"/>
                <w:szCs w:val="24"/>
                <w:lang w:val="en-US" w:eastAsia="zh-CN" w:bidi="ar"/>
              </w:rPr>
            </w:pPr>
            <w:r>
              <w:rPr>
                <w:rFonts w:hint="default" w:ascii="Times New Roman" w:hAnsi="Times New Roman" w:eastAsia="宋体" w:cs="Times New Roman"/>
                <w:bCs w:val="0"/>
                <w:color w:val="000000"/>
                <w:spacing w:val="0"/>
                <w:kern w:val="0"/>
                <w:sz w:val="24"/>
                <w:szCs w:val="24"/>
                <w:lang w:val="en-US" w:eastAsia="zh-CN" w:bidi="ar"/>
              </w:rPr>
              <w:t>管状带式输送机输送物料密度一般为0.5～2.5t/m</w:t>
            </w:r>
            <w:r>
              <w:rPr>
                <w:rFonts w:hint="default" w:ascii="Times New Roman" w:hAnsi="Times New Roman" w:eastAsia="宋体" w:cs="Times New Roman"/>
                <w:bCs w:val="0"/>
                <w:color w:val="000000"/>
                <w:spacing w:val="0"/>
                <w:kern w:val="0"/>
                <w:sz w:val="24"/>
                <w:szCs w:val="24"/>
                <w:vertAlign w:val="superscript"/>
                <w:lang w:val="en-US" w:eastAsia="zh-CN" w:bidi="ar"/>
              </w:rPr>
              <w:t>3</w:t>
            </w:r>
            <w:r>
              <w:rPr>
                <w:rFonts w:hint="default" w:ascii="Times New Roman" w:hAnsi="Times New Roman" w:eastAsia="宋体" w:cs="Times New Roman"/>
                <w:bCs w:val="0"/>
                <w:color w:val="000000"/>
                <w:spacing w:val="0"/>
                <w:kern w:val="0"/>
                <w:sz w:val="24"/>
                <w:szCs w:val="24"/>
                <w:lang w:val="en-US" w:eastAsia="zh-CN" w:bidi="ar"/>
              </w:rPr>
              <w:t>，普通管状输送带，工作环境温度为</w:t>
            </w:r>
            <w:r>
              <w:rPr>
                <w:rFonts w:hint="eastAsia" w:ascii="Times New Roman" w:hAnsi="Times New Roman" w:eastAsia="宋体" w:cs="Times New Roman"/>
                <w:bCs w:val="0"/>
                <w:color w:val="000000"/>
                <w:spacing w:val="0"/>
                <w:kern w:val="0"/>
                <w:sz w:val="24"/>
                <w:szCs w:val="24"/>
                <w:lang w:val="en-US" w:eastAsia="zh-CN" w:bidi="ar"/>
              </w:rPr>
              <w:t>-</w:t>
            </w:r>
            <w:r>
              <w:rPr>
                <w:rFonts w:hint="default" w:ascii="Times New Roman" w:hAnsi="Times New Roman" w:eastAsia="宋体" w:cs="Times New Roman"/>
                <w:bCs w:val="0"/>
                <w:color w:val="000000"/>
                <w:spacing w:val="0"/>
                <w:kern w:val="0"/>
                <w:sz w:val="24"/>
                <w:szCs w:val="24"/>
                <w:lang w:val="en-US" w:eastAsia="zh-CN" w:bidi="ar"/>
              </w:rPr>
              <w:t>25℃～+40℃，对具有耐热、防水、防腐、防爆、阻燃等条件要求者，工作环境温度可达</w:t>
            </w:r>
            <w:r>
              <w:rPr>
                <w:rFonts w:hint="eastAsia" w:ascii="Times New Roman" w:hAnsi="Times New Roman" w:eastAsia="宋体" w:cs="Times New Roman"/>
                <w:bCs w:val="0"/>
                <w:color w:val="000000"/>
                <w:spacing w:val="0"/>
                <w:kern w:val="0"/>
                <w:sz w:val="24"/>
                <w:szCs w:val="24"/>
                <w:lang w:val="en-US" w:eastAsia="zh-CN" w:bidi="ar"/>
              </w:rPr>
              <w:t>-</w:t>
            </w:r>
            <w:r>
              <w:rPr>
                <w:rFonts w:hint="default" w:ascii="Times New Roman" w:hAnsi="Times New Roman" w:eastAsia="宋体" w:cs="Times New Roman"/>
                <w:bCs w:val="0"/>
                <w:color w:val="000000"/>
                <w:spacing w:val="0"/>
                <w:kern w:val="0"/>
                <w:sz w:val="24"/>
                <w:szCs w:val="24"/>
                <w:lang w:val="en-US" w:eastAsia="zh-CN" w:bidi="ar"/>
              </w:rPr>
              <w:t>35℃～+200℃，管状带式输送机产品广泛用于电力、化工、建材、矿山、冶金、码头、煤炭、粮食等行业物料输送系统。</w:t>
            </w:r>
          </w:p>
          <w:p w14:paraId="3749ADFC">
            <w:pPr>
              <w:pStyle w:val="17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bCs w:val="0"/>
                <w:color w:val="000000"/>
                <w:spacing w:val="0"/>
                <w:kern w:val="0"/>
                <w:sz w:val="24"/>
                <w:szCs w:val="24"/>
                <w:lang w:val="en-US" w:eastAsia="zh-CN" w:bidi="ar"/>
              </w:rPr>
              <w:t>通过以上比较，本次设计</w:t>
            </w:r>
            <w:r>
              <w:rPr>
                <w:rFonts w:hint="eastAsia" w:ascii="Times New Roman" w:hAnsi="Times New Roman" w:eastAsia="宋体" w:cs="Times New Roman"/>
                <w:bCs w:val="0"/>
                <w:color w:val="000000"/>
                <w:spacing w:val="0"/>
                <w:kern w:val="0"/>
                <w:sz w:val="24"/>
                <w:szCs w:val="24"/>
                <w:lang w:val="en-US" w:eastAsia="zh-CN" w:bidi="ar"/>
              </w:rPr>
              <w:t>场外运输廊道均</w:t>
            </w:r>
            <w:r>
              <w:rPr>
                <w:rFonts w:hint="default" w:ascii="Times New Roman" w:hAnsi="Times New Roman" w:eastAsia="宋体" w:cs="Times New Roman"/>
                <w:bCs w:val="0"/>
                <w:color w:val="000000"/>
                <w:spacing w:val="0"/>
                <w:kern w:val="0"/>
                <w:sz w:val="24"/>
                <w:szCs w:val="24"/>
                <w:lang w:val="en-US" w:eastAsia="zh-CN" w:bidi="ar"/>
              </w:rPr>
              <w:t>全程采用管状带式输送机运输方式。</w:t>
            </w:r>
          </w:p>
        </w:tc>
      </w:tr>
    </w:tbl>
    <w:p w14:paraId="4F2ABD3C">
      <w:pPr>
        <w:pStyle w:val="37"/>
        <w:numPr>
          <w:ilvl w:val="0"/>
          <w:numId w:val="0"/>
        </w:numPr>
        <w:spacing w:beforeAutospacing="0" w:afterAutospacing="0" w:line="240" w:lineRule="auto"/>
        <w:jc w:val="both"/>
        <w:outlineLvl w:val="0"/>
        <w:rPr>
          <w:rFonts w:hint="eastAsia" w:ascii="黑体" w:hAnsi="黑体" w:eastAsia="黑体"/>
          <w:snapToGrid w:val="0"/>
          <w:sz w:val="30"/>
          <w:szCs w:val="30"/>
        </w:rPr>
      </w:pPr>
    </w:p>
    <w:p w14:paraId="45C75EA7">
      <w:pPr>
        <w:rPr>
          <w:rFonts w:hint="default" w:ascii="Times New Roman" w:hAnsi="Times New Roman" w:cs="Times New Roman"/>
          <w:b/>
          <w:bCs/>
          <w:sz w:val="30"/>
          <w:szCs w:val="30"/>
        </w:rPr>
      </w:pPr>
      <w:r>
        <w:rPr>
          <w:rFonts w:hint="default" w:ascii="Times New Roman" w:hAnsi="Times New Roman" w:cs="Times New Roman"/>
          <w:b/>
          <w:bCs/>
          <w:sz w:val="30"/>
          <w:szCs w:val="30"/>
        </w:rPr>
        <w:br w:type="page"/>
      </w:r>
    </w:p>
    <w:p w14:paraId="420776E4">
      <w:pPr>
        <w:spacing w:line="240" w:lineRule="auto"/>
        <w:jc w:val="center"/>
        <w:outlineLvl w:val="0"/>
        <w:rPr>
          <w:rFonts w:hint="default" w:ascii="Times New Roman" w:hAnsi="Times New Roman" w:cs="Times New Roman"/>
          <w:b/>
          <w:bCs/>
          <w:sz w:val="30"/>
          <w:szCs w:val="30"/>
        </w:rPr>
      </w:pPr>
      <w:r>
        <w:rPr>
          <w:rFonts w:hint="default" w:ascii="Times New Roman" w:hAnsi="Times New Roman" w:cs="Times New Roman"/>
          <w:b/>
          <w:bCs/>
          <w:sz w:val="30"/>
          <w:szCs w:val="30"/>
        </w:rPr>
        <w:t>三、区域环境质量现状、环境保护目标及评价标准</w:t>
      </w:r>
    </w:p>
    <w:tbl>
      <w:tblPr>
        <w:tblStyle w:val="43"/>
        <w:tblW w:w="47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168"/>
      </w:tblGrid>
      <w:tr w14:paraId="2F95C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tcBorders>
              <w:tl2br w:val="nil"/>
              <w:tr2bl w:val="nil"/>
            </w:tcBorders>
            <w:vAlign w:val="center"/>
          </w:tcPr>
          <w:p w14:paraId="68FDED87">
            <w:pPr>
              <w:pStyle w:val="17"/>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szCs w:val="24"/>
                <w:vertAlign w:val="baseline"/>
              </w:rPr>
            </w:pPr>
            <w:r>
              <w:rPr>
                <w:rFonts w:hint="eastAsia"/>
                <w:b/>
                <w:bCs/>
                <w:sz w:val="24"/>
                <w:szCs w:val="24"/>
                <w:lang w:val="en-US" w:eastAsia="zh-CN"/>
              </w:rPr>
              <w:t>生态环境</w:t>
            </w:r>
            <w:r>
              <w:rPr>
                <w:rFonts w:hint="default"/>
                <w:b/>
                <w:bCs/>
                <w:sz w:val="24"/>
                <w:szCs w:val="24"/>
              </w:rPr>
              <w:t>现状</w:t>
            </w:r>
          </w:p>
        </w:tc>
        <w:tc>
          <w:tcPr>
            <w:tcW w:w="4589" w:type="pct"/>
            <w:tcBorders>
              <w:tl2br w:val="nil"/>
              <w:tr2bl w:val="nil"/>
            </w:tcBorders>
          </w:tcPr>
          <w:p w14:paraId="577A19AC">
            <w:pPr>
              <w:pStyle w:val="3"/>
              <w:numPr>
                <w:ilvl w:val="0"/>
                <w:numId w:val="0"/>
              </w:numPr>
              <w:bidi w:val="0"/>
              <w:rPr>
                <w:rFonts w:hint="default"/>
                <w:lang w:val="en-US" w:eastAsia="zh-CN"/>
              </w:rPr>
            </w:pPr>
            <w:bookmarkStart w:id="0" w:name="_Toc19765120"/>
            <w:r>
              <w:rPr>
                <w:rFonts w:hint="eastAsia"/>
                <w:lang w:val="en-US" w:eastAsia="zh-CN"/>
              </w:rPr>
              <w:t>1.生态环境质量现状</w:t>
            </w:r>
          </w:p>
          <w:p w14:paraId="2ACC6F6F">
            <w:pPr>
              <w:keepNext w:val="0"/>
              <w:keepLines w:val="0"/>
              <w:suppressLineNumbers w:val="0"/>
              <w:spacing w:before="0" w:beforeAutospacing="0" w:after="0" w:afterAutospacing="0" w:line="360" w:lineRule="auto"/>
              <w:ind w:left="0" w:right="0" w:firstLine="482" w:firstLineChars="200"/>
              <w:rPr>
                <w:rFonts w:hint="default" w:cs="Times New Roman"/>
                <w:b/>
                <w:bCs/>
                <w:color w:val="000000"/>
                <w:lang w:val="en-US" w:eastAsia="zh-CN"/>
              </w:rPr>
            </w:pPr>
            <w:r>
              <w:rPr>
                <w:rFonts w:hint="eastAsia" w:cs="Times New Roman"/>
                <w:b/>
                <w:bCs/>
                <w:color w:val="000000"/>
                <w:lang w:val="en-US" w:eastAsia="zh-CN"/>
              </w:rPr>
              <w:t>1.1生态环境影响评价等级及范围</w:t>
            </w:r>
          </w:p>
          <w:p w14:paraId="073ACE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根据《环境影响评价技术导则</w:t>
            </w:r>
            <w:r>
              <w:rPr>
                <w:rFonts w:hint="eastAsia" w:ascii="Times New Roman" w:hAnsi="Times New Roman" w:eastAsia="宋体" w:cs="Times New Roman"/>
                <w:b w:val="0"/>
                <w:bCs w:val="0"/>
                <w:caps w:val="0"/>
                <w:smallCaps w:val="0"/>
                <w:color w:val="auto"/>
                <w:spacing w:val="0"/>
                <w:w w:val="100"/>
                <w:kern w:val="2"/>
                <w:position w:val="0"/>
                <w:sz w:val="24"/>
                <w:highlight w:val="none"/>
                <w:lang w:val="en-US" w:eastAsia="zh-CN"/>
              </w:rPr>
              <w:t xml:space="preserve"> </w:t>
            </w: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生态影响》（HJ19-2022），生态影响评价工作等级划分表如下：</w:t>
            </w:r>
          </w:p>
          <w:p w14:paraId="46C497F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表</w:t>
            </w: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3</w:t>
            </w: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 xml:space="preserve">   </w:t>
            </w: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生态影响评价工作等级划分表</w:t>
            </w:r>
          </w:p>
          <w:tbl>
            <w:tblPr>
              <w:tblStyle w:val="4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4"/>
              <w:gridCol w:w="2975"/>
            </w:tblGrid>
            <w:tr w14:paraId="2DF3A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bottom w:val="single" w:color="auto" w:sz="12" w:space="0"/>
                  </w:tcBorders>
                  <w:noWrap w:val="0"/>
                  <w:vAlign w:val="center"/>
                </w:tcPr>
                <w:p w14:paraId="546B68A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t>评价等级判定原则</w:t>
                  </w:r>
                </w:p>
              </w:tc>
              <w:tc>
                <w:tcPr>
                  <w:tcW w:w="1871" w:type="pct"/>
                  <w:tcBorders>
                    <w:bottom w:val="single" w:color="auto" w:sz="12" w:space="0"/>
                  </w:tcBorders>
                  <w:noWrap w:val="0"/>
                  <w:vAlign w:val="center"/>
                </w:tcPr>
                <w:p w14:paraId="10E79ED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t>项目情况</w:t>
                  </w:r>
                </w:p>
              </w:tc>
            </w:tr>
            <w:tr w14:paraId="198D7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28" w:type="pct"/>
                  <w:tcBorders>
                    <w:top w:val="single" w:color="auto" w:sz="12" w:space="0"/>
                    <w:tl2br w:val="nil"/>
                    <w:tr2bl w:val="nil"/>
                  </w:tcBorders>
                  <w:noWrap w:val="0"/>
                  <w:vAlign w:val="center"/>
                </w:tcPr>
                <w:p w14:paraId="55E2F3D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a）涉及国家公园、自然保护区、世界自然遗产、重要生境时，评价等级为一级</w:t>
                  </w:r>
                </w:p>
              </w:tc>
              <w:tc>
                <w:tcPr>
                  <w:tcW w:w="1871" w:type="pct"/>
                  <w:tcBorders>
                    <w:top w:val="single" w:color="auto" w:sz="12" w:space="0"/>
                    <w:tl2br w:val="nil"/>
                    <w:tr2bl w:val="nil"/>
                  </w:tcBorders>
                  <w:noWrap w:val="0"/>
                  <w:vAlign w:val="center"/>
                </w:tcPr>
                <w:p w14:paraId="4EB97AB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不涉及国家公园、自然保护区、世界自然遗产、重要生境</w:t>
                  </w:r>
                </w:p>
              </w:tc>
            </w:tr>
            <w:tr w14:paraId="0C3AF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128" w:type="pct"/>
                  <w:tcBorders>
                    <w:tl2br w:val="nil"/>
                    <w:tr2bl w:val="nil"/>
                  </w:tcBorders>
                  <w:noWrap w:val="0"/>
                  <w:vAlign w:val="center"/>
                </w:tcPr>
                <w:p w14:paraId="0C0622E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b）涉及自然公园时，评价等级为二级</w:t>
                  </w:r>
                </w:p>
              </w:tc>
              <w:tc>
                <w:tcPr>
                  <w:tcW w:w="1871" w:type="pct"/>
                  <w:tcBorders>
                    <w:tl2br w:val="nil"/>
                    <w:tr2bl w:val="nil"/>
                  </w:tcBorders>
                  <w:noWrap w:val="0"/>
                  <w:vAlign w:val="center"/>
                </w:tcPr>
                <w:p w14:paraId="215310A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不涉及自然公园</w:t>
                  </w:r>
                </w:p>
              </w:tc>
            </w:tr>
            <w:tr w14:paraId="54C81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6DA6F3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c）涉及生态保护红线时，评价等级不低于二级</w:t>
                  </w:r>
                </w:p>
              </w:tc>
              <w:tc>
                <w:tcPr>
                  <w:tcW w:w="1871" w:type="pct"/>
                  <w:tcBorders>
                    <w:tl2br w:val="nil"/>
                    <w:tr2bl w:val="nil"/>
                  </w:tcBorders>
                  <w:noWrap w:val="0"/>
                  <w:vAlign w:val="center"/>
                </w:tcPr>
                <w:p w14:paraId="6573ED6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不涉及生态保护红线</w:t>
                  </w:r>
                </w:p>
              </w:tc>
            </w:tr>
            <w:tr w14:paraId="3CE5D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01D85DF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d）根据HJ2.3判断属于水文要素影响型且地表水评价等级不低于二级的建设项目，生态影响评价等级不低于二级</w:t>
                  </w:r>
                </w:p>
              </w:tc>
              <w:tc>
                <w:tcPr>
                  <w:tcW w:w="1871" w:type="pct"/>
                  <w:tcBorders>
                    <w:tl2br w:val="nil"/>
                    <w:tr2bl w:val="nil"/>
                  </w:tcBorders>
                  <w:noWrap w:val="0"/>
                  <w:vAlign w:val="center"/>
                </w:tcPr>
                <w:p w14:paraId="059823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本项目不属于水文要素影响型且地表水评价等级为三级</w:t>
                  </w:r>
                </w:p>
              </w:tc>
            </w:tr>
            <w:tr w14:paraId="77B2A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027366A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e）根据HJ610、HJ964判断地下水水位或土壤影响范围内分布有天然林、公益林、湿地等生态保护目标的建设项目，生态影响评价等级不低于二级</w:t>
                  </w:r>
                </w:p>
              </w:tc>
              <w:tc>
                <w:tcPr>
                  <w:tcW w:w="1871" w:type="pct"/>
                  <w:tcBorders>
                    <w:tl2br w:val="nil"/>
                    <w:tr2bl w:val="nil"/>
                  </w:tcBorders>
                  <w:noWrap w:val="0"/>
                  <w:vAlign w:val="center"/>
                </w:tcPr>
                <w:p w14:paraId="5C6F9AD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不涉及天然林、公益林、湿地等生态保护目标</w:t>
                  </w:r>
                </w:p>
              </w:tc>
            </w:tr>
            <w:tr w14:paraId="6FAE9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50097BC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f）当工程占地规模大于20km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时（包括永久和临时占用陆域和水域），评价等级不低于二级；改扩建项目的占地范围以新增占地（包括陆域和水域）确定</w:t>
                  </w:r>
                </w:p>
              </w:tc>
              <w:tc>
                <w:tcPr>
                  <w:tcW w:w="1871" w:type="pct"/>
                  <w:tcBorders>
                    <w:tl2br w:val="nil"/>
                    <w:tr2bl w:val="nil"/>
                  </w:tcBorders>
                  <w:noWrap w:val="0"/>
                  <w:vAlign w:val="center"/>
                </w:tcPr>
                <w:p w14:paraId="51A90A0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拟建项目占地面积为</w:t>
                  </w: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1</w:t>
                  </w:r>
                  <w:r>
                    <w:rPr>
                      <w:rFonts w:hint="eastAsia" w:cs="Times New Roman"/>
                      <w:b w:val="0"/>
                      <w:bCs w:val="0"/>
                      <w:caps w:val="0"/>
                      <w:smallCaps w:val="0"/>
                      <w:color w:val="auto"/>
                      <w:spacing w:val="0"/>
                      <w:w w:val="100"/>
                      <w:kern w:val="2"/>
                      <w:position w:val="0"/>
                      <w:sz w:val="21"/>
                      <w:szCs w:val="21"/>
                      <w:highlight w:val="none"/>
                      <w:vertAlign w:val="baseline"/>
                      <w:lang w:val="en-US" w:eastAsia="zh-CN"/>
                    </w:rPr>
                    <w:t>8.927</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hm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（0.</w:t>
                  </w:r>
                  <w:r>
                    <w:rPr>
                      <w:rFonts w:hint="eastAsia" w:cs="Times New Roman"/>
                      <w:b w:val="0"/>
                      <w:bCs w:val="0"/>
                      <w:caps w:val="0"/>
                      <w:smallCaps w:val="0"/>
                      <w:color w:val="auto"/>
                      <w:spacing w:val="0"/>
                      <w:w w:val="100"/>
                      <w:kern w:val="2"/>
                      <w:position w:val="0"/>
                      <w:sz w:val="21"/>
                      <w:szCs w:val="21"/>
                      <w:highlight w:val="none"/>
                      <w:vertAlign w:val="baseline"/>
                      <w:lang w:val="en-US" w:eastAsia="zh-CN"/>
                    </w:rPr>
                    <w:t>18927</w:t>
                  </w: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km</w:t>
                  </w: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，小于20km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p>
              </w:tc>
            </w:tr>
            <w:tr w14:paraId="6F0DE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2DAF9D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rPr>
                    <w:t>g）除本条a）、b）、c）、d）、e）、f）以外的情况，评价等级为三级</w:t>
                  </w:r>
                </w:p>
              </w:tc>
              <w:tc>
                <w:tcPr>
                  <w:tcW w:w="1871" w:type="pct"/>
                  <w:tcBorders>
                    <w:tl2br w:val="nil"/>
                    <w:tr2bl w:val="nil"/>
                  </w:tcBorders>
                  <w:noWrap w:val="0"/>
                  <w:vAlign w:val="center"/>
                </w:tcPr>
                <w:p w14:paraId="2960A69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rPr>
                    <w:t>评价等级确定为三级</w:t>
                  </w:r>
                </w:p>
              </w:tc>
            </w:tr>
          </w:tbl>
          <w:p w14:paraId="51F7A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cs="Times New Roman"/>
                <w:b/>
                <w:bCs/>
                <w:color w:val="000000"/>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根据上表对生态影响评价工作等级划分规定，本项目生态影响评价等级为三级。根据《环境影响评价技术导则</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 xml:space="preserve"> </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生态影响》（HJ19-2022），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线性工程穿越非生态敏感区时，以线路中心线两侧外延300m为参考评价范围</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，因此确定本项目评价范围为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输煤廊道沿线两侧外延300m范围，涵盖直接影响和间接影响区域</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w:t>
            </w:r>
          </w:p>
          <w:p w14:paraId="6828AD55">
            <w:pPr>
              <w:keepNext w:val="0"/>
              <w:keepLines w:val="0"/>
              <w:suppressLineNumbers w:val="0"/>
              <w:spacing w:before="0" w:beforeAutospacing="0" w:after="0" w:afterAutospacing="0" w:line="360" w:lineRule="auto"/>
              <w:ind w:left="0" w:right="0" w:firstLine="482" w:firstLineChars="200"/>
              <w:rPr>
                <w:rFonts w:hint="default" w:cs="Times New Roman"/>
                <w:b/>
                <w:bCs/>
                <w:color w:val="000000"/>
                <w:lang w:val="en-US" w:eastAsia="zh-CN"/>
              </w:rPr>
            </w:pPr>
            <w:r>
              <w:rPr>
                <w:rFonts w:hint="eastAsia" w:cs="Times New Roman"/>
                <w:b/>
                <w:bCs/>
                <w:color w:val="000000"/>
                <w:lang w:val="en-US" w:eastAsia="zh-CN"/>
              </w:rPr>
              <w:t>1.2主体生态环境功能区划</w:t>
            </w:r>
          </w:p>
          <w:p w14:paraId="0A15FEE5">
            <w:pPr>
              <w:keepNext w:val="0"/>
              <w:keepLines w:val="0"/>
              <w:suppressLineNumbers w:val="0"/>
              <w:spacing w:before="0" w:beforeAutospacing="0" w:after="0" w:afterAutospacing="0" w:line="360" w:lineRule="auto"/>
              <w:ind w:left="0" w:right="0" w:firstLine="482" w:firstLineChars="200"/>
              <w:rPr>
                <w:rFonts w:hint="default" w:cs="Times New Roman"/>
                <w:b/>
                <w:bCs/>
                <w:color w:val="000000"/>
                <w:lang w:val="en-US" w:eastAsia="zh-CN"/>
              </w:rPr>
            </w:pPr>
            <w:r>
              <w:rPr>
                <w:rFonts w:hint="eastAsia" w:cs="Times New Roman"/>
                <w:b/>
                <w:bCs/>
                <w:color w:val="000000"/>
                <w:lang w:val="en-US" w:eastAsia="zh-CN"/>
              </w:rPr>
              <w:t>（1）主体功能区划</w:t>
            </w:r>
          </w:p>
          <w:p w14:paraId="61430530">
            <w:pPr>
              <w:keepNext w:val="0"/>
              <w:keepLines w:val="0"/>
              <w:widowControl/>
              <w:suppressLineNumbers w:val="0"/>
              <w:spacing w:before="0" w:beforeAutospacing="0" w:after="0" w:afterAutospacing="0" w:line="360" w:lineRule="auto"/>
              <w:ind w:left="0" w:right="0"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根据项目区位置判断本项目属于《新疆维吾尔自治区主体功能区规划》中限制开发区域（农产品主产区—限制进行大规模高强度工业化城镇化开发的农产品主产区），区域功能定位是：保障农牧产品供给安全的重要区域，农牧民安居乐业的美好家园，社会主义新农村建设的示范区。</w:t>
            </w:r>
          </w:p>
          <w:p w14:paraId="41A4EA02">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农产品主产区建设应重视土壤环境保护，避免农产品区内以及周边布局易造成农产品污染的产业；优化农牧业生产布局和品种结构，搞好农牧业布局规划；积极推进农业规模化、产业化经营；优化开发方式，发展循环农业，促进农业资源的永续利用；加强土地整治、搞好规划、统筹安排、连片推进、加快中低产田改造。</w:t>
            </w:r>
          </w:p>
          <w:p w14:paraId="21482FAB">
            <w:pPr>
              <w:keepNext w:val="0"/>
              <w:keepLines w:val="0"/>
              <w:suppressLineNumbers w:val="0"/>
              <w:spacing w:before="0" w:beforeAutospacing="0" w:after="0" w:afterAutospacing="0" w:line="360" w:lineRule="auto"/>
              <w:ind w:left="0" w:right="0" w:firstLine="482" w:firstLineChars="200"/>
              <w:rPr>
                <w:rFonts w:hint="default" w:eastAsia="宋体" w:cs="Times New Roman"/>
                <w:b/>
                <w:bCs/>
                <w:color w:val="000000"/>
                <w:lang w:val="en-US" w:eastAsia="zh-CN"/>
              </w:rPr>
            </w:pPr>
            <w:r>
              <w:rPr>
                <w:rFonts w:hint="eastAsia" w:cs="Times New Roman"/>
                <w:b/>
                <w:bCs/>
                <w:color w:val="000000"/>
                <w:lang w:val="en-US" w:eastAsia="zh-CN"/>
              </w:rPr>
              <w:t>（2）生态功能区划</w:t>
            </w:r>
          </w:p>
          <w:p w14:paraId="346AB8B8">
            <w:pPr>
              <w:keepNext w:val="0"/>
              <w:keepLines w:val="0"/>
              <w:suppressLineNumbers w:val="0"/>
              <w:spacing w:before="0" w:beforeAutospacing="0" w:after="0" w:afterAutospacing="0" w:line="360" w:lineRule="auto"/>
              <w:ind w:left="0" w:right="0" w:firstLine="480" w:firstLineChars="200"/>
              <w:rPr>
                <w:rFonts w:hint="default" w:eastAsia="宋体" w:cs="Times New Roman"/>
                <w:color w:val="000000"/>
                <w:lang w:val="en-US" w:eastAsia="zh-CN"/>
              </w:rPr>
            </w:pPr>
            <w:r>
              <w:rPr>
                <w:rFonts w:hint="eastAsia" w:cs="Times New Roman"/>
                <w:color w:val="000000"/>
                <w:lang w:val="en-US" w:eastAsia="zh-CN"/>
              </w:rPr>
              <w:t>根据《新疆生态功能区划》，项目所在区域属于塔里木盆地暖温荒漠及绿洲农业生态区—塔里木盆地西部、北部荒漠及绿洲农业生态亚区—54.库尔勒—轮台城镇和石油基地建设生态功能区。</w:t>
            </w:r>
          </w:p>
          <w:p w14:paraId="0C8B9CF2">
            <w:pPr>
              <w:keepNext w:val="0"/>
              <w:keepLines w:val="0"/>
              <w:suppressLineNumbers w:val="0"/>
              <w:spacing w:before="0" w:beforeAutospacing="0" w:after="0" w:afterAutospacing="0" w:line="360" w:lineRule="auto"/>
              <w:ind w:left="0" w:right="0" w:firstLine="480" w:firstLineChars="200"/>
              <w:rPr>
                <w:rFonts w:hint="eastAsia" w:cs="Times New Roman"/>
                <w:b/>
                <w:bCs/>
                <w:color w:val="000000"/>
                <w:sz w:val="21"/>
                <w:szCs w:val="21"/>
                <w:lang w:val="en-US" w:eastAsia="zh-CN"/>
              </w:rPr>
            </w:pPr>
            <w:r>
              <w:rPr>
                <w:rFonts w:hint="eastAsia" w:cs="Times New Roman"/>
                <w:color w:val="000000"/>
                <w:lang w:val="en-US" w:eastAsia="zh-CN"/>
              </w:rPr>
              <w:t>项目区所在新疆生态功能区划位置具体见表3-2。</w:t>
            </w:r>
          </w:p>
          <w:p w14:paraId="13F3A972">
            <w:pPr>
              <w:keepNext w:val="0"/>
              <w:keepLines w:val="0"/>
              <w:suppressLineNumbers w:val="0"/>
              <w:spacing w:before="0" w:beforeAutospacing="0" w:after="0" w:afterAutospacing="0" w:line="240" w:lineRule="auto"/>
              <w:ind w:left="0" w:leftChars="0" w:right="0" w:firstLine="0" w:firstLineChars="0"/>
              <w:jc w:val="center"/>
              <w:rPr>
                <w:rFonts w:hint="default" w:eastAsia="宋体" w:cs="Times New Roman"/>
                <w:b/>
                <w:bCs/>
                <w:color w:val="000000"/>
                <w:sz w:val="21"/>
                <w:szCs w:val="21"/>
                <w:lang w:val="en-US" w:eastAsia="zh-CN"/>
              </w:rPr>
            </w:pPr>
            <w:r>
              <w:rPr>
                <w:rFonts w:hint="eastAsia" w:cs="Times New Roman"/>
                <w:b/>
                <w:bCs/>
                <w:color w:val="000000"/>
                <w:sz w:val="21"/>
                <w:szCs w:val="21"/>
                <w:lang w:val="en-US" w:eastAsia="zh-CN"/>
              </w:rPr>
              <w:t>表3-2    新疆生态功能区（摘录）</w:t>
            </w:r>
          </w:p>
          <w:tbl>
            <w:tblPr>
              <w:tblStyle w:val="43"/>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6021"/>
            </w:tblGrid>
            <w:tr w14:paraId="2DD6587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16E26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项目</w:t>
                  </w:r>
                </w:p>
              </w:tc>
              <w:tc>
                <w:tcPr>
                  <w:tcW w:w="3791" w:type="pct"/>
                  <w:tcBorders>
                    <w:tl2br w:val="nil"/>
                    <w:tr2bl w:val="nil"/>
                  </w:tcBorders>
                  <w:noWrap w:val="0"/>
                  <w:vAlign w:val="center"/>
                </w:tcPr>
                <w:p w14:paraId="213F99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区划</w:t>
                  </w:r>
                </w:p>
              </w:tc>
            </w:tr>
            <w:tr w14:paraId="2766304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2EF1EE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生态区</w:t>
                  </w:r>
                </w:p>
              </w:tc>
              <w:tc>
                <w:tcPr>
                  <w:tcW w:w="3791" w:type="pct"/>
                  <w:tcBorders>
                    <w:tl2br w:val="nil"/>
                    <w:tr2bl w:val="nil"/>
                  </w:tcBorders>
                  <w:noWrap w:val="0"/>
                  <w:vAlign w:val="center"/>
                </w:tcPr>
                <w:p w14:paraId="038049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Ⅳ塔里木盆地暖温荒漠及绿洲农业生态区</w:t>
                  </w:r>
                </w:p>
              </w:tc>
            </w:tr>
            <w:tr w14:paraId="445E402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2C167D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生态亚区</w:t>
                  </w:r>
                </w:p>
              </w:tc>
              <w:tc>
                <w:tcPr>
                  <w:tcW w:w="3791" w:type="pct"/>
                  <w:tcBorders>
                    <w:tl2br w:val="nil"/>
                    <w:tr2bl w:val="nil"/>
                  </w:tcBorders>
                  <w:noWrap w:val="0"/>
                  <w:vAlign w:val="center"/>
                </w:tcPr>
                <w:p w14:paraId="18837A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Ⅳ</w:t>
                  </w:r>
                  <w:r>
                    <w:rPr>
                      <w:rFonts w:hint="default" w:eastAsia="宋体" w:cs="Times New Roman"/>
                      <w:color w:val="000000"/>
                      <w:sz w:val="21"/>
                      <w:szCs w:val="21"/>
                      <w:vertAlign w:val="subscript"/>
                      <w:lang w:val="en-US" w:eastAsia="zh-CN"/>
                    </w:rPr>
                    <w:t>1</w:t>
                  </w:r>
                  <w:r>
                    <w:rPr>
                      <w:rFonts w:hint="default" w:eastAsia="宋体" w:cs="Times New Roman"/>
                      <w:color w:val="000000"/>
                      <w:sz w:val="21"/>
                      <w:szCs w:val="21"/>
                      <w:vertAlign w:val="baseline"/>
                      <w:lang w:val="en-US" w:eastAsia="zh-CN"/>
                    </w:rPr>
                    <w:t>塔里木盆地西部、北部荒漠及绿洲农业生态亚区</w:t>
                  </w:r>
                </w:p>
              </w:tc>
            </w:tr>
            <w:tr w14:paraId="10FC6B6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3C3173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生态功能区</w:t>
                  </w:r>
                </w:p>
              </w:tc>
              <w:tc>
                <w:tcPr>
                  <w:tcW w:w="3791" w:type="pct"/>
                  <w:tcBorders>
                    <w:tl2br w:val="nil"/>
                    <w:tr2bl w:val="nil"/>
                  </w:tcBorders>
                  <w:noWrap w:val="0"/>
                  <w:vAlign w:val="center"/>
                </w:tcPr>
                <w:p w14:paraId="191B53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54.库尔勒—轮台城镇和石油基地建设生态功能区</w:t>
                  </w:r>
                </w:p>
              </w:tc>
            </w:tr>
            <w:tr w14:paraId="14BFB1E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5B7FF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隶属行政区</w:t>
                  </w:r>
                </w:p>
              </w:tc>
              <w:tc>
                <w:tcPr>
                  <w:tcW w:w="3791" w:type="pct"/>
                  <w:tcBorders>
                    <w:tl2br w:val="nil"/>
                    <w:tr2bl w:val="nil"/>
                  </w:tcBorders>
                  <w:noWrap w:val="0"/>
                  <w:vAlign w:val="center"/>
                </w:tcPr>
                <w:p w14:paraId="5AA632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库尔勒市、轮台县、尉犁县</w:t>
                  </w:r>
                </w:p>
              </w:tc>
            </w:tr>
            <w:tr w14:paraId="3A9AEED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130A83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主要生态服务功能</w:t>
                  </w:r>
                </w:p>
              </w:tc>
              <w:tc>
                <w:tcPr>
                  <w:tcW w:w="3791" w:type="pct"/>
                  <w:tcBorders>
                    <w:tl2br w:val="nil"/>
                    <w:tr2bl w:val="nil"/>
                  </w:tcBorders>
                  <w:noWrap w:val="0"/>
                  <w:vAlign w:val="center"/>
                </w:tcPr>
                <w:p w14:paraId="539000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城市人居环境、工农业产品生产、油气资源</w:t>
                  </w:r>
                </w:p>
              </w:tc>
            </w:tr>
            <w:tr w14:paraId="0C9CE8E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43CA7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主要生态环境问题</w:t>
                  </w:r>
                </w:p>
              </w:tc>
              <w:tc>
                <w:tcPr>
                  <w:tcW w:w="3791" w:type="pct"/>
                  <w:tcBorders>
                    <w:tl2br w:val="nil"/>
                    <w:tr2bl w:val="nil"/>
                  </w:tcBorders>
                  <w:noWrap w:val="0"/>
                  <w:vAlign w:val="center"/>
                </w:tcPr>
                <w:p w14:paraId="104B54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水质污染、风沙危害、土壤盐碱化、洪水灾害、浮尘天气、盲目开荒、土壤环境污染</w:t>
                  </w:r>
                </w:p>
              </w:tc>
            </w:tr>
            <w:tr w14:paraId="5395829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78FB6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主要生态敏感因子、敏感程度</w:t>
                  </w:r>
                </w:p>
              </w:tc>
              <w:tc>
                <w:tcPr>
                  <w:tcW w:w="3791" w:type="pct"/>
                  <w:tcBorders>
                    <w:tl2br w:val="nil"/>
                    <w:tr2bl w:val="nil"/>
                  </w:tcBorders>
                  <w:noWrap w:val="0"/>
                  <w:vAlign w:val="center"/>
                </w:tcPr>
                <w:p w14:paraId="25D3DB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生物多样性及其生境中度敏感，土壤盐渍化高度敏感</w:t>
                  </w:r>
                </w:p>
              </w:tc>
            </w:tr>
            <w:tr w14:paraId="16204B2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4ABCCF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主保护目标</w:t>
                  </w:r>
                </w:p>
              </w:tc>
              <w:tc>
                <w:tcPr>
                  <w:tcW w:w="3791" w:type="pct"/>
                  <w:tcBorders>
                    <w:tl2br w:val="nil"/>
                    <w:tr2bl w:val="nil"/>
                  </w:tcBorders>
                  <w:noWrap w:val="0"/>
                  <w:vAlign w:val="center"/>
                </w:tcPr>
                <w:p w14:paraId="7C1E51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保护城市环境、保护基本农田、保护荒漠植被、保护河流水质、保护土壤环境质量</w:t>
                  </w:r>
                </w:p>
              </w:tc>
            </w:tr>
            <w:tr w14:paraId="7337E59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3286A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主要保护措施</w:t>
                  </w:r>
                </w:p>
              </w:tc>
              <w:tc>
                <w:tcPr>
                  <w:tcW w:w="3791" w:type="pct"/>
                  <w:tcBorders>
                    <w:tl2br w:val="nil"/>
                    <w:tr2bl w:val="nil"/>
                  </w:tcBorders>
                  <w:noWrap w:val="0"/>
                  <w:vAlign w:val="center"/>
                </w:tcPr>
                <w:p w14:paraId="01649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增加城市绿地面积、建设城市防护林、污水处理和资源化利用、减少农药地膜化肥污染、改良盐渍土壤</w:t>
                  </w:r>
                </w:p>
              </w:tc>
            </w:tr>
            <w:tr w14:paraId="407FEB2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208" w:type="pct"/>
                  <w:tcBorders>
                    <w:tl2br w:val="nil"/>
                    <w:tr2bl w:val="nil"/>
                  </w:tcBorders>
                  <w:noWrap w:val="0"/>
                  <w:vAlign w:val="center"/>
                </w:tcPr>
                <w:p w14:paraId="196658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适宜发展方向</w:t>
                  </w:r>
                </w:p>
              </w:tc>
              <w:tc>
                <w:tcPr>
                  <w:tcW w:w="3791" w:type="pct"/>
                  <w:tcBorders>
                    <w:tl2br w:val="nil"/>
                    <w:tr2bl w:val="nil"/>
                  </w:tcBorders>
                  <w:noWrap w:val="0"/>
                  <w:vAlign w:val="center"/>
                </w:tcPr>
                <w:p w14:paraId="105079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发展生态农业，建立香梨和人工甘草基地，建成石油基地和南疆商贸中心和物资集散地</w:t>
                  </w:r>
                </w:p>
              </w:tc>
            </w:tr>
          </w:tbl>
          <w:p w14:paraId="0BA51919">
            <w:pPr>
              <w:keepNext w:val="0"/>
              <w:keepLines w:val="0"/>
              <w:suppressLineNumbers w:val="0"/>
              <w:spacing w:before="0" w:beforeAutospacing="0" w:after="0" w:afterAutospacing="0" w:line="360" w:lineRule="auto"/>
              <w:ind w:right="0" w:firstLine="482" w:firstLineChars="20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1.3动植物分布情况</w:t>
            </w:r>
          </w:p>
          <w:p w14:paraId="2826B9DD">
            <w:pPr>
              <w:keepNext w:val="0"/>
              <w:keepLines w:val="0"/>
              <w:widowControl/>
              <w:suppressLineNumbers w:val="0"/>
              <w:spacing w:before="0" w:beforeAutospacing="0" w:after="0" w:afterAutospacing="0" w:line="360" w:lineRule="auto"/>
              <w:ind w:left="0" w:right="0" w:firstLine="480" w:firstLineChars="200"/>
              <w:jc w:val="both"/>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（1）植被现状</w:t>
            </w:r>
          </w:p>
          <w:p w14:paraId="2E21E298">
            <w:pPr>
              <w:keepNext w:val="0"/>
              <w:keepLines w:val="0"/>
              <w:widowControl/>
              <w:suppressLineNumbers w:val="0"/>
              <w:spacing w:before="0" w:beforeAutospacing="0" w:after="0" w:afterAutospacing="0" w:line="360" w:lineRule="auto"/>
              <w:ind w:left="0" w:right="0" w:firstLine="480" w:firstLineChars="200"/>
              <w:jc w:val="both"/>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本工程位于轮台县阳霞镇附近，经现场勘查项目区周边以荒漠戈壁为主，占地范围内及周边自然植被以麻黄属为主，零星分布有腹果麻黄、黑果枸杞、盐生草等，廊道沿线及周边无人工植被。项目所在地区植被覆盖度低，根据现场调查，调查期间未发现</w:t>
            </w:r>
            <w:r>
              <w:rPr>
                <w:rFonts w:hint="eastAsia"/>
                <w:lang w:val="en-US" w:eastAsia="zh-CN"/>
              </w:rPr>
              <w:t>《国家重点保护野生植物名录》《新疆国家重点保护野生植物名录》《新疆维吾尔自治区重点保护野生植物名录》中保护野生植物分布，同时结合《</w:t>
            </w:r>
            <w:r>
              <w:rPr>
                <w:rFonts w:hint="eastAsia"/>
              </w:rPr>
              <w:t>新疆维吾尔自治区人民政府关于公布新疆维吾尔自治区重点保护野生植物名录的通知</w:t>
            </w:r>
            <w:r>
              <w:rPr>
                <w:rFonts w:hint="eastAsia"/>
                <w:lang w:val="en-US" w:eastAsia="zh-CN"/>
              </w:rPr>
              <w:t>》（新政发〔2023〕63号）判断，本项目沿线主要分布的植被类型均不属于自治区重点保护野生植物</w:t>
            </w:r>
            <w:r>
              <w:rPr>
                <w:rFonts w:hint="eastAsia" w:cs="Times New Roman"/>
                <w:color w:val="000000"/>
                <w:kern w:val="0"/>
                <w:sz w:val="24"/>
                <w:szCs w:val="24"/>
                <w:highlight w:val="none"/>
                <w:lang w:val="en-US" w:eastAsia="zh-CN" w:bidi="ar"/>
              </w:rPr>
              <w:t>。植被类型详见附图5。</w:t>
            </w:r>
          </w:p>
          <w:p w14:paraId="6C230A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sz w:val="24"/>
                <w:szCs w:val="24"/>
                <w:lang w:val="en-US" w:eastAsia="zh-CN"/>
              </w:rPr>
              <w:t>植被现状调查详见下表。</w:t>
            </w:r>
          </w:p>
          <w:p w14:paraId="5DD3EB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表3-3     矿区范围内及周边主要植被覆盖情况一览表</w:t>
            </w:r>
          </w:p>
          <w:tbl>
            <w:tblPr>
              <w:tblStyle w:val="43"/>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96"/>
              <w:gridCol w:w="1298"/>
              <w:gridCol w:w="4157"/>
            </w:tblGrid>
            <w:tr w14:paraId="42FC1E2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96" w:type="pct"/>
                  <w:tcBorders>
                    <w:tl2br w:val="nil"/>
                    <w:tr2bl w:val="nil"/>
                  </w:tcBorders>
                  <w:noWrap w:val="0"/>
                  <w:vAlign w:val="center"/>
                </w:tcPr>
                <w:p w14:paraId="6684CE02">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lang w:val="en-US" w:eastAsia="zh-CN"/>
                    </w:rPr>
                  </w:pPr>
                  <w:r>
                    <w:rPr>
                      <w:rFonts w:hint="eastAsia" w:ascii="Times New Roman" w:hAnsi="Times New Roman" w:cs="Times New Roman"/>
                      <w:b/>
                      <w:bCs/>
                      <w:spacing w:val="-2"/>
                      <w:lang w:val="en-US" w:eastAsia="zh-CN"/>
                    </w:rPr>
                    <w:t>地段</w:t>
                  </w:r>
                </w:p>
              </w:tc>
              <w:tc>
                <w:tcPr>
                  <w:tcW w:w="1068" w:type="pct"/>
                  <w:tcBorders>
                    <w:tl2br w:val="nil"/>
                    <w:tr2bl w:val="nil"/>
                  </w:tcBorders>
                  <w:noWrap w:val="0"/>
                  <w:vAlign w:val="center"/>
                </w:tcPr>
                <w:p w14:paraId="1A9F3A2E">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lang w:val="en-US" w:eastAsia="zh-CN"/>
                    </w:rPr>
                  </w:pPr>
                  <w:r>
                    <w:rPr>
                      <w:rFonts w:hint="eastAsia" w:ascii="Times New Roman" w:hAnsi="Times New Roman" w:cs="Times New Roman"/>
                      <w:b/>
                      <w:bCs/>
                      <w:spacing w:val="-2"/>
                      <w:lang w:val="en-US" w:eastAsia="zh-CN"/>
                    </w:rPr>
                    <w:t>植被分布情况</w:t>
                  </w:r>
                </w:p>
              </w:tc>
              <w:tc>
                <w:tcPr>
                  <w:tcW w:w="817" w:type="pct"/>
                  <w:tcBorders>
                    <w:tl2br w:val="nil"/>
                    <w:tr2bl w:val="nil"/>
                  </w:tcBorders>
                  <w:noWrap w:val="0"/>
                  <w:vAlign w:val="center"/>
                </w:tcPr>
                <w:p w14:paraId="0E28A88D">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lang w:val="en-US" w:eastAsia="zh-CN"/>
                    </w:rPr>
                  </w:pPr>
                  <w:r>
                    <w:rPr>
                      <w:rFonts w:hint="eastAsia" w:ascii="Times New Roman" w:hAnsi="Times New Roman" w:cs="Times New Roman"/>
                      <w:b/>
                      <w:bCs/>
                      <w:spacing w:val="-2"/>
                      <w:lang w:val="en-US" w:eastAsia="zh-CN"/>
                    </w:rPr>
                    <w:t>植被</w:t>
                  </w:r>
                  <w:r>
                    <w:rPr>
                      <w:rFonts w:hint="eastAsia" w:cs="Times New Roman"/>
                      <w:b/>
                      <w:bCs/>
                      <w:spacing w:val="-2"/>
                      <w:lang w:val="en-US" w:eastAsia="zh-CN"/>
                    </w:rPr>
                    <w:t>种类</w:t>
                  </w:r>
                </w:p>
              </w:tc>
              <w:tc>
                <w:tcPr>
                  <w:tcW w:w="2617" w:type="pct"/>
                  <w:tcBorders>
                    <w:tl2br w:val="nil"/>
                    <w:tr2bl w:val="nil"/>
                  </w:tcBorders>
                  <w:noWrap w:val="0"/>
                  <w:vAlign w:val="center"/>
                </w:tcPr>
                <w:p w14:paraId="506BE7CD">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lang w:val="en-US" w:eastAsia="zh-CN"/>
                    </w:rPr>
                  </w:pPr>
                  <w:r>
                    <w:rPr>
                      <w:rFonts w:hint="eastAsia" w:ascii="Times New Roman" w:hAnsi="Times New Roman" w:cs="Times New Roman"/>
                      <w:b/>
                      <w:bCs/>
                      <w:spacing w:val="-2"/>
                      <w:lang w:val="en-US" w:eastAsia="zh-CN"/>
                    </w:rPr>
                    <w:t>照片</w:t>
                  </w:r>
                </w:p>
              </w:tc>
            </w:tr>
            <w:tr w14:paraId="2D1BA2F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restart"/>
                  <w:tcBorders>
                    <w:tl2br w:val="nil"/>
                    <w:tr2bl w:val="nil"/>
                  </w:tcBorders>
                  <w:noWrap w:val="0"/>
                  <w:vAlign w:val="center"/>
                </w:tcPr>
                <w:p w14:paraId="5DA2886C">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输煤廊道沿线</w:t>
                  </w:r>
                </w:p>
              </w:tc>
              <w:tc>
                <w:tcPr>
                  <w:tcW w:w="1068" w:type="pct"/>
                  <w:tcBorders>
                    <w:tl2br w:val="nil"/>
                    <w:tr2bl w:val="nil"/>
                  </w:tcBorders>
                  <w:noWrap w:val="0"/>
                  <w:vAlign w:val="center"/>
                </w:tcPr>
                <w:p w14:paraId="269B6D5A">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零星分布</w:t>
                  </w:r>
                </w:p>
              </w:tc>
              <w:tc>
                <w:tcPr>
                  <w:tcW w:w="817" w:type="pct"/>
                  <w:tcBorders>
                    <w:tl2br w:val="nil"/>
                    <w:tr2bl w:val="nil"/>
                  </w:tcBorders>
                  <w:noWrap w:val="0"/>
                  <w:vAlign w:val="center"/>
                </w:tcPr>
                <w:p w14:paraId="67B1D524">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腹果麻黄</w:t>
                  </w:r>
                </w:p>
              </w:tc>
              <w:tc>
                <w:tcPr>
                  <w:tcW w:w="2617" w:type="pct"/>
                  <w:tcBorders>
                    <w:tl2br w:val="nil"/>
                    <w:tr2bl w:val="nil"/>
                  </w:tcBorders>
                  <w:noWrap w:val="0"/>
                  <w:vAlign w:val="center"/>
                </w:tcPr>
                <w:p w14:paraId="0D8EF730">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spacing w:val="-2"/>
                      <w:lang w:val="en-US" w:eastAsia="zh-CN"/>
                    </w:rPr>
                  </w:pPr>
                  <w:r>
                    <w:rPr>
                      <w:rFonts w:hint="eastAsia" w:ascii="Times New Roman" w:hAnsi="Times New Roman" w:cs="Times New Roman"/>
                      <w:spacing w:val="-2"/>
                      <w:lang w:val="en-US" w:eastAsia="zh-CN"/>
                    </w:rPr>
                    <w:drawing>
                      <wp:inline distT="0" distB="0" distL="114300" distR="114300">
                        <wp:extent cx="1872615" cy="1404620"/>
                        <wp:effectExtent l="0" t="0" r="13335" b="5080"/>
                        <wp:docPr id="7" name="图片 1" descr="6e7cefb1d8d3582a50fc58daa573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6e7cefb1d8d3582a50fc58daa573abf"/>
                                <pic:cNvPicPr>
                                  <a:picLocks noChangeAspect="1"/>
                                </pic:cNvPicPr>
                              </pic:nvPicPr>
                              <pic:blipFill>
                                <a:blip r:embed="rId25"/>
                                <a:stretch>
                                  <a:fillRect/>
                                </a:stretch>
                              </pic:blipFill>
                              <pic:spPr>
                                <a:xfrm>
                                  <a:off x="0" y="0"/>
                                  <a:ext cx="1872615" cy="1404620"/>
                                </a:xfrm>
                                <a:prstGeom prst="rect">
                                  <a:avLst/>
                                </a:prstGeom>
                                <a:noFill/>
                                <a:ln>
                                  <a:noFill/>
                                </a:ln>
                              </pic:spPr>
                            </pic:pic>
                          </a:graphicData>
                        </a:graphic>
                      </wp:inline>
                    </w:drawing>
                  </w:r>
                </w:p>
              </w:tc>
            </w:tr>
            <w:tr w14:paraId="220FA85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tcBorders>
                    <w:tl2br w:val="nil"/>
                    <w:tr2bl w:val="nil"/>
                  </w:tcBorders>
                  <w:noWrap w:val="0"/>
                  <w:vAlign w:val="center"/>
                </w:tcPr>
                <w:p w14:paraId="2E39564C">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p>
              </w:tc>
              <w:tc>
                <w:tcPr>
                  <w:tcW w:w="1068" w:type="pct"/>
                  <w:tcBorders>
                    <w:tl2br w:val="nil"/>
                    <w:tr2bl w:val="nil"/>
                  </w:tcBorders>
                  <w:noWrap w:val="0"/>
                  <w:vAlign w:val="center"/>
                </w:tcPr>
                <w:p w14:paraId="0E1D67FA">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零星分布</w:t>
                  </w:r>
                </w:p>
              </w:tc>
              <w:tc>
                <w:tcPr>
                  <w:tcW w:w="817" w:type="pct"/>
                  <w:tcBorders>
                    <w:tl2br w:val="nil"/>
                    <w:tr2bl w:val="nil"/>
                  </w:tcBorders>
                  <w:noWrap w:val="0"/>
                  <w:vAlign w:val="center"/>
                </w:tcPr>
                <w:p w14:paraId="02B9C00E">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黑果枸杞</w:t>
                  </w:r>
                </w:p>
              </w:tc>
              <w:tc>
                <w:tcPr>
                  <w:tcW w:w="2617" w:type="pct"/>
                  <w:tcBorders>
                    <w:tl2br w:val="nil"/>
                    <w:tr2bl w:val="nil"/>
                  </w:tcBorders>
                  <w:noWrap w:val="0"/>
                  <w:vAlign w:val="center"/>
                </w:tcPr>
                <w:p w14:paraId="5FAE8344">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spacing w:val="-2"/>
                      <w:lang w:val="en-US" w:eastAsia="zh-CN"/>
                    </w:rPr>
                  </w:pPr>
                  <w:r>
                    <w:rPr>
                      <w:rFonts w:hint="eastAsia" w:ascii="Times New Roman" w:hAnsi="Times New Roman" w:cs="Times New Roman"/>
                      <w:spacing w:val="-2"/>
                      <w:lang w:val="en-US" w:eastAsia="zh-CN"/>
                    </w:rPr>
                    <w:drawing>
                      <wp:inline distT="0" distB="0" distL="114300" distR="114300">
                        <wp:extent cx="1865630" cy="2487295"/>
                        <wp:effectExtent l="0" t="0" r="1270" b="8255"/>
                        <wp:docPr id="11" name="图片 11" descr="dff5f38867f1196a3255601e0323b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ff5f38867f1196a3255601e0323b849"/>
                                <pic:cNvPicPr>
                                  <a:picLocks noChangeAspect="1"/>
                                </pic:cNvPicPr>
                              </pic:nvPicPr>
                              <pic:blipFill>
                                <a:blip r:embed="rId26"/>
                                <a:stretch>
                                  <a:fillRect/>
                                </a:stretch>
                              </pic:blipFill>
                              <pic:spPr>
                                <a:xfrm>
                                  <a:off x="0" y="0"/>
                                  <a:ext cx="1865630" cy="2487295"/>
                                </a:xfrm>
                                <a:prstGeom prst="rect">
                                  <a:avLst/>
                                </a:prstGeom>
                              </pic:spPr>
                            </pic:pic>
                          </a:graphicData>
                        </a:graphic>
                      </wp:inline>
                    </w:drawing>
                  </w:r>
                </w:p>
              </w:tc>
            </w:tr>
            <w:tr w14:paraId="31F3AA6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tcBorders>
                    <w:tl2br w:val="nil"/>
                    <w:tr2bl w:val="nil"/>
                  </w:tcBorders>
                  <w:noWrap w:val="0"/>
                  <w:vAlign w:val="center"/>
                </w:tcPr>
                <w:p w14:paraId="6E8FA134">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p>
              </w:tc>
              <w:tc>
                <w:tcPr>
                  <w:tcW w:w="1068" w:type="pct"/>
                  <w:tcBorders>
                    <w:tl2br w:val="nil"/>
                    <w:tr2bl w:val="nil"/>
                  </w:tcBorders>
                  <w:noWrap w:val="0"/>
                  <w:vAlign w:val="center"/>
                </w:tcPr>
                <w:p w14:paraId="5F430E6E">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零星分布</w:t>
                  </w:r>
                </w:p>
              </w:tc>
              <w:tc>
                <w:tcPr>
                  <w:tcW w:w="817" w:type="pct"/>
                  <w:tcBorders>
                    <w:tl2br w:val="nil"/>
                    <w:tr2bl w:val="nil"/>
                  </w:tcBorders>
                  <w:noWrap w:val="0"/>
                  <w:vAlign w:val="center"/>
                </w:tcPr>
                <w:p w14:paraId="5BF613D1">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2"/>
                      <w:lang w:val="en-US" w:eastAsia="zh-CN"/>
                    </w:rPr>
                  </w:pPr>
                  <w:r>
                    <w:rPr>
                      <w:rFonts w:hint="eastAsia" w:ascii="Times New Roman" w:hAnsi="Times New Roman" w:cs="Times New Roman"/>
                      <w:spacing w:val="-2"/>
                      <w:lang w:val="en-US" w:eastAsia="zh-CN"/>
                    </w:rPr>
                    <w:t>盐生草</w:t>
                  </w:r>
                </w:p>
              </w:tc>
              <w:tc>
                <w:tcPr>
                  <w:tcW w:w="2617" w:type="pct"/>
                  <w:tcBorders>
                    <w:tl2br w:val="nil"/>
                    <w:tr2bl w:val="nil"/>
                  </w:tcBorders>
                  <w:noWrap w:val="0"/>
                  <w:vAlign w:val="center"/>
                </w:tcPr>
                <w:p w14:paraId="4F2BB321">
                  <w:pPr>
                    <w:pStyle w:val="9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spacing w:val="-2"/>
                      <w:lang w:val="en-US" w:eastAsia="zh-CN"/>
                    </w:rPr>
                  </w:pPr>
                  <w:r>
                    <w:rPr>
                      <w:rFonts w:hint="eastAsia" w:ascii="Times New Roman" w:hAnsi="Times New Roman" w:cs="Times New Roman"/>
                      <w:spacing w:val="-2"/>
                      <w:lang w:val="en-US" w:eastAsia="zh-CN"/>
                    </w:rPr>
                    <w:drawing>
                      <wp:inline distT="0" distB="0" distL="114300" distR="114300">
                        <wp:extent cx="1865630" cy="2487295"/>
                        <wp:effectExtent l="0" t="0" r="1270" b="8255"/>
                        <wp:docPr id="12" name="图片 12" descr="4d0e83a04ceb23df6a4d2dc5789f9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d0e83a04ceb23df6a4d2dc5789f9f77"/>
                                <pic:cNvPicPr>
                                  <a:picLocks noChangeAspect="1"/>
                                </pic:cNvPicPr>
                              </pic:nvPicPr>
                              <pic:blipFill>
                                <a:blip r:embed="rId27"/>
                                <a:stretch>
                                  <a:fillRect/>
                                </a:stretch>
                              </pic:blipFill>
                              <pic:spPr>
                                <a:xfrm>
                                  <a:off x="0" y="0"/>
                                  <a:ext cx="1865630" cy="2487295"/>
                                </a:xfrm>
                                <a:prstGeom prst="rect">
                                  <a:avLst/>
                                </a:prstGeom>
                              </pic:spPr>
                            </pic:pic>
                          </a:graphicData>
                        </a:graphic>
                      </wp:inline>
                    </w:drawing>
                  </w:r>
                </w:p>
              </w:tc>
            </w:tr>
          </w:tbl>
          <w:p w14:paraId="45B1D480">
            <w:pPr>
              <w:keepNext w:val="0"/>
              <w:keepLines w:val="0"/>
              <w:suppressLineNumbers w:val="0"/>
              <w:spacing w:before="0" w:beforeAutospacing="0" w:after="0" w:afterAutospacing="0" w:line="360" w:lineRule="auto"/>
              <w:ind w:right="0" w:firstLine="480" w:firstLineChars="200"/>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（2）动物现状</w:t>
            </w:r>
          </w:p>
          <w:p w14:paraId="6AF155B2">
            <w:pPr>
              <w:keepNext w:val="0"/>
              <w:keepLines w:val="0"/>
              <w:suppressLineNumbers w:val="0"/>
              <w:spacing w:before="0" w:beforeAutospacing="0" w:after="0" w:afterAutospacing="0" w:line="360" w:lineRule="auto"/>
              <w:ind w:left="0" w:right="0" w:firstLine="480" w:firstLineChars="200"/>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区人为扰动较小，项目区可见自然野生动物包括鸟类、啮齿类、爬行类等小型动物，偶然能见野鸡、野兔等，根据现场调查，结合《关于发布新疆维吾尔自治区重点保护野生动物名录（修订）的通知》（新政发〔2022〕75号）可知，本项目所在区域的沙漠蜥蜴、甲虫、野鸡、野兔等均不属于自治区重点保护野生动物，暂未发现重点野生保护动物踪迹。</w:t>
            </w:r>
          </w:p>
          <w:p w14:paraId="141B3342">
            <w:pPr>
              <w:keepNext w:val="0"/>
              <w:keepLines w:val="0"/>
              <w:suppressLineNumbers w:val="0"/>
              <w:spacing w:before="0" w:beforeAutospacing="0" w:after="0" w:afterAutospacing="0" w:line="360" w:lineRule="auto"/>
              <w:ind w:left="0" w:right="0" w:firstLine="482" w:firstLineChars="200"/>
              <w:rPr>
                <w:rFonts w:hint="default" w:cs="Times New Roman"/>
                <w:b/>
                <w:bCs/>
                <w:color w:val="000000"/>
                <w:highlight w:val="none"/>
                <w:lang w:val="en-US" w:eastAsia="zh-CN"/>
              </w:rPr>
            </w:pPr>
            <w:r>
              <w:rPr>
                <w:rFonts w:hint="eastAsia" w:cs="Times New Roman"/>
                <w:b/>
                <w:bCs/>
                <w:color w:val="000000"/>
                <w:highlight w:val="none"/>
                <w:lang w:val="en-US" w:eastAsia="zh-CN"/>
              </w:rPr>
              <w:t>1.4土地利用类型情况</w:t>
            </w:r>
          </w:p>
          <w:p w14:paraId="599A2D90">
            <w:pPr>
              <w:keepNext w:val="0"/>
              <w:keepLines w:val="0"/>
              <w:widowControl/>
              <w:suppressLineNumbers w:val="0"/>
              <w:shd w:val="clear" w:color="auto" w:fill="auto"/>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结合项目土地利用类型图以及现场勘查，本工程占地范围占地</w:t>
            </w:r>
            <w:r>
              <w:rPr>
                <w:rFonts w:hint="eastAsia" w:cs="Times New Roman"/>
                <w:color w:val="000000"/>
                <w:kern w:val="0"/>
                <w:sz w:val="24"/>
                <w:szCs w:val="24"/>
                <w:highlight w:val="none"/>
                <w:lang w:val="en-US" w:eastAsia="zh-CN" w:bidi="ar"/>
              </w:rPr>
              <w:t>类型包含低密度草地、裸岩石质地、</w:t>
            </w:r>
            <w:r>
              <w:rPr>
                <w:rFonts w:hint="eastAsia" w:ascii="Times New Roman" w:hAnsi="Times New Roman" w:eastAsia="宋体" w:cs="Times New Roman"/>
                <w:color w:val="000000"/>
                <w:kern w:val="0"/>
                <w:sz w:val="24"/>
                <w:szCs w:val="24"/>
                <w:highlight w:val="none"/>
                <w:lang w:val="en-US" w:eastAsia="zh-CN" w:bidi="ar"/>
              </w:rPr>
              <w:t>戈壁。项目土地利用类型详见附图6。</w:t>
            </w:r>
          </w:p>
          <w:p w14:paraId="0011753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1.5土壤类型现状</w:t>
            </w:r>
          </w:p>
          <w:p w14:paraId="790C78AC">
            <w:pPr>
              <w:pStyle w:val="172"/>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color w:val="000000"/>
                <w:kern w:val="0"/>
                <w:sz w:val="24"/>
                <w:szCs w:val="24"/>
                <w:highlight w:val="none"/>
                <w:lang w:val="en-US" w:eastAsia="zh-CN" w:bidi="ar"/>
              </w:rPr>
            </w:pPr>
            <w:r>
              <w:rPr>
                <w:rFonts w:hint="eastAsia" w:ascii="Times New Roman" w:hAnsi="Times New Roman" w:eastAsia="宋体" w:cs="Times New Roman"/>
                <w:b w:val="0"/>
                <w:bCs/>
                <w:color w:val="000000"/>
                <w:kern w:val="0"/>
                <w:sz w:val="24"/>
                <w:szCs w:val="24"/>
                <w:highlight w:val="none"/>
                <w:lang w:val="en-US" w:eastAsia="zh-CN" w:bidi="ar"/>
              </w:rPr>
              <w:t>本工程占地范围土壤类型</w:t>
            </w:r>
            <w:r>
              <w:rPr>
                <w:rFonts w:hint="eastAsia" w:ascii="Times New Roman" w:hAnsi="Times New Roman" w:cs="Times New Roman"/>
                <w:b w:val="0"/>
                <w:bCs/>
                <w:color w:val="000000"/>
                <w:kern w:val="0"/>
                <w:sz w:val="24"/>
                <w:szCs w:val="24"/>
                <w:highlight w:val="none"/>
                <w:lang w:val="en-US" w:eastAsia="zh-CN" w:bidi="ar"/>
              </w:rPr>
              <w:t>包含钙质石质土和</w:t>
            </w:r>
            <w:r>
              <w:rPr>
                <w:rFonts w:hint="eastAsia" w:ascii="Times New Roman" w:hAnsi="Times New Roman" w:eastAsia="宋体" w:cs="Times New Roman"/>
                <w:b w:val="0"/>
                <w:bCs/>
                <w:color w:val="000000"/>
                <w:kern w:val="0"/>
                <w:sz w:val="24"/>
                <w:szCs w:val="24"/>
                <w:highlight w:val="none"/>
                <w:lang w:val="en-US" w:eastAsia="zh-CN" w:bidi="ar"/>
              </w:rPr>
              <w:t>棕漠土。</w:t>
            </w:r>
          </w:p>
          <w:p w14:paraId="3DECBC01">
            <w:pPr>
              <w:pStyle w:val="35"/>
              <w:keepNext w:val="0"/>
              <w:keepLines w:val="0"/>
              <w:pageBreakBefore w:val="0"/>
              <w:widowControl w:val="0"/>
              <w:shd w:val="clear" w:color="auto" w:fill="auto"/>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val="0"/>
                <w:bCs/>
                <w:color w:val="000000"/>
                <w:kern w:val="0"/>
                <w:sz w:val="24"/>
                <w:szCs w:val="24"/>
                <w:highlight w:val="none"/>
                <w:lang w:val="en-US" w:eastAsia="zh-CN" w:bidi="ar"/>
              </w:rPr>
            </w:pPr>
            <w:r>
              <w:rPr>
                <w:rFonts w:hint="eastAsia" w:ascii="Times New Roman" w:hAnsi="Times New Roman" w:eastAsia="宋体" w:cs="Times New Roman"/>
                <w:b w:val="0"/>
                <w:bCs/>
                <w:color w:val="000000"/>
                <w:kern w:val="0"/>
                <w:sz w:val="24"/>
                <w:szCs w:val="24"/>
                <w:highlight w:val="none"/>
                <w:lang w:val="en-US" w:eastAsia="zh-CN" w:bidi="ar"/>
              </w:rPr>
              <w:t>棕漠土——地表完全是一片漆黑的砾幂，比灰棕漠土的还要暗一些。下面的结皮为浅灰或乳黄色，厚度多不超过1厘米，混有小砾石，蜂窝状孔隙已不很明显，片状—鳞片状结构基本没有，并且容易破碎。唯有吐鲁番的葡萄沟地区，在能引水灌溉的沟口地段，沿等高线按一定距离挖沟，沟内填一定厚度的细土，种植葡萄，取得了不小成绩，积累了改造、利用棕漠土的丰富经验，如能积极推广，前途还是广阔的。</w:t>
            </w:r>
          </w:p>
          <w:p w14:paraId="60D8CE01">
            <w:pPr>
              <w:pStyle w:val="35"/>
              <w:keepNext w:val="0"/>
              <w:keepLines w:val="0"/>
              <w:pageBreakBefore w:val="0"/>
              <w:widowControl w:val="0"/>
              <w:shd w:val="clear" w:color="auto" w:fill="auto"/>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color w:val="000000"/>
                <w:kern w:val="0"/>
                <w:sz w:val="24"/>
                <w:szCs w:val="24"/>
                <w:highlight w:val="none"/>
                <w:lang w:val="en-US" w:eastAsia="zh-CN" w:bidi="ar"/>
              </w:rPr>
            </w:pPr>
            <w:r>
              <w:rPr>
                <w:rFonts w:hint="eastAsia" w:cs="Times New Roman"/>
                <w:b w:val="0"/>
                <w:bCs/>
                <w:color w:val="000000"/>
                <w:kern w:val="0"/>
                <w:sz w:val="24"/>
                <w:szCs w:val="24"/>
                <w:highlight w:val="none"/>
                <w:lang w:val="en-US" w:eastAsia="zh-CN" w:bidi="ar"/>
              </w:rPr>
              <w:t>钙质石质土——属钙质土，是我国温带和暖温带草原和干草原植被下，表层具有明显的腐殖质积累和土体中具有碳酸钙（镁）富积的土壤，包括黑钙土、栗钙土、栗褐土、黑垆土等。其共同特征有：腐殖质有不同程度的累积；二价离子盐类有一定淋移，碳酸钙在B层明显淀积；一价盐已被淋失，在剖面中无累积。全剖面均有石灰反应。</w:t>
            </w:r>
          </w:p>
          <w:p w14:paraId="0053F896">
            <w:pPr>
              <w:pStyle w:val="35"/>
              <w:keepNext w:val="0"/>
              <w:keepLines w:val="0"/>
              <w:pageBreakBefore w:val="0"/>
              <w:widowControl w:val="0"/>
              <w:shd w:val="clear" w:color="auto" w:fill="auto"/>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color w:val="000000"/>
                <w:kern w:val="0"/>
                <w:sz w:val="24"/>
                <w:szCs w:val="24"/>
                <w:highlight w:val="none"/>
                <w:lang w:val="en-US" w:eastAsia="zh-CN" w:bidi="ar"/>
              </w:rPr>
            </w:pPr>
            <w:r>
              <w:rPr>
                <w:rFonts w:hint="eastAsia" w:ascii="Times New Roman" w:hAnsi="Times New Roman" w:eastAsia="宋体" w:cs="Times New Roman"/>
                <w:b w:val="0"/>
                <w:bCs/>
                <w:color w:val="000000"/>
                <w:kern w:val="0"/>
                <w:sz w:val="24"/>
                <w:szCs w:val="24"/>
                <w:highlight w:val="none"/>
                <w:lang w:val="en-US" w:eastAsia="zh-CN" w:bidi="ar"/>
              </w:rPr>
              <w:t>本项目占地土壤经</w:t>
            </w:r>
            <w:r>
              <w:rPr>
                <w:rFonts w:hint="eastAsia" w:cs="Times New Roman"/>
                <w:b w:val="0"/>
                <w:bCs/>
                <w:color w:val="000000"/>
                <w:kern w:val="0"/>
                <w:sz w:val="24"/>
                <w:szCs w:val="24"/>
                <w:highlight w:val="none"/>
                <w:lang w:val="en-US" w:eastAsia="zh-CN" w:bidi="ar"/>
              </w:rPr>
              <w:t>现场勘查</w:t>
            </w:r>
            <w:r>
              <w:rPr>
                <w:rFonts w:hint="eastAsia" w:ascii="Times New Roman" w:hAnsi="Times New Roman" w:eastAsia="宋体" w:cs="Times New Roman"/>
                <w:b w:val="0"/>
                <w:bCs/>
                <w:color w:val="000000"/>
                <w:kern w:val="0"/>
                <w:sz w:val="24"/>
                <w:szCs w:val="24"/>
                <w:highlight w:val="none"/>
                <w:lang w:val="en-US" w:eastAsia="zh-CN" w:bidi="ar"/>
              </w:rPr>
              <w:t>，不存在人为破坏情况，地形地貌自然形成，不存在人为原因导致的土壤盐碱化或酸化情况。项目占地土壤类型详见附图7。</w:t>
            </w:r>
          </w:p>
          <w:p w14:paraId="6A8B275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1.6水土流失现状</w:t>
            </w:r>
          </w:p>
          <w:p w14:paraId="52289D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cs="Times New Roman"/>
                <w:color w:val="000000"/>
                <w:sz w:val="24"/>
                <w:szCs w:val="24"/>
                <w:lang w:val="en-US" w:eastAsia="zh-CN"/>
              </w:rPr>
              <w:t>依据《全国水土保持规划国家级水土流失重点预防区和重点治理区复核划分成果的通知》和</w:t>
            </w:r>
            <w:r>
              <w:rPr>
                <w:rFonts w:hint="eastAsia" w:cs="Times New Roman"/>
                <w:color w:val="000000"/>
                <w:sz w:val="24"/>
                <w:szCs w:val="24"/>
                <w:lang w:val="en-US" w:eastAsia="zh-CN"/>
              </w:rPr>
              <w:t>新疆维吾尔自治区水利厅</w:t>
            </w:r>
            <w:r>
              <w:rPr>
                <w:rFonts w:hint="eastAsia" w:ascii="Times New Roman" w:hAnsi="Times New Roman" w:cs="Times New Roman"/>
                <w:color w:val="000000"/>
                <w:sz w:val="24"/>
                <w:szCs w:val="24"/>
                <w:lang w:val="en-US" w:eastAsia="zh-CN"/>
              </w:rPr>
              <w:t>《关于印发新疆自治区级水土流失重点预防区和重点治理区复核划分成果的通知》，项目区属于自治区II</w:t>
            </w:r>
            <w:r>
              <w:rPr>
                <w:rFonts w:hint="eastAsia" w:ascii="Times New Roman" w:hAnsi="Times New Roman" w:cs="Times New Roman"/>
                <w:color w:val="000000"/>
                <w:sz w:val="24"/>
                <w:szCs w:val="24"/>
                <w:vertAlign w:val="subscript"/>
                <w:lang w:val="en-US" w:eastAsia="zh-CN"/>
              </w:rPr>
              <w:t>3</w:t>
            </w:r>
            <w:r>
              <w:rPr>
                <w:rFonts w:hint="eastAsia" w:ascii="Times New Roman" w:hAnsi="Times New Roman" w:cs="Times New Roman"/>
                <w:color w:val="000000"/>
                <w:sz w:val="24"/>
                <w:szCs w:val="24"/>
                <w:lang w:val="en-US" w:eastAsia="zh-CN"/>
              </w:rPr>
              <w:t>塔里木河流域水土流失重点治理区。</w:t>
            </w:r>
            <w:r>
              <w:rPr>
                <w:rFonts w:hint="default" w:ascii="Times New Roman" w:hAnsi="Times New Roman" w:cs="Times New Roman"/>
                <w:sz w:val="24"/>
                <w:lang w:val="en-US" w:eastAsia="zh-CN"/>
              </w:rPr>
              <w:t>根据《新疆维吾尔自治区20</w:t>
            </w:r>
            <w:r>
              <w:rPr>
                <w:rFonts w:hint="eastAsia" w:ascii="Times New Roman" w:hAnsi="Times New Roman" w:cs="Times New Roman"/>
                <w:sz w:val="24"/>
                <w:lang w:val="en-US" w:eastAsia="zh-CN"/>
              </w:rPr>
              <w:t>23</w:t>
            </w:r>
            <w:r>
              <w:rPr>
                <w:rFonts w:hint="default" w:ascii="Times New Roman" w:hAnsi="Times New Roman" w:cs="Times New Roman"/>
                <w:sz w:val="24"/>
                <w:lang w:val="en-US" w:eastAsia="zh-CN"/>
              </w:rPr>
              <w:t>年度水土流失动态监测年报》，20</w:t>
            </w:r>
            <w:r>
              <w:rPr>
                <w:rFonts w:hint="eastAsia" w:ascii="Times New Roman" w:hAnsi="Times New Roman" w:cs="Times New Roman"/>
                <w:sz w:val="24"/>
                <w:lang w:val="en-US" w:eastAsia="zh-CN"/>
              </w:rPr>
              <w:t>23</w:t>
            </w:r>
            <w:r>
              <w:rPr>
                <w:rFonts w:hint="default" w:ascii="Times New Roman" w:hAnsi="Times New Roman" w:cs="Times New Roman"/>
                <w:sz w:val="24"/>
                <w:lang w:val="en-US" w:eastAsia="zh-CN"/>
              </w:rPr>
              <w:t>年轮台县土壤侵蚀总面积</w:t>
            </w:r>
            <w:r>
              <w:rPr>
                <w:rFonts w:hint="eastAsia" w:ascii="Times New Roman" w:hAnsi="Times New Roman" w:cs="Times New Roman"/>
                <w:sz w:val="24"/>
                <w:lang w:val="en-US" w:eastAsia="zh-CN"/>
              </w:rPr>
              <w:t>4254.57</w:t>
            </w:r>
            <w:r>
              <w:rPr>
                <w:rFonts w:hint="default" w:ascii="Times New Roman" w:hAnsi="Times New Roman" w:cs="Times New Roman"/>
                <w:sz w:val="24"/>
                <w:lang w:val="en-US" w:eastAsia="zh-CN"/>
              </w:rPr>
              <w:t>km²，占全县土地总面积的</w:t>
            </w:r>
            <w:r>
              <w:rPr>
                <w:rFonts w:hint="eastAsia" w:ascii="Times New Roman" w:hAnsi="Times New Roman" w:cs="Times New Roman"/>
                <w:sz w:val="24"/>
                <w:lang w:val="en-US" w:eastAsia="zh-CN"/>
              </w:rPr>
              <w:t>29.99</w:t>
            </w:r>
            <w:r>
              <w:rPr>
                <w:rFonts w:hint="default" w:ascii="Times New Roman" w:hAnsi="Times New Roman" w:cs="Times New Roman"/>
                <w:sz w:val="24"/>
                <w:lang w:val="en-US" w:eastAsia="zh-CN"/>
              </w:rPr>
              <w:t>%。其中水力侵蚀面积6</w:t>
            </w:r>
            <w:r>
              <w:rPr>
                <w:rFonts w:hint="eastAsia" w:ascii="Times New Roman" w:hAnsi="Times New Roman" w:cs="Times New Roman"/>
                <w:sz w:val="24"/>
                <w:lang w:val="en-US" w:eastAsia="zh-CN"/>
              </w:rPr>
              <w:t>44.91</w:t>
            </w:r>
            <w:r>
              <w:rPr>
                <w:rFonts w:hint="default" w:ascii="Times New Roman" w:hAnsi="Times New Roman" w:cs="Times New Roman"/>
                <w:sz w:val="24"/>
                <w:lang w:val="en-US" w:eastAsia="zh-CN"/>
              </w:rPr>
              <w:t>km²，占</w:t>
            </w:r>
            <w:r>
              <w:rPr>
                <w:rFonts w:hint="eastAsia" w:ascii="Times New Roman" w:hAnsi="Times New Roman" w:cs="Times New Roman"/>
                <w:sz w:val="24"/>
                <w:lang w:val="en-US" w:eastAsia="zh-CN"/>
              </w:rPr>
              <w:t>水土流失</w:t>
            </w:r>
            <w:r>
              <w:rPr>
                <w:rFonts w:hint="default" w:ascii="Times New Roman" w:hAnsi="Times New Roman" w:cs="Times New Roman"/>
                <w:sz w:val="24"/>
                <w:lang w:val="en-US" w:eastAsia="zh-CN"/>
              </w:rPr>
              <w:t>总面积的15.</w:t>
            </w:r>
            <w:r>
              <w:rPr>
                <w:rFonts w:hint="eastAsia" w:ascii="Times New Roman" w:hAnsi="Times New Roman" w:cs="Times New Roman"/>
                <w:sz w:val="24"/>
                <w:lang w:val="en-US" w:eastAsia="zh-CN"/>
              </w:rPr>
              <w:t>16</w:t>
            </w:r>
            <w:r>
              <w:rPr>
                <w:rFonts w:hint="default" w:ascii="Times New Roman" w:hAnsi="Times New Roman" w:cs="Times New Roman"/>
                <w:sz w:val="24"/>
                <w:lang w:val="en-US" w:eastAsia="zh-CN"/>
              </w:rPr>
              <w:t>%；风力侵蚀面积3</w:t>
            </w:r>
            <w:r>
              <w:rPr>
                <w:rFonts w:hint="eastAsia" w:ascii="Times New Roman" w:hAnsi="Times New Roman" w:cs="Times New Roman"/>
                <w:sz w:val="24"/>
                <w:lang w:val="en-US" w:eastAsia="zh-CN"/>
              </w:rPr>
              <w:t>609.66</w:t>
            </w:r>
            <w:r>
              <w:rPr>
                <w:rFonts w:hint="default" w:ascii="Times New Roman" w:hAnsi="Times New Roman" w:cs="Times New Roman"/>
                <w:sz w:val="24"/>
                <w:lang w:val="en-US" w:eastAsia="zh-CN"/>
              </w:rPr>
              <w:t>km²，占</w:t>
            </w:r>
            <w:r>
              <w:rPr>
                <w:rFonts w:hint="eastAsia" w:ascii="Times New Roman" w:hAnsi="Times New Roman" w:cs="Times New Roman"/>
                <w:sz w:val="24"/>
                <w:lang w:val="en-US" w:eastAsia="zh-CN"/>
              </w:rPr>
              <w:t>水土流失</w:t>
            </w:r>
            <w:r>
              <w:rPr>
                <w:rFonts w:hint="default" w:ascii="Times New Roman" w:hAnsi="Times New Roman" w:cs="Times New Roman"/>
                <w:sz w:val="24"/>
                <w:lang w:val="en-US" w:eastAsia="zh-CN"/>
              </w:rPr>
              <w:t>总面积的84.</w:t>
            </w:r>
            <w:r>
              <w:rPr>
                <w:rFonts w:hint="eastAsia" w:ascii="Times New Roman" w:hAnsi="Times New Roman" w:cs="Times New Roman"/>
                <w:sz w:val="24"/>
                <w:lang w:val="en-US" w:eastAsia="zh-CN"/>
              </w:rPr>
              <w:t>84</w:t>
            </w:r>
            <w:r>
              <w:rPr>
                <w:rFonts w:hint="default" w:ascii="Times New Roman" w:hAnsi="Times New Roman" w:cs="Times New Roman"/>
                <w:sz w:val="24"/>
                <w:lang w:val="en-US" w:eastAsia="zh-CN"/>
              </w:rPr>
              <w:t>%。动态变化数据显示，轮台县20</w:t>
            </w:r>
            <w:r>
              <w:rPr>
                <w:rFonts w:hint="eastAsia" w:ascii="Times New Roman" w:hAnsi="Times New Roman" w:cs="Times New Roman"/>
                <w:sz w:val="24"/>
                <w:lang w:val="en-US" w:eastAsia="zh-CN"/>
              </w:rPr>
              <w:t>23</w:t>
            </w:r>
            <w:r>
              <w:rPr>
                <w:rFonts w:hint="default" w:ascii="Times New Roman" w:hAnsi="Times New Roman" w:cs="Times New Roman"/>
                <w:sz w:val="24"/>
                <w:lang w:val="en-US" w:eastAsia="zh-CN"/>
              </w:rPr>
              <w:t>年水土流失面积比20</w:t>
            </w:r>
            <w:r>
              <w:rPr>
                <w:rFonts w:hint="eastAsia" w:ascii="Times New Roman" w:hAnsi="Times New Roman" w:cs="Times New Roman"/>
                <w:sz w:val="24"/>
                <w:lang w:val="en-US" w:eastAsia="zh-CN"/>
              </w:rPr>
              <w:t>22</w:t>
            </w:r>
            <w:r>
              <w:rPr>
                <w:rFonts w:hint="default" w:ascii="Times New Roman" w:hAnsi="Times New Roman" w:cs="Times New Roman"/>
                <w:sz w:val="24"/>
                <w:lang w:val="en-US" w:eastAsia="zh-CN"/>
              </w:rPr>
              <w:t>年减少了</w:t>
            </w:r>
            <w:r>
              <w:rPr>
                <w:rFonts w:hint="eastAsia" w:ascii="Times New Roman" w:hAnsi="Times New Roman" w:cs="Times New Roman"/>
                <w:sz w:val="24"/>
                <w:lang w:val="en-US" w:eastAsia="zh-CN"/>
              </w:rPr>
              <w:t>5.17</w:t>
            </w:r>
            <w:r>
              <w:rPr>
                <w:rFonts w:hint="default" w:ascii="Times New Roman" w:hAnsi="Times New Roman" w:cs="Times New Roman"/>
                <w:sz w:val="24"/>
                <w:lang w:val="en-US" w:eastAsia="zh-CN"/>
              </w:rPr>
              <w:t>km²。轮台县20</w:t>
            </w:r>
            <w:r>
              <w:rPr>
                <w:rFonts w:hint="eastAsia" w:ascii="Times New Roman" w:hAnsi="Times New Roman" w:cs="Times New Roman"/>
                <w:sz w:val="24"/>
                <w:lang w:val="en-US" w:eastAsia="zh-CN"/>
              </w:rPr>
              <w:t>23</w:t>
            </w:r>
            <w:r>
              <w:rPr>
                <w:rFonts w:hint="default" w:ascii="Times New Roman" w:hAnsi="Times New Roman" w:cs="Times New Roman"/>
                <w:sz w:val="24"/>
                <w:lang w:val="en-US" w:eastAsia="zh-CN"/>
              </w:rPr>
              <w:t>年水土流失情况，见表</w:t>
            </w:r>
            <w:r>
              <w:rPr>
                <w:rFonts w:hint="eastAsia" w:ascii="Times New Roman" w:hAnsi="Times New Roman" w:cs="Times New Roman"/>
                <w:sz w:val="24"/>
                <w:lang w:val="en-US" w:eastAsia="zh-CN"/>
              </w:rPr>
              <w:t>3-4</w:t>
            </w:r>
            <w:r>
              <w:rPr>
                <w:rFonts w:hint="default" w:ascii="Times New Roman" w:hAnsi="Times New Roman" w:cs="Times New Roman"/>
                <w:sz w:val="24"/>
                <w:lang w:val="en-US" w:eastAsia="zh-CN"/>
              </w:rPr>
              <w:t>。</w:t>
            </w:r>
          </w:p>
          <w:p w14:paraId="40027A9F">
            <w:pPr>
              <w:pStyle w:val="79"/>
              <w:keepNext w:val="0"/>
              <w:keepLines w:val="0"/>
              <w:pageBreakBefore w:val="0"/>
              <w:widowControl/>
              <w:tabs>
                <w:tab w:val="left" w:pos="540"/>
                <w:tab w:val="left" w:pos="1080"/>
                <w:tab w:val="left" w:pos="1260"/>
                <w:tab w:val="left" w:pos="1440"/>
              </w:tabs>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3-4</w:t>
            </w:r>
            <w:r>
              <w:rPr>
                <w:rFonts w:hint="default" w:ascii="Times New Roman" w:hAnsi="Times New Roman" w:eastAsia="宋体" w:cs="Times New Roman"/>
                <w:b/>
                <w:bCs/>
                <w:kern w:val="2"/>
                <w:sz w:val="21"/>
                <w:szCs w:val="21"/>
                <w:lang w:val="en-US" w:eastAsia="zh-CN" w:bidi="ar-SA"/>
              </w:rPr>
              <w:t xml:space="preserve">      </w:t>
            </w:r>
            <w:r>
              <w:rPr>
                <w:rFonts w:hint="default" w:ascii="Times New Roman" w:hAnsi="Times New Roman" w:eastAsia="宋体" w:cs="Times New Roman"/>
                <w:b/>
                <w:bCs/>
                <w:kern w:val="2"/>
                <w:sz w:val="21"/>
                <w:szCs w:val="21"/>
                <w:lang w:val="en-US" w:eastAsia="zh-CN" w:bidi="ar-SA"/>
              </w:rPr>
              <w:tab/>
            </w:r>
            <w:r>
              <w:rPr>
                <w:rFonts w:hint="default" w:ascii="Times New Roman" w:hAnsi="Times New Roman" w:eastAsia="宋体" w:cs="Times New Roman"/>
                <w:b/>
                <w:bCs/>
                <w:kern w:val="2"/>
                <w:sz w:val="21"/>
                <w:szCs w:val="21"/>
                <w:lang w:val="en-US" w:eastAsia="zh-CN" w:bidi="ar-SA"/>
              </w:rPr>
              <w:t>2021年轮台县土壤侵蚀分类分级面积统计表</w:t>
            </w:r>
            <w:r>
              <w:rPr>
                <w:rFonts w:hint="default" w:ascii="Times New Roman" w:hAnsi="Times New Roman" w:eastAsia="宋体" w:cs="Times New Roman"/>
                <w:b/>
                <w:bCs/>
                <w:kern w:val="2"/>
                <w:sz w:val="21"/>
                <w:szCs w:val="21"/>
                <w:lang w:val="en-US" w:eastAsia="zh-CN" w:bidi="ar-SA"/>
              </w:rPr>
              <w:tab/>
            </w:r>
            <w:r>
              <w:rPr>
                <w:rFonts w:hint="default" w:ascii="Times New Roman" w:hAnsi="Times New Roman" w:eastAsia="宋体" w:cs="Times New Roman"/>
                <w:b/>
                <w:bCs/>
                <w:kern w:val="2"/>
                <w:sz w:val="21"/>
                <w:szCs w:val="21"/>
                <w:lang w:val="en-US" w:eastAsia="zh-CN" w:bidi="ar-SA"/>
              </w:rPr>
              <w:tab/>
            </w:r>
            <w:r>
              <w:rPr>
                <w:rFonts w:hint="default" w:ascii="Times New Roman" w:hAnsi="Times New Roman" w:eastAsia="宋体" w:cs="Times New Roman"/>
                <w:b/>
                <w:bCs/>
                <w:kern w:val="2"/>
                <w:sz w:val="21"/>
                <w:szCs w:val="21"/>
                <w:lang w:val="en-US" w:eastAsia="zh-CN" w:bidi="ar-SA"/>
              </w:rPr>
              <w:t>单位：hm²</w:t>
            </w:r>
          </w:p>
          <w:tbl>
            <w:tblPr>
              <w:tblStyle w:val="42"/>
              <w:tblW w:w="4999"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061"/>
              <w:gridCol w:w="1134"/>
              <w:gridCol w:w="1134"/>
              <w:gridCol w:w="1296"/>
              <w:gridCol w:w="1013"/>
              <w:gridCol w:w="1108"/>
            </w:tblGrid>
            <w:tr w14:paraId="14C0B30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pct"/>
                  <w:tcBorders>
                    <w:tl2br w:val="nil"/>
                    <w:tr2bl w:val="nil"/>
                  </w:tcBorders>
                  <w:noWrap w:val="0"/>
                  <w:vAlign w:val="center"/>
                </w:tcPr>
                <w:p w14:paraId="5E8FBD83">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侵蚀</w:t>
                  </w:r>
                  <w:r>
                    <w:rPr>
                      <w:rFonts w:hint="default" w:ascii="Times New Roman" w:hAnsi="Times New Roman" w:cs="Times New Roman"/>
                      <w:color w:val="auto"/>
                      <w:sz w:val="21"/>
                      <w:szCs w:val="21"/>
                    </w:rPr>
                    <w:t>类型</w:t>
                  </w:r>
                </w:p>
              </w:tc>
              <w:tc>
                <w:tcPr>
                  <w:tcW w:w="668" w:type="pct"/>
                  <w:tcBorders>
                    <w:tl2br w:val="nil"/>
                    <w:tr2bl w:val="nil"/>
                  </w:tcBorders>
                  <w:noWrap w:val="0"/>
                  <w:vAlign w:val="center"/>
                </w:tcPr>
                <w:p w14:paraId="59AC5909">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cs="Times New Roman"/>
                      <w:color w:val="auto"/>
                      <w:sz w:val="21"/>
                      <w:szCs w:val="21"/>
                      <w:lang w:eastAsia="zh-CN"/>
                    </w:rPr>
                    <w:t>轻度侵蚀</w:t>
                  </w:r>
                </w:p>
              </w:tc>
              <w:tc>
                <w:tcPr>
                  <w:tcW w:w="714" w:type="pct"/>
                  <w:tcBorders>
                    <w:tl2br w:val="nil"/>
                    <w:tr2bl w:val="nil"/>
                  </w:tcBorders>
                  <w:noWrap w:val="0"/>
                  <w:vAlign w:val="center"/>
                </w:tcPr>
                <w:p w14:paraId="18CC1A4F">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cs="Times New Roman"/>
                      <w:color w:val="auto"/>
                      <w:sz w:val="21"/>
                      <w:szCs w:val="21"/>
                      <w:lang w:eastAsia="zh-CN"/>
                    </w:rPr>
                    <w:t>中度侵蚀</w:t>
                  </w:r>
                </w:p>
              </w:tc>
              <w:tc>
                <w:tcPr>
                  <w:tcW w:w="714" w:type="pct"/>
                  <w:tcBorders>
                    <w:tl2br w:val="nil"/>
                    <w:tr2bl w:val="nil"/>
                  </w:tcBorders>
                  <w:noWrap w:val="0"/>
                  <w:vAlign w:val="center"/>
                </w:tcPr>
                <w:p w14:paraId="49C21D42">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cs="Times New Roman"/>
                      <w:color w:val="auto"/>
                      <w:sz w:val="21"/>
                      <w:szCs w:val="21"/>
                      <w:lang w:eastAsia="zh-CN"/>
                    </w:rPr>
                    <w:t>强烈侵蚀</w:t>
                  </w:r>
                </w:p>
              </w:tc>
              <w:tc>
                <w:tcPr>
                  <w:tcW w:w="816" w:type="pct"/>
                  <w:tcBorders>
                    <w:tl2br w:val="nil"/>
                    <w:tr2bl w:val="nil"/>
                  </w:tcBorders>
                  <w:noWrap w:val="0"/>
                  <w:vAlign w:val="center"/>
                </w:tcPr>
                <w:p w14:paraId="6507ADCF">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cs="Times New Roman"/>
                      <w:color w:val="auto"/>
                      <w:sz w:val="21"/>
                      <w:szCs w:val="21"/>
                      <w:lang w:eastAsia="zh-CN"/>
                    </w:rPr>
                    <w:t>极强烈侵蚀</w:t>
                  </w:r>
                </w:p>
              </w:tc>
              <w:tc>
                <w:tcPr>
                  <w:tcW w:w="637" w:type="pct"/>
                  <w:tcBorders>
                    <w:tl2br w:val="nil"/>
                    <w:tr2bl w:val="nil"/>
                  </w:tcBorders>
                  <w:noWrap w:val="0"/>
                  <w:vAlign w:val="center"/>
                </w:tcPr>
                <w:p w14:paraId="175340C8">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剧烈侵蚀</w:t>
                  </w:r>
                </w:p>
              </w:tc>
              <w:tc>
                <w:tcPr>
                  <w:tcW w:w="697" w:type="pct"/>
                  <w:tcBorders>
                    <w:tl2br w:val="nil"/>
                    <w:tr2bl w:val="nil"/>
                  </w:tcBorders>
                  <w:noWrap w:val="0"/>
                  <w:vAlign w:val="center"/>
                </w:tcPr>
                <w:p w14:paraId="3E3DA162">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合计</w:t>
                  </w:r>
                </w:p>
              </w:tc>
            </w:tr>
            <w:tr w14:paraId="48FE229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pct"/>
                  <w:tcBorders>
                    <w:tl2br w:val="nil"/>
                    <w:tr2bl w:val="nil"/>
                  </w:tcBorders>
                  <w:noWrap w:val="0"/>
                  <w:vAlign w:val="center"/>
                </w:tcPr>
                <w:p w14:paraId="3FA20274">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水力</w:t>
                  </w:r>
                  <w:r>
                    <w:rPr>
                      <w:rFonts w:hint="default" w:ascii="Times New Roman" w:hAnsi="Times New Roman" w:cs="Times New Roman"/>
                      <w:color w:val="auto"/>
                      <w:sz w:val="21"/>
                      <w:szCs w:val="21"/>
                    </w:rPr>
                    <w:t>侵蚀</w:t>
                  </w:r>
                </w:p>
              </w:tc>
              <w:tc>
                <w:tcPr>
                  <w:tcW w:w="668" w:type="pct"/>
                  <w:tcBorders>
                    <w:tl2br w:val="nil"/>
                    <w:tr2bl w:val="nil"/>
                  </w:tcBorders>
                  <w:noWrap w:val="0"/>
                  <w:vAlign w:val="center"/>
                </w:tcPr>
                <w:p w14:paraId="095AB838">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548.99</w:t>
                  </w:r>
                </w:p>
              </w:tc>
              <w:tc>
                <w:tcPr>
                  <w:tcW w:w="714" w:type="pct"/>
                  <w:tcBorders>
                    <w:tl2br w:val="nil"/>
                    <w:tr2bl w:val="nil"/>
                  </w:tcBorders>
                  <w:noWrap w:val="0"/>
                  <w:vAlign w:val="center"/>
                </w:tcPr>
                <w:p w14:paraId="4FDBC255">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94.49</w:t>
                  </w:r>
                </w:p>
              </w:tc>
              <w:tc>
                <w:tcPr>
                  <w:tcW w:w="714" w:type="pct"/>
                  <w:tcBorders>
                    <w:tl2br w:val="nil"/>
                    <w:tr2bl w:val="nil"/>
                  </w:tcBorders>
                  <w:noWrap w:val="0"/>
                  <w:vAlign w:val="center"/>
                </w:tcPr>
                <w:p w14:paraId="52A0FBD3">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1.43</w:t>
                  </w:r>
                </w:p>
              </w:tc>
              <w:tc>
                <w:tcPr>
                  <w:tcW w:w="816" w:type="pct"/>
                  <w:tcBorders>
                    <w:tl2br w:val="nil"/>
                    <w:tr2bl w:val="nil"/>
                  </w:tcBorders>
                  <w:noWrap w:val="0"/>
                  <w:vAlign w:val="center"/>
                </w:tcPr>
                <w:p w14:paraId="7862AAEC">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637" w:type="pct"/>
                  <w:tcBorders>
                    <w:tl2br w:val="nil"/>
                    <w:tr2bl w:val="nil"/>
                  </w:tcBorders>
                  <w:noWrap w:val="0"/>
                  <w:vAlign w:val="center"/>
                </w:tcPr>
                <w:p w14:paraId="4A3E539B">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697" w:type="pct"/>
                  <w:tcBorders>
                    <w:tl2br w:val="nil"/>
                    <w:tr2bl w:val="nil"/>
                  </w:tcBorders>
                  <w:noWrap w:val="0"/>
                  <w:vAlign w:val="center"/>
                </w:tcPr>
                <w:p w14:paraId="5C04F8E9">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644.91</w:t>
                  </w:r>
                </w:p>
              </w:tc>
            </w:tr>
            <w:tr w14:paraId="7E0931D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pct"/>
                  <w:tcBorders>
                    <w:tl2br w:val="nil"/>
                    <w:tr2bl w:val="nil"/>
                  </w:tcBorders>
                  <w:noWrap w:val="0"/>
                  <w:vAlign w:val="center"/>
                </w:tcPr>
                <w:p w14:paraId="7BD64AB5">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风力</w:t>
                  </w:r>
                  <w:r>
                    <w:rPr>
                      <w:rFonts w:hint="default" w:ascii="Times New Roman" w:hAnsi="Times New Roman" w:cs="Times New Roman"/>
                      <w:color w:val="auto"/>
                      <w:sz w:val="21"/>
                      <w:szCs w:val="21"/>
                    </w:rPr>
                    <w:t>侵蚀</w:t>
                  </w:r>
                </w:p>
              </w:tc>
              <w:tc>
                <w:tcPr>
                  <w:tcW w:w="668" w:type="pct"/>
                  <w:tcBorders>
                    <w:tl2br w:val="nil"/>
                    <w:tr2bl w:val="nil"/>
                  </w:tcBorders>
                  <w:noWrap w:val="0"/>
                  <w:vAlign w:val="center"/>
                </w:tcPr>
                <w:p w14:paraId="6D132A94">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3609.13</w:t>
                  </w:r>
                </w:p>
              </w:tc>
              <w:tc>
                <w:tcPr>
                  <w:tcW w:w="714" w:type="pct"/>
                  <w:tcBorders>
                    <w:tl2br w:val="nil"/>
                    <w:tr2bl w:val="nil"/>
                  </w:tcBorders>
                  <w:noWrap w:val="0"/>
                  <w:vAlign w:val="center"/>
                </w:tcPr>
                <w:p w14:paraId="0082EAF8">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0.53</w:t>
                  </w:r>
                </w:p>
              </w:tc>
              <w:tc>
                <w:tcPr>
                  <w:tcW w:w="714" w:type="pct"/>
                  <w:tcBorders>
                    <w:tl2br w:val="nil"/>
                    <w:tr2bl w:val="nil"/>
                  </w:tcBorders>
                  <w:noWrap w:val="0"/>
                  <w:vAlign w:val="center"/>
                </w:tcPr>
                <w:p w14:paraId="17A42C38">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816" w:type="pct"/>
                  <w:tcBorders>
                    <w:tl2br w:val="nil"/>
                    <w:tr2bl w:val="nil"/>
                  </w:tcBorders>
                  <w:noWrap w:val="0"/>
                  <w:vAlign w:val="center"/>
                </w:tcPr>
                <w:p w14:paraId="08B6BFE4">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637" w:type="pct"/>
                  <w:tcBorders>
                    <w:tl2br w:val="nil"/>
                    <w:tr2bl w:val="nil"/>
                  </w:tcBorders>
                  <w:noWrap w:val="0"/>
                  <w:vAlign w:val="center"/>
                </w:tcPr>
                <w:p w14:paraId="118A46AC">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697" w:type="pct"/>
                  <w:tcBorders>
                    <w:tl2br w:val="nil"/>
                    <w:tr2bl w:val="nil"/>
                  </w:tcBorders>
                  <w:noWrap w:val="0"/>
                  <w:vAlign w:val="center"/>
                </w:tcPr>
                <w:p w14:paraId="2F490C57">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3609.66</w:t>
                  </w:r>
                </w:p>
              </w:tc>
            </w:tr>
            <w:tr w14:paraId="64B26FE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2" w:type="pct"/>
                  <w:gridSpan w:val="6"/>
                  <w:tcBorders>
                    <w:tl2br w:val="nil"/>
                    <w:tr2bl w:val="nil"/>
                  </w:tcBorders>
                  <w:noWrap w:val="0"/>
                  <w:vAlign w:val="center"/>
                </w:tcPr>
                <w:p w14:paraId="743ECC16">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697" w:type="pct"/>
                  <w:tcBorders>
                    <w:tl2br w:val="nil"/>
                    <w:tr2bl w:val="nil"/>
                  </w:tcBorders>
                  <w:noWrap w:val="0"/>
                  <w:vAlign w:val="center"/>
                </w:tcPr>
                <w:p w14:paraId="25074473">
                  <w:pPr>
                    <w:pStyle w:val="109"/>
                    <w:keepNext w:val="0"/>
                    <w:keepLines w:val="0"/>
                    <w:pageBreakBefore w:val="0"/>
                    <w:widowControl/>
                    <w:kinsoku/>
                    <w:wordWrap/>
                    <w:overflowPunct/>
                    <w:topLinePunct w:val="0"/>
                    <w:autoSpaceDE/>
                    <w:autoSpaceDN/>
                    <w:bidi w:val="0"/>
                    <w:adjustRightInd w:val="0"/>
                    <w:snapToGrid w:val="0"/>
                    <w:spacing w:beforeLines="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4254.57</w:t>
                  </w:r>
                </w:p>
              </w:tc>
            </w:tr>
          </w:tbl>
          <w:p w14:paraId="523A3EC5">
            <w:pPr>
              <w:pStyle w:val="3"/>
              <w:numPr>
                <w:ilvl w:val="0"/>
                <w:numId w:val="0"/>
              </w:numPr>
              <w:bidi w:val="0"/>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cs="Times New Roman"/>
                <w:b w:val="0"/>
                <w:bCs w:val="0"/>
                <w:sz w:val="24"/>
                <w:lang w:val="en-US" w:eastAsia="zh-CN"/>
              </w:rPr>
              <w:t>根据项目区土壤侵蚀图，本</w:t>
            </w:r>
            <w:r>
              <w:rPr>
                <w:rFonts w:hint="eastAsia" w:cs="Times New Roman"/>
                <w:b w:val="0"/>
                <w:bCs w:val="0"/>
                <w:sz w:val="24"/>
                <w:lang w:val="en-US" w:eastAsia="zh-CN"/>
              </w:rPr>
              <w:t>项目所在区域</w:t>
            </w:r>
            <w:r>
              <w:rPr>
                <w:rFonts w:hint="eastAsia" w:ascii="Times New Roman" w:hAnsi="Times New Roman" w:cs="Times New Roman"/>
                <w:b w:val="0"/>
                <w:bCs w:val="0"/>
                <w:sz w:val="24"/>
                <w:lang w:val="en-US" w:eastAsia="zh-CN"/>
              </w:rPr>
              <w:t>土壤侵蚀以</w:t>
            </w:r>
            <w:r>
              <w:rPr>
                <w:rFonts w:hint="default" w:ascii="Times New Roman" w:hAnsi="Times New Roman" w:cs="Times New Roman"/>
                <w:b w:val="0"/>
                <w:bCs w:val="0"/>
                <w:sz w:val="24"/>
                <w:lang w:val="en-US" w:eastAsia="zh-CN"/>
              </w:rPr>
              <w:t>风力侵蚀为主。</w:t>
            </w:r>
          </w:p>
          <w:p w14:paraId="3B91C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1.7</w:t>
            </w:r>
            <w:r>
              <w:rPr>
                <w:rFonts w:hint="eastAsia" w:cs="Times New Roman"/>
                <w:b/>
                <w:bCs/>
                <w:color w:val="000000"/>
                <w:sz w:val="24"/>
                <w:szCs w:val="24"/>
                <w:lang w:val="en-US" w:eastAsia="zh-CN"/>
              </w:rPr>
              <w:t>土地沙漠化现状</w:t>
            </w:r>
          </w:p>
          <w:p w14:paraId="1FB84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（1）沙漠化态势严峻，林草植被覆盖率低</w:t>
            </w:r>
          </w:p>
          <w:p w14:paraId="6AB4B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本工程所在</w:t>
            </w:r>
            <w:r>
              <w:rPr>
                <w:rFonts w:hint="eastAsia" w:cs="Times New Roman"/>
                <w:b w:val="0"/>
                <w:bCs w:val="0"/>
                <w:color w:val="000000"/>
                <w:sz w:val="24"/>
                <w:szCs w:val="24"/>
                <w:lang w:val="en-US" w:eastAsia="zh-CN"/>
              </w:rPr>
              <w:t>地</w:t>
            </w:r>
            <w:r>
              <w:rPr>
                <w:rFonts w:hint="eastAsia" w:ascii="Times New Roman" w:hAnsi="Times New Roman" w:eastAsia="宋体" w:cs="Times New Roman"/>
                <w:b w:val="0"/>
                <w:bCs w:val="0"/>
                <w:color w:val="000000"/>
                <w:sz w:val="24"/>
                <w:szCs w:val="24"/>
                <w:lang w:val="en-US" w:eastAsia="zh-CN"/>
              </w:rPr>
              <w:t>分布在塔克拉玛干沙漠</w:t>
            </w:r>
            <w:r>
              <w:rPr>
                <w:rFonts w:hint="eastAsia" w:cs="Times New Roman"/>
                <w:b w:val="0"/>
                <w:bCs w:val="0"/>
                <w:color w:val="000000"/>
                <w:sz w:val="24"/>
                <w:szCs w:val="24"/>
                <w:lang w:val="en-US" w:eastAsia="zh-CN"/>
              </w:rPr>
              <w:t>北部</w:t>
            </w:r>
            <w:r>
              <w:rPr>
                <w:rFonts w:hint="eastAsia" w:ascii="Times New Roman" w:hAnsi="Times New Roman" w:eastAsia="宋体" w:cs="Times New Roman"/>
                <w:b w:val="0"/>
                <w:bCs w:val="0"/>
                <w:color w:val="000000"/>
                <w:sz w:val="24"/>
                <w:szCs w:val="24"/>
                <w:lang w:val="en-US" w:eastAsia="zh-CN"/>
              </w:rPr>
              <w:t>边缘，生态环境极为脆弱，</w:t>
            </w:r>
            <w:r>
              <w:rPr>
                <w:rFonts w:hint="eastAsia" w:cs="Times New Roman"/>
                <w:b w:val="0"/>
                <w:bCs w:val="0"/>
                <w:color w:val="000000"/>
                <w:sz w:val="24"/>
                <w:szCs w:val="24"/>
                <w:lang w:val="en-US" w:eastAsia="zh-CN"/>
              </w:rPr>
              <w:t>土地</w:t>
            </w:r>
            <w:r>
              <w:rPr>
                <w:rFonts w:hint="eastAsia" w:ascii="Times New Roman" w:hAnsi="Times New Roman" w:eastAsia="宋体" w:cs="Times New Roman"/>
                <w:b w:val="0"/>
                <w:bCs w:val="0"/>
                <w:color w:val="000000"/>
                <w:sz w:val="24"/>
                <w:szCs w:val="24"/>
                <w:lang w:val="en-US" w:eastAsia="zh-CN"/>
              </w:rPr>
              <w:t>极易受到风力侵蚀，成为荒漠化最敏感的地区。</w:t>
            </w:r>
          </w:p>
          <w:p w14:paraId="2ABAB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（2）水资源</w:t>
            </w:r>
          </w:p>
          <w:p w14:paraId="2CE4E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本工程所在地区水资源主要依靠</w:t>
            </w:r>
            <w:r>
              <w:rPr>
                <w:rFonts w:hint="eastAsia" w:cs="Times New Roman"/>
                <w:b w:val="0"/>
                <w:bCs w:val="0"/>
                <w:color w:val="000000"/>
                <w:sz w:val="24"/>
                <w:szCs w:val="24"/>
                <w:lang w:val="en-US" w:eastAsia="zh-CN"/>
              </w:rPr>
              <w:t>地下水和雪山融水</w:t>
            </w:r>
            <w:r>
              <w:rPr>
                <w:rFonts w:hint="eastAsia" w:cs="Times New Roman"/>
                <w:b w:val="0"/>
                <w:bCs w:val="0"/>
                <w:color w:val="000000"/>
                <w:sz w:val="24"/>
                <w:szCs w:val="24"/>
                <w:highlight w:val="none"/>
                <w:lang w:val="en-US" w:eastAsia="zh-CN"/>
              </w:rPr>
              <w:t>，项目施工期抑尘用水从阳霞镇拉运，项目位于阳霞镇附近，用水有保障。</w:t>
            </w:r>
          </w:p>
          <w:p w14:paraId="4239C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（3）土壤瘠薄、次生盐渍化严重</w:t>
            </w:r>
          </w:p>
          <w:p w14:paraId="0CD5E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塔克拉玛干沙漠北部边缘由于土壤旱化，土壤层水分状况的恶化，地表植被覆盖度降低，使地面蒸发增强。在一些湖盆洼地和低洼地区，潜水埋藏较浅，矿化</w:t>
            </w:r>
            <w:r>
              <w:rPr>
                <w:rFonts w:hint="eastAsia" w:cs="Times New Roman"/>
                <w:b w:val="0"/>
                <w:bCs w:val="0"/>
                <w:color w:val="000000"/>
                <w:sz w:val="24"/>
                <w:szCs w:val="24"/>
                <w:lang w:val="en-US" w:eastAsia="zh-CN"/>
              </w:rPr>
              <w:t>一般</w:t>
            </w:r>
            <w:r>
              <w:rPr>
                <w:rFonts w:hint="eastAsia" w:ascii="Times New Roman" w:hAnsi="Times New Roman" w:eastAsia="宋体" w:cs="Times New Roman"/>
                <w:b w:val="0"/>
                <w:bCs w:val="0"/>
                <w:color w:val="000000"/>
                <w:sz w:val="24"/>
                <w:szCs w:val="24"/>
                <w:lang w:val="en-US" w:eastAsia="zh-CN"/>
              </w:rPr>
              <w:t>较高，在3</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5g/L以上。强烈的蒸发，将潜水的盐分带入土壤层，并在土壤层中积累，造成大面积的土壤盐渍化。并且一些弃耕的土地不同程度</w:t>
            </w:r>
            <w:r>
              <w:rPr>
                <w:rFonts w:hint="eastAsia" w:cs="Times New Roman"/>
                <w:b w:val="0"/>
                <w:bCs w:val="0"/>
                <w:color w:val="000000"/>
                <w:sz w:val="24"/>
                <w:szCs w:val="24"/>
                <w:lang w:val="en-US" w:eastAsia="zh-CN"/>
              </w:rPr>
              <w:t>地</w:t>
            </w:r>
            <w:r>
              <w:rPr>
                <w:rFonts w:hint="eastAsia" w:ascii="Times New Roman" w:hAnsi="Times New Roman" w:eastAsia="宋体" w:cs="Times New Roman"/>
                <w:b w:val="0"/>
                <w:bCs w:val="0"/>
                <w:color w:val="000000"/>
                <w:sz w:val="24"/>
                <w:szCs w:val="24"/>
                <w:lang w:val="en-US" w:eastAsia="zh-CN"/>
              </w:rPr>
              <w:t>出现土壤盐渍化，大面积的土壤盐渍化又加剧了地表植被的退化，形成恶性循环。</w:t>
            </w:r>
            <w:r>
              <w:rPr>
                <w:rFonts w:hint="eastAsia"/>
                <w:lang w:val="en-US" w:eastAsia="zh-CN"/>
              </w:rPr>
              <w:t>本工程沿河流建设，除枯水期，地表水资源相较其他区域较多，盐渍化相对周边土地较轻，植被覆盖相对较好。</w:t>
            </w:r>
          </w:p>
          <w:p w14:paraId="3DF0C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（4）风沙灾害频繁，危害严重</w:t>
            </w:r>
          </w:p>
          <w:p w14:paraId="0BC91DE1">
            <w:pPr>
              <w:pStyle w:val="3"/>
              <w:numPr>
                <w:ilvl w:val="0"/>
                <w:numId w:val="0"/>
              </w:numPr>
              <w:bidi w:val="0"/>
              <w:rPr>
                <w:rFonts w:hint="eastAsia"/>
                <w:lang w:val="en-US" w:eastAsia="zh-CN"/>
              </w:rPr>
            </w:pPr>
            <w:r>
              <w:rPr>
                <w:rFonts w:hint="default" w:ascii="Times New Roman" w:hAnsi="Times New Roman" w:eastAsia="宋体" w:cs="Times New Roman"/>
                <w:b w:val="0"/>
                <w:bCs w:val="0"/>
                <w:color w:val="000000"/>
                <w:sz w:val="24"/>
                <w:szCs w:val="24"/>
                <w:lang w:val="en-US" w:eastAsia="zh-CN"/>
              </w:rPr>
              <w:t>每年春、秋冷暖气团交替之际，强大冷气团频频入侵，常形成大风降温的灾害性天气。盆地北部年≥8级风20</w:t>
            </w:r>
            <w:r>
              <w:rPr>
                <w:rFonts w:hint="eastAsia" w:cs="Times New Roman"/>
                <w:b w:val="0"/>
                <w:bCs w:val="0"/>
                <w:color w:val="000000"/>
                <w:sz w:val="24"/>
                <w:szCs w:val="24"/>
                <w:lang w:val="en-US" w:eastAsia="zh-CN"/>
              </w:rPr>
              <w:t>～</w:t>
            </w:r>
            <w:r>
              <w:rPr>
                <w:rFonts w:hint="default" w:ascii="Times New Roman" w:hAnsi="Times New Roman" w:eastAsia="宋体" w:cs="Times New Roman"/>
                <w:b w:val="0"/>
                <w:bCs w:val="0"/>
                <w:color w:val="000000"/>
                <w:sz w:val="24"/>
                <w:szCs w:val="24"/>
                <w:lang w:val="en-US" w:eastAsia="zh-CN"/>
              </w:rPr>
              <w:t>30日，南部5</w:t>
            </w:r>
            <w:r>
              <w:rPr>
                <w:rFonts w:hint="eastAsia" w:cs="Times New Roman"/>
                <w:b w:val="0"/>
                <w:bCs w:val="0"/>
                <w:color w:val="000000"/>
                <w:sz w:val="24"/>
                <w:szCs w:val="24"/>
                <w:lang w:val="en-US" w:eastAsia="zh-CN"/>
              </w:rPr>
              <w:t>～</w:t>
            </w:r>
            <w:r>
              <w:rPr>
                <w:rFonts w:hint="default" w:ascii="Times New Roman" w:hAnsi="Times New Roman" w:eastAsia="宋体" w:cs="Times New Roman"/>
                <w:b w:val="0"/>
                <w:bCs w:val="0"/>
                <w:color w:val="000000"/>
                <w:sz w:val="24"/>
                <w:szCs w:val="24"/>
                <w:lang w:val="en-US" w:eastAsia="zh-CN"/>
              </w:rPr>
              <w:t>10日，且每隔4</w:t>
            </w:r>
            <w:r>
              <w:rPr>
                <w:rFonts w:hint="eastAsia" w:cs="Times New Roman"/>
                <w:b w:val="0"/>
                <w:bCs w:val="0"/>
                <w:color w:val="000000"/>
                <w:sz w:val="24"/>
                <w:szCs w:val="24"/>
                <w:lang w:val="en-US" w:eastAsia="zh-CN"/>
              </w:rPr>
              <w:t>～</w:t>
            </w:r>
            <w:r>
              <w:rPr>
                <w:rFonts w:hint="default" w:ascii="Times New Roman" w:hAnsi="Times New Roman" w:eastAsia="宋体" w:cs="Times New Roman"/>
                <w:b w:val="0"/>
                <w:bCs w:val="0"/>
                <w:color w:val="000000"/>
                <w:sz w:val="24"/>
                <w:szCs w:val="24"/>
                <w:lang w:val="en-US" w:eastAsia="zh-CN"/>
              </w:rPr>
              <w:t>5年周期性</w:t>
            </w:r>
            <w:r>
              <w:rPr>
                <w:rFonts w:hint="eastAsia" w:cs="Times New Roman"/>
                <w:b w:val="0"/>
                <w:bCs w:val="0"/>
                <w:color w:val="000000"/>
                <w:sz w:val="24"/>
                <w:szCs w:val="24"/>
                <w:lang w:val="en-US" w:eastAsia="zh-CN"/>
              </w:rPr>
              <w:t>地</w:t>
            </w:r>
            <w:r>
              <w:rPr>
                <w:rFonts w:hint="default" w:ascii="Times New Roman" w:hAnsi="Times New Roman" w:eastAsia="宋体" w:cs="Times New Roman"/>
                <w:b w:val="0"/>
                <w:bCs w:val="0"/>
                <w:color w:val="000000"/>
                <w:sz w:val="24"/>
                <w:szCs w:val="24"/>
                <w:lang w:val="en-US" w:eastAsia="zh-CN"/>
              </w:rPr>
              <w:t>出现延续时间长、风力在9级以上的尘风暴</w:t>
            </w:r>
            <w:r>
              <w:rPr>
                <w:rFonts w:hint="eastAsia" w:eastAsia="宋体" w:cs="Times New Roman"/>
                <w:b w:val="0"/>
                <w:bCs w:val="0"/>
                <w:color w:val="000000"/>
                <w:sz w:val="24"/>
                <w:szCs w:val="24"/>
                <w:lang w:val="en-US" w:eastAsia="zh-CN"/>
              </w:rPr>
              <w:t>。</w:t>
            </w:r>
          </w:p>
          <w:p w14:paraId="6BB3402B">
            <w:pPr>
              <w:pStyle w:val="3"/>
              <w:numPr>
                <w:ilvl w:val="0"/>
                <w:numId w:val="0"/>
              </w:numPr>
              <w:bidi w:val="0"/>
              <w:rPr>
                <w:rFonts w:hint="default"/>
              </w:rPr>
            </w:pPr>
            <w:r>
              <w:rPr>
                <w:rFonts w:hint="eastAsia"/>
                <w:lang w:val="en-US" w:eastAsia="zh-CN"/>
              </w:rPr>
              <w:t>2.</w:t>
            </w:r>
            <w:r>
              <w:rPr>
                <w:rFonts w:hint="default"/>
              </w:rPr>
              <w:t>大气环境质量现状</w:t>
            </w:r>
          </w:p>
          <w:p w14:paraId="279DF931">
            <w:pPr>
              <w:pStyle w:val="3"/>
              <w:bidi w:val="0"/>
              <w:ind w:firstLine="482" w:firstLineChars="200"/>
              <w:rPr>
                <w:rFonts w:hint="default"/>
                <w:lang w:val="en-US" w:eastAsia="zh-CN"/>
              </w:rPr>
            </w:pPr>
            <w:r>
              <w:rPr>
                <w:rFonts w:hint="eastAsia"/>
                <w:lang w:val="en-US" w:eastAsia="zh-CN"/>
              </w:rPr>
              <w:t>2.1基本污染物达标情况</w:t>
            </w:r>
          </w:p>
          <w:bookmarkEnd w:id="0"/>
          <w:p w14:paraId="1C3A5183">
            <w:pPr>
              <w:bidi w:val="0"/>
              <w:rPr>
                <w:rFonts w:hint="eastAsia"/>
              </w:rPr>
            </w:pPr>
            <w:r>
              <w:rPr>
                <w:rFonts w:hint="eastAsia"/>
              </w:rPr>
              <w:t>根据《巴音郭楞蒙古自治州2024年生态环境状况公报》中的空气环境质量：2024年，全州空气质量综合指数为5.22，同比下降7.9%，空气质量明显好于2023年。全州平均优良天数比例为62%，同比增加15.7%，PM</w:t>
            </w:r>
            <w:r>
              <w:rPr>
                <w:rFonts w:hint="eastAsia"/>
                <w:vertAlign w:val="subscript"/>
              </w:rPr>
              <w:t>10</w:t>
            </w:r>
            <w:r>
              <w:rPr>
                <w:rFonts w:hint="eastAsia"/>
              </w:rPr>
              <w:t>为首要污染物，未出现PM</w:t>
            </w:r>
            <w:r>
              <w:rPr>
                <w:rFonts w:hint="eastAsia"/>
                <w:vertAlign w:val="subscript"/>
              </w:rPr>
              <w:t>2.5</w:t>
            </w:r>
            <w:r>
              <w:rPr>
                <w:rFonts w:hint="eastAsia"/>
              </w:rPr>
              <w:t>、O</w:t>
            </w:r>
            <w:r>
              <w:rPr>
                <w:rFonts w:hint="eastAsia"/>
                <w:vertAlign w:val="subscript"/>
              </w:rPr>
              <w:t>3</w:t>
            </w:r>
            <w:r>
              <w:rPr>
                <w:rFonts w:hint="eastAsia"/>
              </w:rPr>
              <w:t>-8h、SO</w:t>
            </w:r>
            <w:r>
              <w:rPr>
                <w:rFonts w:hint="eastAsia"/>
                <w:vertAlign w:val="subscript"/>
              </w:rPr>
              <w:t>2</w:t>
            </w:r>
            <w:r>
              <w:rPr>
                <w:rFonts w:hint="eastAsia"/>
              </w:rPr>
              <w:t>、NO</w:t>
            </w:r>
            <w:r>
              <w:rPr>
                <w:rFonts w:hint="eastAsia"/>
                <w:vertAlign w:val="subscript"/>
              </w:rPr>
              <w:t>2</w:t>
            </w:r>
            <w:r>
              <w:rPr>
                <w:rFonts w:hint="eastAsia"/>
              </w:rPr>
              <w:t>、CO为首要污染物的超标天。因此判断本项目所在区域为不达标区，不达标因子为PM</w:t>
            </w:r>
            <w:r>
              <w:rPr>
                <w:rFonts w:hint="eastAsia"/>
                <w:vertAlign w:val="subscript"/>
              </w:rPr>
              <w:t>10</w:t>
            </w:r>
            <w:r>
              <w:rPr>
                <w:rFonts w:hint="eastAsia"/>
              </w:rPr>
              <w:t>。</w:t>
            </w:r>
          </w:p>
          <w:p w14:paraId="23D4E8FF">
            <w:pPr>
              <w:pStyle w:val="3"/>
              <w:bidi w:val="0"/>
              <w:ind w:firstLine="482" w:firstLineChars="200"/>
              <w:rPr>
                <w:rFonts w:hint="default"/>
              </w:rPr>
            </w:pPr>
            <w:r>
              <w:rPr>
                <w:rFonts w:hint="eastAsia"/>
                <w:lang w:val="en-US" w:eastAsia="zh-CN"/>
              </w:rPr>
              <w:t>2.2</w:t>
            </w:r>
            <w:r>
              <w:rPr>
                <w:rFonts w:hint="default"/>
              </w:rPr>
              <w:t>其他污染物质量现状</w:t>
            </w:r>
          </w:p>
          <w:p w14:paraId="3C1A2F95">
            <w:pPr>
              <w:bidi w:val="0"/>
              <w:rPr>
                <w:rFonts w:hint="default"/>
              </w:rPr>
            </w:pPr>
            <w:r>
              <w:rPr>
                <w:rFonts w:hint="default"/>
              </w:rPr>
              <w:t>根据</w:t>
            </w:r>
            <w:r>
              <w:rPr>
                <w:rFonts w:hint="eastAsia"/>
                <w:lang w:val="en-US" w:eastAsia="zh-CN"/>
              </w:rPr>
              <w:t>编制指南要求，</w:t>
            </w:r>
            <w:r>
              <w:rPr>
                <w:rFonts w:hint="default"/>
              </w:rPr>
              <w:t>本次</w:t>
            </w:r>
            <w:r>
              <w:rPr>
                <w:rFonts w:hint="eastAsia"/>
                <w:lang w:val="en-US" w:eastAsia="zh-CN"/>
              </w:rPr>
              <w:t>引用轮台县鑫聚隆工贸有限公司的总悬浮</w:t>
            </w:r>
            <w:r>
              <w:rPr>
                <w:rFonts w:hint="eastAsia"/>
                <w:lang w:eastAsia="zh-CN"/>
              </w:rPr>
              <w:t>颗粒物</w:t>
            </w:r>
            <w:r>
              <w:rPr>
                <w:rFonts w:hint="default"/>
              </w:rPr>
              <w:t>环境质量现状</w:t>
            </w:r>
            <w:r>
              <w:rPr>
                <w:rFonts w:hint="eastAsia"/>
                <w:lang w:eastAsia="zh-CN"/>
              </w:rPr>
              <w:t>监测报告</w:t>
            </w:r>
            <w:r>
              <w:rPr>
                <w:rFonts w:hint="default"/>
              </w:rPr>
              <w:t>。</w:t>
            </w:r>
          </w:p>
          <w:p w14:paraId="5E681F0A">
            <w:pPr>
              <w:bidi w:val="0"/>
              <w:rPr>
                <w:rFonts w:hint="default"/>
              </w:rPr>
            </w:pPr>
            <w:r>
              <w:rPr>
                <w:rFonts w:hint="default"/>
              </w:rPr>
              <w:t>（1）监测地点、监测因子</w:t>
            </w:r>
          </w:p>
          <w:p w14:paraId="2D710036">
            <w:pPr>
              <w:bidi w:val="0"/>
              <w:rPr>
                <w:rFonts w:hint="default"/>
              </w:rPr>
            </w:pPr>
            <w:r>
              <w:rPr>
                <w:rFonts w:hint="default"/>
                <w:lang w:eastAsia="zh-CN"/>
              </w:rPr>
              <w:t>监测点位坐</w:t>
            </w:r>
            <w:r>
              <w:rPr>
                <w:rFonts w:hint="default" w:ascii="Times New Roman" w:hAnsi="Times New Roman" w:eastAsia="宋体" w:cs="Times New Roman"/>
                <w:lang w:val="en-US" w:eastAsia="zh-CN"/>
              </w:rPr>
              <w:t>标东经</w:t>
            </w:r>
            <w:r>
              <w:rPr>
                <w:rFonts w:hint="eastAsia" w:ascii="Times New Roman" w:hAnsi="Times New Roman" w:eastAsia="宋体" w:cs="Times New Roman"/>
                <w:lang w:val="en-US" w:eastAsia="zh-CN"/>
              </w:rPr>
              <w:t>84.497734</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北纬</w:t>
            </w:r>
            <w:r>
              <w:rPr>
                <w:rFonts w:hint="eastAsia" w:ascii="Times New Roman" w:hAnsi="Times New Roman" w:eastAsia="宋体" w:cs="Times New Roman"/>
                <w:lang w:val="en-US" w:eastAsia="zh-CN"/>
              </w:rPr>
              <w:t>41.997016</w:t>
            </w:r>
            <w:r>
              <w:rPr>
                <w:rFonts w:hint="default" w:ascii="Times New Roman" w:hAnsi="Times New Roman" w:eastAsia="宋体" w:cs="Times New Roman"/>
                <w:lang w:val="en-US" w:eastAsia="zh-CN"/>
              </w:rPr>
              <w:t>°，位于本</w:t>
            </w:r>
            <w:r>
              <w:rPr>
                <w:rFonts w:hint="default"/>
                <w:lang w:eastAsia="zh-CN"/>
              </w:rPr>
              <w:t>项目</w:t>
            </w:r>
            <w:r>
              <w:rPr>
                <w:rFonts w:hint="eastAsia"/>
                <w:lang w:val="en-US" w:eastAsia="zh-CN"/>
              </w:rPr>
              <w:t>东北侧1.2km处</w:t>
            </w:r>
            <w:r>
              <w:rPr>
                <w:rFonts w:hint="default"/>
                <w:lang w:val="en-US" w:eastAsia="zh-CN"/>
              </w:rPr>
              <w:t>。</w:t>
            </w:r>
            <w:r>
              <w:rPr>
                <w:rFonts w:hint="default"/>
              </w:rPr>
              <w:t>监测点位详见附图</w:t>
            </w:r>
            <w:r>
              <w:rPr>
                <w:rFonts w:hint="eastAsia"/>
                <w:lang w:val="en-US" w:eastAsia="zh-CN"/>
              </w:rPr>
              <w:t>3</w:t>
            </w:r>
            <w:r>
              <w:rPr>
                <w:rFonts w:hint="default"/>
              </w:rPr>
              <w:t>。</w:t>
            </w:r>
          </w:p>
          <w:p w14:paraId="37C0499A">
            <w:pPr>
              <w:bidi w:val="0"/>
              <w:rPr>
                <w:rFonts w:hint="eastAsia"/>
                <w:lang w:val="en-US" w:eastAsia="zh-CN"/>
              </w:rPr>
            </w:pPr>
            <w:r>
              <w:rPr>
                <w:rFonts w:hint="default"/>
              </w:rPr>
              <w:t>其他污染因子：</w:t>
            </w:r>
            <w:r>
              <w:rPr>
                <w:rFonts w:hint="eastAsia"/>
                <w:lang w:eastAsia="zh-CN"/>
              </w:rPr>
              <w:t>总悬浮颗粒物（</w:t>
            </w:r>
            <w:r>
              <w:rPr>
                <w:rFonts w:hint="eastAsia"/>
                <w:lang w:val="en-US" w:eastAsia="zh-CN"/>
              </w:rPr>
              <w:t>TSP</w:t>
            </w:r>
            <w:r>
              <w:rPr>
                <w:rFonts w:hint="eastAsia"/>
                <w:lang w:eastAsia="zh-CN"/>
              </w:rPr>
              <w:t>）</w:t>
            </w:r>
          </w:p>
          <w:p w14:paraId="54E05576">
            <w:pPr>
              <w:bidi w:val="0"/>
              <w:rPr>
                <w:rFonts w:hint="default"/>
              </w:rPr>
            </w:pPr>
            <w:r>
              <w:rPr>
                <w:rFonts w:hint="default"/>
              </w:rPr>
              <w:t>（2）采样及分析方法</w:t>
            </w:r>
          </w:p>
          <w:p w14:paraId="77AEFA3C">
            <w:pPr>
              <w:bidi w:val="0"/>
              <w:rPr>
                <w:rFonts w:hint="default"/>
              </w:rPr>
            </w:pPr>
            <w:r>
              <w:rPr>
                <w:rFonts w:hint="default"/>
              </w:rPr>
              <w:t>采样方法和分析方法《环境空气</w:t>
            </w:r>
            <w:r>
              <w:rPr>
                <w:rFonts w:hint="eastAsia"/>
                <w:lang w:val="en-US" w:eastAsia="zh-CN"/>
              </w:rPr>
              <w:t xml:space="preserve"> </w:t>
            </w:r>
            <w:r>
              <w:rPr>
                <w:rFonts w:hint="default"/>
              </w:rPr>
              <w:t>总悬浮颗粒物的测定重量法》（</w:t>
            </w:r>
            <w:r>
              <w:rPr>
                <w:rFonts w:hint="eastAsia"/>
                <w:lang w:val="en-US" w:eastAsia="zh-CN"/>
              </w:rPr>
              <w:t>HJ1263-2022</w:t>
            </w:r>
            <w:r>
              <w:rPr>
                <w:rFonts w:hint="default"/>
              </w:rPr>
              <w:t>）。</w:t>
            </w:r>
          </w:p>
          <w:p w14:paraId="5420E84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（3）监测时间及频率</w:t>
            </w:r>
          </w:p>
          <w:p w14:paraId="0CF146F6">
            <w:pPr>
              <w:pStyle w:val="83"/>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cs="Times New Roman"/>
                <w:color w:val="auto"/>
                <w:sz w:val="24"/>
                <w:szCs w:val="24"/>
                <w:highlight w:val="none"/>
              </w:rPr>
            </w:pPr>
            <w:bookmarkStart w:id="1" w:name="_Toc28617"/>
            <w:r>
              <w:rPr>
                <w:rFonts w:hint="default" w:ascii="Times New Roman" w:cs="Times New Roman"/>
                <w:color w:val="auto"/>
                <w:sz w:val="24"/>
                <w:szCs w:val="24"/>
                <w:highlight w:val="none"/>
              </w:rPr>
              <w:t>监测频率：</w:t>
            </w:r>
            <w:r>
              <w:rPr>
                <w:rFonts w:hint="eastAsia" w:ascii="Times New Roman" w:cs="Times New Roman"/>
                <w:color w:val="auto"/>
                <w:sz w:val="24"/>
                <w:szCs w:val="24"/>
                <w:highlight w:val="none"/>
                <w:lang w:val="en-US" w:eastAsia="zh-CN"/>
              </w:rPr>
              <w:t>TSP</w:t>
            </w:r>
            <w:r>
              <w:rPr>
                <w:rFonts w:hint="default" w:ascii="Times New Roman" w:cs="Times New Roman"/>
                <w:color w:val="auto"/>
                <w:sz w:val="24"/>
                <w:szCs w:val="24"/>
                <w:highlight w:val="none"/>
              </w:rPr>
              <w:t>连续</w:t>
            </w:r>
            <w:r>
              <w:rPr>
                <w:rFonts w:hint="eastAsia" w:ascii="Times New Roman" w:cs="Times New Roman"/>
                <w:color w:val="auto"/>
                <w:sz w:val="24"/>
                <w:szCs w:val="24"/>
                <w:highlight w:val="none"/>
                <w:lang w:eastAsia="zh-CN"/>
              </w:rPr>
              <w:t>监测</w:t>
            </w:r>
            <w:r>
              <w:rPr>
                <w:rFonts w:hint="eastAsia" w:ascii="Times New Roman" w:cs="Times New Roman"/>
                <w:color w:val="auto"/>
                <w:sz w:val="24"/>
                <w:szCs w:val="24"/>
                <w:highlight w:val="none"/>
                <w:lang w:val="en-US" w:eastAsia="zh-CN"/>
              </w:rPr>
              <w:t>3</w:t>
            </w:r>
            <w:r>
              <w:rPr>
                <w:rFonts w:hint="default" w:ascii="Times New Roman" w:cs="Times New Roman"/>
                <w:color w:val="auto"/>
                <w:sz w:val="24"/>
                <w:szCs w:val="24"/>
                <w:highlight w:val="none"/>
              </w:rPr>
              <w:t>天。</w:t>
            </w:r>
          </w:p>
          <w:p w14:paraId="68913FA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lang w:val="de-DE"/>
              </w:rPr>
              <w:t>监测时间：</w:t>
            </w:r>
            <w:r>
              <w:rPr>
                <w:rFonts w:hint="eastAsia" w:cs="Times New Roman"/>
                <w:color w:val="auto"/>
                <w:sz w:val="24"/>
                <w:szCs w:val="24"/>
                <w:lang w:val="en-US" w:eastAsia="zh-CN"/>
              </w:rPr>
              <w:t>2025年5月14日—2025年5月16日</w:t>
            </w:r>
            <w:r>
              <w:rPr>
                <w:rFonts w:hint="default"/>
                <w:color w:val="auto"/>
                <w:sz w:val="24"/>
                <w:highlight w:val="none"/>
                <w:lang w:val="de-DE"/>
              </w:rPr>
              <w:t>。</w:t>
            </w:r>
          </w:p>
          <w:p w14:paraId="4C94156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（4）评价标准</w:t>
            </w:r>
            <w:bookmarkEnd w:id="1"/>
          </w:p>
          <w:p w14:paraId="4D215B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bookmarkStart w:id="2" w:name="_Toc311744203"/>
            <w:r>
              <w:rPr>
                <w:rFonts w:hint="eastAsia" w:cs="Times New Roman"/>
                <w:color w:val="auto"/>
                <w:sz w:val="24"/>
                <w:szCs w:val="24"/>
                <w:highlight w:val="none"/>
                <w:lang w:val="en-US" w:eastAsia="zh-CN"/>
              </w:rPr>
              <w:t>TSP</w:t>
            </w:r>
            <w:r>
              <w:rPr>
                <w:rFonts w:hint="default"/>
                <w:color w:val="auto"/>
                <w:sz w:val="24"/>
                <w:highlight w:val="none"/>
              </w:rPr>
              <w:t>执行《环境空气质量标准》（GB3095-2012）二级标准限值。</w:t>
            </w:r>
          </w:p>
          <w:p w14:paraId="654D8A8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bookmarkStart w:id="3" w:name="_Toc12004"/>
            <w:r>
              <w:rPr>
                <w:rFonts w:hint="default"/>
                <w:color w:val="auto"/>
                <w:sz w:val="24"/>
                <w:highlight w:val="none"/>
              </w:rPr>
              <w:t>（5）评价方法</w:t>
            </w:r>
            <w:bookmarkEnd w:id="3"/>
          </w:p>
          <w:p w14:paraId="161FC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highlight w:val="none"/>
              </w:rPr>
            </w:pPr>
            <w:r>
              <w:rPr>
                <w:rFonts w:hint="eastAsia" w:hAnsi="宋体" w:cs="宋体"/>
              </w:rPr>
              <w:t>采用最大占标百分比，计算公式为</w:t>
            </w:r>
            <w:r>
              <w:rPr>
                <w:rFonts w:hint="default" w:ascii="Times New Roman" w:hAnsi="Times New Roman" w:cs="Times New Roman"/>
                <w:b w:val="0"/>
                <w:bCs w:val="0"/>
                <w:color w:val="auto"/>
                <w:sz w:val="24"/>
                <w:highlight w:val="none"/>
              </w:rPr>
              <w:t>：</w:t>
            </w:r>
          </w:p>
          <w:p w14:paraId="64570C41">
            <w:pPr>
              <w:keepNext w:val="0"/>
              <w:keepLines w:val="0"/>
              <w:suppressLineNumbers w:val="0"/>
              <w:spacing w:before="0" w:beforeAutospacing="0" w:after="0" w:afterAutospacing="0"/>
              <w:ind w:left="0" w:right="0" w:firstLine="480"/>
              <w:jc w:val="center"/>
              <w:rPr>
                <w:rFonts w:hint="default" w:eastAsia="宋体"/>
                <w:color w:val="auto"/>
                <w:lang w:val="en-US" w:eastAsia="zh-CN"/>
              </w:rPr>
            </w:pPr>
            <w:bookmarkStart w:id="4" w:name="_Toc9636_WPSOffice_Level1"/>
            <w:r>
              <w:rPr>
                <w:rFonts w:hint="eastAsia"/>
                <w:color w:val="auto"/>
                <w:lang w:val="en-US" w:eastAsia="zh-CN"/>
              </w:rPr>
              <w:t>P</w:t>
            </w:r>
            <w:r>
              <w:rPr>
                <w:rFonts w:hint="default"/>
                <w:color w:val="auto"/>
                <w:vertAlign w:val="subscript"/>
              </w:rPr>
              <w:t>i</w:t>
            </w:r>
            <w:r>
              <w:rPr>
                <w:rFonts w:hint="default"/>
                <w:color w:val="auto"/>
              </w:rPr>
              <w:t xml:space="preserve"> = C</w:t>
            </w:r>
            <w:r>
              <w:rPr>
                <w:rFonts w:hint="default"/>
                <w:color w:val="auto"/>
                <w:vertAlign w:val="subscript"/>
              </w:rPr>
              <w:t>i</w:t>
            </w:r>
            <w:r>
              <w:rPr>
                <w:rFonts w:hint="default"/>
                <w:color w:val="auto"/>
              </w:rPr>
              <w:t>/ C</w:t>
            </w:r>
            <w:bookmarkEnd w:id="4"/>
            <w:r>
              <w:rPr>
                <w:rFonts w:hint="default"/>
                <w:color w:val="auto"/>
                <w:vertAlign w:val="subscript"/>
              </w:rPr>
              <w:t>o</w:t>
            </w:r>
            <w:r>
              <w:rPr>
                <w:rFonts w:hint="eastAsia"/>
                <w:color w:val="auto"/>
                <w:vertAlign w:val="subscript"/>
                <w:lang w:val="en-US" w:eastAsia="zh-CN"/>
              </w:rPr>
              <w:t>i</w:t>
            </w:r>
            <w:r>
              <w:rPr>
                <w:rFonts w:hint="eastAsia"/>
                <w:color w:val="auto"/>
                <w:lang w:val="en-US" w:eastAsia="zh-CN"/>
              </w:rPr>
              <w:t>×100%</w:t>
            </w:r>
          </w:p>
          <w:p w14:paraId="0592F2D2">
            <w:pPr>
              <w:keepNext w:val="0"/>
              <w:keepLines w:val="0"/>
              <w:suppressLineNumbers w:val="0"/>
              <w:spacing w:before="0" w:beforeAutospacing="0" w:after="0" w:afterAutospacing="0"/>
              <w:ind w:left="0" w:right="0" w:firstLine="480"/>
              <w:rPr>
                <w:rFonts w:hint="default"/>
                <w:color w:val="auto"/>
              </w:rPr>
            </w:pPr>
            <w:r>
              <w:rPr>
                <w:rFonts w:hint="default"/>
                <w:b w:val="0"/>
                <w:bCs w:val="0"/>
                <w:color w:val="auto"/>
                <w:sz w:val="24"/>
                <w:highlight w:val="none"/>
              </w:rPr>
              <w:t>式中</w:t>
            </w:r>
            <w:r>
              <w:rPr>
                <w:rFonts w:hint="eastAsia"/>
                <w:color w:val="auto"/>
                <w:lang w:val="en-US" w:eastAsia="zh-CN"/>
              </w:rPr>
              <w:t>P</w:t>
            </w:r>
            <w:r>
              <w:rPr>
                <w:rFonts w:hint="default"/>
                <w:color w:val="auto"/>
                <w:vertAlign w:val="subscript"/>
              </w:rPr>
              <w:t>i</w:t>
            </w:r>
            <w:r>
              <w:rPr>
                <w:rFonts w:hint="default"/>
                <w:color w:val="auto"/>
              </w:rPr>
              <w:t>——</w:t>
            </w:r>
            <w:r>
              <w:rPr>
                <w:rFonts w:hint="eastAsia" w:hAnsi="宋体" w:cs="宋体"/>
              </w:rPr>
              <w:t>i评价因子最大占标百分比</w:t>
            </w:r>
            <w:r>
              <w:rPr>
                <w:rFonts w:hint="eastAsia"/>
                <w:color w:val="auto"/>
                <w:lang w:val="en-US" w:eastAsia="zh-CN"/>
              </w:rPr>
              <w:t>，%</w:t>
            </w:r>
            <w:r>
              <w:rPr>
                <w:rFonts w:hint="default"/>
                <w:color w:val="auto"/>
              </w:rPr>
              <w:t>；</w:t>
            </w:r>
          </w:p>
          <w:p w14:paraId="15743229">
            <w:pPr>
              <w:keepNext w:val="0"/>
              <w:keepLines w:val="0"/>
              <w:suppressLineNumbers w:val="0"/>
              <w:spacing w:before="0" w:beforeAutospacing="0" w:after="0" w:afterAutospacing="0"/>
              <w:ind w:left="0" w:right="0" w:firstLine="480"/>
              <w:rPr>
                <w:rFonts w:hint="default"/>
                <w:color w:val="auto"/>
              </w:rPr>
            </w:pPr>
            <w:r>
              <w:rPr>
                <w:rFonts w:hint="default"/>
                <w:color w:val="auto"/>
              </w:rPr>
              <w:t xml:space="preserve">    C</w:t>
            </w:r>
            <w:r>
              <w:rPr>
                <w:rFonts w:hint="default"/>
                <w:color w:val="auto"/>
                <w:vertAlign w:val="subscript"/>
              </w:rPr>
              <w:t>i</w:t>
            </w:r>
            <w:r>
              <w:rPr>
                <w:rFonts w:hint="default"/>
                <w:color w:val="auto"/>
              </w:rPr>
              <w:t>——</w:t>
            </w:r>
            <w:r>
              <w:rPr>
                <w:rFonts w:hint="eastAsia" w:hAnsi="宋体" w:cs="宋体"/>
              </w:rPr>
              <w:t>i评价因子最大监测浓度</w:t>
            </w:r>
            <w:r>
              <w:rPr>
                <w:rFonts w:hint="default"/>
                <w:color w:val="auto"/>
              </w:rPr>
              <w:t>，</w:t>
            </w:r>
            <w:r>
              <w:rPr>
                <w:rFonts w:hint="eastAsia"/>
                <w:lang w:val="en-US" w:eastAsia="zh-CN"/>
              </w:rPr>
              <w:t>m</w:t>
            </w:r>
            <w:r>
              <w:rPr>
                <w:rFonts w:hint="default"/>
                <w:color w:val="auto"/>
              </w:rPr>
              <w:t>g/m</w:t>
            </w:r>
            <w:r>
              <w:rPr>
                <w:rFonts w:hint="default"/>
                <w:color w:val="auto"/>
                <w:vertAlign w:val="superscript"/>
              </w:rPr>
              <w:t>3</w:t>
            </w:r>
            <w:r>
              <w:rPr>
                <w:rFonts w:hint="default"/>
                <w:color w:val="auto"/>
              </w:rPr>
              <w:t>；</w:t>
            </w:r>
          </w:p>
          <w:p w14:paraId="55A5B998">
            <w:pPr>
              <w:keepNext w:val="0"/>
              <w:keepLines w:val="0"/>
              <w:suppressLineNumbers w:val="0"/>
              <w:spacing w:before="0" w:beforeAutospacing="0" w:after="0" w:afterAutospacing="0"/>
              <w:ind w:left="0" w:right="0" w:firstLine="480"/>
              <w:rPr>
                <w:rFonts w:hint="default"/>
                <w:color w:val="auto"/>
              </w:rPr>
            </w:pPr>
            <w:r>
              <w:rPr>
                <w:rFonts w:hint="default"/>
                <w:color w:val="auto"/>
              </w:rPr>
              <w:t xml:space="preserve">    C</w:t>
            </w:r>
            <w:r>
              <w:rPr>
                <w:rFonts w:hint="default"/>
                <w:color w:val="auto"/>
                <w:vertAlign w:val="subscript"/>
              </w:rPr>
              <w:t>o</w:t>
            </w:r>
            <w:r>
              <w:rPr>
                <w:rFonts w:hint="eastAsia"/>
                <w:color w:val="auto"/>
                <w:vertAlign w:val="subscript"/>
                <w:lang w:val="en-US" w:eastAsia="zh-CN"/>
              </w:rPr>
              <w:t>i</w:t>
            </w:r>
            <w:r>
              <w:rPr>
                <w:rFonts w:hint="default"/>
                <w:color w:val="auto"/>
              </w:rPr>
              <w:t>——</w:t>
            </w:r>
            <w:r>
              <w:rPr>
                <w:rFonts w:hint="eastAsia" w:hAnsi="宋体" w:cs="宋体"/>
              </w:rPr>
              <w:t>i评价因子评价标准</w:t>
            </w:r>
            <w:r>
              <w:rPr>
                <w:rFonts w:hint="default"/>
                <w:color w:val="auto"/>
              </w:rPr>
              <w:t>，</w:t>
            </w:r>
            <w:r>
              <w:rPr>
                <w:rFonts w:hint="eastAsia"/>
                <w:lang w:val="en-US" w:eastAsia="zh-CN"/>
              </w:rPr>
              <w:t>m</w:t>
            </w:r>
            <w:r>
              <w:rPr>
                <w:rFonts w:hint="default"/>
                <w:color w:val="auto"/>
              </w:rPr>
              <w:t>g/m</w:t>
            </w:r>
            <w:r>
              <w:rPr>
                <w:rFonts w:hint="default"/>
                <w:color w:val="auto"/>
                <w:vertAlign w:val="superscript"/>
              </w:rPr>
              <w:t>3</w:t>
            </w:r>
            <w:r>
              <w:rPr>
                <w:rFonts w:hint="default"/>
                <w:color w:val="auto"/>
              </w:rPr>
              <w:t>；</w:t>
            </w:r>
          </w:p>
          <w:p w14:paraId="63D72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rPr>
            </w:pPr>
            <w:r>
              <w:rPr>
                <w:rFonts w:hint="default"/>
                <w:b w:val="0"/>
                <w:bCs w:val="0"/>
                <w:color w:val="auto"/>
                <w:sz w:val="24"/>
                <w:highlight w:val="none"/>
              </w:rPr>
              <w:t>根据结果，</w:t>
            </w:r>
            <w:r>
              <w:rPr>
                <w:rFonts w:hint="default"/>
                <w:color w:val="auto"/>
              </w:rPr>
              <w:t>当</w:t>
            </w:r>
            <w:r>
              <w:rPr>
                <w:rFonts w:hint="eastAsia"/>
                <w:color w:val="auto"/>
                <w:lang w:val="en-US" w:eastAsia="zh-CN"/>
              </w:rPr>
              <w:t>P</w:t>
            </w:r>
            <w:r>
              <w:rPr>
                <w:rFonts w:hint="default"/>
                <w:color w:val="auto"/>
              </w:rPr>
              <w:t>i</w:t>
            </w:r>
            <w:r>
              <w:rPr>
                <w:rFonts w:hint="eastAsia"/>
                <w:color w:val="auto"/>
              </w:rPr>
              <w:t>≤</w:t>
            </w:r>
            <w:r>
              <w:rPr>
                <w:rFonts w:hint="default"/>
                <w:color w:val="auto"/>
              </w:rPr>
              <w:t>1时，表示大气中该污染物浓度不超标；当</w:t>
            </w:r>
            <w:r>
              <w:rPr>
                <w:rFonts w:hint="eastAsia"/>
                <w:color w:val="auto"/>
                <w:lang w:val="en-US" w:eastAsia="zh-CN"/>
              </w:rPr>
              <w:t>P</w:t>
            </w:r>
            <w:r>
              <w:rPr>
                <w:rFonts w:hint="default"/>
                <w:color w:val="auto"/>
              </w:rPr>
              <w:t>i</w:t>
            </w:r>
            <w:r>
              <w:rPr>
                <w:rFonts w:hint="eastAsia"/>
                <w:color w:val="auto"/>
              </w:rPr>
              <w:t>＞</w:t>
            </w:r>
            <w:r>
              <w:rPr>
                <w:rFonts w:hint="default"/>
                <w:color w:val="auto"/>
              </w:rPr>
              <w:t>1时，表示大气中该污染物浓度超过评价标准</w:t>
            </w:r>
            <w:r>
              <w:rPr>
                <w:rFonts w:hint="default"/>
                <w:color w:val="auto"/>
                <w:sz w:val="24"/>
                <w:highlight w:val="none"/>
              </w:rPr>
              <w:t>。</w:t>
            </w:r>
          </w:p>
          <w:p w14:paraId="753207C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（6）评价结果及结论</w:t>
            </w:r>
          </w:p>
          <w:bookmarkEnd w:id="2"/>
          <w:p w14:paraId="6EB0BB20">
            <w:pPr>
              <w:pStyle w:val="4"/>
              <w:bidi w:val="0"/>
              <w:rPr>
                <w:rFonts w:hint="default" w:ascii="Times New Roman" w:hAnsi="Times New Roman" w:eastAsia="宋体" w:cs="Times New Roman"/>
                <w:b/>
                <w:bCs/>
                <w:color w:val="auto"/>
                <w:spacing w:val="-6"/>
                <w:sz w:val="21"/>
                <w:highlight w:val="none"/>
              </w:rPr>
            </w:pPr>
            <w:r>
              <w:rPr>
                <w:rFonts w:hint="default" w:ascii="Times New Roman" w:hAnsi="Times New Roman" w:eastAsia="宋体" w:cs="Times New Roman"/>
                <w:b/>
                <w:kern w:val="21"/>
                <w:sz w:val="21"/>
                <w:szCs w:val="20"/>
                <w:lang w:val="en-US" w:eastAsia="zh-CN" w:bidi="ar-SA"/>
              </w:rPr>
              <w:t>表</w:t>
            </w:r>
            <w:r>
              <w:rPr>
                <w:rFonts w:hint="eastAsia" w:ascii="Times New Roman" w:hAnsi="Times New Roman" w:eastAsia="宋体" w:cs="Times New Roman"/>
                <w:b/>
                <w:kern w:val="21"/>
                <w:sz w:val="21"/>
                <w:szCs w:val="20"/>
                <w:lang w:val="en-US" w:eastAsia="zh-CN" w:bidi="ar-SA"/>
              </w:rPr>
              <w:t>3-</w:t>
            </w:r>
            <w:r>
              <w:rPr>
                <w:rFonts w:hint="eastAsia" w:cs="Times New Roman"/>
                <w:b/>
                <w:kern w:val="21"/>
                <w:sz w:val="21"/>
                <w:szCs w:val="20"/>
                <w:lang w:val="en-US" w:eastAsia="zh-CN" w:bidi="ar-SA"/>
              </w:rPr>
              <w:t>5</w:t>
            </w:r>
            <w:r>
              <w:rPr>
                <w:rFonts w:hint="default" w:ascii="Times New Roman" w:hAnsi="Times New Roman" w:eastAsia="宋体" w:cs="Times New Roman"/>
                <w:b/>
                <w:kern w:val="21"/>
                <w:sz w:val="21"/>
                <w:szCs w:val="20"/>
                <w:lang w:val="en-US" w:eastAsia="zh-CN" w:bidi="ar-SA"/>
              </w:rPr>
              <w:t xml:space="preserve"> </w:t>
            </w:r>
            <w:r>
              <w:rPr>
                <w:rFonts w:hint="eastAsia" w:ascii="Times New Roman" w:hAnsi="Times New Roman" w:eastAsia="宋体" w:cs="Times New Roman"/>
                <w:b/>
                <w:kern w:val="21"/>
                <w:sz w:val="21"/>
                <w:szCs w:val="20"/>
                <w:lang w:val="en-US" w:eastAsia="zh-CN" w:bidi="ar-SA"/>
              </w:rPr>
              <w:t xml:space="preserve">   </w:t>
            </w:r>
            <w:r>
              <w:rPr>
                <w:rFonts w:hint="default" w:ascii="Times New Roman" w:hAnsi="Times New Roman" w:eastAsia="宋体" w:cs="Times New Roman"/>
                <w:b/>
                <w:kern w:val="21"/>
                <w:sz w:val="21"/>
                <w:szCs w:val="20"/>
                <w:lang w:val="en-US" w:eastAsia="zh-CN" w:bidi="ar-SA"/>
              </w:rPr>
              <w:t>环境空气质量评价结果统计表</w:t>
            </w:r>
          </w:p>
          <w:tbl>
            <w:tblPr>
              <w:tblStyle w:val="43"/>
              <w:tblW w:w="4996" w:type="pct"/>
              <w:tblInd w:w="0"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7"/>
              <w:gridCol w:w="731"/>
              <w:gridCol w:w="723"/>
              <w:gridCol w:w="666"/>
              <w:gridCol w:w="666"/>
              <w:gridCol w:w="1125"/>
              <w:gridCol w:w="1320"/>
              <w:gridCol w:w="974"/>
              <w:gridCol w:w="655"/>
              <w:gridCol w:w="459"/>
            </w:tblGrid>
            <w:tr w14:paraId="2734B91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PrEx>
              <w:trPr>
                <w:trHeight w:val="0" w:hRule="atLeast"/>
              </w:trPr>
              <w:tc>
                <w:tcPr>
                  <w:tcW w:w="389" w:type="pct"/>
                  <w:vMerge w:val="restart"/>
                  <w:tcBorders>
                    <w:tl2br w:val="nil"/>
                    <w:tr2bl w:val="nil"/>
                  </w:tcBorders>
                  <w:shd w:val="clear" w:color="auto" w:fill="auto"/>
                  <w:noWrap w:val="0"/>
                  <w:vAlign w:val="center"/>
                </w:tcPr>
                <w:p w14:paraId="4DF804F1">
                  <w:pPr>
                    <w:pStyle w:val="5"/>
                    <w:bidi w:val="0"/>
                    <w:rPr>
                      <w:rFonts w:hint="default"/>
                      <w:b/>
                      <w:bCs w:val="0"/>
                      <w:color w:val="000000"/>
                      <w:lang w:val="en-US" w:eastAsia="zh-CN"/>
                    </w:rPr>
                  </w:pPr>
                  <w:r>
                    <w:rPr>
                      <w:rFonts w:hint="eastAsia"/>
                      <w:b/>
                      <w:bCs w:val="0"/>
                      <w:color w:val="000000"/>
                      <w:lang w:val="en-US" w:eastAsia="zh-CN"/>
                    </w:rPr>
                    <w:t>监测点位</w:t>
                  </w:r>
                </w:p>
              </w:tc>
              <w:tc>
                <w:tcPr>
                  <w:tcW w:w="915" w:type="pct"/>
                  <w:gridSpan w:val="2"/>
                  <w:tcBorders>
                    <w:tl2br w:val="nil"/>
                    <w:tr2bl w:val="nil"/>
                  </w:tcBorders>
                  <w:shd w:val="clear" w:color="auto" w:fill="auto"/>
                  <w:noWrap w:val="0"/>
                  <w:vAlign w:val="center"/>
                </w:tcPr>
                <w:p w14:paraId="315853E7">
                  <w:pPr>
                    <w:pStyle w:val="5"/>
                    <w:bidi w:val="0"/>
                    <w:rPr>
                      <w:rFonts w:hint="default"/>
                      <w:b/>
                      <w:bCs w:val="0"/>
                      <w:color w:val="000000"/>
                      <w:lang w:val="en-US" w:eastAsia="zh-CN"/>
                    </w:rPr>
                  </w:pPr>
                  <w:r>
                    <w:rPr>
                      <w:rFonts w:hint="eastAsia"/>
                      <w:b/>
                      <w:bCs w:val="0"/>
                      <w:color w:val="000000"/>
                      <w:lang w:val="en-US" w:eastAsia="zh-CN"/>
                    </w:rPr>
                    <w:t>监测点位坐标/m</w:t>
                  </w:r>
                </w:p>
              </w:tc>
              <w:tc>
                <w:tcPr>
                  <w:tcW w:w="419" w:type="pct"/>
                  <w:vMerge w:val="restart"/>
                  <w:tcBorders>
                    <w:tl2br w:val="nil"/>
                    <w:tr2bl w:val="nil"/>
                  </w:tcBorders>
                  <w:shd w:val="clear" w:color="auto" w:fill="auto"/>
                  <w:noWrap w:val="0"/>
                  <w:vAlign w:val="center"/>
                </w:tcPr>
                <w:p w14:paraId="747A17A0">
                  <w:pPr>
                    <w:pStyle w:val="5"/>
                    <w:bidi w:val="0"/>
                    <w:rPr>
                      <w:rFonts w:hint="default"/>
                      <w:b/>
                      <w:bCs w:val="0"/>
                      <w:color w:val="000000"/>
                      <w:lang w:val="en-US" w:eastAsia="zh-CN"/>
                    </w:rPr>
                  </w:pPr>
                  <w:r>
                    <w:rPr>
                      <w:rFonts w:hint="eastAsia"/>
                      <w:b/>
                      <w:bCs w:val="0"/>
                      <w:color w:val="000000"/>
                      <w:lang w:val="en-US" w:eastAsia="zh-CN"/>
                    </w:rPr>
                    <w:t>污染物</w:t>
                  </w:r>
                </w:p>
              </w:tc>
              <w:tc>
                <w:tcPr>
                  <w:tcW w:w="419" w:type="pct"/>
                  <w:vMerge w:val="restart"/>
                  <w:tcBorders>
                    <w:tl2br w:val="nil"/>
                    <w:tr2bl w:val="nil"/>
                  </w:tcBorders>
                  <w:shd w:val="clear" w:color="auto" w:fill="auto"/>
                  <w:noWrap w:val="0"/>
                  <w:vAlign w:val="center"/>
                </w:tcPr>
                <w:p w14:paraId="1DF4E6BB">
                  <w:pPr>
                    <w:pStyle w:val="5"/>
                    <w:bidi w:val="0"/>
                    <w:rPr>
                      <w:rFonts w:hint="default"/>
                      <w:b/>
                      <w:bCs w:val="0"/>
                      <w:color w:val="000000"/>
                      <w:lang w:val="en-US" w:eastAsia="zh-CN"/>
                    </w:rPr>
                  </w:pPr>
                  <w:r>
                    <w:rPr>
                      <w:rFonts w:hint="eastAsia"/>
                      <w:b/>
                      <w:bCs w:val="0"/>
                      <w:color w:val="000000"/>
                      <w:lang w:val="en-US" w:eastAsia="zh-CN"/>
                    </w:rPr>
                    <w:t>平均时间</w:t>
                  </w:r>
                </w:p>
              </w:tc>
              <w:tc>
                <w:tcPr>
                  <w:tcW w:w="708" w:type="pct"/>
                  <w:vMerge w:val="restart"/>
                  <w:tcBorders>
                    <w:tl2br w:val="nil"/>
                    <w:tr2bl w:val="nil"/>
                  </w:tcBorders>
                  <w:shd w:val="clear" w:color="auto" w:fill="auto"/>
                  <w:noWrap w:val="0"/>
                  <w:vAlign w:val="center"/>
                </w:tcPr>
                <w:p w14:paraId="40B6D136">
                  <w:pPr>
                    <w:pStyle w:val="5"/>
                    <w:bidi w:val="0"/>
                    <w:rPr>
                      <w:rFonts w:hint="default"/>
                      <w:b/>
                      <w:bCs w:val="0"/>
                      <w:color w:val="000000"/>
                      <w:lang w:val="en-US" w:eastAsia="zh-CN"/>
                    </w:rPr>
                  </w:pPr>
                  <w:r>
                    <w:rPr>
                      <w:rFonts w:hint="default"/>
                      <w:b/>
                      <w:bCs w:val="0"/>
                      <w:color w:val="000000"/>
                      <w:lang w:val="en-US" w:eastAsia="zh-CN"/>
                    </w:rPr>
                    <w:t>评价</w:t>
                  </w:r>
                  <w:r>
                    <w:rPr>
                      <w:rFonts w:hint="eastAsia"/>
                      <w:b/>
                      <w:bCs w:val="0"/>
                      <w:color w:val="000000"/>
                      <w:lang w:val="en-US" w:eastAsia="zh-CN"/>
                    </w:rPr>
                    <w:t>标准/（m</w:t>
                  </w:r>
                  <w:r>
                    <w:rPr>
                      <w:rFonts w:hint="default"/>
                      <w:b/>
                      <w:bCs w:val="0"/>
                      <w:color w:val="000000"/>
                    </w:rPr>
                    <w:t>g/m</w:t>
                  </w:r>
                  <w:r>
                    <w:rPr>
                      <w:rFonts w:hint="default"/>
                      <w:b/>
                      <w:bCs w:val="0"/>
                      <w:color w:val="000000"/>
                      <w:vertAlign w:val="superscript"/>
                    </w:rPr>
                    <w:t>3</w:t>
                  </w:r>
                  <w:r>
                    <w:rPr>
                      <w:rFonts w:hint="eastAsia"/>
                      <w:b/>
                      <w:bCs w:val="0"/>
                      <w:color w:val="000000"/>
                      <w:lang w:val="en-US" w:eastAsia="zh-CN"/>
                    </w:rPr>
                    <w:t>）</w:t>
                  </w:r>
                </w:p>
              </w:tc>
              <w:tc>
                <w:tcPr>
                  <w:tcW w:w="831" w:type="pct"/>
                  <w:vMerge w:val="restart"/>
                  <w:tcBorders>
                    <w:tl2br w:val="nil"/>
                    <w:tr2bl w:val="nil"/>
                  </w:tcBorders>
                  <w:shd w:val="clear" w:color="auto" w:fill="auto"/>
                  <w:noWrap w:val="0"/>
                  <w:vAlign w:val="center"/>
                </w:tcPr>
                <w:p w14:paraId="63D01F0D">
                  <w:pPr>
                    <w:pStyle w:val="5"/>
                    <w:bidi w:val="0"/>
                    <w:rPr>
                      <w:rFonts w:hint="default"/>
                      <w:b/>
                      <w:bCs w:val="0"/>
                      <w:color w:val="000000"/>
                      <w:lang w:val="en-US" w:eastAsia="zh-CN"/>
                    </w:rPr>
                  </w:pPr>
                  <w:r>
                    <w:rPr>
                      <w:rFonts w:hint="eastAsia"/>
                      <w:b/>
                      <w:bCs w:val="0"/>
                      <w:color w:val="000000"/>
                      <w:lang w:val="en-US" w:eastAsia="zh-CN"/>
                    </w:rPr>
                    <w:t>监测浓度范围/（m</w:t>
                  </w:r>
                  <w:r>
                    <w:rPr>
                      <w:rFonts w:hint="default"/>
                      <w:b/>
                      <w:bCs w:val="0"/>
                      <w:color w:val="000000"/>
                    </w:rPr>
                    <w:t>g/m</w:t>
                  </w:r>
                  <w:r>
                    <w:rPr>
                      <w:rFonts w:hint="default"/>
                      <w:b/>
                      <w:bCs w:val="0"/>
                      <w:color w:val="000000"/>
                      <w:vertAlign w:val="superscript"/>
                    </w:rPr>
                    <w:t>3</w:t>
                  </w:r>
                  <w:r>
                    <w:rPr>
                      <w:rFonts w:hint="eastAsia"/>
                      <w:b/>
                      <w:bCs w:val="0"/>
                      <w:color w:val="000000"/>
                      <w:lang w:val="en-US" w:eastAsia="zh-CN"/>
                    </w:rPr>
                    <w:t>）</w:t>
                  </w:r>
                </w:p>
              </w:tc>
              <w:tc>
                <w:tcPr>
                  <w:tcW w:w="613" w:type="pct"/>
                  <w:vMerge w:val="restart"/>
                  <w:tcBorders>
                    <w:tl2br w:val="nil"/>
                    <w:tr2bl w:val="nil"/>
                  </w:tcBorders>
                  <w:shd w:val="clear" w:color="auto" w:fill="auto"/>
                  <w:noWrap w:val="0"/>
                  <w:vAlign w:val="center"/>
                </w:tcPr>
                <w:p w14:paraId="4FFB63F2">
                  <w:pPr>
                    <w:pStyle w:val="5"/>
                    <w:bidi w:val="0"/>
                    <w:rPr>
                      <w:rFonts w:hint="default"/>
                      <w:b/>
                      <w:bCs w:val="0"/>
                      <w:color w:val="000000"/>
                      <w:lang w:val="en-US" w:eastAsia="zh-CN"/>
                    </w:rPr>
                  </w:pPr>
                  <w:r>
                    <w:rPr>
                      <w:rFonts w:hint="eastAsia"/>
                      <w:b/>
                      <w:bCs w:val="0"/>
                      <w:color w:val="000000"/>
                      <w:lang w:val="en-US" w:eastAsia="zh-CN"/>
                    </w:rPr>
                    <w:t>最大浓度</w:t>
                  </w:r>
                  <w:r>
                    <w:rPr>
                      <w:rFonts w:hint="default"/>
                      <w:b/>
                      <w:bCs w:val="0"/>
                      <w:color w:val="000000"/>
                      <w:lang w:val="en-US" w:eastAsia="zh-CN"/>
                    </w:rPr>
                    <w:t>占标率</w:t>
                  </w:r>
                  <w:r>
                    <w:rPr>
                      <w:rFonts w:hint="eastAsia"/>
                      <w:b/>
                      <w:bCs w:val="0"/>
                      <w:color w:val="000000"/>
                      <w:lang w:val="en-US" w:eastAsia="zh-CN"/>
                    </w:rPr>
                    <w:t>%</w:t>
                  </w:r>
                </w:p>
              </w:tc>
              <w:tc>
                <w:tcPr>
                  <w:tcW w:w="412" w:type="pct"/>
                  <w:vMerge w:val="restart"/>
                  <w:tcBorders>
                    <w:tl2br w:val="nil"/>
                    <w:tr2bl w:val="nil"/>
                  </w:tcBorders>
                  <w:shd w:val="clear" w:color="auto" w:fill="auto"/>
                  <w:noWrap w:val="0"/>
                  <w:vAlign w:val="center"/>
                </w:tcPr>
                <w:p w14:paraId="36BEFBB5">
                  <w:pPr>
                    <w:pStyle w:val="5"/>
                    <w:bidi w:val="0"/>
                    <w:rPr>
                      <w:rFonts w:hint="default"/>
                      <w:b/>
                      <w:bCs w:val="0"/>
                      <w:color w:val="000000"/>
                      <w:lang w:val="en-US" w:eastAsia="zh-CN"/>
                    </w:rPr>
                  </w:pPr>
                  <w:r>
                    <w:rPr>
                      <w:rFonts w:hint="default"/>
                      <w:b/>
                      <w:bCs w:val="0"/>
                      <w:color w:val="000000"/>
                      <w:lang w:val="en-US" w:eastAsia="zh-CN"/>
                    </w:rPr>
                    <w:t>超标</w:t>
                  </w:r>
                  <w:r>
                    <w:rPr>
                      <w:rFonts w:hint="eastAsia"/>
                      <w:b/>
                      <w:bCs w:val="0"/>
                      <w:color w:val="000000"/>
                      <w:lang w:val="en-US" w:eastAsia="zh-CN"/>
                    </w:rPr>
                    <w:t>率%</w:t>
                  </w:r>
                </w:p>
              </w:tc>
              <w:tc>
                <w:tcPr>
                  <w:tcW w:w="289" w:type="pct"/>
                  <w:vMerge w:val="restart"/>
                  <w:tcBorders>
                    <w:tl2br w:val="nil"/>
                    <w:tr2bl w:val="nil"/>
                  </w:tcBorders>
                  <w:shd w:val="clear" w:color="auto" w:fill="auto"/>
                  <w:noWrap w:val="0"/>
                  <w:vAlign w:val="center"/>
                </w:tcPr>
                <w:p w14:paraId="6768DA96">
                  <w:pPr>
                    <w:pStyle w:val="5"/>
                    <w:bidi w:val="0"/>
                    <w:rPr>
                      <w:rFonts w:hint="default"/>
                      <w:b/>
                      <w:bCs w:val="0"/>
                      <w:color w:val="000000"/>
                      <w:lang w:val="en-US" w:eastAsia="zh-CN"/>
                    </w:rPr>
                  </w:pPr>
                  <w:r>
                    <w:rPr>
                      <w:rFonts w:hint="eastAsia"/>
                      <w:b/>
                      <w:bCs w:val="0"/>
                      <w:color w:val="000000"/>
                      <w:lang w:val="en-US" w:eastAsia="zh-CN"/>
                    </w:rPr>
                    <w:t>达标情况</w:t>
                  </w:r>
                </w:p>
              </w:tc>
            </w:tr>
            <w:tr w14:paraId="11189C4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89" w:type="pct"/>
                  <w:vMerge w:val="continue"/>
                  <w:tcBorders>
                    <w:tl2br w:val="nil"/>
                    <w:tr2bl w:val="nil"/>
                  </w:tcBorders>
                  <w:shd w:val="clear" w:color="auto" w:fill="auto"/>
                  <w:noWrap w:val="0"/>
                  <w:vAlign w:val="center"/>
                </w:tcPr>
                <w:p w14:paraId="63C06FB4">
                  <w:pPr>
                    <w:pStyle w:val="5"/>
                    <w:bidi w:val="0"/>
                    <w:rPr>
                      <w:rFonts w:hint="eastAsia"/>
                      <w:b w:val="0"/>
                      <w:color w:val="000000"/>
                      <w:lang w:val="en-US" w:eastAsia="zh-CN"/>
                    </w:rPr>
                  </w:pPr>
                </w:p>
              </w:tc>
              <w:tc>
                <w:tcPr>
                  <w:tcW w:w="460" w:type="pct"/>
                  <w:tcBorders>
                    <w:tl2br w:val="nil"/>
                    <w:tr2bl w:val="nil"/>
                  </w:tcBorders>
                  <w:shd w:val="clear" w:color="auto" w:fill="auto"/>
                  <w:noWrap w:val="0"/>
                  <w:vAlign w:val="center"/>
                </w:tcPr>
                <w:p w14:paraId="1EFEAF9C">
                  <w:pPr>
                    <w:pStyle w:val="5"/>
                    <w:bidi w:val="0"/>
                    <w:rPr>
                      <w:rFonts w:hint="default"/>
                      <w:b/>
                      <w:bCs w:val="0"/>
                      <w:color w:val="000000"/>
                      <w:lang w:val="en-US" w:eastAsia="zh-CN"/>
                    </w:rPr>
                  </w:pPr>
                  <w:r>
                    <w:rPr>
                      <w:rFonts w:hint="eastAsia"/>
                      <w:b/>
                      <w:bCs w:val="0"/>
                      <w:color w:val="000000"/>
                      <w:lang w:val="en-US" w:eastAsia="zh-CN"/>
                    </w:rPr>
                    <w:t>经度</w:t>
                  </w:r>
                </w:p>
              </w:tc>
              <w:tc>
                <w:tcPr>
                  <w:tcW w:w="454" w:type="pct"/>
                  <w:tcBorders>
                    <w:tl2br w:val="nil"/>
                    <w:tr2bl w:val="nil"/>
                  </w:tcBorders>
                  <w:shd w:val="clear" w:color="auto" w:fill="auto"/>
                  <w:noWrap w:val="0"/>
                  <w:vAlign w:val="center"/>
                </w:tcPr>
                <w:p w14:paraId="4113FE29">
                  <w:pPr>
                    <w:pStyle w:val="5"/>
                    <w:bidi w:val="0"/>
                    <w:rPr>
                      <w:rFonts w:hint="default"/>
                      <w:b/>
                      <w:bCs w:val="0"/>
                      <w:color w:val="000000"/>
                      <w:lang w:val="en-US" w:eastAsia="zh-CN"/>
                    </w:rPr>
                  </w:pPr>
                  <w:r>
                    <w:rPr>
                      <w:rFonts w:hint="eastAsia"/>
                      <w:b/>
                      <w:bCs w:val="0"/>
                      <w:color w:val="000000"/>
                      <w:lang w:val="en-US" w:eastAsia="zh-CN"/>
                    </w:rPr>
                    <w:t>纬度</w:t>
                  </w:r>
                </w:p>
              </w:tc>
              <w:tc>
                <w:tcPr>
                  <w:tcW w:w="419" w:type="pct"/>
                  <w:vMerge w:val="continue"/>
                  <w:tcBorders>
                    <w:tl2br w:val="nil"/>
                    <w:tr2bl w:val="nil"/>
                  </w:tcBorders>
                  <w:shd w:val="clear" w:color="auto" w:fill="auto"/>
                  <w:noWrap w:val="0"/>
                  <w:vAlign w:val="center"/>
                </w:tcPr>
                <w:p w14:paraId="70291517">
                  <w:pPr>
                    <w:pStyle w:val="5"/>
                    <w:bidi w:val="0"/>
                    <w:rPr>
                      <w:rFonts w:hint="eastAsia"/>
                      <w:b w:val="0"/>
                      <w:color w:val="000000"/>
                      <w:lang w:val="en-US" w:eastAsia="zh-CN"/>
                    </w:rPr>
                  </w:pPr>
                </w:p>
              </w:tc>
              <w:tc>
                <w:tcPr>
                  <w:tcW w:w="419" w:type="pct"/>
                  <w:vMerge w:val="continue"/>
                  <w:tcBorders>
                    <w:tl2br w:val="nil"/>
                    <w:tr2bl w:val="nil"/>
                  </w:tcBorders>
                  <w:shd w:val="clear" w:color="auto" w:fill="auto"/>
                  <w:noWrap w:val="0"/>
                  <w:vAlign w:val="center"/>
                </w:tcPr>
                <w:p w14:paraId="0B3AD5E1">
                  <w:pPr>
                    <w:pStyle w:val="5"/>
                    <w:bidi w:val="0"/>
                    <w:rPr>
                      <w:rFonts w:hint="eastAsia"/>
                      <w:b w:val="0"/>
                      <w:color w:val="000000"/>
                      <w:lang w:val="en-US" w:eastAsia="zh-CN"/>
                    </w:rPr>
                  </w:pPr>
                </w:p>
              </w:tc>
              <w:tc>
                <w:tcPr>
                  <w:tcW w:w="708" w:type="pct"/>
                  <w:vMerge w:val="continue"/>
                  <w:tcBorders>
                    <w:tl2br w:val="nil"/>
                    <w:tr2bl w:val="nil"/>
                  </w:tcBorders>
                  <w:shd w:val="clear" w:color="auto" w:fill="auto"/>
                  <w:noWrap w:val="0"/>
                  <w:vAlign w:val="center"/>
                </w:tcPr>
                <w:p w14:paraId="378A714F">
                  <w:pPr>
                    <w:pStyle w:val="5"/>
                    <w:bidi w:val="0"/>
                    <w:rPr>
                      <w:rFonts w:hint="default"/>
                      <w:b w:val="0"/>
                      <w:color w:val="000000"/>
                      <w:lang w:val="en-US" w:eastAsia="zh-CN"/>
                    </w:rPr>
                  </w:pPr>
                </w:p>
              </w:tc>
              <w:tc>
                <w:tcPr>
                  <w:tcW w:w="831" w:type="pct"/>
                  <w:vMerge w:val="continue"/>
                  <w:tcBorders>
                    <w:tl2br w:val="nil"/>
                    <w:tr2bl w:val="nil"/>
                  </w:tcBorders>
                  <w:shd w:val="clear" w:color="auto" w:fill="auto"/>
                  <w:noWrap w:val="0"/>
                  <w:vAlign w:val="center"/>
                </w:tcPr>
                <w:p w14:paraId="7E846382">
                  <w:pPr>
                    <w:pStyle w:val="5"/>
                    <w:bidi w:val="0"/>
                    <w:rPr>
                      <w:rFonts w:hint="eastAsia"/>
                      <w:b w:val="0"/>
                      <w:color w:val="000000"/>
                      <w:lang w:val="en-US" w:eastAsia="zh-CN"/>
                    </w:rPr>
                  </w:pPr>
                </w:p>
              </w:tc>
              <w:tc>
                <w:tcPr>
                  <w:tcW w:w="613" w:type="pct"/>
                  <w:vMerge w:val="continue"/>
                  <w:tcBorders>
                    <w:tl2br w:val="nil"/>
                    <w:tr2bl w:val="nil"/>
                  </w:tcBorders>
                  <w:shd w:val="clear" w:color="auto" w:fill="auto"/>
                  <w:noWrap w:val="0"/>
                  <w:vAlign w:val="center"/>
                </w:tcPr>
                <w:p w14:paraId="57C0BA0F">
                  <w:pPr>
                    <w:pStyle w:val="5"/>
                    <w:bidi w:val="0"/>
                    <w:rPr>
                      <w:rFonts w:hint="eastAsia"/>
                      <w:b w:val="0"/>
                      <w:color w:val="000000"/>
                      <w:lang w:val="en-US" w:eastAsia="zh-CN"/>
                    </w:rPr>
                  </w:pPr>
                </w:p>
              </w:tc>
              <w:tc>
                <w:tcPr>
                  <w:tcW w:w="412" w:type="pct"/>
                  <w:vMerge w:val="continue"/>
                  <w:tcBorders>
                    <w:tl2br w:val="nil"/>
                    <w:tr2bl w:val="nil"/>
                  </w:tcBorders>
                  <w:shd w:val="clear" w:color="auto" w:fill="auto"/>
                  <w:noWrap w:val="0"/>
                  <w:vAlign w:val="center"/>
                </w:tcPr>
                <w:p w14:paraId="215A7706">
                  <w:pPr>
                    <w:pStyle w:val="5"/>
                    <w:bidi w:val="0"/>
                    <w:rPr>
                      <w:rFonts w:hint="default"/>
                      <w:b w:val="0"/>
                      <w:color w:val="000000"/>
                      <w:lang w:val="en-US" w:eastAsia="zh-CN"/>
                    </w:rPr>
                  </w:pPr>
                </w:p>
              </w:tc>
              <w:tc>
                <w:tcPr>
                  <w:tcW w:w="289" w:type="pct"/>
                  <w:vMerge w:val="continue"/>
                  <w:tcBorders>
                    <w:tl2br w:val="nil"/>
                    <w:tr2bl w:val="nil"/>
                  </w:tcBorders>
                  <w:shd w:val="clear" w:color="auto" w:fill="auto"/>
                  <w:noWrap w:val="0"/>
                  <w:vAlign w:val="center"/>
                </w:tcPr>
                <w:p w14:paraId="135201C9">
                  <w:pPr>
                    <w:pStyle w:val="5"/>
                    <w:bidi w:val="0"/>
                    <w:rPr>
                      <w:rFonts w:hint="eastAsia"/>
                      <w:b w:val="0"/>
                      <w:color w:val="000000"/>
                      <w:lang w:val="en-US" w:eastAsia="zh-CN"/>
                    </w:rPr>
                  </w:pPr>
                </w:p>
              </w:tc>
            </w:tr>
            <w:tr w14:paraId="39CF4DD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89" w:type="pct"/>
                  <w:tcBorders>
                    <w:tl2br w:val="nil"/>
                    <w:tr2bl w:val="nil"/>
                  </w:tcBorders>
                  <w:shd w:val="clear" w:color="auto" w:fill="auto"/>
                  <w:noWrap w:val="0"/>
                  <w:vAlign w:val="center"/>
                </w:tcPr>
                <w:p w14:paraId="6CA57991">
                  <w:pPr>
                    <w:pStyle w:val="5"/>
                    <w:bidi w:val="0"/>
                    <w:jc w:val="center"/>
                    <w:rPr>
                      <w:rFonts w:hint="default"/>
                      <w:b w:val="0"/>
                      <w:color w:val="000000"/>
                      <w:lang w:val="en-US" w:eastAsia="zh-CN"/>
                    </w:rPr>
                  </w:pPr>
                  <w:r>
                    <w:rPr>
                      <w:rFonts w:hint="eastAsia"/>
                      <w:b w:val="0"/>
                      <w:color w:val="000000"/>
                      <w:lang w:val="en-US" w:eastAsia="zh-CN"/>
                    </w:rPr>
                    <w:t>项目走向东北侧</w:t>
                  </w:r>
                </w:p>
              </w:tc>
              <w:tc>
                <w:tcPr>
                  <w:tcW w:w="460" w:type="pct"/>
                  <w:tcBorders>
                    <w:tl2br w:val="nil"/>
                    <w:tr2bl w:val="nil"/>
                  </w:tcBorders>
                  <w:shd w:val="clear" w:color="auto" w:fill="auto"/>
                  <w:noWrap w:val="0"/>
                  <w:vAlign w:val="center"/>
                </w:tcPr>
                <w:p w14:paraId="5F4BFDCA">
                  <w:pPr>
                    <w:pStyle w:val="5"/>
                    <w:bidi w:val="0"/>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84°29′50.529″</w:t>
                  </w:r>
                </w:p>
              </w:tc>
              <w:tc>
                <w:tcPr>
                  <w:tcW w:w="454" w:type="pct"/>
                  <w:tcBorders>
                    <w:tl2br w:val="nil"/>
                    <w:tr2bl w:val="nil"/>
                  </w:tcBorders>
                  <w:shd w:val="clear" w:color="auto" w:fill="auto"/>
                  <w:noWrap w:val="0"/>
                  <w:vAlign w:val="center"/>
                </w:tcPr>
                <w:p w14:paraId="2BFB8F23">
                  <w:pPr>
                    <w:pStyle w:val="5"/>
                    <w:bidi w:val="0"/>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41°59′48.176″</w:t>
                  </w:r>
                </w:p>
              </w:tc>
              <w:tc>
                <w:tcPr>
                  <w:tcW w:w="419" w:type="pct"/>
                  <w:tcBorders>
                    <w:tl2br w:val="nil"/>
                    <w:tr2bl w:val="nil"/>
                  </w:tcBorders>
                  <w:shd w:val="clear" w:color="auto" w:fill="auto"/>
                  <w:noWrap w:val="0"/>
                  <w:vAlign w:val="center"/>
                </w:tcPr>
                <w:p w14:paraId="605D6917">
                  <w:pPr>
                    <w:pStyle w:val="5"/>
                    <w:bidi w:val="0"/>
                    <w:rPr>
                      <w:rFonts w:hint="default"/>
                      <w:b w:val="0"/>
                      <w:color w:val="000000"/>
                      <w:lang w:val="en-US" w:eastAsia="zh-CN"/>
                    </w:rPr>
                  </w:pPr>
                  <w:r>
                    <w:rPr>
                      <w:rFonts w:hint="eastAsia"/>
                      <w:b w:val="0"/>
                      <w:color w:val="000000"/>
                      <w:lang w:val="en-US" w:eastAsia="zh-CN"/>
                    </w:rPr>
                    <w:t>总悬浮颗粒物</w:t>
                  </w:r>
                </w:p>
              </w:tc>
              <w:tc>
                <w:tcPr>
                  <w:tcW w:w="419" w:type="pct"/>
                  <w:tcBorders>
                    <w:tl2br w:val="nil"/>
                    <w:tr2bl w:val="nil"/>
                  </w:tcBorders>
                  <w:shd w:val="clear" w:color="auto" w:fill="auto"/>
                  <w:noWrap w:val="0"/>
                  <w:vAlign w:val="center"/>
                </w:tcPr>
                <w:p w14:paraId="2C845D80">
                  <w:pPr>
                    <w:pStyle w:val="5"/>
                    <w:bidi w:val="0"/>
                    <w:rPr>
                      <w:rFonts w:hint="default"/>
                      <w:b w:val="0"/>
                      <w:color w:val="000000"/>
                      <w:lang w:val="en-US" w:eastAsia="zh-CN"/>
                    </w:rPr>
                  </w:pPr>
                  <w:r>
                    <w:rPr>
                      <w:rFonts w:hint="eastAsia"/>
                      <w:b w:val="0"/>
                      <w:color w:val="000000"/>
                      <w:lang w:val="en-US" w:eastAsia="zh-CN"/>
                    </w:rPr>
                    <w:t>24h</w:t>
                  </w:r>
                </w:p>
              </w:tc>
              <w:tc>
                <w:tcPr>
                  <w:tcW w:w="708" w:type="pct"/>
                  <w:tcBorders>
                    <w:tl2br w:val="nil"/>
                    <w:tr2bl w:val="nil"/>
                  </w:tcBorders>
                  <w:shd w:val="clear" w:color="auto" w:fill="auto"/>
                  <w:noWrap w:val="0"/>
                  <w:vAlign w:val="center"/>
                </w:tcPr>
                <w:p w14:paraId="4DD2B572">
                  <w:pPr>
                    <w:pStyle w:val="5"/>
                    <w:bidi w:val="0"/>
                    <w:rPr>
                      <w:rFonts w:hint="default"/>
                      <w:b w:val="0"/>
                      <w:color w:val="000000"/>
                      <w:lang w:val="en-US" w:eastAsia="zh-CN"/>
                    </w:rPr>
                  </w:pPr>
                  <w:r>
                    <w:rPr>
                      <w:rFonts w:hint="eastAsia"/>
                      <w:b w:val="0"/>
                      <w:color w:val="000000"/>
                      <w:lang w:val="en-US" w:eastAsia="zh-CN"/>
                    </w:rPr>
                    <w:t>0.3</w:t>
                  </w:r>
                </w:p>
              </w:tc>
              <w:tc>
                <w:tcPr>
                  <w:tcW w:w="831" w:type="pct"/>
                  <w:tcBorders>
                    <w:tl2br w:val="nil"/>
                    <w:tr2bl w:val="nil"/>
                  </w:tcBorders>
                  <w:shd w:val="clear" w:color="auto" w:fill="auto"/>
                  <w:noWrap w:val="0"/>
                  <w:vAlign w:val="center"/>
                </w:tcPr>
                <w:p w14:paraId="37D6F641">
                  <w:pPr>
                    <w:pStyle w:val="5"/>
                    <w:bidi w:val="0"/>
                    <w:rPr>
                      <w:rFonts w:hint="default"/>
                      <w:b w:val="0"/>
                      <w:color w:val="000000"/>
                      <w:lang w:val="en-US" w:eastAsia="zh-CN"/>
                    </w:rPr>
                  </w:pPr>
                  <w:r>
                    <w:rPr>
                      <w:rFonts w:hint="eastAsia"/>
                      <w:b w:val="0"/>
                      <w:color w:val="000000"/>
                      <w:lang w:val="en-US" w:eastAsia="zh-CN"/>
                    </w:rPr>
                    <w:t>0.249-0.258</w:t>
                  </w:r>
                </w:p>
              </w:tc>
              <w:tc>
                <w:tcPr>
                  <w:tcW w:w="613" w:type="pct"/>
                  <w:tcBorders>
                    <w:tl2br w:val="nil"/>
                    <w:tr2bl w:val="nil"/>
                  </w:tcBorders>
                  <w:shd w:val="clear" w:color="auto" w:fill="auto"/>
                  <w:noWrap w:val="0"/>
                  <w:vAlign w:val="center"/>
                </w:tcPr>
                <w:p w14:paraId="50F4FFBB">
                  <w:pPr>
                    <w:pStyle w:val="5"/>
                    <w:bidi w:val="0"/>
                    <w:rPr>
                      <w:rFonts w:hint="default"/>
                      <w:b w:val="0"/>
                      <w:color w:val="000000"/>
                      <w:lang w:val="en-US" w:eastAsia="zh-CN"/>
                    </w:rPr>
                  </w:pPr>
                  <w:r>
                    <w:rPr>
                      <w:rFonts w:hint="eastAsia"/>
                      <w:b w:val="0"/>
                      <w:color w:val="000000"/>
                      <w:lang w:val="en-US" w:eastAsia="zh-CN"/>
                    </w:rPr>
                    <w:t>86</w:t>
                  </w:r>
                </w:p>
              </w:tc>
              <w:tc>
                <w:tcPr>
                  <w:tcW w:w="412" w:type="pct"/>
                  <w:tcBorders>
                    <w:tl2br w:val="nil"/>
                    <w:tr2bl w:val="nil"/>
                  </w:tcBorders>
                  <w:shd w:val="clear" w:color="auto" w:fill="auto"/>
                  <w:noWrap w:val="0"/>
                  <w:vAlign w:val="center"/>
                </w:tcPr>
                <w:p w14:paraId="655E8204">
                  <w:pPr>
                    <w:pStyle w:val="5"/>
                    <w:bidi w:val="0"/>
                    <w:rPr>
                      <w:rFonts w:hint="default"/>
                      <w:b w:val="0"/>
                      <w:color w:val="000000"/>
                      <w:lang w:val="en-US" w:eastAsia="zh-CN"/>
                    </w:rPr>
                  </w:pPr>
                  <w:r>
                    <w:rPr>
                      <w:rFonts w:hint="eastAsia"/>
                      <w:b w:val="0"/>
                      <w:color w:val="000000"/>
                      <w:lang w:val="en-US" w:eastAsia="zh-CN"/>
                    </w:rPr>
                    <w:t>/</w:t>
                  </w:r>
                </w:p>
              </w:tc>
              <w:tc>
                <w:tcPr>
                  <w:tcW w:w="289" w:type="pct"/>
                  <w:tcBorders>
                    <w:tl2br w:val="nil"/>
                    <w:tr2bl w:val="nil"/>
                  </w:tcBorders>
                  <w:shd w:val="clear" w:color="auto" w:fill="auto"/>
                  <w:noWrap w:val="0"/>
                  <w:vAlign w:val="center"/>
                </w:tcPr>
                <w:p w14:paraId="6637A35D">
                  <w:pPr>
                    <w:pStyle w:val="5"/>
                    <w:bidi w:val="0"/>
                    <w:rPr>
                      <w:rFonts w:hint="default"/>
                      <w:b w:val="0"/>
                      <w:color w:val="000000"/>
                      <w:lang w:val="en-US" w:eastAsia="zh-CN"/>
                    </w:rPr>
                  </w:pPr>
                  <w:r>
                    <w:rPr>
                      <w:rFonts w:hint="eastAsia"/>
                      <w:b w:val="0"/>
                      <w:color w:val="000000"/>
                      <w:lang w:val="en-US" w:eastAsia="zh-CN"/>
                    </w:rPr>
                    <w:t>达标</w:t>
                  </w:r>
                </w:p>
              </w:tc>
            </w:tr>
          </w:tbl>
          <w:p w14:paraId="74473CE9">
            <w:pPr>
              <w:bidi w:val="0"/>
            </w:pPr>
            <w:r>
              <w:rPr>
                <w:rFonts w:hint="default"/>
                <w:lang w:val="en-US" w:eastAsia="zh-CN"/>
              </w:rPr>
              <w:t>从表</w:t>
            </w:r>
            <w:r>
              <w:rPr>
                <w:rFonts w:hint="eastAsia"/>
                <w:lang w:val="en-US" w:eastAsia="zh-CN"/>
              </w:rPr>
              <w:t>3-5</w:t>
            </w:r>
            <w:r>
              <w:rPr>
                <w:rFonts w:hint="default"/>
                <w:lang w:val="en-US" w:eastAsia="zh-CN"/>
              </w:rPr>
              <w:t>的分析结果可知，</w:t>
            </w:r>
            <w:r>
              <w:rPr>
                <w:color w:val="000000"/>
                <w:kern w:val="0"/>
                <w:lang w:bidi="ar"/>
              </w:rPr>
              <w:t>本项目所在区域</w:t>
            </w:r>
            <w:r>
              <w:rPr>
                <w:rFonts w:hint="eastAsia"/>
                <w:color w:val="000000"/>
                <w:kern w:val="0"/>
                <w:lang w:val="en-US" w:eastAsia="zh-CN" w:bidi="ar"/>
              </w:rPr>
              <w:t>颗粒物</w:t>
            </w:r>
            <w:r>
              <w:rPr>
                <w:rFonts w:hint="eastAsia"/>
                <w:color w:val="000000"/>
                <w:kern w:val="0"/>
                <w:lang w:bidi="ar"/>
              </w:rPr>
              <w:t>环境质量现状可满足</w:t>
            </w:r>
            <w:r>
              <w:rPr>
                <w:rFonts w:hint="default"/>
                <w:color w:val="000000"/>
                <w:highlight w:val="none"/>
                <w:lang w:val="en-US" w:eastAsia="zh-CN"/>
              </w:rPr>
              <w:t>《环境空气质量标准》（GB3095-2012）中二级标准限值</w:t>
            </w:r>
            <w:r>
              <w:rPr>
                <w:rFonts w:hint="default"/>
                <w:lang w:val="en-US" w:eastAsia="zh-CN"/>
              </w:rPr>
              <w:t>。</w:t>
            </w:r>
          </w:p>
          <w:p w14:paraId="7DB19AFC">
            <w:pPr>
              <w:pStyle w:val="3"/>
              <w:bidi w:val="0"/>
              <w:rPr>
                <w:rFonts w:hint="eastAsia"/>
                <w:lang w:eastAsia="zh-CN"/>
              </w:rPr>
            </w:pPr>
            <w:r>
              <w:rPr>
                <w:rFonts w:hint="eastAsia"/>
                <w:lang w:val="en-US" w:eastAsia="zh-CN"/>
              </w:rPr>
              <w:t>3.地表</w:t>
            </w:r>
            <w:r>
              <w:rPr>
                <w:rFonts w:hint="default"/>
                <w:lang w:val="en-US" w:eastAsia="zh-CN"/>
              </w:rPr>
              <w:t>水环境</w:t>
            </w:r>
            <w:r>
              <w:rPr>
                <w:rFonts w:hint="eastAsia"/>
                <w:lang w:eastAsia="zh-CN"/>
              </w:rPr>
              <w:t>质量现状</w:t>
            </w:r>
          </w:p>
          <w:p w14:paraId="004F8E8B">
            <w:pPr>
              <w:bidi w:val="0"/>
              <w:rPr>
                <w:rFonts w:hint="default"/>
                <w:lang w:val="en-US" w:eastAsia="zh-CN"/>
              </w:rPr>
            </w:pPr>
            <w:r>
              <w:rPr>
                <w:rFonts w:hint="default"/>
                <w:lang w:val="en-US" w:eastAsia="zh-CN"/>
              </w:rPr>
              <w:t>根据《2024年巴音郭楞蒙古自治州生态环境状况公报》可知：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w:t>
            </w:r>
          </w:p>
          <w:p w14:paraId="2CB9E1D3">
            <w:pPr>
              <w:bidi w:val="0"/>
              <w:rPr>
                <w:rFonts w:hint="eastAsia"/>
                <w:lang w:val="en-US" w:eastAsia="zh-CN"/>
              </w:rPr>
            </w:pPr>
            <w:r>
              <w:rPr>
                <w:rFonts w:hint="default"/>
                <w:lang w:val="en-US" w:eastAsia="zh-CN"/>
              </w:rPr>
              <w:t>距离本项目最近的地表水体为</w:t>
            </w:r>
            <w:r>
              <w:rPr>
                <w:rFonts w:hint="eastAsia"/>
                <w:lang w:val="en-US" w:eastAsia="zh-CN"/>
              </w:rPr>
              <w:t>东侧2km的阳霞塔勒克干渠</w:t>
            </w:r>
            <w:r>
              <w:rPr>
                <w:rFonts w:hint="default"/>
                <w:lang w:val="en-US" w:eastAsia="zh-CN"/>
              </w:rPr>
              <w:t>，</w:t>
            </w:r>
            <w:r>
              <w:rPr>
                <w:rFonts w:hint="eastAsia"/>
                <w:lang w:val="en-US" w:eastAsia="zh-CN"/>
              </w:rPr>
              <w:t>其源头为阳霞河上游水系，水质执行《</w:t>
            </w:r>
            <w:r>
              <w:rPr>
                <w:rFonts w:hint="eastAsia"/>
              </w:rPr>
              <w:t>地表水环境质量标准》（GB3838-2002）中</w:t>
            </w:r>
            <w:r>
              <w:rPr>
                <w:rFonts w:hint="default"/>
                <w:lang w:val="en-US" w:eastAsia="zh-CN"/>
              </w:rPr>
              <w:t>Ⅰ</w:t>
            </w:r>
            <w:r>
              <w:rPr>
                <w:rFonts w:hint="eastAsia"/>
              </w:rPr>
              <w:t>类标准</w:t>
            </w:r>
            <w:r>
              <w:rPr>
                <w:rFonts w:hint="eastAsia"/>
                <w:lang w:val="en-US" w:eastAsia="zh-CN"/>
              </w:rPr>
              <w:t>。</w:t>
            </w:r>
          </w:p>
          <w:p w14:paraId="5A631EA6">
            <w:pPr>
              <w:pStyle w:val="3"/>
              <w:rPr>
                <w:rFonts w:hint="default"/>
                <w:lang w:val="en-US" w:eastAsia="zh-CN"/>
              </w:rPr>
            </w:pPr>
            <w:r>
              <w:rPr>
                <w:rFonts w:hint="eastAsia"/>
                <w:lang w:val="en-US" w:eastAsia="zh-CN"/>
              </w:rPr>
              <w:t>4.地下水环境质量现状</w:t>
            </w:r>
          </w:p>
          <w:p w14:paraId="67235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r>
              <w:rPr>
                <w:rFonts w:hint="eastAsia" w:ascii="Times New Roman" w:hAnsi="Times New Roman" w:eastAsia="宋体" w:cs="Times New Roman"/>
                <w:b w:val="0"/>
                <w:bCs/>
                <w:color w:val="000000"/>
                <w:kern w:val="2"/>
                <w:sz w:val="24"/>
                <w:szCs w:val="24"/>
                <w:lang w:val="en-US" w:eastAsia="zh-CN" w:bidi="ar-SA"/>
              </w:rPr>
              <w:t>根据《环境影响评价技术导则 地下水环境》（HJ610-2016）</w:t>
            </w:r>
            <w:r>
              <w:rPr>
                <w:rFonts w:hint="default" w:ascii="Times New Roman" w:hAnsi="Times New Roman" w:eastAsia="宋体" w:cs="Times New Roman"/>
                <w:b w:val="0"/>
                <w:bCs/>
                <w:color w:val="000000"/>
                <w:kern w:val="2"/>
                <w:sz w:val="24"/>
                <w:szCs w:val="24"/>
                <w:lang w:val="en-US" w:eastAsia="zh-CN" w:bidi="ar-SA"/>
              </w:rPr>
              <w:t>附录A《地下水环境影响评价行业分类表》</w:t>
            </w:r>
            <w:r>
              <w:rPr>
                <w:rFonts w:hint="eastAsia" w:ascii="Times New Roman" w:hAnsi="Times New Roman" w:eastAsia="宋体" w:cs="Times New Roman"/>
                <w:b w:val="0"/>
                <w:bCs/>
                <w:color w:val="000000"/>
                <w:kern w:val="2"/>
                <w:sz w:val="24"/>
                <w:szCs w:val="24"/>
                <w:lang w:val="en-US" w:eastAsia="zh-CN" w:bidi="ar-SA"/>
              </w:rPr>
              <w:t>本工程</w:t>
            </w:r>
            <w:r>
              <w:rPr>
                <w:rFonts w:hint="default" w:ascii="Times New Roman" w:hAnsi="Times New Roman" w:eastAsia="宋体" w:cs="Times New Roman"/>
                <w:b w:val="0"/>
                <w:bCs/>
                <w:color w:val="000000"/>
                <w:kern w:val="2"/>
                <w:sz w:val="24"/>
                <w:szCs w:val="24"/>
                <w:lang w:val="en-US" w:eastAsia="zh-CN" w:bidi="ar-SA"/>
              </w:rPr>
              <w:t>行业类别为：</w:t>
            </w:r>
            <w:r>
              <w:rPr>
                <w:rFonts w:hint="eastAsia" w:ascii="Times New Roman" w:hAnsi="Times New Roman" w:eastAsia="宋体" w:cs="Times New Roman"/>
                <w:b w:val="0"/>
                <w:bCs/>
                <w:color w:val="000000"/>
                <w:kern w:val="2"/>
                <w:sz w:val="24"/>
                <w:szCs w:val="24"/>
                <w:lang w:val="en-US" w:eastAsia="zh-CN" w:bidi="ar-SA"/>
              </w:rPr>
              <w:t>D煤炭，28、煤炭储存、集运，</w:t>
            </w:r>
            <w:r>
              <w:rPr>
                <w:rFonts w:hint="default" w:ascii="Times New Roman" w:hAnsi="Times New Roman" w:eastAsia="宋体" w:cs="Times New Roman"/>
                <w:b w:val="0"/>
                <w:bCs/>
                <w:color w:val="000000"/>
                <w:kern w:val="2"/>
                <w:sz w:val="24"/>
                <w:szCs w:val="24"/>
                <w:lang w:val="en-US" w:eastAsia="zh-CN" w:bidi="ar-SA"/>
              </w:rPr>
              <w:t>地下水环境影响评价项目类别为Ⅳ类。Ⅳ类建设项目不开展地下水环境影响评价</w:t>
            </w:r>
            <w:r>
              <w:rPr>
                <w:rFonts w:hint="eastAsia" w:cs="Times New Roman"/>
                <w:b w:val="0"/>
                <w:bCs/>
                <w:color w:val="000000"/>
                <w:kern w:val="2"/>
                <w:sz w:val="24"/>
                <w:szCs w:val="24"/>
                <w:lang w:val="en-US" w:eastAsia="zh-CN" w:bidi="ar-SA"/>
              </w:rPr>
              <w:t>，且项目运营期无废水外排，不涉及地下水开采使用，无地下水污染途径</w:t>
            </w:r>
            <w:r>
              <w:rPr>
                <w:rFonts w:hint="default" w:ascii="Times New Roman" w:hAnsi="Times New Roman" w:eastAsia="宋体" w:cs="Times New Roman"/>
                <w:b w:val="0"/>
                <w:bCs/>
                <w:color w:val="000000"/>
                <w:kern w:val="2"/>
                <w:sz w:val="24"/>
                <w:szCs w:val="24"/>
                <w:lang w:val="en-US" w:eastAsia="zh-CN" w:bidi="ar-SA"/>
              </w:rPr>
              <w:t>，故</w:t>
            </w:r>
            <w:r>
              <w:rPr>
                <w:rFonts w:hint="eastAsia" w:ascii="Times New Roman" w:hAnsi="Times New Roman" w:eastAsia="宋体" w:cs="Times New Roman"/>
                <w:b w:val="0"/>
                <w:bCs/>
                <w:color w:val="000000"/>
                <w:kern w:val="2"/>
                <w:sz w:val="24"/>
                <w:szCs w:val="24"/>
                <w:lang w:val="en-US" w:eastAsia="zh-CN" w:bidi="ar-SA"/>
              </w:rPr>
              <w:t>本工</w:t>
            </w:r>
            <w:r>
              <w:rPr>
                <w:rFonts w:hint="eastAsia" w:cs="Times New Roman"/>
                <w:b w:val="0"/>
                <w:bCs/>
                <w:color w:val="000000"/>
                <w:kern w:val="2"/>
                <w:sz w:val="24"/>
                <w:szCs w:val="24"/>
                <w:lang w:val="en-US" w:eastAsia="zh-CN" w:bidi="ar-SA"/>
              </w:rPr>
              <w:t>次</w:t>
            </w:r>
            <w:r>
              <w:rPr>
                <w:rFonts w:hint="eastAsia" w:ascii="Times New Roman" w:hAnsi="Times New Roman" w:eastAsia="宋体" w:cs="Times New Roman"/>
                <w:b w:val="0"/>
                <w:bCs/>
                <w:color w:val="000000"/>
                <w:kern w:val="2"/>
                <w:sz w:val="24"/>
                <w:szCs w:val="24"/>
                <w:lang w:val="en-US" w:eastAsia="zh-CN" w:bidi="ar-SA"/>
              </w:rPr>
              <w:t>无需</w:t>
            </w:r>
            <w:r>
              <w:rPr>
                <w:rFonts w:hint="default" w:ascii="Times New Roman" w:hAnsi="Times New Roman" w:eastAsia="宋体" w:cs="Times New Roman"/>
                <w:b w:val="0"/>
                <w:bCs/>
                <w:color w:val="000000"/>
                <w:kern w:val="2"/>
                <w:sz w:val="24"/>
                <w:szCs w:val="24"/>
                <w:lang w:val="en-US" w:eastAsia="zh-CN" w:bidi="ar-SA"/>
              </w:rPr>
              <w:t>对地下水</w:t>
            </w:r>
            <w:r>
              <w:rPr>
                <w:rFonts w:hint="eastAsia" w:ascii="Times New Roman" w:hAnsi="Times New Roman" w:eastAsia="宋体" w:cs="Times New Roman"/>
                <w:b w:val="0"/>
                <w:bCs/>
                <w:color w:val="000000"/>
                <w:kern w:val="2"/>
                <w:sz w:val="24"/>
                <w:szCs w:val="24"/>
                <w:lang w:val="en-US" w:eastAsia="zh-CN" w:bidi="ar-SA"/>
              </w:rPr>
              <w:t>质量现状进行监测</w:t>
            </w:r>
            <w:r>
              <w:rPr>
                <w:rFonts w:hint="default" w:ascii="Times New Roman" w:hAnsi="Times New Roman" w:eastAsia="宋体" w:cs="Times New Roman"/>
                <w:b w:val="0"/>
                <w:bCs/>
                <w:color w:val="000000"/>
                <w:kern w:val="2"/>
                <w:sz w:val="24"/>
                <w:szCs w:val="24"/>
                <w:lang w:val="en-US" w:eastAsia="zh-CN" w:bidi="ar-SA"/>
              </w:rPr>
              <w:t>。</w:t>
            </w:r>
          </w:p>
          <w:p w14:paraId="652FB978">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cs="Times New Roman"/>
                <w:lang w:val="en-US" w:eastAsia="zh-CN"/>
              </w:rPr>
            </w:pPr>
            <w:r>
              <w:rPr>
                <w:rFonts w:hint="eastAsia" w:cs="Times New Roman"/>
                <w:lang w:val="en-US" w:eastAsia="zh-CN"/>
              </w:rPr>
              <w:t>5.土壤环境现状</w:t>
            </w:r>
          </w:p>
          <w:p w14:paraId="0046BB29">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输煤廊道占地面积0.1</w:t>
            </w:r>
            <w:r>
              <w:rPr>
                <w:rFonts w:hint="eastAsia" w:ascii="Times New Roman" w:cs="Times New Roman"/>
                <w:b w:val="0"/>
                <w:bCs/>
                <w:color w:val="000000"/>
                <w:kern w:val="2"/>
                <w:sz w:val="24"/>
                <w:szCs w:val="24"/>
                <w:lang w:val="en-US" w:eastAsia="zh-CN" w:bidi="ar-SA"/>
              </w:rPr>
              <w:t>8927</w:t>
            </w:r>
            <w:r>
              <w:rPr>
                <w:rFonts w:hint="eastAsia" w:ascii="Times New Roman" w:hAnsi="Times New Roman" w:eastAsia="宋体" w:cs="Times New Roman"/>
                <w:b w:val="0"/>
                <w:bCs/>
                <w:color w:val="000000"/>
                <w:kern w:val="2"/>
                <w:sz w:val="24"/>
                <w:szCs w:val="24"/>
                <w:lang w:val="en-US" w:eastAsia="zh-CN" w:bidi="ar-SA"/>
              </w:rPr>
              <w:t>km</w:t>
            </w:r>
            <w:r>
              <w:rPr>
                <w:rFonts w:hint="eastAsia" w:ascii="Times New Roman" w:hAnsi="Times New Roman" w:eastAsia="宋体" w:cs="Times New Roman"/>
                <w:b w:val="0"/>
                <w:bCs/>
                <w:color w:val="000000"/>
                <w:kern w:val="2"/>
                <w:sz w:val="24"/>
                <w:szCs w:val="24"/>
                <w:vertAlign w:val="superscript"/>
                <w:lang w:val="en-US" w:eastAsia="zh-CN" w:bidi="ar-SA"/>
              </w:rPr>
              <w:t>2</w:t>
            </w:r>
            <w:r>
              <w:rPr>
                <w:rFonts w:hint="eastAsia" w:ascii="Times New Roman" w:hAnsi="Times New Roman" w:eastAsia="宋体" w:cs="Times New Roman"/>
                <w:b w:val="0"/>
                <w:bCs/>
                <w:color w:val="000000"/>
                <w:kern w:val="2"/>
                <w:sz w:val="24"/>
                <w:szCs w:val="24"/>
                <w:lang w:val="en-US" w:eastAsia="zh-CN" w:bidi="ar-SA"/>
              </w:rPr>
              <w:t>，土壤类型</w:t>
            </w:r>
            <w:r>
              <w:rPr>
                <w:rFonts w:hint="eastAsia" w:ascii="Times New Roman" w:cs="Times New Roman"/>
                <w:b w:val="0"/>
                <w:bCs/>
                <w:color w:val="000000"/>
                <w:kern w:val="2"/>
                <w:sz w:val="24"/>
                <w:szCs w:val="24"/>
                <w:lang w:val="en-US" w:eastAsia="zh-CN" w:bidi="ar-SA"/>
              </w:rPr>
              <w:t>包含钙质石质土和</w:t>
            </w:r>
            <w:r>
              <w:rPr>
                <w:rFonts w:hint="eastAsia" w:ascii="Times New Roman" w:hAnsi="Times New Roman" w:eastAsia="宋体" w:cs="Times New Roman"/>
                <w:b w:val="0"/>
                <w:bCs/>
                <w:color w:val="000000"/>
                <w:kern w:val="2"/>
                <w:sz w:val="24"/>
                <w:szCs w:val="24"/>
                <w:highlight w:val="none"/>
                <w:lang w:val="en-US" w:eastAsia="zh-CN" w:bidi="ar-SA"/>
              </w:rPr>
              <w:t>棕漠土</w:t>
            </w:r>
            <w:r>
              <w:rPr>
                <w:rFonts w:hint="eastAsia" w:ascii="Times New Roman" w:cs="Times New Roman"/>
                <w:b w:val="0"/>
                <w:bCs/>
                <w:color w:val="000000"/>
                <w:kern w:val="2"/>
                <w:sz w:val="24"/>
                <w:szCs w:val="24"/>
                <w:highlight w:val="none"/>
                <w:lang w:val="en-US" w:eastAsia="zh-CN" w:bidi="ar-SA"/>
              </w:rPr>
              <w:t>（</w:t>
            </w:r>
            <w:r>
              <w:rPr>
                <w:rFonts w:hint="eastAsia" w:ascii="Times New Roman" w:hAnsi="Times New Roman" w:eastAsia="宋体" w:cs="Times New Roman"/>
                <w:b w:val="0"/>
                <w:bCs/>
                <w:color w:val="000000"/>
                <w:kern w:val="2"/>
                <w:sz w:val="24"/>
                <w:szCs w:val="24"/>
                <w:highlight w:val="none"/>
                <w:lang w:val="en-US" w:eastAsia="zh-CN" w:bidi="ar-SA"/>
              </w:rPr>
              <w:t>详见附图7</w:t>
            </w:r>
            <w:r>
              <w:rPr>
                <w:rFonts w:hint="eastAsia" w:ascii="Times New Roman" w:cs="Times New Roman"/>
                <w:b w:val="0"/>
                <w:bCs/>
                <w:color w:val="000000"/>
                <w:kern w:val="2"/>
                <w:sz w:val="24"/>
                <w:szCs w:val="24"/>
                <w:highlight w:val="none"/>
                <w:lang w:val="en-US" w:eastAsia="zh-CN" w:bidi="ar-SA"/>
              </w:rPr>
              <w:t>）</w:t>
            </w:r>
            <w:r>
              <w:rPr>
                <w:rFonts w:hint="eastAsia" w:ascii="Times New Roman" w:hAnsi="Times New Roman" w:eastAsia="宋体" w:cs="Times New Roman"/>
                <w:b w:val="0"/>
                <w:bCs/>
                <w:color w:val="000000"/>
                <w:kern w:val="2"/>
                <w:sz w:val="24"/>
                <w:szCs w:val="24"/>
                <w:lang w:val="en-US" w:eastAsia="zh-CN" w:bidi="ar-SA"/>
              </w:rPr>
              <w:t>。根据《环境影响评价技术导则 土壤环境（试行）》（HJ964-2018）附录A判断，本项目属于输煤廊道建设工程，属于：“采矿业—其他”，项目类别为Ⅲ类，对土壤的影响不涉及生态影响型——盐化、酸化、碱化的情况，对土壤污染属于污染影响型</w:t>
            </w:r>
            <w:r>
              <w:rPr>
                <w:rFonts w:hint="eastAsia" w:ascii="Times New Roman" w:cs="Times New Roman"/>
                <w:b w:val="0"/>
                <w:bCs/>
                <w:color w:val="000000"/>
                <w:kern w:val="2"/>
                <w:sz w:val="24"/>
                <w:szCs w:val="24"/>
                <w:lang w:val="en-US" w:eastAsia="zh-CN" w:bidi="ar-SA"/>
              </w:rPr>
              <w:t>。项目正常运行期间无土壤污染途径，但在设备维护添加润滑油时出现跑冒滴漏等异常情况下，会造成</w:t>
            </w:r>
            <w:r>
              <w:rPr>
                <w:rFonts w:hint="eastAsia" w:ascii="Times New Roman" w:hAnsi="Times New Roman" w:eastAsia="宋体" w:cs="Times New Roman"/>
                <w:b w:val="0"/>
                <w:bCs/>
                <w:color w:val="000000"/>
                <w:kern w:val="2"/>
                <w:sz w:val="24"/>
                <w:szCs w:val="24"/>
                <w:lang w:val="en-US" w:eastAsia="zh-CN" w:bidi="ar-SA"/>
              </w:rPr>
              <w:t>石油烃垂直入渗污染土壤环境。根据中华人民共和国环境保护标准《环境影响评价技术导则 土壤环境（试行）》（HJ964-2018）对土壤等级进行划分。</w:t>
            </w:r>
          </w:p>
          <w:p w14:paraId="39001B13">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2.5.1污染影响型</w:t>
            </w:r>
          </w:p>
          <w:p w14:paraId="33FE0169">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（1）敏感程度划分</w:t>
            </w:r>
          </w:p>
          <w:p w14:paraId="0E2510FA">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根据《环境影响评价技术导则 土壤环境（试行）》（HJ964-2018）中表3污染影响型评价等级划分表划分项目敏感程度，见下表3-6。</w:t>
            </w:r>
          </w:p>
          <w:p w14:paraId="2BF20BC2">
            <w:pPr>
              <w:pStyle w:val="59"/>
              <w:autoSpaceDE w:val="0"/>
              <w:autoSpaceDN w:val="0"/>
              <w:adjustRightInd w:val="0"/>
              <w:snapToGrid/>
              <w:spacing w:line="240" w:lineRule="auto"/>
              <w:ind w:left="0" w:leftChars="0" w:firstLine="0" w:firstLineChars="0"/>
              <w:jc w:val="center"/>
              <w:outlineLvl w:val="9"/>
              <w:rPr>
                <w:rFonts w:hint="default" w:ascii="Times New Roman" w:hAnsi="Times New Roman" w:eastAsia="宋体" w:cs="Times New Roman"/>
                <w:b/>
                <w:bCs/>
                <w:color w:val="000000"/>
                <w:kern w:val="2"/>
                <w:sz w:val="21"/>
                <w:szCs w:val="21"/>
                <w:highlight w:val="none"/>
                <w:lang w:val="en-US" w:eastAsia="zh-CN" w:bidi="ar-SA"/>
              </w:rPr>
            </w:pPr>
            <w:r>
              <w:rPr>
                <w:rFonts w:hint="eastAsia" w:ascii="Times New Roman" w:hAnsi="Times New Roman" w:eastAsia="宋体" w:cs="Times New Roman"/>
                <w:b/>
                <w:bCs/>
                <w:color w:val="000000"/>
                <w:kern w:val="2"/>
                <w:sz w:val="21"/>
                <w:szCs w:val="21"/>
                <w:highlight w:val="none"/>
                <w:lang w:val="en-US" w:eastAsia="zh-CN" w:bidi="ar-SA"/>
              </w:rPr>
              <w:t>表3-6      污染影响型评价工作等级划分表</w:t>
            </w:r>
          </w:p>
          <w:tbl>
            <w:tblPr>
              <w:tblStyle w:val="43"/>
              <w:tblW w:w="4999"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6579"/>
            </w:tblGrid>
            <w:tr w14:paraId="07B4389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c>
                <w:tcPr>
                  <w:tcW w:w="857" w:type="pct"/>
                  <w:tcBorders>
                    <w:tl2br w:val="nil"/>
                    <w:tr2bl w:val="nil"/>
                  </w:tcBorders>
                  <w:noWrap w:val="0"/>
                  <w:vAlign w:val="top"/>
                </w:tcPr>
                <w:p w14:paraId="4659A2E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敏感程度</w:t>
                  </w:r>
                </w:p>
              </w:tc>
              <w:tc>
                <w:tcPr>
                  <w:tcW w:w="4142" w:type="pct"/>
                  <w:tcBorders>
                    <w:tl2br w:val="nil"/>
                    <w:tr2bl w:val="nil"/>
                  </w:tcBorders>
                  <w:noWrap w:val="0"/>
                  <w:vAlign w:val="top"/>
                </w:tcPr>
                <w:p w14:paraId="099517DB">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判断依据</w:t>
                  </w:r>
                </w:p>
              </w:tc>
            </w:tr>
            <w:tr w14:paraId="3214D14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857" w:type="pct"/>
                  <w:tcBorders>
                    <w:tl2br w:val="nil"/>
                    <w:tr2bl w:val="nil"/>
                  </w:tcBorders>
                  <w:noWrap w:val="0"/>
                  <w:vAlign w:val="center"/>
                </w:tcPr>
                <w:p w14:paraId="1FCE46DE">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敏感</w:t>
                  </w:r>
                </w:p>
              </w:tc>
              <w:tc>
                <w:tcPr>
                  <w:tcW w:w="4142" w:type="pct"/>
                  <w:tcBorders>
                    <w:tl2br w:val="nil"/>
                    <w:tr2bl w:val="nil"/>
                  </w:tcBorders>
                  <w:noWrap w:val="0"/>
                  <w:vAlign w:val="top"/>
                </w:tcPr>
                <w:p w14:paraId="50CD74F8">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建设项目周边存在耕地、园地、牧草地、饮用水水源地或居民区、学校、医院、疗养院、养老院等土壤环境敏感目标的</w:t>
                  </w:r>
                </w:p>
              </w:tc>
            </w:tr>
            <w:tr w14:paraId="46CF867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857" w:type="pct"/>
                  <w:tcBorders>
                    <w:tl2br w:val="nil"/>
                    <w:tr2bl w:val="nil"/>
                  </w:tcBorders>
                  <w:noWrap w:val="0"/>
                  <w:vAlign w:val="top"/>
                </w:tcPr>
                <w:p w14:paraId="759C9634">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较敏感</w:t>
                  </w:r>
                </w:p>
              </w:tc>
              <w:tc>
                <w:tcPr>
                  <w:tcW w:w="4142" w:type="pct"/>
                  <w:tcBorders>
                    <w:tl2br w:val="nil"/>
                    <w:tr2bl w:val="nil"/>
                  </w:tcBorders>
                  <w:noWrap w:val="0"/>
                  <w:vAlign w:val="top"/>
                </w:tcPr>
                <w:p w14:paraId="5D78727C">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建设项目周边存在其他土壤环境敏感目标的</w:t>
                  </w:r>
                </w:p>
              </w:tc>
            </w:tr>
            <w:tr w14:paraId="1737CA4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857" w:type="pct"/>
                  <w:tcBorders>
                    <w:tl2br w:val="nil"/>
                    <w:tr2bl w:val="nil"/>
                  </w:tcBorders>
                  <w:noWrap w:val="0"/>
                  <w:vAlign w:val="top"/>
                </w:tcPr>
                <w:p w14:paraId="2A3CBE11">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不敏感</w:t>
                  </w:r>
                </w:p>
              </w:tc>
              <w:tc>
                <w:tcPr>
                  <w:tcW w:w="4142" w:type="pct"/>
                  <w:tcBorders>
                    <w:tl2br w:val="nil"/>
                    <w:tr2bl w:val="nil"/>
                  </w:tcBorders>
                  <w:noWrap w:val="0"/>
                  <w:vAlign w:val="top"/>
                </w:tcPr>
                <w:p w14:paraId="6DF44E7A">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其他情况</w:t>
                  </w:r>
                </w:p>
              </w:tc>
            </w:tr>
          </w:tbl>
          <w:p w14:paraId="6C2EF093">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输煤廊道沿线及周边以戈壁为主，不存在园地、牧草地、农田</w:t>
            </w:r>
            <w:r>
              <w:rPr>
                <w:rFonts w:hint="eastAsia" w:ascii="Times New Roman" w:cs="Times New Roman"/>
                <w:b w:val="0"/>
                <w:bCs/>
                <w:color w:val="000000"/>
                <w:kern w:val="2"/>
                <w:sz w:val="24"/>
                <w:szCs w:val="24"/>
                <w:lang w:val="en-US" w:eastAsia="zh-CN" w:bidi="ar-SA"/>
              </w:rPr>
              <w:t>、居民区</w:t>
            </w:r>
            <w:r>
              <w:rPr>
                <w:rFonts w:hint="eastAsia" w:ascii="Times New Roman" w:hAnsi="Times New Roman" w:eastAsia="宋体" w:cs="Times New Roman"/>
                <w:b w:val="0"/>
                <w:bCs/>
                <w:color w:val="000000"/>
                <w:kern w:val="2"/>
                <w:sz w:val="24"/>
                <w:szCs w:val="24"/>
                <w:lang w:val="en-US" w:eastAsia="zh-CN" w:bidi="ar-SA"/>
              </w:rPr>
              <w:t>等。本项目主要污染主要影响途径为机械设备跑冒滴漏造成石油烃垂直入渗污染土壤，因此判定本项目土壤污染敏感程度为不敏感。</w:t>
            </w:r>
          </w:p>
          <w:p w14:paraId="1CCEF0E7">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（2）评价等级</w:t>
            </w:r>
          </w:p>
          <w:p w14:paraId="004FC2D5">
            <w:pPr>
              <w:pStyle w:val="59"/>
              <w:autoSpaceDE w:val="0"/>
              <w:autoSpaceDN w:val="0"/>
              <w:adjustRightInd w:val="0"/>
              <w:snapToGrid/>
              <w:spacing w:line="360" w:lineRule="auto"/>
              <w:ind w:firstLine="480" w:firstLineChars="200"/>
              <w:jc w:val="both"/>
              <w:outlineLvl w:val="9"/>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根据土壤环境影响评价项目类别、占地规模和敏感程度划分评价工作等级，见下表3-7。</w:t>
            </w:r>
          </w:p>
          <w:p w14:paraId="665E532C">
            <w:pPr>
              <w:pStyle w:val="59"/>
              <w:autoSpaceDE w:val="0"/>
              <w:autoSpaceDN w:val="0"/>
              <w:adjustRightInd w:val="0"/>
              <w:snapToGrid/>
              <w:spacing w:line="240" w:lineRule="auto"/>
              <w:ind w:left="0" w:leftChars="0" w:firstLine="0" w:firstLineChars="0"/>
              <w:jc w:val="center"/>
              <w:outlineLvl w:val="9"/>
              <w:rPr>
                <w:rFonts w:hint="default" w:ascii="Times New Roman" w:hAnsi="Times New Roman" w:eastAsia="宋体" w:cs="Times New Roman"/>
                <w:b/>
                <w:bCs/>
                <w:color w:val="000000"/>
                <w:kern w:val="2"/>
                <w:sz w:val="21"/>
                <w:szCs w:val="21"/>
                <w:highlight w:val="none"/>
                <w:lang w:val="en-US" w:eastAsia="zh-CN" w:bidi="ar-SA"/>
              </w:rPr>
            </w:pPr>
            <w:r>
              <w:rPr>
                <w:rFonts w:hint="eastAsia" w:ascii="Times New Roman" w:hAnsi="Times New Roman" w:eastAsia="宋体" w:cs="Times New Roman"/>
                <w:b/>
                <w:bCs/>
                <w:color w:val="000000"/>
                <w:kern w:val="2"/>
                <w:sz w:val="21"/>
                <w:szCs w:val="21"/>
                <w:highlight w:val="none"/>
                <w:lang w:val="en-US" w:eastAsia="zh-CN" w:bidi="ar-SA"/>
              </w:rPr>
              <w:t>表3-7  污染影响型评价工作等级划分表</w:t>
            </w:r>
          </w:p>
          <w:tbl>
            <w:tblPr>
              <w:tblStyle w:val="43"/>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667"/>
              <w:gridCol w:w="680"/>
              <w:gridCol w:w="705"/>
              <w:gridCol w:w="665"/>
              <w:gridCol w:w="707"/>
              <w:gridCol w:w="680"/>
              <w:gridCol w:w="665"/>
              <w:gridCol w:w="784"/>
              <w:gridCol w:w="708"/>
            </w:tblGrid>
            <w:tr w14:paraId="573A3E1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57" w:type="pct"/>
                  <w:vMerge w:val="restart"/>
                  <w:tcBorders>
                    <w:tl2br w:val="nil"/>
                    <w:tr2bl w:val="nil"/>
                  </w:tcBorders>
                  <w:noWrap w:val="0"/>
                  <w:vAlign w:val="center"/>
                </w:tcPr>
                <w:p w14:paraId="2EDE7FB8">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 xml:space="preserve">     项目类别</w:t>
                  </w:r>
                </w:p>
                <w:p w14:paraId="0B85090F">
                  <w:pPr>
                    <w:spacing w:line="240" w:lineRule="auto"/>
                    <w:ind w:left="0" w:leftChars="0" w:firstLine="0" w:firstLineChars="0"/>
                    <w:jc w:val="center"/>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评价工作等级</w:t>
                  </w:r>
                </w:p>
                <w:p w14:paraId="341531CA">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lang w:val="en-US" w:eastAsia="zh-CN"/>
                    </w:rPr>
                  </w:pPr>
                  <w:r>
                    <w:rPr>
                      <w:rFonts w:hint="eastAsia" w:ascii="Times New Roman" w:hAnsi="Times New Roman" w:eastAsia="宋体" w:cs="Times New Roman"/>
                      <w:b/>
                      <w:bCs/>
                      <w:color w:val="000000"/>
                      <w:kern w:val="2"/>
                      <w:sz w:val="21"/>
                      <w:szCs w:val="21"/>
                      <w:highlight w:val="none"/>
                      <w:lang w:val="en-US" w:eastAsia="zh-CN" w:bidi="ar-SA"/>
                    </w:rPr>
                    <w:t>敏感程度</w:t>
                  </w:r>
                </w:p>
              </w:tc>
              <w:tc>
                <w:tcPr>
                  <w:tcW w:w="1292" w:type="pct"/>
                  <w:gridSpan w:val="3"/>
                  <w:tcBorders>
                    <w:tl2br w:val="nil"/>
                    <w:tr2bl w:val="nil"/>
                  </w:tcBorders>
                  <w:noWrap w:val="0"/>
                  <w:vAlign w:val="center"/>
                </w:tcPr>
                <w:p w14:paraId="4CA9EEF1">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I类</w:t>
                  </w:r>
                </w:p>
              </w:tc>
              <w:tc>
                <w:tcPr>
                  <w:tcW w:w="1292" w:type="pct"/>
                  <w:gridSpan w:val="3"/>
                  <w:tcBorders>
                    <w:tl2br w:val="nil"/>
                    <w:tr2bl w:val="nil"/>
                  </w:tcBorders>
                  <w:noWrap w:val="0"/>
                  <w:vAlign w:val="center"/>
                </w:tcPr>
                <w:p w14:paraId="379D521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Ⅱ类</w:t>
                  </w:r>
                </w:p>
              </w:tc>
              <w:tc>
                <w:tcPr>
                  <w:tcW w:w="1357" w:type="pct"/>
                  <w:gridSpan w:val="3"/>
                  <w:tcBorders>
                    <w:tl2br w:val="nil"/>
                    <w:tr2bl w:val="nil"/>
                  </w:tcBorders>
                  <w:noWrap w:val="0"/>
                  <w:vAlign w:val="center"/>
                </w:tcPr>
                <w:p w14:paraId="7080A7B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Ⅲ类</w:t>
                  </w:r>
                </w:p>
              </w:tc>
            </w:tr>
            <w:tr w14:paraId="5ACC394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57" w:type="pct"/>
                  <w:vMerge w:val="continue"/>
                  <w:tcBorders>
                    <w:tl2br w:val="nil"/>
                    <w:tr2bl w:val="nil"/>
                  </w:tcBorders>
                  <w:noWrap w:val="0"/>
                  <w:vAlign w:val="center"/>
                </w:tcPr>
                <w:p w14:paraId="0390E5E1">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sz w:val="21"/>
                      <w:szCs w:val="21"/>
                      <w:highlight w:val="none"/>
                      <w:lang w:val="en-US" w:eastAsia="zh-CN"/>
                    </w:rPr>
                  </w:pPr>
                </w:p>
              </w:tc>
              <w:tc>
                <w:tcPr>
                  <w:tcW w:w="420" w:type="pct"/>
                  <w:tcBorders>
                    <w:tl2br w:val="nil"/>
                    <w:tr2bl w:val="nil"/>
                  </w:tcBorders>
                  <w:noWrap w:val="0"/>
                  <w:vAlign w:val="center"/>
                </w:tcPr>
                <w:p w14:paraId="7E2D422E">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大</w:t>
                  </w:r>
                </w:p>
              </w:tc>
              <w:tc>
                <w:tcPr>
                  <w:tcW w:w="428" w:type="pct"/>
                  <w:tcBorders>
                    <w:tl2br w:val="nil"/>
                    <w:tr2bl w:val="nil"/>
                  </w:tcBorders>
                  <w:noWrap w:val="0"/>
                  <w:vAlign w:val="center"/>
                </w:tcPr>
                <w:p w14:paraId="1DDD3D2B">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中</w:t>
                  </w:r>
                </w:p>
              </w:tc>
              <w:tc>
                <w:tcPr>
                  <w:tcW w:w="444" w:type="pct"/>
                  <w:tcBorders>
                    <w:tl2br w:val="nil"/>
                    <w:tr2bl w:val="nil"/>
                  </w:tcBorders>
                  <w:noWrap w:val="0"/>
                  <w:vAlign w:val="center"/>
                </w:tcPr>
                <w:p w14:paraId="3D827AE7">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小</w:t>
                  </w:r>
                </w:p>
              </w:tc>
              <w:tc>
                <w:tcPr>
                  <w:tcW w:w="419" w:type="pct"/>
                  <w:tcBorders>
                    <w:tl2br w:val="nil"/>
                    <w:tr2bl w:val="nil"/>
                  </w:tcBorders>
                  <w:noWrap w:val="0"/>
                  <w:vAlign w:val="center"/>
                </w:tcPr>
                <w:p w14:paraId="1F7D0D41">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大</w:t>
                  </w:r>
                </w:p>
              </w:tc>
              <w:tc>
                <w:tcPr>
                  <w:tcW w:w="445" w:type="pct"/>
                  <w:tcBorders>
                    <w:tl2br w:val="nil"/>
                    <w:tr2bl w:val="nil"/>
                  </w:tcBorders>
                  <w:noWrap w:val="0"/>
                  <w:vAlign w:val="center"/>
                </w:tcPr>
                <w:p w14:paraId="424A36F4">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中</w:t>
                  </w:r>
                </w:p>
              </w:tc>
              <w:tc>
                <w:tcPr>
                  <w:tcW w:w="428" w:type="pct"/>
                  <w:tcBorders>
                    <w:tl2br w:val="nil"/>
                    <w:tr2bl w:val="nil"/>
                  </w:tcBorders>
                  <w:noWrap w:val="0"/>
                  <w:vAlign w:val="center"/>
                </w:tcPr>
                <w:p w14:paraId="53B3D3CC">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小</w:t>
                  </w:r>
                </w:p>
              </w:tc>
              <w:tc>
                <w:tcPr>
                  <w:tcW w:w="419" w:type="pct"/>
                  <w:tcBorders>
                    <w:tl2br w:val="nil"/>
                    <w:tr2bl w:val="nil"/>
                  </w:tcBorders>
                  <w:noWrap w:val="0"/>
                  <w:vAlign w:val="center"/>
                </w:tcPr>
                <w:p w14:paraId="2161420A">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大</w:t>
                  </w:r>
                </w:p>
              </w:tc>
              <w:tc>
                <w:tcPr>
                  <w:tcW w:w="494" w:type="pct"/>
                  <w:tcBorders>
                    <w:tl2br w:val="nil"/>
                    <w:tr2bl w:val="nil"/>
                  </w:tcBorders>
                  <w:noWrap w:val="0"/>
                  <w:vAlign w:val="center"/>
                </w:tcPr>
                <w:p w14:paraId="11E8C2ED">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中</w:t>
                  </w:r>
                </w:p>
              </w:tc>
              <w:tc>
                <w:tcPr>
                  <w:tcW w:w="443" w:type="pct"/>
                  <w:tcBorders>
                    <w:tl2br w:val="nil"/>
                    <w:tr2bl w:val="nil"/>
                  </w:tcBorders>
                  <w:noWrap w:val="0"/>
                  <w:vAlign w:val="center"/>
                </w:tcPr>
                <w:p w14:paraId="2B20E98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小</w:t>
                  </w:r>
                </w:p>
              </w:tc>
            </w:tr>
            <w:tr w14:paraId="54DB97A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57" w:type="pct"/>
                  <w:tcBorders>
                    <w:tl2br w:val="nil"/>
                    <w:tr2bl w:val="nil"/>
                  </w:tcBorders>
                  <w:noWrap w:val="0"/>
                  <w:vAlign w:val="center"/>
                </w:tcPr>
                <w:p w14:paraId="36965473">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敏感</w:t>
                  </w:r>
                </w:p>
              </w:tc>
              <w:tc>
                <w:tcPr>
                  <w:tcW w:w="420" w:type="pct"/>
                  <w:tcBorders>
                    <w:tl2br w:val="nil"/>
                    <w:tr2bl w:val="nil"/>
                  </w:tcBorders>
                  <w:noWrap w:val="0"/>
                  <w:vAlign w:val="center"/>
                </w:tcPr>
                <w:p w14:paraId="3D3BFD3B">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一级</w:t>
                  </w:r>
                </w:p>
              </w:tc>
              <w:tc>
                <w:tcPr>
                  <w:tcW w:w="428" w:type="pct"/>
                  <w:tcBorders>
                    <w:tl2br w:val="nil"/>
                    <w:tr2bl w:val="nil"/>
                  </w:tcBorders>
                  <w:noWrap w:val="0"/>
                  <w:vAlign w:val="center"/>
                </w:tcPr>
                <w:p w14:paraId="720C1E09">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一级</w:t>
                  </w:r>
                </w:p>
              </w:tc>
              <w:tc>
                <w:tcPr>
                  <w:tcW w:w="444" w:type="pct"/>
                  <w:tcBorders>
                    <w:tl2br w:val="nil"/>
                    <w:tr2bl w:val="nil"/>
                  </w:tcBorders>
                  <w:noWrap w:val="0"/>
                  <w:vAlign w:val="center"/>
                </w:tcPr>
                <w:p w14:paraId="6BD1454E">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一级</w:t>
                  </w:r>
                </w:p>
              </w:tc>
              <w:tc>
                <w:tcPr>
                  <w:tcW w:w="419" w:type="pct"/>
                  <w:tcBorders>
                    <w:tl2br w:val="nil"/>
                    <w:tr2bl w:val="nil"/>
                  </w:tcBorders>
                  <w:noWrap w:val="0"/>
                  <w:vAlign w:val="center"/>
                </w:tcPr>
                <w:p w14:paraId="36CDA588">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45" w:type="pct"/>
                  <w:tcBorders>
                    <w:tl2br w:val="nil"/>
                    <w:tr2bl w:val="nil"/>
                  </w:tcBorders>
                  <w:noWrap w:val="0"/>
                  <w:vAlign w:val="center"/>
                </w:tcPr>
                <w:p w14:paraId="73DF1DD0">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28" w:type="pct"/>
                  <w:tcBorders>
                    <w:tl2br w:val="nil"/>
                    <w:tr2bl w:val="nil"/>
                  </w:tcBorders>
                  <w:noWrap w:val="0"/>
                  <w:vAlign w:val="center"/>
                </w:tcPr>
                <w:p w14:paraId="175DAFEE">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19" w:type="pct"/>
                  <w:tcBorders>
                    <w:tl2br w:val="nil"/>
                    <w:tr2bl w:val="nil"/>
                  </w:tcBorders>
                  <w:noWrap w:val="0"/>
                  <w:vAlign w:val="center"/>
                </w:tcPr>
                <w:p w14:paraId="280EFBF8">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94" w:type="pct"/>
                  <w:tcBorders>
                    <w:tl2br w:val="nil"/>
                    <w:tr2bl w:val="nil"/>
                  </w:tcBorders>
                  <w:noWrap w:val="0"/>
                  <w:vAlign w:val="center"/>
                </w:tcPr>
                <w:p w14:paraId="0C346568">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43" w:type="pct"/>
                  <w:tcBorders>
                    <w:tl2br w:val="nil"/>
                    <w:tr2bl w:val="nil"/>
                  </w:tcBorders>
                  <w:noWrap w:val="0"/>
                  <w:vAlign w:val="center"/>
                </w:tcPr>
                <w:p w14:paraId="193BA074">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r>
            <w:tr w14:paraId="0EB2B0A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57" w:type="pct"/>
                  <w:tcBorders>
                    <w:tl2br w:val="nil"/>
                    <w:tr2bl w:val="nil"/>
                  </w:tcBorders>
                  <w:noWrap w:val="0"/>
                  <w:vAlign w:val="center"/>
                </w:tcPr>
                <w:p w14:paraId="1F372035">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较敏感</w:t>
                  </w:r>
                </w:p>
              </w:tc>
              <w:tc>
                <w:tcPr>
                  <w:tcW w:w="420" w:type="pct"/>
                  <w:tcBorders>
                    <w:tl2br w:val="nil"/>
                    <w:tr2bl w:val="nil"/>
                  </w:tcBorders>
                  <w:noWrap w:val="0"/>
                  <w:vAlign w:val="center"/>
                </w:tcPr>
                <w:p w14:paraId="21723506">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一级</w:t>
                  </w:r>
                </w:p>
              </w:tc>
              <w:tc>
                <w:tcPr>
                  <w:tcW w:w="428" w:type="pct"/>
                  <w:tcBorders>
                    <w:tl2br w:val="nil"/>
                    <w:tr2bl w:val="nil"/>
                  </w:tcBorders>
                  <w:noWrap w:val="0"/>
                  <w:vAlign w:val="center"/>
                </w:tcPr>
                <w:p w14:paraId="236DF349">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一级</w:t>
                  </w:r>
                </w:p>
              </w:tc>
              <w:tc>
                <w:tcPr>
                  <w:tcW w:w="444" w:type="pct"/>
                  <w:tcBorders>
                    <w:tl2br w:val="nil"/>
                    <w:tr2bl w:val="nil"/>
                  </w:tcBorders>
                  <w:noWrap w:val="0"/>
                  <w:vAlign w:val="center"/>
                </w:tcPr>
                <w:p w14:paraId="6F4070D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19" w:type="pct"/>
                  <w:tcBorders>
                    <w:tl2br w:val="nil"/>
                    <w:tr2bl w:val="nil"/>
                  </w:tcBorders>
                  <w:noWrap w:val="0"/>
                  <w:vAlign w:val="center"/>
                </w:tcPr>
                <w:p w14:paraId="28911C76">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45" w:type="pct"/>
                  <w:tcBorders>
                    <w:tl2br w:val="nil"/>
                    <w:tr2bl w:val="nil"/>
                  </w:tcBorders>
                  <w:noWrap w:val="0"/>
                  <w:vAlign w:val="center"/>
                </w:tcPr>
                <w:p w14:paraId="5D81ED2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28" w:type="pct"/>
                  <w:tcBorders>
                    <w:tl2br w:val="nil"/>
                    <w:tr2bl w:val="nil"/>
                  </w:tcBorders>
                  <w:noWrap w:val="0"/>
                  <w:vAlign w:val="center"/>
                </w:tcPr>
                <w:p w14:paraId="573155E4">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19" w:type="pct"/>
                  <w:tcBorders>
                    <w:tl2br w:val="nil"/>
                    <w:tr2bl w:val="nil"/>
                  </w:tcBorders>
                  <w:noWrap w:val="0"/>
                  <w:vAlign w:val="center"/>
                </w:tcPr>
                <w:p w14:paraId="5421E2A4">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94" w:type="pct"/>
                  <w:tcBorders>
                    <w:tl2br w:val="nil"/>
                    <w:tr2bl w:val="nil"/>
                  </w:tcBorders>
                  <w:noWrap w:val="0"/>
                  <w:vAlign w:val="center"/>
                </w:tcPr>
                <w:p w14:paraId="53BF43EA">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43" w:type="pct"/>
                  <w:tcBorders>
                    <w:tl2br w:val="nil"/>
                    <w:tr2bl w:val="nil"/>
                  </w:tcBorders>
                  <w:noWrap w:val="0"/>
                  <w:vAlign w:val="center"/>
                </w:tcPr>
                <w:p w14:paraId="6EFEA19E">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r>
            <w:tr w14:paraId="1CC0824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57" w:type="pct"/>
                  <w:tcBorders>
                    <w:tl2br w:val="nil"/>
                    <w:tr2bl w:val="nil"/>
                  </w:tcBorders>
                  <w:noWrap w:val="0"/>
                  <w:vAlign w:val="center"/>
                </w:tcPr>
                <w:p w14:paraId="5899F9B8">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不敏感</w:t>
                  </w:r>
                </w:p>
              </w:tc>
              <w:tc>
                <w:tcPr>
                  <w:tcW w:w="420" w:type="pct"/>
                  <w:tcBorders>
                    <w:tl2br w:val="nil"/>
                    <w:tr2bl w:val="nil"/>
                  </w:tcBorders>
                  <w:noWrap w:val="0"/>
                  <w:vAlign w:val="center"/>
                </w:tcPr>
                <w:p w14:paraId="7860868E">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一级</w:t>
                  </w:r>
                </w:p>
              </w:tc>
              <w:tc>
                <w:tcPr>
                  <w:tcW w:w="428" w:type="pct"/>
                  <w:tcBorders>
                    <w:tl2br w:val="nil"/>
                    <w:tr2bl w:val="nil"/>
                  </w:tcBorders>
                  <w:noWrap w:val="0"/>
                  <w:vAlign w:val="center"/>
                </w:tcPr>
                <w:p w14:paraId="085D948F">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44" w:type="pct"/>
                  <w:tcBorders>
                    <w:tl2br w:val="nil"/>
                    <w:tr2bl w:val="nil"/>
                  </w:tcBorders>
                  <w:noWrap w:val="0"/>
                  <w:vAlign w:val="center"/>
                </w:tcPr>
                <w:p w14:paraId="7CD0234D">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19" w:type="pct"/>
                  <w:tcBorders>
                    <w:tl2br w:val="nil"/>
                    <w:tr2bl w:val="nil"/>
                  </w:tcBorders>
                  <w:noWrap w:val="0"/>
                  <w:vAlign w:val="center"/>
                </w:tcPr>
                <w:p w14:paraId="70AE3D39">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二级</w:t>
                  </w:r>
                </w:p>
              </w:tc>
              <w:tc>
                <w:tcPr>
                  <w:tcW w:w="445" w:type="pct"/>
                  <w:tcBorders>
                    <w:tl2br w:val="nil"/>
                    <w:tr2bl w:val="nil"/>
                  </w:tcBorders>
                  <w:noWrap w:val="0"/>
                  <w:vAlign w:val="center"/>
                </w:tcPr>
                <w:p w14:paraId="00636342">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28" w:type="pct"/>
                  <w:tcBorders>
                    <w:tl2br w:val="nil"/>
                    <w:tr2bl w:val="nil"/>
                  </w:tcBorders>
                  <w:noWrap w:val="0"/>
                  <w:vAlign w:val="center"/>
                </w:tcPr>
                <w:p w14:paraId="502CD03A">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19" w:type="pct"/>
                  <w:tcBorders>
                    <w:tl2br w:val="nil"/>
                    <w:tr2bl w:val="nil"/>
                  </w:tcBorders>
                  <w:noWrap w:val="0"/>
                  <w:vAlign w:val="center"/>
                </w:tcPr>
                <w:p w14:paraId="43D4D841">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三级</w:t>
                  </w:r>
                </w:p>
              </w:tc>
              <w:tc>
                <w:tcPr>
                  <w:tcW w:w="494" w:type="pct"/>
                  <w:tcBorders>
                    <w:tl2br w:val="nil"/>
                    <w:tr2bl w:val="nil"/>
                  </w:tcBorders>
                  <w:noWrap w:val="0"/>
                  <w:vAlign w:val="center"/>
                </w:tcPr>
                <w:p w14:paraId="5DBB0CF1">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shd w:val="clear" w:color="auto" w:fill="FFFF00"/>
                      <w:lang w:val="en-US" w:eastAsia="zh-CN"/>
                    </w:rPr>
                    <w:t>-</w:t>
                  </w:r>
                </w:p>
              </w:tc>
              <w:tc>
                <w:tcPr>
                  <w:tcW w:w="443" w:type="pct"/>
                  <w:tcBorders>
                    <w:tl2br w:val="nil"/>
                    <w:tr2bl w:val="nil"/>
                  </w:tcBorders>
                  <w:noWrap w:val="0"/>
                  <w:vAlign w:val="center"/>
                </w:tcPr>
                <w:p w14:paraId="718771DA">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r>
            <w:tr w14:paraId="167245A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Borders>
                    <w:tl2br w:val="nil"/>
                    <w:tr2bl w:val="nil"/>
                  </w:tcBorders>
                  <w:noWrap w:val="0"/>
                  <w:vAlign w:val="center"/>
                </w:tcPr>
                <w:p w14:paraId="07586606">
                  <w:pPr>
                    <w:pStyle w:val="5"/>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注“－”表示不开展土壤环境影响评价工作</w:t>
                  </w:r>
                </w:p>
              </w:tc>
            </w:tr>
          </w:tbl>
          <w:p w14:paraId="1641BAC9">
            <w:pPr>
              <w:pStyle w:val="59"/>
              <w:autoSpaceDE w:val="0"/>
              <w:autoSpaceDN w:val="0"/>
              <w:adjustRightInd w:val="0"/>
              <w:snapToGrid/>
              <w:spacing w:line="360" w:lineRule="auto"/>
              <w:ind w:firstLine="480" w:firstLineChars="200"/>
              <w:jc w:val="both"/>
              <w:outlineLvl w:val="9"/>
              <w:rPr>
                <w:rFonts w:hint="eastAsia"/>
                <w:lang w:val="en-US" w:eastAsia="zh-CN"/>
              </w:rPr>
            </w:pPr>
            <w:r>
              <w:rPr>
                <w:rFonts w:hint="eastAsia" w:ascii="Times New Roman" w:hAnsi="Times New Roman" w:eastAsia="宋体" w:cs="Times New Roman"/>
                <w:b w:val="0"/>
                <w:bCs/>
                <w:color w:val="000000"/>
                <w:kern w:val="2"/>
                <w:sz w:val="24"/>
                <w:szCs w:val="24"/>
                <w:lang w:val="en-US" w:eastAsia="zh-CN" w:bidi="ar-SA"/>
              </w:rPr>
              <w:t>根据土壤导则附录A：本项目属于输煤廊道建设，属于：“采矿业—其他”，项目类别为</w:t>
            </w:r>
            <w:r>
              <w:rPr>
                <w:rFonts w:hint="default" w:ascii="Times New Roman" w:hAnsi="Times New Roman" w:eastAsia="宋体" w:cs="Times New Roman"/>
                <w:b w:val="0"/>
                <w:bCs/>
                <w:color w:val="000000"/>
                <w:kern w:val="2"/>
                <w:sz w:val="24"/>
                <w:szCs w:val="24"/>
                <w:lang w:val="en-US" w:eastAsia="zh-CN" w:bidi="ar-SA"/>
              </w:rPr>
              <w:t>Ⅲ</w:t>
            </w:r>
            <w:r>
              <w:rPr>
                <w:rFonts w:hint="eastAsia" w:ascii="Times New Roman" w:hAnsi="Times New Roman" w:eastAsia="宋体" w:cs="Times New Roman"/>
                <w:b w:val="0"/>
                <w:bCs/>
                <w:color w:val="000000"/>
                <w:kern w:val="2"/>
                <w:sz w:val="24"/>
                <w:szCs w:val="24"/>
                <w:lang w:val="en-US" w:eastAsia="zh-CN" w:bidi="ar-SA"/>
              </w:rPr>
              <w:t>类，占地面积0.1</w:t>
            </w:r>
            <w:r>
              <w:rPr>
                <w:rFonts w:hint="eastAsia" w:ascii="Times New Roman" w:cs="Times New Roman"/>
                <w:b w:val="0"/>
                <w:bCs/>
                <w:color w:val="000000"/>
                <w:kern w:val="2"/>
                <w:sz w:val="24"/>
                <w:szCs w:val="24"/>
                <w:lang w:val="en-US" w:eastAsia="zh-CN" w:bidi="ar-SA"/>
              </w:rPr>
              <w:t>8927</w:t>
            </w:r>
            <w:r>
              <w:rPr>
                <w:rFonts w:hint="eastAsia" w:ascii="Times New Roman" w:hAnsi="Times New Roman" w:eastAsia="宋体" w:cs="Times New Roman"/>
                <w:b w:val="0"/>
                <w:bCs/>
                <w:color w:val="000000"/>
                <w:kern w:val="2"/>
                <w:sz w:val="24"/>
                <w:szCs w:val="24"/>
                <w:lang w:val="en-US" w:eastAsia="zh-CN" w:bidi="ar-SA"/>
              </w:rPr>
              <w:t>km</w:t>
            </w:r>
            <w:r>
              <w:rPr>
                <w:rFonts w:hint="eastAsia" w:ascii="Times New Roman" w:hAnsi="Times New Roman" w:eastAsia="宋体" w:cs="Times New Roman"/>
                <w:b w:val="0"/>
                <w:bCs/>
                <w:color w:val="000000"/>
                <w:kern w:val="2"/>
                <w:sz w:val="24"/>
                <w:szCs w:val="24"/>
                <w:vertAlign w:val="superscript"/>
                <w:lang w:val="en-US" w:eastAsia="zh-CN" w:bidi="ar-SA"/>
              </w:rPr>
              <w:t>2</w:t>
            </w:r>
            <w:r>
              <w:rPr>
                <w:rFonts w:hint="eastAsia" w:ascii="Times New Roman" w:hAnsi="Times New Roman" w:eastAsia="宋体" w:cs="Times New Roman"/>
                <w:b w:val="0"/>
                <w:bCs/>
                <w:color w:val="000000"/>
                <w:kern w:val="2"/>
                <w:sz w:val="24"/>
                <w:szCs w:val="24"/>
                <w:vertAlign w:val="baseline"/>
                <w:lang w:val="en-US" w:eastAsia="zh-CN" w:bidi="ar-SA"/>
              </w:rPr>
              <w:t>（1</w:t>
            </w:r>
            <w:r>
              <w:rPr>
                <w:rFonts w:hint="eastAsia" w:ascii="Times New Roman" w:cs="Times New Roman"/>
                <w:b w:val="0"/>
                <w:bCs/>
                <w:color w:val="000000"/>
                <w:kern w:val="2"/>
                <w:sz w:val="24"/>
                <w:szCs w:val="24"/>
                <w:vertAlign w:val="baseline"/>
                <w:lang w:val="en-US" w:eastAsia="zh-CN" w:bidi="ar-SA"/>
              </w:rPr>
              <w:t>8.927</w:t>
            </w:r>
            <w:r>
              <w:rPr>
                <w:rFonts w:hint="eastAsia" w:ascii="Times New Roman" w:hAnsi="Times New Roman" w:eastAsia="宋体" w:cs="Times New Roman"/>
                <w:b w:val="0"/>
                <w:bCs/>
                <w:color w:val="000000"/>
                <w:kern w:val="2"/>
                <w:sz w:val="24"/>
                <w:szCs w:val="24"/>
                <w:vertAlign w:val="baseline"/>
                <w:lang w:val="en-US" w:eastAsia="zh-CN" w:bidi="ar-SA"/>
              </w:rPr>
              <w:t>公顷）</w:t>
            </w:r>
            <w:r>
              <w:rPr>
                <w:rFonts w:hint="eastAsia" w:ascii="Times New Roman" w:hAnsi="Times New Roman" w:eastAsia="宋体" w:cs="Times New Roman"/>
                <w:b w:val="0"/>
                <w:bCs/>
                <w:color w:val="000000"/>
                <w:kern w:val="2"/>
                <w:sz w:val="24"/>
                <w:szCs w:val="24"/>
                <w:lang w:val="en-US" w:eastAsia="zh-CN" w:bidi="ar-SA"/>
              </w:rPr>
              <w:t>，建设规模属于中型（5~50公顷），结合表3-7判定本项目可不开展土壤环境现状调查</w:t>
            </w:r>
            <w:r>
              <w:rPr>
                <w:rFonts w:hint="eastAsia" w:cs="Times New Roman"/>
                <w:b w:val="0"/>
                <w:bCs/>
                <w:lang w:val="en-US" w:eastAsia="zh-CN"/>
              </w:rPr>
              <w:t>。</w:t>
            </w:r>
          </w:p>
          <w:p w14:paraId="5CB25502">
            <w:pPr>
              <w:pStyle w:val="3"/>
              <w:numPr>
                <w:ilvl w:val="0"/>
                <w:numId w:val="0"/>
              </w:numPr>
              <w:bidi w:val="0"/>
              <w:rPr>
                <w:rFonts w:hint="eastAsia"/>
                <w:lang w:val="en-US" w:eastAsia="zh-CN"/>
              </w:rPr>
            </w:pPr>
            <w:r>
              <w:rPr>
                <w:rFonts w:hint="eastAsia"/>
                <w:lang w:val="en-US" w:eastAsia="zh-CN"/>
              </w:rPr>
              <w:t>6.声环境质量现状</w:t>
            </w:r>
          </w:p>
          <w:p w14:paraId="5FFF548D">
            <w:pPr>
              <w:spacing w:line="360" w:lineRule="auto"/>
              <w:ind w:firstLine="480" w:firstLineChars="200"/>
              <w:rPr>
                <w:rFonts w:hint="default"/>
                <w:lang w:val="en-US" w:eastAsia="zh-CN"/>
              </w:rPr>
            </w:pPr>
            <w:r>
              <w:rPr>
                <w:rFonts w:hint="eastAsia" w:ascii="Times New Roman" w:hAnsi="Times New Roman" w:eastAsia="宋体" w:cs="Times New Roman"/>
                <w:color w:val="000000"/>
                <w:sz w:val="24"/>
                <w:szCs w:val="24"/>
                <w:lang w:val="en-US" w:eastAsia="zh-CN"/>
              </w:rPr>
              <w:t>参照《建设项目环境影响报告表编制技术指南（污染影响类）（试行）》相关要求判断，本项目区周边50m范围内无声环境敏感保护目标，故不进行声环境质量现状监测。</w:t>
            </w:r>
          </w:p>
          <w:p w14:paraId="7726AF19">
            <w:pPr>
              <w:pStyle w:val="3"/>
              <w:bidi w:val="0"/>
              <w:rPr>
                <w:rFonts w:hint="eastAsia"/>
                <w:lang w:val="en-US" w:eastAsia="zh-CN"/>
              </w:rPr>
            </w:pPr>
            <w:r>
              <w:rPr>
                <w:rFonts w:hint="eastAsia"/>
                <w:lang w:val="en-US" w:eastAsia="zh-CN"/>
              </w:rPr>
              <w:t>7.土地沙化现状</w:t>
            </w:r>
          </w:p>
          <w:p w14:paraId="26B0F4ED">
            <w:pPr>
              <w:bidi w:val="0"/>
              <w:rPr>
                <w:rFonts w:hint="default"/>
                <w:highlight w:val="none"/>
                <w:lang w:val="en-US" w:eastAsia="zh-CN"/>
              </w:rPr>
            </w:pPr>
            <w:r>
              <w:rPr>
                <w:rFonts w:hint="eastAsia"/>
                <w:lang w:val="en-US" w:eastAsia="zh-CN"/>
              </w:rPr>
              <w:t>根据《新疆第六次沙化监测报告》本项目所在地不属于沙化土地。</w:t>
            </w:r>
            <w:r>
              <w:rPr>
                <w:rFonts w:hint="eastAsia"/>
                <w:highlight w:val="none"/>
                <w:lang w:val="en-US" w:eastAsia="zh-CN"/>
              </w:rPr>
              <w:t>具体位置详见附图9。</w:t>
            </w:r>
          </w:p>
        </w:tc>
      </w:tr>
      <w:tr w14:paraId="6EB85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tcBorders>
              <w:tl2br w:val="nil"/>
              <w:tr2bl w:val="nil"/>
            </w:tcBorders>
            <w:vAlign w:val="center"/>
          </w:tcPr>
          <w:p w14:paraId="2566B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4"/>
                <w:szCs w:val="24"/>
                <w:lang w:val="en-US" w:eastAsia="zh-CN"/>
              </w:rPr>
            </w:pPr>
            <w:r>
              <w:rPr>
                <w:rFonts w:hint="eastAsia" w:ascii="宋体" w:hAnsi="宋体" w:eastAsia="宋体" w:cs="宋体"/>
                <w:b/>
                <w:bCs w:val="0"/>
                <w:color w:val="000000"/>
                <w:sz w:val="24"/>
                <w:szCs w:val="24"/>
              </w:rPr>
              <w:t>与项目有关的原有环境污染和生态破坏问题</w:t>
            </w:r>
          </w:p>
        </w:tc>
        <w:tc>
          <w:tcPr>
            <w:tcW w:w="4589" w:type="pct"/>
            <w:tcBorders>
              <w:tl2br w:val="nil"/>
              <w:tr2bl w:val="nil"/>
            </w:tcBorders>
            <w:vAlign w:val="center"/>
          </w:tcPr>
          <w:p w14:paraId="489E034E">
            <w:pPr>
              <w:pStyle w:val="17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color w:val="000000"/>
                <w:lang w:val="en-US" w:eastAsia="zh-CN"/>
              </w:rPr>
            </w:pPr>
          </w:p>
          <w:p w14:paraId="555274CF">
            <w:pPr>
              <w:pStyle w:val="17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color w:val="000000"/>
                <w:lang w:val="en-US" w:eastAsia="zh-CN"/>
              </w:rPr>
            </w:pPr>
            <w:r>
              <w:rPr>
                <w:rFonts w:hint="eastAsia" w:cs="Times New Roman"/>
                <w:color w:val="000000"/>
                <w:lang w:val="en-US" w:eastAsia="zh-CN"/>
              </w:rPr>
              <w:t xml:space="preserve">  </w:t>
            </w:r>
          </w:p>
          <w:p w14:paraId="37E516D3">
            <w:pPr>
              <w:pStyle w:val="17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cs="Times New Roman"/>
                <w:color w:val="000000"/>
                <w:lang w:val="en-US" w:eastAsia="zh-CN"/>
              </w:rPr>
              <w:t>本项目为新建项目，无与本项目有关的原有环境污染问题。</w:t>
            </w:r>
          </w:p>
        </w:tc>
      </w:tr>
      <w:tr w14:paraId="60D09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2" w:hRule="atLeast"/>
          <w:jc w:val="center"/>
        </w:trPr>
        <w:tc>
          <w:tcPr>
            <w:tcW w:w="410" w:type="pct"/>
            <w:tcBorders>
              <w:tl2br w:val="nil"/>
              <w:tr2bl w:val="nil"/>
            </w:tcBorders>
            <w:vAlign w:val="center"/>
          </w:tcPr>
          <w:p w14:paraId="78268C74">
            <w:pPr>
              <w:pStyle w:val="3"/>
              <w:bidi w:val="0"/>
              <w:jc w:val="center"/>
              <w:rPr>
                <w:rFonts w:hint="default"/>
                <w:sz w:val="24"/>
                <w:szCs w:val="24"/>
                <w:lang w:val="en-US"/>
              </w:rPr>
            </w:pPr>
            <w:r>
              <w:rPr>
                <w:rFonts w:hint="eastAsia"/>
                <w:sz w:val="24"/>
                <w:szCs w:val="24"/>
                <w:lang w:val="en-US" w:eastAsia="zh-CN"/>
              </w:rPr>
              <w:t>生态</w:t>
            </w:r>
            <w:r>
              <w:rPr>
                <w:rFonts w:hint="default"/>
                <w:sz w:val="24"/>
                <w:szCs w:val="24"/>
              </w:rPr>
              <w:t>环境保护</w:t>
            </w:r>
            <w:r>
              <w:rPr>
                <w:rFonts w:hint="eastAsia"/>
                <w:sz w:val="24"/>
                <w:szCs w:val="24"/>
                <w:lang w:val="en-US" w:eastAsia="zh-CN"/>
              </w:rPr>
              <w:t>目标</w:t>
            </w:r>
          </w:p>
        </w:tc>
        <w:tc>
          <w:tcPr>
            <w:tcW w:w="4589" w:type="pct"/>
            <w:tcBorders>
              <w:tl2br w:val="nil"/>
              <w:tr2bl w:val="nil"/>
            </w:tcBorders>
            <w:vAlign w:val="top"/>
          </w:tcPr>
          <w:p w14:paraId="43B39B2B">
            <w:pPr>
              <w:pStyle w:val="28"/>
              <w:keepNext w:val="0"/>
              <w:keepLines w:val="0"/>
              <w:numPr>
                <w:ilvl w:val="0"/>
                <w:numId w:val="0"/>
              </w:numPr>
              <w:suppressLineNumbers w:val="0"/>
              <w:spacing w:before="0" w:beforeAutospacing="0" w:after="0" w:afterAutospacing="0" w:line="360" w:lineRule="auto"/>
              <w:ind w:right="0" w:rightChars="0" w:firstLine="480" w:firstLineChars="200"/>
              <w:jc w:val="both"/>
              <w:rPr>
                <w:rFonts w:hint="eastAsia"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本</w:t>
            </w:r>
            <w:r>
              <w:rPr>
                <w:rFonts w:hint="default" w:ascii="Times New Roman" w:hAnsi="Times New Roman" w:eastAsia="宋体" w:cs="Times New Roman"/>
                <w:b w:val="0"/>
                <w:color w:val="000000"/>
                <w:kern w:val="2"/>
                <w:sz w:val="24"/>
                <w:szCs w:val="24"/>
                <w:lang w:val="en-US" w:eastAsia="zh-CN" w:bidi="ar-SA"/>
              </w:rPr>
              <w:t>项目位于新疆维吾尔自治区巴音郭楞蒙古自治州轮台县城北偏东方向，直线距离约33 km，西距阳霞镇3.5km，阳霞矿区110 KV变电所西部约2公里处，</w:t>
            </w:r>
            <w:r>
              <w:rPr>
                <w:rFonts w:hint="eastAsia" w:ascii="Times New Roman" w:hAnsi="Times New Roman" w:eastAsia="宋体" w:cs="Times New Roman"/>
                <w:b w:val="0"/>
                <w:color w:val="000000"/>
                <w:kern w:val="2"/>
                <w:sz w:val="24"/>
                <w:szCs w:val="24"/>
                <w:lang w:val="en-US" w:eastAsia="zh-CN" w:bidi="ar-SA"/>
              </w:rPr>
              <w:t>项目沿线两侧</w:t>
            </w:r>
            <w:r>
              <w:rPr>
                <w:rFonts w:hint="default" w:ascii="Times New Roman" w:hAnsi="Times New Roman" w:eastAsia="宋体" w:cs="Times New Roman"/>
                <w:b w:val="0"/>
                <w:color w:val="000000"/>
                <w:kern w:val="2"/>
                <w:sz w:val="24"/>
                <w:szCs w:val="24"/>
                <w:lang w:val="en-US" w:eastAsia="zh-CN" w:bidi="ar-SA"/>
              </w:rPr>
              <w:t>500m范围内无大气环境保护目标，</w:t>
            </w:r>
            <w:r>
              <w:rPr>
                <w:rFonts w:hint="eastAsia" w:ascii="Times New Roman" w:hAnsi="Times New Roman" w:eastAsia="宋体" w:cs="Times New Roman"/>
                <w:b w:val="0"/>
                <w:color w:val="000000"/>
                <w:kern w:val="2"/>
                <w:sz w:val="24"/>
                <w:szCs w:val="24"/>
                <w:lang w:val="en-US" w:eastAsia="zh-CN" w:bidi="ar-SA"/>
              </w:rPr>
              <w:t>沿线两侧</w:t>
            </w:r>
            <w:r>
              <w:rPr>
                <w:rFonts w:hint="default" w:ascii="Times New Roman" w:hAnsi="Times New Roman" w:eastAsia="宋体" w:cs="Times New Roman"/>
                <w:b w:val="0"/>
                <w:color w:val="000000"/>
                <w:kern w:val="2"/>
                <w:sz w:val="24"/>
                <w:szCs w:val="24"/>
                <w:lang w:val="en-US" w:eastAsia="zh-CN" w:bidi="ar-SA"/>
              </w:rPr>
              <w:t>50m范围内无声环境保护目标，</w:t>
            </w:r>
            <w:r>
              <w:rPr>
                <w:rFonts w:hint="eastAsia" w:ascii="Times New Roman" w:hAnsi="Times New Roman" w:eastAsia="宋体" w:cs="Times New Roman"/>
                <w:b w:val="0"/>
                <w:color w:val="000000"/>
                <w:kern w:val="2"/>
                <w:sz w:val="24"/>
                <w:szCs w:val="24"/>
                <w:lang w:val="en-US" w:eastAsia="zh-CN" w:bidi="ar-SA"/>
              </w:rPr>
              <w:t>沿线两侧</w:t>
            </w:r>
            <w:r>
              <w:rPr>
                <w:rFonts w:hint="default" w:ascii="Times New Roman" w:hAnsi="Times New Roman" w:eastAsia="宋体" w:cs="Times New Roman"/>
                <w:b w:val="0"/>
                <w:color w:val="000000"/>
                <w:kern w:val="2"/>
                <w:sz w:val="24"/>
                <w:szCs w:val="24"/>
                <w:lang w:val="en-US" w:eastAsia="zh-CN" w:bidi="ar-SA"/>
              </w:rPr>
              <w:t>500m范围内无地下水集中式饮用水水源和特殊地下水资源。</w:t>
            </w:r>
            <w:r>
              <w:rPr>
                <w:rFonts w:hint="eastAsia" w:ascii="Times New Roman" w:hAnsi="Times New Roman" w:eastAsia="宋体" w:cs="Times New Roman"/>
                <w:b w:val="0"/>
                <w:color w:val="000000"/>
                <w:kern w:val="2"/>
                <w:sz w:val="24"/>
                <w:szCs w:val="24"/>
                <w:lang w:val="en-US" w:eastAsia="zh-CN" w:bidi="ar-SA"/>
              </w:rPr>
              <w:t>项目所在地属于水土流失重点预防区和重点治理区，主要环境保护目标见下表。</w:t>
            </w:r>
          </w:p>
          <w:p w14:paraId="5EA262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b/>
                <w:bCs/>
                <w:color w:val="000000"/>
                <w:sz w:val="21"/>
                <w:szCs w:val="21"/>
                <w:lang w:val="en-US" w:eastAsia="zh-CN"/>
              </w:rPr>
            </w:pPr>
            <w:r>
              <w:rPr>
                <w:rFonts w:hint="eastAsia" w:cs="Times New Roman"/>
                <w:b/>
                <w:bCs/>
                <w:color w:val="000000"/>
                <w:sz w:val="21"/>
                <w:szCs w:val="21"/>
                <w:lang w:val="en-US" w:eastAsia="zh-CN"/>
              </w:rPr>
              <w:t>表3-8    主要环境保护目标</w:t>
            </w:r>
          </w:p>
          <w:tbl>
            <w:tblPr>
              <w:tblStyle w:val="4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19"/>
              <w:gridCol w:w="797"/>
              <w:gridCol w:w="910"/>
              <w:gridCol w:w="3621"/>
            </w:tblGrid>
            <w:tr w14:paraId="56ABA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693" w:type="pct"/>
                  <w:tcBorders>
                    <w:tl2br w:val="nil"/>
                    <w:tr2bl w:val="nil"/>
                  </w:tcBorders>
                  <w:noWrap w:val="0"/>
                  <w:vAlign w:val="center"/>
                </w:tcPr>
                <w:p w14:paraId="46704C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环境要素</w:t>
                  </w:r>
                </w:p>
              </w:tc>
              <w:tc>
                <w:tcPr>
                  <w:tcW w:w="955" w:type="pct"/>
                  <w:tcBorders>
                    <w:tl2br w:val="nil"/>
                    <w:tr2bl w:val="nil"/>
                  </w:tcBorders>
                  <w:noWrap w:val="0"/>
                  <w:vAlign w:val="center"/>
                </w:tcPr>
                <w:p w14:paraId="6A0A4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保护目标名称</w:t>
                  </w:r>
                </w:p>
              </w:tc>
              <w:tc>
                <w:tcPr>
                  <w:tcW w:w="501" w:type="pct"/>
                  <w:tcBorders>
                    <w:tl2br w:val="nil"/>
                    <w:tr2bl w:val="nil"/>
                  </w:tcBorders>
                  <w:noWrap w:val="0"/>
                  <w:vAlign w:val="center"/>
                </w:tcPr>
                <w:p w14:paraId="1E3938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方位</w:t>
                  </w:r>
                </w:p>
              </w:tc>
              <w:tc>
                <w:tcPr>
                  <w:tcW w:w="571" w:type="pct"/>
                  <w:tcBorders>
                    <w:tl2br w:val="nil"/>
                    <w:tr2bl w:val="nil"/>
                  </w:tcBorders>
                  <w:noWrap w:val="0"/>
                  <w:vAlign w:val="center"/>
                </w:tcPr>
                <w:p w14:paraId="1957E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距离</w:t>
                  </w:r>
                </w:p>
              </w:tc>
              <w:tc>
                <w:tcPr>
                  <w:tcW w:w="2277" w:type="pct"/>
                  <w:tcBorders>
                    <w:tl2br w:val="nil"/>
                    <w:tr2bl w:val="nil"/>
                  </w:tcBorders>
                  <w:noWrap w:val="0"/>
                  <w:vAlign w:val="center"/>
                </w:tcPr>
                <w:p w14:paraId="172DBA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环境功能或保护要求</w:t>
                  </w:r>
                </w:p>
              </w:tc>
            </w:tr>
            <w:tr w14:paraId="19FFE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693" w:type="pct"/>
                  <w:tcBorders>
                    <w:tl2br w:val="nil"/>
                    <w:tr2bl w:val="nil"/>
                  </w:tcBorders>
                  <w:noWrap w:val="0"/>
                  <w:vAlign w:val="center"/>
                </w:tcPr>
                <w:p w14:paraId="7A7CB1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大气环境</w:t>
                  </w:r>
                </w:p>
              </w:tc>
              <w:tc>
                <w:tcPr>
                  <w:tcW w:w="955" w:type="pct"/>
                  <w:tcBorders>
                    <w:tl2br w:val="nil"/>
                    <w:tr2bl w:val="nil"/>
                  </w:tcBorders>
                  <w:noWrap w:val="0"/>
                  <w:vAlign w:val="center"/>
                </w:tcPr>
                <w:p w14:paraId="781F01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周边大气环境</w:t>
                  </w:r>
                </w:p>
              </w:tc>
              <w:tc>
                <w:tcPr>
                  <w:tcW w:w="501" w:type="pct"/>
                  <w:tcBorders>
                    <w:tl2br w:val="nil"/>
                    <w:tr2bl w:val="nil"/>
                  </w:tcBorders>
                  <w:noWrap w:val="0"/>
                  <w:vAlign w:val="center"/>
                </w:tcPr>
                <w:p w14:paraId="6AA4C5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571" w:type="pct"/>
                  <w:tcBorders>
                    <w:tl2br w:val="nil"/>
                    <w:tr2bl w:val="nil"/>
                  </w:tcBorders>
                  <w:noWrap w:val="0"/>
                  <w:vAlign w:val="center"/>
                </w:tcPr>
                <w:p w14:paraId="7D8FD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2277" w:type="pct"/>
                  <w:tcBorders>
                    <w:tl2br w:val="nil"/>
                    <w:tr2bl w:val="nil"/>
                  </w:tcBorders>
                  <w:noWrap w:val="0"/>
                  <w:vAlign w:val="center"/>
                </w:tcPr>
                <w:p w14:paraId="5BDDF2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《环境空气质量标准》（GB 3095-2012）及其修改单中的二级标准</w:t>
                  </w:r>
                </w:p>
              </w:tc>
            </w:tr>
            <w:tr w14:paraId="27E78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693" w:type="pct"/>
                  <w:tcBorders>
                    <w:tl2br w:val="nil"/>
                    <w:tr2bl w:val="nil"/>
                  </w:tcBorders>
                  <w:noWrap w:val="0"/>
                  <w:vAlign w:val="center"/>
                </w:tcPr>
                <w:p w14:paraId="26D766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声环境</w:t>
                  </w:r>
                </w:p>
              </w:tc>
              <w:tc>
                <w:tcPr>
                  <w:tcW w:w="955" w:type="pct"/>
                  <w:tcBorders>
                    <w:tl2br w:val="nil"/>
                    <w:tr2bl w:val="nil"/>
                  </w:tcBorders>
                  <w:noWrap w:val="0"/>
                  <w:vAlign w:val="center"/>
                </w:tcPr>
                <w:p w14:paraId="71AA44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周边声环境</w:t>
                  </w:r>
                </w:p>
              </w:tc>
              <w:tc>
                <w:tcPr>
                  <w:tcW w:w="501" w:type="pct"/>
                  <w:tcBorders>
                    <w:tl2br w:val="nil"/>
                    <w:tr2bl w:val="nil"/>
                  </w:tcBorders>
                  <w:noWrap w:val="0"/>
                  <w:vAlign w:val="center"/>
                </w:tcPr>
                <w:p w14:paraId="57697C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571" w:type="pct"/>
                  <w:tcBorders>
                    <w:tl2br w:val="nil"/>
                    <w:tr2bl w:val="nil"/>
                  </w:tcBorders>
                  <w:noWrap w:val="0"/>
                  <w:vAlign w:val="center"/>
                </w:tcPr>
                <w:p w14:paraId="2D347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2277" w:type="pct"/>
                  <w:tcBorders>
                    <w:tl2br w:val="nil"/>
                    <w:tr2bl w:val="nil"/>
                  </w:tcBorders>
                  <w:noWrap w:val="0"/>
                  <w:vAlign w:val="center"/>
                </w:tcPr>
                <w:p w14:paraId="7B7CA6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《声环境质量标准》（GB3096－2008）2类区标准</w:t>
                  </w:r>
                </w:p>
              </w:tc>
            </w:tr>
            <w:tr w14:paraId="56AAA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693" w:type="pct"/>
                  <w:tcBorders>
                    <w:tl2br w:val="nil"/>
                    <w:tr2bl w:val="nil"/>
                  </w:tcBorders>
                  <w:noWrap w:val="0"/>
                  <w:vAlign w:val="center"/>
                </w:tcPr>
                <w:p w14:paraId="1292D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生态</w:t>
                  </w:r>
                </w:p>
              </w:tc>
              <w:tc>
                <w:tcPr>
                  <w:tcW w:w="955" w:type="pct"/>
                  <w:tcBorders>
                    <w:tl2br w:val="nil"/>
                    <w:tr2bl w:val="nil"/>
                  </w:tcBorders>
                  <w:noWrap w:val="0"/>
                  <w:vAlign w:val="center"/>
                </w:tcPr>
                <w:p w14:paraId="50AE45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植被、动物</w:t>
                  </w:r>
                </w:p>
              </w:tc>
              <w:tc>
                <w:tcPr>
                  <w:tcW w:w="1073" w:type="pct"/>
                  <w:gridSpan w:val="2"/>
                  <w:tcBorders>
                    <w:tl2br w:val="nil"/>
                    <w:tr2bl w:val="nil"/>
                  </w:tcBorders>
                  <w:noWrap w:val="0"/>
                  <w:vAlign w:val="center"/>
                </w:tcPr>
                <w:p w14:paraId="73BB6E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麻黄草等植被、蜥蜴等小型动物</w:t>
                  </w:r>
                </w:p>
              </w:tc>
              <w:tc>
                <w:tcPr>
                  <w:tcW w:w="2277" w:type="pct"/>
                  <w:tcBorders>
                    <w:tl2br w:val="nil"/>
                    <w:tr2bl w:val="nil"/>
                  </w:tcBorders>
                  <w:noWrap w:val="0"/>
                  <w:vAlign w:val="center"/>
                </w:tcPr>
                <w:p w14:paraId="2C5E2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采取避让、</w:t>
                  </w:r>
                  <w:r>
                    <w:rPr>
                      <w:rFonts w:hint="eastAsia" w:cs="Times New Roman"/>
                      <w:b w:val="0"/>
                      <w:bCs w:val="0"/>
                      <w:color w:val="000000"/>
                      <w:sz w:val="21"/>
                      <w:szCs w:val="21"/>
                      <w:vertAlign w:val="baseline"/>
                      <w:lang w:val="en-US" w:eastAsia="zh-CN"/>
                    </w:rPr>
                    <w:t>补偿</w:t>
                  </w:r>
                  <w:r>
                    <w:rPr>
                      <w:rFonts w:hint="eastAsia" w:ascii="Times New Roman" w:hAnsi="Times New Roman" w:eastAsia="宋体" w:cs="Times New Roman"/>
                      <w:b w:val="0"/>
                      <w:bCs w:val="0"/>
                      <w:color w:val="000000"/>
                      <w:sz w:val="21"/>
                      <w:szCs w:val="21"/>
                      <w:vertAlign w:val="baseline"/>
                      <w:lang w:val="en-US" w:eastAsia="zh-CN"/>
                    </w:rPr>
                    <w:t>等措施</w:t>
                  </w:r>
                </w:p>
              </w:tc>
            </w:tr>
          </w:tbl>
          <w:p w14:paraId="0D766D5E">
            <w:pPr>
              <w:ind w:left="0" w:leftChars="0" w:firstLine="0" w:firstLineChars="0"/>
              <w:rPr>
                <w:rFonts w:hint="default"/>
              </w:rPr>
            </w:pPr>
          </w:p>
        </w:tc>
      </w:tr>
      <w:tr w14:paraId="645CF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tcBorders>
              <w:tl2br w:val="nil"/>
              <w:tr2bl w:val="nil"/>
            </w:tcBorders>
            <w:vAlign w:val="center"/>
          </w:tcPr>
          <w:p w14:paraId="2E0FC49A">
            <w:pPr>
              <w:pStyle w:val="17"/>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rPr>
            </w:pPr>
            <w:r>
              <w:rPr>
                <w:rFonts w:hint="eastAsia" w:cs="宋体"/>
                <w:b/>
                <w:bCs/>
                <w:sz w:val="24"/>
                <w:szCs w:val="32"/>
                <w:lang w:val="en-US" w:eastAsia="zh-CN" w:bidi="ar-SA"/>
              </w:rPr>
              <w:t>评价</w:t>
            </w:r>
            <w:r>
              <w:rPr>
                <w:rFonts w:hint="default" w:ascii="Times New Roman" w:hAnsi="Times New Roman" w:eastAsia="宋体" w:cs="宋体"/>
                <w:b/>
                <w:bCs/>
                <w:sz w:val="24"/>
                <w:szCs w:val="32"/>
                <w:lang w:val="en-US" w:eastAsia="zh-CN" w:bidi="ar-SA"/>
              </w:rPr>
              <w:t>标准</w:t>
            </w:r>
          </w:p>
        </w:tc>
        <w:tc>
          <w:tcPr>
            <w:tcW w:w="4589" w:type="pct"/>
            <w:tcBorders>
              <w:tl2br w:val="nil"/>
              <w:tr2bl w:val="nil"/>
            </w:tcBorders>
          </w:tcPr>
          <w:p w14:paraId="2C66D81F">
            <w:pPr>
              <w:numPr>
                <w:ilvl w:val="0"/>
                <w:numId w:val="0"/>
              </w:numPr>
              <w:adjustRightInd w:val="0"/>
              <w:snapToGrid w:val="0"/>
              <w:spacing w:line="360" w:lineRule="auto"/>
              <w:textAlignment w:val="center"/>
              <w:rPr>
                <w:rFonts w:hint="eastAsia" w:ascii="宋体" w:hAnsi="宋体" w:eastAsia="宋体" w:cs="宋体"/>
                <w:color w:val="000000"/>
                <w:sz w:val="24"/>
                <w:szCs w:val="24"/>
              </w:rPr>
            </w:pPr>
            <w:r>
              <w:rPr>
                <w:rFonts w:hint="eastAsia" w:ascii="宋体" w:hAnsi="宋体" w:cs="宋体"/>
                <w:b/>
                <w:bCs/>
                <w:color w:val="000000"/>
                <w:sz w:val="24"/>
                <w:szCs w:val="24"/>
                <w:lang w:val="en-US" w:eastAsia="zh-CN"/>
              </w:rPr>
              <w:t>1.</w:t>
            </w:r>
            <w:r>
              <w:rPr>
                <w:rFonts w:hint="eastAsia" w:ascii="宋体" w:hAnsi="宋体" w:eastAsia="宋体" w:cs="宋体"/>
                <w:b/>
                <w:bCs/>
                <w:color w:val="000000"/>
                <w:sz w:val="24"/>
                <w:szCs w:val="24"/>
              </w:rPr>
              <w:t>环境质量标准</w:t>
            </w:r>
          </w:p>
          <w:p w14:paraId="7C475BDC">
            <w:pPr>
              <w:keepNext w:val="0"/>
              <w:keepLines w:val="0"/>
              <w:suppressLineNumbers w:val="0"/>
              <w:adjustRightInd w:val="0"/>
              <w:snapToGrid w:val="0"/>
              <w:spacing w:before="0" w:beforeAutospacing="0" w:after="0" w:afterAutospacing="0" w:line="360" w:lineRule="auto"/>
              <w:ind w:left="0" w:right="0" w:firstLine="482" w:firstLineChars="200"/>
              <w:rPr>
                <w:rFonts w:hint="default" w:cs="Times New Roman"/>
                <w:b/>
                <w:bCs/>
                <w:color w:val="000000"/>
                <w:sz w:val="24"/>
              </w:rPr>
            </w:pPr>
            <w:r>
              <w:rPr>
                <w:rFonts w:hint="eastAsia" w:cs="Times New Roman"/>
                <w:b/>
                <w:bCs/>
                <w:color w:val="000000"/>
                <w:sz w:val="24"/>
              </w:rPr>
              <w:t>1.1</w:t>
            </w:r>
            <w:r>
              <w:rPr>
                <w:rFonts w:hint="default" w:cs="Times New Roman"/>
                <w:b/>
                <w:bCs/>
                <w:color w:val="000000"/>
                <w:sz w:val="24"/>
              </w:rPr>
              <w:t>环境空气</w:t>
            </w:r>
          </w:p>
          <w:p w14:paraId="2F7596D7">
            <w:pPr>
              <w:keepNext w:val="0"/>
              <w:keepLines w:val="0"/>
              <w:suppressLineNumbers w:val="0"/>
              <w:adjustRightInd w:val="0"/>
              <w:snapToGrid w:val="0"/>
              <w:spacing w:before="0" w:beforeAutospacing="0" w:after="0" w:afterAutospacing="0" w:line="360" w:lineRule="auto"/>
              <w:ind w:left="0" w:right="0" w:firstLine="480" w:firstLineChars="200"/>
              <w:rPr>
                <w:rFonts w:hint="default" w:cs="Times New Roman"/>
                <w:color w:val="000000"/>
                <w:sz w:val="24"/>
              </w:rPr>
            </w:pPr>
            <w:r>
              <w:rPr>
                <w:rFonts w:hint="eastAsia" w:cs="Times New Roman"/>
                <w:color w:val="000000"/>
                <w:sz w:val="24"/>
                <w:lang w:val="en-US" w:eastAsia="zh-CN"/>
              </w:rPr>
              <w:t>项目所在地</w:t>
            </w:r>
            <w:r>
              <w:rPr>
                <w:rFonts w:hint="default" w:cs="Times New Roman"/>
                <w:color w:val="000000"/>
                <w:sz w:val="24"/>
              </w:rPr>
              <w:t>环境空气质量执行《环境空气质量标准》</w:t>
            </w:r>
            <w:r>
              <w:rPr>
                <w:rFonts w:hint="eastAsia" w:cs="Times New Roman"/>
                <w:color w:val="000000"/>
                <w:sz w:val="24"/>
                <w:lang w:eastAsia="zh-CN"/>
              </w:rPr>
              <w:t>（</w:t>
            </w:r>
            <w:r>
              <w:rPr>
                <w:rFonts w:hint="default" w:cs="Times New Roman"/>
                <w:color w:val="000000"/>
                <w:sz w:val="24"/>
              </w:rPr>
              <w:t>GB3095-2012</w:t>
            </w:r>
            <w:r>
              <w:rPr>
                <w:rFonts w:hint="eastAsia" w:cs="Times New Roman"/>
                <w:color w:val="000000"/>
                <w:sz w:val="24"/>
                <w:lang w:eastAsia="zh-CN"/>
              </w:rPr>
              <w:t>）</w:t>
            </w:r>
            <w:r>
              <w:rPr>
                <w:rFonts w:hint="default" w:cs="Times New Roman"/>
                <w:color w:val="000000"/>
                <w:sz w:val="24"/>
              </w:rPr>
              <w:t>中的二级标准</w:t>
            </w:r>
            <w:r>
              <w:rPr>
                <w:rFonts w:hint="eastAsia" w:cs="Times New Roman"/>
                <w:color w:val="000000"/>
                <w:sz w:val="24"/>
                <w:lang w:val="en-US" w:eastAsia="zh-CN"/>
              </w:rPr>
              <w:t>3-9</w:t>
            </w:r>
            <w:r>
              <w:rPr>
                <w:rFonts w:hint="default" w:cs="Times New Roman"/>
                <w:color w:val="000000"/>
                <w:sz w:val="24"/>
              </w:rPr>
              <w:t>。</w:t>
            </w:r>
          </w:p>
          <w:p w14:paraId="12259C60">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b/>
                <w:bCs/>
                <w:color w:val="000000"/>
                <w:sz w:val="21"/>
                <w:szCs w:val="21"/>
              </w:rPr>
            </w:pPr>
            <w:r>
              <w:rPr>
                <w:rFonts w:hint="default" w:cs="Times New Roman"/>
                <w:b/>
                <w:bCs/>
                <w:color w:val="000000"/>
                <w:sz w:val="21"/>
                <w:szCs w:val="21"/>
              </w:rPr>
              <w:t>表</w:t>
            </w:r>
            <w:r>
              <w:rPr>
                <w:rFonts w:hint="eastAsia" w:cs="Times New Roman"/>
                <w:b/>
                <w:bCs/>
                <w:color w:val="000000"/>
                <w:sz w:val="21"/>
                <w:szCs w:val="21"/>
                <w:lang w:val="en-US" w:eastAsia="zh-CN"/>
              </w:rPr>
              <w:t>3-9</w:t>
            </w:r>
            <w:r>
              <w:rPr>
                <w:rFonts w:hint="eastAsia" w:cs="Times New Roman"/>
                <w:b/>
                <w:bCs/>
                <w:color w:val="000000"/>
                <w:sz w:val="21"/>
                <w:szCs w:val="21"/>
              </w:rPr>
              <w:t xml:space="preserve">   </w:t>
            </w:r>
            <w:r>
              <w:rPr>
                <w:rFonts w:hint="eastAsia" w:cs="Times New Roman"/>
                <w:b/>
                <w:bCs/>
                <w:color w:val="000000"/>
                <w:sz w:val="21"/>
                <w:szCs w:val="21"/>
                <w:lang w:val="en-US" w:eastAsia="zh-CN"/>
              </w:rPr>
              <w:t xml:space="preserve">    </w:t>
            </w:r>
            <w:r>
              <w:rPr>
                <w:rFonts w:hint="default" w:cs="Times New Roman"/>
                <w:b/>
                <w:bCs/>
                <w:color w:val="000000"/>
                <w:sz w:val="21"/>
                <w:szCs w:val="21"/>
              </w:rPr>
              <w:t>环境空气质量</w:t>
            </w:r>
            <w:r>
              <w:rPr>
                <w:rFonts w:hint="eastAsia" w:cs="Times New Roman"/>
                <w:b/>
                <w:bCs/>
                <w:color w:val="000000"/>
                <w:sz w:val="21"/>
                <w:szCs w:val="21"/>
                <w:lang w:val="en-US" w:eastAsia="zh-CN"/>
              </w:rPr>
              <w:t>二级</w:t>
            </w:r>
            <w:r>
              <w:rPr>
                <w:rFonts w:hint="default" w:cs="Times New Roman"/>
                <w:b/>
                <w:bCs/>
                <w:color w:val="000000"/>
                <w:sz w:val="21"/>
                <w:szCs w:val="21"/>
              </w:rPr>
              <w:t>标准</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827"/>
              <w:gridCol w:w="566"/>
              <w:gridCol w:w="795"/>
              <w:gridCol w:w="1950"/>
              <w:gridCol w:w="1225"/>
              <w:gridCol w:w="980"/>
            </w:tblGrid>
            <w:tr w14:paraId="7CBF4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381" w:type="pct"/>
                  <w:noWrap w:val="0"/>
                  <w:vAlign w:val="center"/>
                </w:tcPr>
                <w:p w14:paraId="5855F5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项目</w:t>
                  </w:r>
                </w:p>
              </w:tc>
              <w:tc>
                <w:tcPr>
                  <w:tcW w:w="1149" w:type="pct"/>
                  <w:noWrap w:val="0"/>
                  <w:vAlign w:val="center"/>
                </w:tcPr>
                <w:p w14:paraId="050665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标准</w:t>
                  </w:r>
                </w:p>
              </w:tc>
              <w:tc>
                <w:tcPr>
                  <w:tcW w:w="356" w:type="pct"/>
                  <w:noWrap w:val="0"/>
                  <w:vAlign w:val="center"/>
                </w:tcPr>
                <w:p w14:paraId="2BF68C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级别</w:t>
                  </w:r>
                </w:p>
              </w:tc>
              <w:tc>
                <w:tcPr>
                  <w:tcW w:w="2496" w:type="pct"/>
                  <w:gridSpan w:val="3"/>
                  <w:noWrap w:val="0"/>
                  <w:vAlign w:val="center"/>
                </w:tcPr>
                <w:p w14:paraId="061764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评价标准值</w:t>
                  </w:r>
                </w:p>
              </w:tc>
              <w:tc>
                <w:tcPr>
                  <w:tcW w:w="616" w:type="pct"/>
                  <w:noWrap w:val="0"/>
                  <w:vAlign w:val="center"/>
                </w:tcPr>
                <w:p w14:paraId="54409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单位</w:t>
                  </w:r>
                </w:p>
              </w:tc>
            </w:tr>
            <w:tr w14:paraId="7DC13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restart"/>
                  <w:noWrap w:val="0"/>
                  <w:vAlign w:val="center"/>
                </w:tcPr>
                <w:p w14:paraId="1EF4D5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w:t>
                  </w:r>
                </w:p>
                <w:p w14:paraId="6168B1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空气</w:t>
                  </w:r>
                </w:p>
              </w:tc>
              <w:tc>
                <w:tcPr>
                  <w:tcW w:w="1149" w:type="pct"/>
                  <w:vMerge w:val="restart"/>
                  <w:noWrap w:val="0"/>
                  <w:vAlign w:val="center"/>
                </w:tcPr>
                <w:p w14:paraId="1450BA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环境空气质量标准</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GB3095-2012</w:t>
                  </w:r>
                  <w:r>
                    <w:rPr>
                      <w:rFonts w:hint="default" w:ascii="Times New Roman" w:hAnsi="Times New Roman" w:eastAsia="宋体" w:cs="Times New Roman"/>
                      <w:color w:val="000000"/>
                      <w:sz w:val="21"/>
                      <w:szCs w:val="21"/>
                      <w:lang w:eastAsia="zh-CN"/>
                    </w:rPr>
                    <w:t>）</w:t>
                  </w:r>
                </w:p>
              </w:tc>
              <w:tc>
                <w:tcPr>
                  <w:tcW w:w="356" w:type="pct"/>
                  <w:vMerge w:val="restart"/>
                  <w:noWrap w:val="0"/>
                  <w:vAlign w:val="center"/>
                </w:tcPr>
                <w:p w14:paraId="2582F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500" w:type="pct"/>
                  <w:vMerge w:val="restart"/>
                  <w:noWrap w:val="0"/>
                  <w:vAlign w:val="center"/>
                </w:tcPr>
                <w:p w14:paraId="316A3A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SO</w:t>
                  </w:r>
                  <w:r>
                    <w:rPr>
                      <w:rFonts w:hint="default" w:ascii="Times New Roman" w:hAnsi="Times New Roman" w:eastAsia="宋体" w:cs="Times New Roman"/>
                      <w:color w:val="000000"/>
                      <w:sz w:val="21"/>
                      <w:szCs w:val="21"/>
                      <w:vertAlign w:val="subscript"/>
                    </w:rPr>
                    <w:t>2</w:t>
                  </w:r>
                </w:p>
              </w:tc>
              <w:tc>
                <w:tcPr>
                  <w:tcW w:w="1226" w:type="pct"/>
                  <w:noWrap w:val="0"/>
                  <w:vAlign w:val="center"/>
                </w:tcPr>
                <w:p w14:paraId="637842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年平均</w:t>
                  </w:r>
                </w:p>
              </w:tc>
              <w:tc>
                <w:tcPr>
                  <w:tcW w:w="770" w:type="pct"/>
                  <w:noWrap w:val="0"/>
                  <w:vAlign w:val="center"/>
                </w:tcPr>
                <w:p w14:paraId="2BCA7F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616" w:type="pct"/>
                  <w:vMerge w:val="restart"/>
                  <w:noWrap w:val="0"/>
                  <w:vAlign w:val="center"/>
                </w:tcPr>
                <w:p w14:paraId="412C3F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μg/m</w:t>
                  </w:r>
                  <w:r>
                    <w:rPr>
                      <w:rFonts w:hint="default" w:ascii="Times New Roman" w:hAnsi="Times New Roman" w:eastAsia="宋体" w:cs="Times New Roman"/>
                      <w:color w:val="000000"/>
                      <w:sz w:val="21"/>
                      <w:szCs w:val="21"/>
                      <w:vertAlign w:val="superscript"/>
                      <w:lang w:eastAsia="zh-CN"/>
                    </w:rPr>
                    <w:t>3</w:t>
                  </w:r>
                </w:p>
              </w:tc>
            </w:tr>
            <w:tr w14:paraId="1CA33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6AD0D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7CC329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2D074E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60E425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5A3855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日平均</w:t>
                  </w:r>
                </w:p>
              </w:tc>
              <w:tc>
                <w:tcPr>
                  <w:tcW w:w="770" w:type="pct"/>
                  <w:noWrap w:val="0"/>
                  <w:vAlign w:val="center"/>
                </w:tcPr>
                <w:p w14:paraId="1BB63A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150</w:t>
                  </w:r>
                </w:p>
              </w:tc>
              <w:tc>
                <w:tcPr>
                  <w:tcW w:w="616" w:type="pct"/>
                  <w:vMerge w:val="continue"/>
                  <w:noWrap w:val="0"/>
                  <w:vAlign w:val="center"/>
                </w:tcPr>
                <w:p w14:paraId="286A76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5380F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06B86A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3F9ADE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1DA9A5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60DF2E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021BEF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小时平均</w:t>
                  </w:r>
                </w:p>
              </w:tc>
              <w:tc>
                <w:tcPr>
                  <w:tcW w:w="770" w:type="pct"/>
                  <w:noWrap w:val="0"/>
                  <w:vAlign w:val="center"/>
                </w:tcPr>
                <w:p w14:paraId="6DCD57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w:t>
                  </w:r>
                </w:p>
              </w:tc>
              <w:tc>
                <w:tcPr>
                  <w:tcW w:w="616" w:type="pct"/>
                  <w:vMerge w:val="continue"/>
                  <w:noWrap w:val="0"/>
                  <w:vAlign w:val="center"/>
                </w:tcPr>
                <w:p w14:paraId="674BC3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21549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70D6C5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33C72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5A469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restart"/>
                  <w:noWrap w:val="0"/>
                  <w:vAlign w:val="center"/>
                </w:tcPr>
                <w:p w14:paraId="621CF6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NO</w:t>
                  </w:r>
                  <w:r>
                    <w:rPr>
                      <w:rFonts w:hint="default" w:ascii="Times New Roman" w:hAnsi="Times New Roman" w:eastAsia="宋体" w:cs="Times New Roman"/>
                      <w:color w:val="000000"/>
                      <w:sz w:val="21"/>
                      <w:szCs w:val="21"/>
                      <w:vertAlign w:val="subscript"/>
                    </w:rPr>
                    <w:t>2</w:t>
                  </w:r>
                </w:p>
              </w:tc>
              <w:tc>
                <w:tcPr>
                  <w:tcW w:w="1226" w:type="pct"/>
                  <w:noWrap w:val="0"/>
                  <w:vAlign w:val="center"/>
                </w:tcPr>
                <w:p w14:paraId="28607E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年平均</w:t>
                  </w:r>
                </w:p>
              </w:tc>
              <w:tc>
                <w:tcPr>
                  <w:tcW w:w="770" w:type="pct"/>
                  <w:noWrap w:val="0"/>
                  <w:vAlign w:val="center"/>
                </w:tcPr>
                <w:p w14:paraId="5CDA63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w:t>
                  </w:r>
                </w:p>
              </w:tc>
              <w:tc>
                <w:tcPr>
                  <w:tcW w:w="616" w:type="pct"/>
                  <w:vMerge w:val="continue"/>
                  <w:noWrap w:val="0"/>
                  <w:vAlign w:val="center"/>
                </w:tcPr>
                <w:p w14:paraId="3F0C0D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720C4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2AA3A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3041A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53AAB2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0CE69B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00AFC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日平均</w:t>
                  </w:r>
                </w:p>
              </w:tc>
              <w:tc>
                <w:tcPr>
                  <w:tcW w:w="770" w:type="pct"/>
                  <w:noWrap w:val="0"/>
                  <w:vAlign w:val="center"/>
                </w:tcPr>
                <w:p w14:paraId="4D7070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80</w:t>
                  </w:r>
                </w:p>
              </w:tc>
              <w:tc>
                <w:tcPr>
                  <w:tcW w:w="616" w:type="pct"/>
                  <w:vMerge w:val="continue"/>
                  <w:noWrap w:val="0"/>
                  <w:vAlign w:val="center"/>
                </w:tcPr>
                <w:p w14:paraId="2BCFF9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0F503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4A34D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7CB144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0FB70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4E5D9E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1837FE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小时平均</w:t>
                  </w:r>
                </w:p>
              </w:tc>
              <w:tc>
                <w:tcPr>
                  <w:tcW w:w="770" w:type="pct"/>
                  <w:noWrap w:val="0"/>
                  <w:vAlign w:val="center"/>
                </w:tcPr>
                <w:p w14:paraId="15E18C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200</w:t>
                  </w:r>
                </w:p>
              </w:tc>
              <w:tc>
                <w:tcPr>
                  <w:tcW w:w="616" w:type="pct"/>
                  <w:vMerge w:val="continue"/>
                  <w:noWrap w:val="0"/>
                  <w:vAlign w:val="center"/>
                </w:tcPr>
                <w:p w14:paraId="7A955A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35CEA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73A89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785E1E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6B2FE9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restart"/>
                  <w:noWrap w:val="0"/>
                  <w:vAlign w:val="center"/>
                </w:tcPr>
                <w:p w14:paraId="70F7BC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kern w:val="10"/>
                      <w:sz w:val="21"/>
                      <w:szCs w:val="21"/>
                    </w:rPr>
                    <w:t>PM</w:t>
                  </w:r>
                  <w:r>
                    <w:rPr>
                      <w:rFonts w:hint="default" w:ascii="Times New Roman" w:hAnsi="Times New Roman" w:eastAsia="宋体" w:cs="Times New Roman"/>
                      <w:color w:val="000000"/>
                      <w:kern w:val="10"/>
                      <w:sz w:val="21"/>
                      <w:szCs w:val="21"/>
                      <w:vertAlign w:val="subscript"/>
                    </w:rPr>
                    <w:t>10</w:t>
                  </w:r>
                </w:p>
              </w:tc>
              <w:tc>
                <w:tcPr>
                  <w:tcW w:w="1226" w:type="pct"/>
                  <w:noWrap w:val="0"/>
                  <w:vAlign w:val="center"/>
                </w:tcPr>
                <w:p w14:paraId="3EB4A7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年平均</w:t>
                  </w:r>
                </w:p>
              </w:tc>
              <w:tc>
                <w:tcPr>
                  <w:tcW w:w="770" w:type="pct"/>
                  <w:noWrap w:val="0"/>
                  <w:vAlign w:val="center"/>
                </w:tcPr>
                <w:p w14:paraId="18BD5D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70</w:t>
                  </w:r>
                </w:p>
              </w:tc>
              <w:tc>
                <w:tcPr>
                  <w:tcW w:w="616" w:type="pct"/>
                  <w:vMerge w:val="continue"/>
                  <w:noWrap w:val="0"/>
                  <w:vAlign w:val="center"/>
                </w:tcPr>
                <w:p w14:paraId="6282E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26A50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3405B5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448332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1FB74A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18B4A0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06928C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日平均</w:t>
                  </w:r>
                </w:p>
              </w:tc>
              <w:tc>
                <w:tcPr>
                  <w:tcW w:w="770" w:type="pct"/>
                  <w:noWrap w:val="0"/>
                  <w:vAlign w:val="center"/>
                </w:tcPr>
                <w:p w14:paraId="158223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150</w:t>
                  </w:r>
                </w:p>
              </w:tc>
              <w:tc>
                <w:tcPr>
                  <w:tcW w:w="616" w:type="pct"/>
                  <w:vMerge w:val="continue"/>
                  <w:noWrap w:val="0"/>
                  <w:vAlign w:val="center"/>
                </w:tcPr>
                <w:p w14:paraId="3492BB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69577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5BF1DD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6EE0E9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742E14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restart"/>
                  <w:noWrap w:val="0"/>
                  <w:vAlign w:val="center"/>
                </w:tcPr>
                <w:p w14:paraId="6CA887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kern w:val="10"/>
                      <w:sz w:val="21"/>
                      <w:szCs w:val="21"/>
                    </w:rPr>
                    <w:t>PM</w:t>
                  </w:r>
                  <w:r>
                    <w:rPr>
                      <w:rFonts w:hint="default" w:ascii="Times New Roman" w:hAnsi="Times New Roman" w:eastAsia="宋体" w:cs="Times New Roman"/>
                      <w:color w:val="000000"/>
                      <w:kern w:val="10"/>
                      <w:sz w:val="21"/>
                      <w:szCs w:val="21"/>
                      <w:vertAlign w:val="subscript"/>
                    </w:rPr>
                    <w:t>2.5</w:t>
                  </w:r>
                </w:p>
              </w:tc>
              <w:tc>
                <w:tcPr>
                  <w:tcW w:w="1226" w:type="pct"/>
                  <w:noWrap w:val="0"/>
                  <w:vAlign w:val="center"/>
                </w:tcPr>
                <w:p w14:paraId="57259B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年平均</w:t>
                  </w:r>
                </w:p>
              </w:tc>
              <w:tc>
                <w:tcPr>
                  <w:tcW w:w="770" w:type="pct"/>
                  <w:noWrap w:val="0"/>
                  <w:vAlign w:val="center"/>
                </w:tcPr>
                <w:p w14:paraId="17A63D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35</w:t>
                  </w:r>
                </w:p>
              </w:tc>
              <w:tc>
                <w:tcPr>
                  <w:tcW w:w="616" w:type="pct"/>
                  <w:vMerge w:val="continue"/>
                  <w:noWrap w:val="0"/>
                  <w:vAlign w:val="center"/>
                </w:tcPr>
                <w:p w14:paraId="02243F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71379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1CA9D9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502F1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724407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2FC3E3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7456AA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日平均</w:t>
                  </w:r>
                </w:p>
              </w:tc>
              <w:tc>
                <w:tcPr>
                  <w:tcW w:w="770" w:type="pct"/>
                  <w:noWrap w:val="0"/>
                  <w:vAlign w:val="center"/>
                </w:tcPr>
                <w:p w14:paraId="20D982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75</w:t>
                  </w:r>
                </w:p>
              </w:tc>
              <w:tc>
                <w:tcPr>
                  <w:tcW w:w="616" w:type="pct"/>
                  <w:vMerge w:val="continue"/>
                  <w:noWrap w:val="0"/>
                  <w:vAlign w:val="center"/>
                </w:tcPr>
                <w:p w14:paraId="1675A0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7C2D4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3D6935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7BF94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7F394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restart"/>
                  <w:noWrap w:val="0"/>
                  <w:vAlign w:val="center"/>
                </w:tcPr>
                <w:p w14:paraId="3EEECF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kern w:val="10"/>
                      <w:sz w:val="21"/>
                      <w:szCs w:val="21"/>
                    </w:rPr>
                    <w:t>O</w:t>
                  </w:r>
                  <w:r>
                    <w:rPr>
                      <w:rFonts w:hint="default" w:ascii="Times New Roman" w:hAnsi="Times New Roman" w:eastAsia="宋体" w:cs="Times New Roman"/>
                      <w:color w:val="000000"/>
                      <w:kern w:val="10"/>
                      <w:sz w:val="21"/>
                      <w:szCs w:val="21"/>
                      <w:vertAlign w:val="subscript"/>
                    </w:rPr>
                    <w:t>3</w:t>
                  </w:r>
                </w:p>
              </w:tc>
              <w:tc>
                <w:tcPr>
                  <w:tcW w:w="1226" w:type="pct"/>
                  <w:noWrap w:val="0"/>
                  <w:vAlign w:val="center"/>
                </w:tcPr>
                <w:p w14:paraId="6ABF00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日最大8小时平均</w:t>
                  </w:r>
                </w:p>
              </w:tc>
              <w:tc>
                <w:tcPr>
                  <w:tcW w:w="770" w:type="pct"/>
                  <w:noWrap w:val="0"/>
                  <w:vAlign w:val="center"/>
                </w:tcPr>
                <w:p w14:paraId="196CF9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160</w:t>
                  </w:r>
                </w:p>
              </w:tc>
              <w:tc>
                <w:tcPr>
                  <w:tcW w:w="616" w:type="pct"/>
                  <w:vMerge w:val="continue"/>
                  <w:noWrap w:val="0"/>
                  <w:vAlign w:val="center"/>
                </w:tcPr>
                <w:p w14:paraId="06148C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17EB4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5820D9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47D8AE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146F6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1F3B93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6B80E7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小时平均</w:t>
                  </w:r>
                </w:p>
              </w:tc>
              <w:tc>
                <w:tcPr>
                  <w:tcW w:w="770" w:type="pct"/>
                  <w:noWrap w:val="0"/>
                  <w:vAlign w:val="center"/>
                </w:tcPr>
                <w:p w14:paraId="6C60A0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200</w:t>
                  </w:r>
                </w:p>
              </w:tc>
              <w:tc>
                <w:tcPr>
                  <w:tcW w:w="616" w:type="pct"/>
                  <w:vMerge w:val="continue"/>
                  <w:noWrap w:val="0"/>
                  <w:vAlign w:val="center"/>
                </w:tcPr>
                <w:p w14:paraId="4676CB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7166F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69E18B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27A15B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08B3F3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restart"/>
                  <w:noWrap w:val="0"/>
                  <w:vAlign w:val="center"/>
                </w:tcPr>
                <w:p w14:paraId="009077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w:t>
                  </w:r>
                </w:p>
              </w:tc>
              <w:tc>
                <w:tcPr>
                  <w:tcW w:w="1226" w:type="pct"/>
                  <w:noWrap w:val="0"/>
                  <w:vAlign w:val="center"/>
                </w:tcPr>
                <w:p w14:paraId="5AE55C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日平均</w:t>
                  </w:r>
                </w:p>
              </w:tc>
              <w:tc>
                <w:tcPr>
                  <w:tcW w:w="770" w:type="pct"/>
                  <w:noWrap w:val="0"/>
                  <w:vAlign w:val="center"/>
                </w:tcPr>
                <w:p w14:paraId="7BFDFD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616" w:type="pct"/>
                  <w:vMerge w:val="restart"/>
                  <w:noWrap w:val="0"/>
                  <w:vAlign w:val="center"/>
                </w:tcPr>
                <w:p w14:paraId="2D6FBC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14:paraId="67E24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1" w:type="pct"/>
                  <w:vMerge w:val="continue"/>
                  <w:noWrap w:val="0"/>
                  <w:vAlign w:val="center"/>
                </w:tcPr>
                <w:p w14:paraId="08D2EB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0CEB58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282235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407BBE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p>
              </w:tc>
              <w:tc>
                <w:tcPr>
                  <w:tcW w:w="1226" w:type="pct"/>
                  <w:noWrap w:val="0"/>
                  <w:vAlign w:val="center"/>
                </w:tcPr>
                <w:p w14:paraId="31064A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rPr>
                  </w:pPr>
                  <w:r>
                    <w:rPr>
                      <w:rFonts w:hint="default" w:ascii="Times New Roman" w:hAnsi="Times New Roman" w:eastAsia="宋体" w:cs="Times New Roman"/>
                      <w:color w:val="000000"/>
                      <w:sz w:val="21"/>
                      <w:szCs w:val="21"/>
                    </w:rPr>
                    <w:t>小时平均</w:t>
                  </w:r>
                </w:p>
              </w:tc>
              <w:tc>
                <w:tcPr>
                  <w:tcW w:w="770" w:type="pct"/>
                  <w:noWrap w:val="0"/>
                  <w:vAlign w:val="center"/>
                </w:tcPr>
                <w:p w14:paraId="439373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616" w:type="pct"/>
                  <w:vMerge w:val="continue"/>
                  <w:noWrap w:val="0"/>
                  <w:vAlign w:val="center"/>
                </w:tcPr>
                <w:p w14:paraId="33531B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r w14:paraId="6F175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81" w:type="pct"/>
                  <w:vMerge w:val="continue"/>
                  <w:noWrap w:val="0"/>
                  <w:vAlign w:val="center"/>
                </w:tcPr>
                <w:p w14:paraId="270FC9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0D95FE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723A5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restart"/>
                  <w:noWrap w:val="0"/>
                  <w:vAlign w:val="center"/>
                </w:tcPr>
                <w:p w14:paraId="6CA994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lang w:val="en-US" w:eastAsia="zh-CN"/>
                    </w:rPr>
                  </w:pPr>
                  <w:r>
                    <w:rPr>
                      <w:rFonts w:hint="default" w:ascii="Times New Roman" w:hAnsi="Times New Roman" w:eastAsia="宋体" w:cs="Times New Roman"/>
                      <w:color w:val="000000"/>
                      <w:kern w:val="10"/>
                      <w:sz w:val="21"/>
                      <w:szCs w:val="21"/>
                      <w:lang w:val="en-US" w:eastAsia="zh-CN"/>
                    </w:rPr>
                    <w:t>TSP</w:t>
                  </w:r>
                </w:p>
              </w:tc>
              <w:tc>
                <w:tcPr>
                  <w:tcW w:w="1226" w:type="pct"/>
                  <w:noWrap w:val="0"/>
                  <w:vAlign w:val="center"/>
                </w:tcPr>
                <w:p w14:paraId="5D14B5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年平均</w:t>
                  </w:r>
                </w:p>
              </w:tc>
              <w:tc>
                <w:tcPr>
                  <w:tcW w:w="770" w:type="pct"/>
                  <w:noWrap w:val="0"/>
                  <w:vAlign w:val="center"/>
                </w:tcPr>
                <w:p w14:paraId="62BA7E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200</w:t>
                  </w:r>
                </w:p>
              </w:tc>
              <w:tc>
                <w:tcPr>
                  <w:tcW w:w="616" w:type="pct"/>
                  <w:vMerge w:val="restart"/>
                  <w:noWrap w:val="0"/>
                  <w:vAlign w:val="center"/>
                </w:tcPr>
                <w:p w14:paraId="299E77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μg/m</w:t>
                  </w:r>
                  <w:r>
                    <w:rPr>
                      <w:rFonts w:hint="default" w:ascii="Times New Roman" w:hAnsi="Times New Roman" w:eastAsia="宋体" w:cs="Times New Roman"/>
                      <w:color w:val="000000"/>
                      <w:sz w:val="21"/>
                      <w:szCs w:val="21"/>
                      <w:vertAlign w:val="superscript"/>
                      <w:lang w:eastAsia="zh-CN"/>
                    </w:rPr>
                    <w:t>3</w:t>
                  </w:r>
                </w:p>
              </w:tc>
            </w:tr>
            <w:tr w14:paraId="5161D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81" w:type="pct"/>
                  <w:vMerge w:val="continue"/>
                  <w:noWrap w:val="0"/>
                  <w:vAlign w:val="center"/>
                </w:tcPr>
                <w:p w14:paraId="6D4BE3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149" w:type="pct"/>
                  <w:vMerge w:val="continue"/>
                  <w:noWrap w:val="0"/>
                  <w:vAlign w:val="center"/>
                </w:tcPr>
                <w:p w14:paraId="566B46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356" w:type="pct"/>
                  <w:vMerge w:val="continue"/>
                  <w:noWrap w:val="0"/>
                  <w:vAlign w:val="center"/>
                </w:tcPr>
                <w:p w14:paraId="5592CA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500" w:type="pct"/>
                  <w:vMerge w:val="continue"/>
                  <w:noWrap w:val="0"/>
                  <w:vAlign w:val="center"/>
                </w:tcPr>
                <w:p w14:paraId="234924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10"/>
                      <w:sz w:val="21"/>
                      <w:szCs w:val="21"/>
                      <w:lang w:val="en-US" w:eastAsia="zh-CN"/>
                    </w:rPr>
                  </w:pPr>
                </w:p>
              </w:tc>
              <w:tc>
                <w:tcPr>
                  <w:tcW w:w="1226" w:type="pct"/>
                  <w:noWrap w:val="0"/>
                  <w:vAlign w:val="center"/>
                </w:tcPr>
                <w:p w14:paraId="52BA3B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24小时平均</w:t>
                  </w:r>
                </w:p>
              </w:tc>
              <w:tc>
                <w:tcPr>
                  <w:tcW w:w="770" w:type="pct"/>
                  <w:noWrap w:val="0"/>
                  <w:vAlign w:val="center"/>
                </w:tcPr>
                <w:p w14:paraId="42D3AD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w:t>
                  </w:r>
                </w:p>
              </w:tc>
              <w:tc>
                <w:tcPr>
                  <w:tcW w:w="616" w:type="pct"/>
                  <w:vMerge w:val="continue"/>
                  <w:noWrap w:val="0"/>
                  <w:vAlign w:val="center"/>
                </w:tcPr>
                <w:p w14:paraId="3F37A3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r>
          </w:tbl>
          <w:p w14:paraId="609DBD9D">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bCs/>
                <w:color w:val="000000"/>
                <w:sz w:val="24"/>
              </w:rPr>
            </w:pPr>
            <w:r>
              <w:rPr>
                <w:rFonts w:hint="eastAsia" w:cs="Times New Roman"/>
                <w:b/>
                <w:bCs/>
                <w:color w:val="000000"/>
                <w:sz w:val="24"/>
              </w:rPr>
              <w:t>1.2</w:t>
            </w:r>
            <w:r>
              <w:rPr>
                <w:rFonts w:hint="default" w:cs="Times New Roman"/>
                <w:b/>
                <w:bCs/>
                <w:color w:val="000000"/>
                <w:sz w:val="24"/>
              </w:rPr>
              <w:t>声环</w:t>
            </w:r>
            <w:r>
              <w:rPr>
                <w:rFonts w:hint="eastAsia" w:cs="Times New Roman"/>
                <w:b/>
                <w:bCs/>
                <w:color w:val="000000"/>
                <w:sz w:val="24"/>
              </w:rPr>
              <w:t>境</w:t>
            </w:r>
          </w:p>
          <w:p w14:paraId="7032C6A7">
            <w:pPr>
              <w:pStyle w:val="3"/>
              <w:bidi w:val="0"/>
              <w:ind w:firstLine="480" w:firstLineChars="200"/>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项目所在地</w:t>
            </w:r>
            <w:r>
              <w:rPr>
                <w:rFonts w:hint="default" w:ascii="Times New Roman" w:hAnsi="Times New Roman" w:eastAsia="宋体" w:cs="Times New Roman"/>
                <w:b w:val="0"/>
                <w:bCs w:val="0"/>
                <w:color w:val="000000"/>
                <w:kern w:val="2"/>
                <w:sz w:val="24"/>
                <w:szCs w:val="24"/>
                <w:lang w:val="en-US" w:eastAsia="zh-CN" w:bidi="ar-SA"/>
              </w:rPr>
              <w:t>声环境执行《声环境质量标准》（GB3096－2008）</w:t>
            </w:r>
            <w:r>
              <w:rPr>
                <w:rFonts w:hint="eastAsia" w:ascii="Times New Roman" w:hAnsi="Times New Roman" w:eastAsia="宋体" w:cs="Times New Roman"/>
                <w:b w:val="0"/>
                <w:bCs w:val="0"/>
                <w:color w:val="000000"/>
                <w:kern w:val="2"/>
                <w:sz w:val="24"/>
                <w:szCs w:val="24"/>
                <w:lang w:val="en-US" w:eastAsia="zh-CN" w:bidi="ar-SA"/>
              </w:rPr>
              <w:t>2</w:t>
            </w:r>
            <w:r>
              <w:rPr>
                <w:rFonts w:hint="default" w:ascii="Times New Roman" w:hAnsi="Times New Roman" w:eastAsia="宋体" w:cs="Times New Roman"/>
                <w:b w:val="0"/>
                <w:bCs w:val="0"/>
                <w:color w:val="000000"/>
                <w:kern w:val="2"/>
                <w:sz w:val="24"/>
                <w:szCs w:val="24"/>
                <w:lang w:val="en-US" w:eastAsia="zh-CN" w:bidi="ar-SA"/>
              </w:rPr>
              <w:t>类标准执行，即昼间≤</w:t>
            </w:r>
            <w:r>
              <w:rPr>
                <w:rFonts w:hint="eastAsia" w:ascii="Times New Roman" w:hAnsi="Times New Roman" w:eastAsia="宋体" w:cs="Times New Roman"/>
                <w:b w:val="0"/>
                <w:bCs w:val="0"/>
                <w:color w:val="000000"/>
                <w:kern w:val="2"/>
                <w:sz w:val="24"/>
                <w:szCs w:val="24"/>
                <w:lang w:val="en-US" w:eastAsia="zh-CN" w:bidi="ar-SA"/>
              </w:rPr>
              <w:t>60</w:t>
            </w:r>
            <w:r>
              <w:rPr>
                <w:rFonts w:hint="default" w:ascii="Times New Roman" w:hAnsi="Times New Roman" w:eastAsia="宋体" w:cs="Times New Roman"/>
                <w:b w:val="0"/>
                <w:bCs w:val="0"/>
                <w:color w:val="000000"/>
                <w:kern w:val="2"/>
                <w:sz w:val="24"/>
                <w:szCs w:val="24"/>
                <w:lang w:val="en-US" w:eastAsia="zh-CN" w:bidi="ar-SA"/>
              </w:rPr>
              <w:t>dB</w:t>
            </w:r>
            <w:r>
              <w:rPr>
                <w:rFonts w:hint="eastAsia" w:ascii="Times New Roman" w:hAnsi="Times New Roman" w:eastAsia="宋体" w:cs="Times New Roman"/>
                <w:b w:val="0"/>
                <w:bCs w:val="0"/>
                <w:color w:val="000000"/>
                <w:kern w:val="2"/>
                <w:sz w:val="24"/>
                <w:szCs w:val="24"/>
                <w:lang w:val="en-US" w:eastAsia="zh-CN" w:bidi="ar-SA"/>
              </w:rPr>
              <w:t>（</w:t>
            </w:r>
            <w:r>
              <w:rPr>
                <w:rFonts w:hint="default" w:ascii="Times New Roman" w:hAnsi="Times New Roman" w:eastAsia="宋体" w:cs="Times New Roman"/>
                <w:b w:val="0"/>
                <w:bCs w:val="0"/>
                <w:color w:val="000000"/>
                <w:kern w:val="2"/>
                <w:sz w:val="24"/>
                <w:szCs w:val="24"/>
                <w:lang w:val="en-US" w:eastAsia="zh-CN" w:bidi="ar-SA"/>
              </w:rPr>
              <w:t>A</w:t>
            </w:r>
            <w:r>
              <w:rPr>
                <w:rFonts w:hint="eastAsia" w:ascii="Times New Roman" w:hAnsi="Times New Roman" w:eastAsia="宋体" w:cs="Times New Roman"/>
                <w:b w:val="0"/>
                <w:bCs w:val="0"/>
                <w:color w:val="000000"/>
                <w:kern w:val="2"/>
                <w:sz w:val="24"/>
                <w:szCs w:val="24"/>
                <w:lang w:val="en-US" w:eastAsia="zh-CN" w:bidi="ar-SA"/>
              </w:rPr>
              <w:t>）</w:t>
            </w:r>
            <w:r>
              <w:rPr>
                <w:rFonts w:hint="default" w:ascii="Times New Roman" w:hAnsi="Times New Roman" w:eastAsia="宋体" w:cs="Times New Roman"/>
                <w:b w:val="0"/>
                <w:bCs w:val="0"/>
                <w:color w:val="000000"/>
                <w:kern w:val="2"/>
                <w:sz w:val="24"/>
                <w:szCs w:val="24"/>
                <w:lang w:val="en-US" w:eastAsia="zh-CN" w:bidi="ar-SA"/>
              </w:rPr>
              <w:t>，夜间≤</w:t>
            </w:r>
            <w:r>
              <w:rPr>
                <w:rFonts w:hint="eastAsia" w:ascii="Times New Roman" w:hAnsi="Times New Roman" w:eastAsia="宋体" w:cs="Times New Roman"/>
                <w:b w:val="0"/>
                <w:bCs w:val="0"/>
                <w:color w:val="000000"/>
                <w:kern w:val="2"/>
                <w:sz w:val="24"/>
                <w:szCs w:val="24"/>
                <w:lang w:val="en-US" w:eastAsia="zh-CN" w:bidi="ar-SA"/>
              </w:rPr>
              <w:t>50</w:t>
            </w:r>
            <w:r>
              <w:rPr>
                <w:rFonts w:hint="default" w:ascii="Times New Roman" w:hAnsi="Times New Roman" w:eastAsia="宋体" w:cs="Times New Roman"/>
                <w:b w:val="0"/>
                <w:bCs w:val="0"/>
                <w:color w:val="000000"/>
                <w:kern w:val="2"/>
                <w:sz w:val="24"/>
                <w:szCs w:val="24"/>
                <w:lang w:val="en-US" w:eastAsia="zh-CN" w:bidi="ar-SA"/>
              </w:rPr>
              <w:t>dB</w:t>
            </w:r>
            <w:r>
              <w:rPr>
                <w:rFonts w:hint="eastAsia" w:ascii="Times New Roman" w:hAnsi="Times New Roman" w:eastAsia="宋体" w:cs="Times New Roman"/>
                <w:b w:val="0"/>
                <w:bCs w:val="0"/>
                <w:color w:val="000000"/>
                <w:kern w:val="2"/>
                <w:sz w:val="24"/>
                <w:szCs w:val="24"/>
                <w:lang w:val="en-US" w:eastAsia="zh-CN" w:bidi="ar-SA"/>
              </w:rPr>
              <w:t>（</w:t>
            </w:r>
            <w:r>
              <w:rPr>
                <w:rFonts w:hint="default" w:ascii="Times New Roman" w:hAnsi="Times New Roman" w:eastAsia="宋体" w:cs="Times New Roman"/>
                <w:b w:val="0"/>
                <w:bCs w:val="0"/>
                <w:color w:val="000000"/>
                <w:kern w:val="2"/>
                <w:sz w:val="24"/>
                <w:szCs w:val="24"/>
                <w:lang w:val="en-US" w:eastAsia="zh-CN" w:bidi="ar-SA"/>
              </w:rPr>
              <w:t>A</w:t>
            </w:r>
            <w:r>
              <w:rPr>
                <w:rFonts w:hint="eastAsia" w:ascii="Times New Roman" w:hAnsi="Times New Roman" w:eastAsia="宋体" w:cs="Times New Roman"/>
                <w:b w:val="0"/>
                <w:bCs w:val="0"/>
                <w:color w:val="000000"/>
                <w:kern w:val="2"/>
                <w:sz w:val="24"/>
                <w:szCs w:val="24"/>
                <w:lang w:val="en-US" w:eastAsia="zh-CN" w:bidi="ar-SA"/>
              </w:rPr>
              <w:t>）。</w:t>
            </w:r>
          </w:p>
          <w:p w14:paraId="336335BF">
            <w:pPr>
              <w:pStyle w:val="3"/>
              <w:numPr>
                <w:ilvl w:val="0"/>
                <w:numId w:val="0"/>
              </w:numPr>
              <w:bidi w:val="0"/>
              <w:rPr>
                <w:rFonts w:hint="default"/>
                <w:lang w:val="en-US" w:eastAsia="zh-CN"/>
              </w:rPr>
            </w:pPr>
            <w:r>
              <w:rPr>
                <w:rFonts w:hint="eastAsia"/>
                <w:lang w:val="en-US" w:eastAsia="zh-CN"/>
              </w:rPr>
              <w:t>2.污染物排放标准</w:t>
            </w:r>
          </w:p>
          <w:p w14:paraId="2831B156">
            <w:pPr>
              <w:pStyle w:val="3"/>
              <w:numPr>
                <w:ilvl w:val="0"/>
                <w:numId w:val="0"/>
              </w:numPr>
              <w:bidi w:val="0"/>
              <w:ind w:firstLine="482" w:firstLineChars="200"/>
              <w:rPr>
                <w:rFonts w:hint="default" w:eastAsia="宋体"/>
                <w:lang w:val="en-US" w:eastAsia="zh-CN"/>
              </w:rPr>
            </w:pPr>
            <w:r>
              <w:rPr>
                <w:rFonts w:hint="eastAsia"/>
                <w:lang w:val="en-US" w:eastAsia="zh-CN"/>
              </w:rPr>
              <w:t>2.1</w:t>
            </w:r>
            <w:r>
              <w:rPr>
                <w:rFonts w:hint="default"/>
              </w:rPr>
              <w:t>大气</w:t>
            </w:r>
            <w:r>
              <w:rPr>
                <w:rFonts w:hint="eastAsia"/>
                <w:lang w:val="en-US" w:eastAsia="zh-CN"/>
              </w:rPr>
              <w:t>污染物排放标准</w:t>
            </w:r>
          </w:p>
          <w:p w14:paraId="13F5CF4C">
            <w:pPr>
              <w:bidi w:val="0"/>
              <w:rPr>
                <w:rFonts w:hint="default"/>
                <w:lang w:val="en-US" w:eastAsia="zh-CN"/>
              </w:rPr>
            </w:pPr>
            <w:r>
              <w:rPr>
                <w:rFonts w:hint="eastAsia"/>
                <w:lang w:val="en-US" w:eastAsia="zh-CN"/>
              </w:rPr>
              <w:t>废气</w:t>
            </w:r>
            <w:r>
              <w:rPr>
                <w:rFonts w:hint="default"/>
                <w:lang w:eastAsia="zh-CN"/>
              </w:rPr>
              <w:t>执行</w:t>
            </w:r>
            <w:r>
              <w:rPr>
                <w:rFonts w:hint="default"/>
              </w:rPr>
              <w:t>《煤炭工业污染物排放标准》</w:t>
            </w:r>
            <w:r>
              <w:rPr>
                <w:rFonts w:hint="eastAsia"/>
                <w:lang w:eastAsia="zh-CN"/>
              </w:rPr>
              <w:t>（</w:t>
            </w:r>
            <w:r>
              <w:rPr>
                <w:rFonts w:hint="default"/>
              </w:rPr>
              <w:t>GB 20426-2006</w:t>
            </w:r>
            <w:r>
              <w:rPr>
                <w:rFonts w:hint="eastAsia"/>
                <w:lang w:eastAsia="zh-CN"/>
              </w:rPr>
              <w:t>）</w:t>
            </w:r>
            <w:r>
              <w:rPr>
                <w:rFonts w:hint="eastAsia"/>
                <w:lang w:val="en-US" w:eastAsia="zh-CN"/>
              </w:rPr>
              <w:t>表4和表5中</w:t>
            </w:r>
            <w:r>
              <w:rPr>
                <w:rFonts w:hint="default"/>
              </w:rPr>
              <w:t>的</w:t>
            </w:r>
            <w:r>
              <w:rPr>
                <w:rFonts w:hint="eastAsia"/>
                <w:lang w:eastAsia="zh-CN"/>
              </w:rPr>
              <w:t>排放限值。</w:t>
            </w:r>
          </w:p>
          <w:p w14:paraId="3B233CBD">
            <w:pPr>
              <w:pStyle w:val="13"/>
              <w:bidi w:val="0"/>
              <w:rPr>
                <w:rFonts w:hint="eastAsia"/>
                <w:lang w:eastAsia="zh-CN"/>
              </w:rPr>
            </w:pPr>
            <w:r>
              <w:rPr>
                <w:rFonts w:hint="default"/>
                <w:lang w:val="en-US" w:eastAsia="zh-CN"/>
              </w:rPr>
              <w:t>表</w:t>
            </w:r>
            <w:r>
              <w:rPr>
                <w:rFonts w:hint="eastAsia"/>
                <w:lang w:val="en-US" w:eastAsia="zh-CN"/>
              </w:rPr>
              <w:t>3-10</w:t>
            </w:r>
            <w:r>
              <w:rPr>
                <w:rFonts w:hint="default"/>
                <w:lang w:val="en-US" w:eastAsia="zh-CN"/>
              </w:rPr>
              <w:t xml:space="preserve"> </w:t>
            </w:r>
            <w:r>
              <w:rPr>
                <w:rFonts w:hint="eastAsia"/>
                <w:lang w:val="en-US" w:eastAsia="zh-CN"/>
              </w:rPr>
              <w:t xml:space="preserve">    </w:t>
            </w:r>
            <w:r>
              <w:rPr>
                <w:rFonts w:hint="default"/>
              </w:rPr>
              <w:t>《煤炭工业污染物排放标准》</w:t>
            </w:r>
            <w:r>
              <w:rPr>
                <w:rFonts w:hint="eastAsia"/>
                <w:lang w:eastAsia="zh-CN"/>
              </w:rPr>
              <w:t>（</w:t>
            </w:r>
            <w:r>
              <w:rPr>
                <w:rFonts w:hint="eastAsia"/>
                <w:lang w:val="en-US" w:eastAsia="zh-CN"/>
              </w:rPr>
              <w:t>节选</w:t>
            </w:r>
            <w:r>
              <w:rPr>
                <w:rFonts w:hint="eastAsia"/>
                <w:lang w:eastAsia="zh-CN"/>
              </w:rPr>
              <w:t>）</w:t>
            </w:r>
            <w:r>
              <w:rPr>
                <w:rFonts w:hint="default"/>
                <w:lang w:val="en-US" w:eastAsia="zh-CN"/>
              </w:rPr>
              <w:t xml:space="preserve"> </w:t>
            </w:r>
            <w:r>
              <w:rPr>
                <w:rFonts w:hint="eastAsia"/>
                <w:lang w:val="en-US" w:eastAsia="zh-CN"/>
              </w:rPr>
              <w:t xml:space="preserve"> </w:t>
            </w:r>
          </w:p>
          <w:tbl>
            <w:tblPr>
              <w:tblStyle w:val="42"/>
              <w:tblW w:w="4998"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28" w:type="dxa"/>
                <w:bottom w:w="0" w:type="dxa"/>
                <w:right w:w="28" w:type="dxa"/>
              </w:tblCellMar>
            </w:tblPr>
            <w:tblGrid>
              <w:gridCol w:w="1364"/>
              <w:gridCol w:w="3211"/>
              <w:gridCol w:w="3364"/>
            </w:tblGrid>
            <w:tr w14:paraId="7F129EE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cantSplit/>
                <w:trHeight w:val="215" w:hRule="atLeast"/>
                <w:jc w:val="center"/>
              </w:trPr>
              <w:tc>
                <w:tcPr>
                  <w:tcW w:w="859" w:type="pct"/>
                  <w:vMerge w:val="restart"/>
                  <w:tcBorders>
                    <w:tl2br w:val="nil"/>
                    <w:tr2bl w:val="nil"/>
                  </w:tcBorders>
                  <w:shd w:val="clear" w:color="auto" w:fill="auto"/>
                  <w:noWrap w:val="0"/>
                  <w:vAlign w:val="center"/>
                </w:tcPr>
                <w:p w14:paraId="763E9A96">
                  <w:pPr>
                    <w:pStyle w:val="5"/>
                    <w:bidi w:val="0"/>
                    <w:rPr>
                      <w:rFonts w:hint="default"/>
                      <w:b w:val="0"/>
                      <w:color w:val="000000"/>
                      <w:lang w:val="en-US" w:eastAsia="zh-CN"/>
                    </w:rPr>
                  </w:pPr>
                  <w:r>
                    <w:rPr>
                      <w:rFonts w:hint="eastAsia"/>
                      <w:b w:val="0"/>
                      <w:color w:val="000000"/>
                      <w:lang w:val="en-US" w:eastAsia="zh-CN"/>
                    </w:rPr>
                    <w:t>污染物</w:t>
                  </w:r>
                </w:p>
              </w:tc>
              <w:tc>
                <w:tcPr>
                  <w:tcW w:w="4140" w:type="pct"/>
                  <w:gridSpan w:val="2"/>
                  <w:tcBorders>
                    <w:tl2br w:val="nil"/>
                    <w:tr2bl w:val="nil"/>
                  </w:tcBorders>
                  <w:shd w:val="clear" w:color="auto" w:fill="auto"/>
                  <w:noWrap w:val="0"/>
                  <w:vAlign w:val="center"/>
                </w:tcPr>
                <w:p w14:paraId="252B295E">
                  <w:pPr>
                    <w:pStyle w:val="5"/>
                    <w:bidi w:val="0"/>
                    <w:rPr>
                      <w:rFonts w:hint="default"/>
                      <w:b w:val="0"/>
                      <w:color w:val="000000"/>
                      <w:lang w:val="en-US" w:eastAsia="zh-CN"/>
                    </w:rPr>
                  </w:pPr>
                  <w:r>
                    <w:rPr>
                      <w:rFonts w:hint="eastAsia"/>
                      <w:b w:val="0"/>
                      <w:color w:val="000000"/>
                      <w:lang w:val="en-US" w:eastAsia="zh-CN"/>
                    </w:rPr>
                    <w:t>生产设备</w:t>
                  </w:r>
                </w:p>
              </w:tc>
            </w:tr>
            <w:tr w14:paraId="39C24B2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cantSplit/>
                <w:trHeight w:val="127" w:hRule="atLeast"/>
                <w:jc w:val="center"/>
              </w:trPr>
              <w:tc>
                <w:tcPr>
                  <w:tcW w:w="859" w:type="pct"/>
                  <w:vMerge w:val="continue"/>
                  <w:tcBorders>
                    <w:tl2br w:val="nil"/>
                    <w:tr2bl w:val="nil"/>
                  </w:tcBorders>
                  <w:shd w:val="clear" w:color="auto" w:fill="auto"/>
                  <w:noWrap w:val="0"/>
                  <w:vAlign w:val="center"/>
                </w:tcPr>
                <w:p w14:paraId="7ED0379A">
                  <w:pPr>
                    <w:pStyle w:val="5"/>
                    <w:bidi w:val="0"/>
                    <w:rPr>
                      <w:rFonts w:hint="eastAsia"/>
                      <w:b w:val="0"/>
                      <w:color w:val="000000"/>
                      <w:lang w:val="en-US" w:eastAsia="zh-CN"/>
                    </w:rPr>
                  </w:pPr>
                </w:p>
              </w:tc>
              <w:tc>
                <w:tcPr>
                  <w:tcW w:w="2022" w:type="pct"/>
                  <w:tcBorders>
                    <w:tl2br w:val="nil"/>
                    <w:tr2bl w:val="nil"/>
                  </w:tcBorders>
                  <w:shd w:val="clear" w:color="auto" w:fill="auto"/>
                  <w:noWrap w:val="0"/>
                  <w:vAlign w:val="center"/>
                </w:tcPr>
                <w:p w14:paraId="6F5F33F7">
                  <w:pPr>
                    <w:pStyle w:val="5"/>
                    <w:bidi w:val="0"/>
                    <w:rPr>
                      <w:rFonts w:hint="default"/>
                      <w:b w:val="0"/>
                      <w:color w:val="000000"/>
                      <w:lang w:val="en-US" w:eastAsia="zh-CN"/>
                    </w:rPr>
                  </w:pPr>
                  <w:r>
                    <w:rPr>
                      <w:rFonts w:hint="eastAsia"/>
                      <w:b w:val="0"/>
                      <w:color w:val="000000"/>
                      <w:lang w:val="en-US" w:eastAsia="zh-CN"/>
                    </w:rPr>
                    <w:t>原煤筛分、破碎、转载点等除尘设备</w:t>
                  </w:r>
                </w:p>
              </w:tc>
              <w:tc>
                <w:tcPr>
                  <w:tcW w:w="2118" w:type="pct"/>
                  <w:tcBorders>
                    <w:tl2br w:val="nil"/>
                    <w:tr2bl w:val="nil"/>
                  </w:tcBorders>
                  <w:shd w:val="clear" w:color="auto" w:fill="auto"/>
                  <w:noWrap w:val="0"/>
                  <w:vAlign w:val="center"/>
                </w:tcPr>
                <w:p w14:paraId="7A117FC1">
                  <w:pPr>
                    <w:pStyle w:val="5"/>
                    <w:bidi w:val="0"/>
                    <w:rPr>
                      <w:rFonts w:hint="default"/>
                      <w:b w:val="0"/>
                      <w:color w:val="000000"/>
                      <w:lang w:val="en-US" w:eastAsia="zh-CN"/>
                    </w:rPr>
                  </w:pPr>
                  <w:r>
                    <w:rPr>
                      <w:rFonts w:hint="eastAsia"/>
                      <w:b w:val="0"/>
                      <w:color w:val="000000"/>
                      <w:lang w:val="en-US" w:eastAsia="zh-CN"/>
                    </w:rPr>
                    <w:t>煤炭风选设备通风管道、筛面、转载点等除尘设备</w:t>
                  </w:r>
                </w:p>
              </w:tc>
            </w:tr>
            <w:tr w14:paraId="3214805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859" w:type="pct"/>
                  <w:tcBorders>
                    <w:tl2br w:val="nil"/>
                    <w:tr2bl w:val="nil"/>
                  </w:tcBorders>
                  <w:shd w:val="clear" w:color="auto" w:fill="auto"/>
                  <w:noWrap w:val="0"/>
                  <w:vAlign w:val="center"/>
                </w:tcPr>
                <w:p w14:paraId="2E519C35">
                  <w:pPr>
                    <w:pStyle w:val="5"/>
                    <w:bidi w:val="0"/>
                    <w:rPr>
                      <w:rFonts w:hint="default"/>
                      <w:b w:val="0"/>
                      <w:color w:val="000000"/>
                      <w:lang w:val="en-US" w:eastAsia="zh-CN"/>
                    </w:rPr>
                  </w:pPr>
                  <w:r>
                    <w:rPr>
                      <w:rFonts w:hint="eastAsia"/>
                      <w:b w:val="0"/>
                      <w:color w:val="000000"/>
                      <w:lang w:val="en-US" w:eastAsia="zh-CN"/>
                    </w:rPr>
                    <w:t>颗粒物</w:t>
                  </w:r>
                </w:p>
              </w:tc>
              <w:tc>
                <w:tcPr>
                  <w:tcW w:w="2022" w:type="pct"/>
                  <w:tcBorders>
                    <w:tl2br w:val="nil"/>
                    <w:tr2bl w:val="nil"/>
                  </w:tcBorders>
                  <w:shd w:val="clear" w:color="auto" w:fill="auto"/>
                  <w:noWrap w:val="0"/>
                  <w:vAlign w:val="center"/>
                </w:tcPr>
                <w:p w14:paraId="1720D38E">
                  <w:pPr>
                    <w:pStyle w:val="5"/>
                    <w:bidi w:val="0"/>
                    <w:rPr>
                      <w:rFonts w:hint="default"/>
                      <w:b w:val="0"/>
                      <w:color w:val="000000"/>
                      <w:lang w:val="en-US" w:eastAsia="zh-CN"/>
                    </w:rPr>
                  </w:pPr>
                  <w:r>
                    <w:rPr>
                      <w:rFonts w:hint="eastAsia"/>
                      <w:b w:val="0"/>
                      <w:color w:val="000000"/>
                      <w:lang w:val="en-US" w:eastAsia="zh-CN"/>
                    </w:rPr>
                    <w:t>8.0mg/m</w:t>
                  </w:r>
                  <w:r>
                    <w:rPr>
                      <w:rFonts w:hint="eastAsia"/>
                      <w:b w:val="0"/>
                      <w:color w:val="000000"/>
                      <w:vertAlign w:val="superscript"/>
                      <w:lang w:val="en-US" w:eastAsia="zh-CN"/>
                    </w:rPr>
                    <w:t>3</w:t>
                  </w:r>
                  <w:r>
                    <w:rPr>
                      <w:rFonts w:hint="eastAsia"/>
                      <w:b w:val="0"/>
                      <w:color w:val="000000"/>
                      <w:lang w:val="en-US" w:eastAsia="zh-CN"/>
                    </w:rPr>
                    <w:t>或设备去除效率＞98%</w:t>
                  </w:r>
                </w:p>
              </w:tc>
              <w:tc>
                <w:tcPr>
                  <w:tcW w:w="2118" w:type="pct"/>
                  <w:tcBorders>
                    <w:tl2br w:val="nil"/>
                    <w:tr2bl w:val="nil"/>
                  </w:tcBorders>
                  <w:shd w:val="clear" w:color="auto" w:fill="auto"/>
                  <w:noWrap w:val="0"/>
                  <w:vAlign w:val="center"/>
                </w:tcPr>
                <w:p w14:paraId="3EA1363D">
                  <w:pPr>
                    <w:pStyle w:val="5"/>
                    <w:bidi w:val="0"/>
                    <w:rPr>
                      <w:rFonts w:hint="default"/>
                      <w:b w:val="0"/>
                      <w:color w:val="000000"/>
                      <w:lang w:val="en-US" w:eastAsia="zh-CN"/>
                    </w:rPr>
                  </w:pPr>
                  <w:r>
                    <w:rPr>
                      <w:rFonts w:hint="eastAsia"/>
                      <w:b w:val="0"/>
                      <w:color w:val="000000"/>
                      <w:lang w:val="en-US" w:eastAsia="zh-CN"/>
                    </w:rPr>
                    <w:t>8.0mg/m</w:t>
                  </w:r>
                  <w:r>
                    <w:rPr>
                      <w:rFonts w:hint="eastAsia"/>
                      <w:b w:val="0"/>
                      <w:color w:val="000000"/>
                      <w:vertAlign w:val="superscript"/>
                      <w:lang w:val="en-US" w:eastAsia="zh-CN"/>
                    </w:rPr>
                    <w:t>3</w:t>
                  </w:r>
                  <w:r>
                    <w:rPr>
                      <w:rFonts w:hint="eastAsia"/>
                      <w:b w:val="0"/>
                      <w:color w:val="000000"/>
                      <w:lang w:val="en-US" w:eastAsia="zh-CN"/>
                    </w:rPr>
                    <w:t>或设备去除效率＞98%</w:t>
                  </w:r>
                </w:p>
              </w:tc>
            </w:tr>
          </w:tbl>
          <w:p w14:paraId="786BA409">
            <w:pPr>
              <w:pStyle w:val="13"/>
              <w:bidi w:val="0"/>
              <w:jc w:val="center"/>
              <w:rPr>
                <w:rFonts w:hint="eastAsia"/>
                <w:lang w:eastAsia="zh-CN"/>
              </w:rPr>
            </w:pPr>
            <w:r>
              <w:rPr>
                <w:rFonts w:hint="default"/>
                <w:lang w:val="en-US" w:eastAsia="zh-CN"/>
              </w:rPr>
              <w:t>表</w:t>
            </w:r>
            <w:r>
              <w:rPr>
                <w:rFonts w:hint="eastAsia"/>
                <w:lang w:val="en-US" w:eastAsia="zh-CN"/>
              </w:rPr>
              <w:t>3-11</w:t>
            </w:r>
            <w:r>
              <w:rPr>
                <w:rFonts w:hint="default"/>
                <w:lang w:val="en-US" w:eastAsia="zh-CN"/>
              </w:rPr>
              <w:t xml:space="preserve">  </w:t>
            </w:r>
            <w:r>
              <w:rPr>
                <w:rFonts w:hint="default"/>
              </w:rPr>
              <w:t>《煤炭工业污染物排放标准》</w:t>
            </w:r>
            <w:r>
              <w:rPr>
                <w:rFonts w:hint="eastAsia"/>
                <w:lang w:eastAsia="zh-CN"/>
              </w:rPr>
              <w:t>（</w:t>
            </w:r>
            <w:r>
              <w:rPr>
                <w:rFonts w:hint="eastAsia"/>
                <w:lang w:val="en-US" w:eastAsia="zh-CN"/>
              </w:rPr>
              <w:t>节选</w:t>
            </w:r>
            <w:r>
              <w:rPr>
                <w:rFonts w:hint="eastAsia"/>
                <w:lang w:eastAsia="zh-CN"/>
              </w:rPr>
              <w:t>）</w:t>
            </w:r>
          </w:p>
          <w:tbl>
            <w:tblPr>
              <w:tblStyle w:val="42"/>
              <w:tblW w:w="4998"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28" w:type="dxa"/>
                <w:bottom w:w="0" w:type="dxa"/>
                <w:right w:w="28" w:type="dxa"/>
              </w:tblCellMar>
            </w:tblPr>
            <w:tblGrid>
              <w:gridCol w:w="1110"/>
              <w:gridCol w:w="1490"/>
              <w:gridCol w:w="2609"/>
              <w:gridCol w:w="2730"/>
            </w:tblGrid>
            <w:tr w14:paraId="76A960D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28" w:type="dxa"/>
                  <w:bottom w:w="0" w:type="dxa"/>
                  <w:right w:w="28" w:type="dxa"/>
                </w:tblCellMar>
              </w:tblPrEx>
              <w:trPr>
                <w:cantSplit/>
                <w:trHeight w:val="215" w:hRule="atLeast"/>
                <w:jc w:val="center"/>
              </w:trPr>
              <w:tc>
                <w:tcPr>
                  <w:tcW w:w="699" w:type="pct"/>
                  <w:vMerge w:val="restart"/>
                  <w:tcBorders>
                    <w:tl2br w:val="nil"/>
                    <w:tr2bl w:val="nil"/>
                  </w:tcBorders>
                  <w:shd w:val="clear" w:color="auto" w:fill="auto"/>
                  <w:noWrap w:val="0"/>
                  <w:vAlign w:val="center"/>
                </w:tcPr>
                <w:p w14:paraId="2E01F977">
                  <w:pPr>
                    <w:pStyle w:val="5"/>
                    <w:bidi w:val="0"/>
                    <w:rPr>
                      <w:rFonts w:hint="default"/>
                      <w:b w:val="0"/>
                      <w:color w:val="000000"/>
                      <w:lang w:val="en-US" w:eastAsia="zh-CN"/>
                    </w:rPr>
                  </w:pPr>
                  <w:r>
                    <w:rPr>
                      <w:rFonts w:hint="eastAsia"/>
                      <w:b w:val="0"/>
                      <w:color w:val="000000"/>
                      <w:lang w:val="en-US" w:eastAsia="zh-CN"/>
                    </w:rPr>
                    <w:t>污染物</w:t>
                  </w:r>
                </w:p>
              </w:tc>
              <w:tc>
                <w:tcPr>
                  <w:tcW w:w="938" w:type="pct"/>
                  <w:vMerge w:val="restart"/>
                  <w:tcBorders>
                    <w:tl2br w:val="nil"/>
                    <w:tr2bl w:val="nil"/>
                  </w:tcBorders>
                  <w:shd w:val="clear" w:color="auto" w:fill="auto"/>
                  <w:noWrap w:val="0"/>
                  <w:vAlign w:val="center"/>
                </w:tcPr>
                <w:p w14:paraId="3E9CB6D1">
                  <w:pPr>
                    <w:pStyle w:val="5"/>
                    <w:bidi w:val="0"/>
                    <w:rPr>
                      <w:rFonts w:hint="default"/>
                      <w:b w:val="0"/>
                      <w:color w:val="000000"/>
                      <w:lang w:val="en-US" w:eastAsia="zh-CN"/>
                    </w:rPr>
                  </w:pPr>
                  <w:r>
                    <w:rPr>
                      <w:rFonts w:hint="eastAsia"/>
                      <w:b w:val="0"/>
                      <w:color w:val="000000"/>
                      <w:lang w:val="en-US" w:eastAsia="zh-CN"/>
                    </w:rPr>
                    <w:t>监控点</w:t>
                  </w:r>
                </w:p>
              </w:tc>
              <w:tc>
                <w:tcPr>
                  <w:tcW w:w="1643" w:type="pct"/>
                  <w:tcBorders>
                    <w:tl2br w:val="nil"/>
                    <w:tr2bl w:val="nil"/>
                  </w:tcBorders>
                  <w:shd w:val="clear" w:color="auto" w:fill="auto"/>
                  <w:noWrap w:val="0"/>
                  <w:vAlign w:val="center"/>
                </w:tcPr>
                <w:p w14:paraId="029A1E5C">
                  <w:pPr>
                    <w:pStyle w:val="5"/>
                    <w:bidi w:val="0"/>
                    <w:rPr>
                      <w:rFonts w:hint="default"/>
                      <w:b w:val="0"/>
                      <w:color w:val="000000"/>
                      <w:lang w:val="en-US" w:eastAsia="zh-CN"/>
                    </w:rPr>
                  </w:pPr>
                  <w:r>
                    <w:rPr>
                      <w:rFonts w:hint="default"/>
                      <w:b w:val="0"/>
                      <w:color w:val="000000"/>
                      <w:lang w:val="en-US" w:eastAsia="zh-CN"/>
                    </w:rPr>
                    <w:t>煤炭工业所属装卸场所</w:t>
                  </w:r>
                </w:p>
              </w:tc>
              <w:tc>
                <w:tcPr>
                  <w:tcW w:w="1719" w:type="pct"/>
                  <w:tcBorders>
                    <w:tl2br w:val="nil"/>
                    <w:tr2bl w:val="nil"/>
                  </w:tcBorders>
                  <w:shd w:val="clear" w:color="auto" w:fill="auto"/>
                  <w:noWrap w:val="0"/>
                  <w:vAlign w:val="center"/>
                </w:tcPr>
                <w:p w14:paraId="6856C1BF">
                  <w:pPr>
                    <w:pStyle w:val="5"/>
                    <w:bidi w:val="0"/>
                    <w:rPr>
                      <w:rFonts w:hint="default"/>
                      <w:b w:val="0"/>
                      <w:color w:val="000000"/>
                      <w:lang w:val="en-US" w:eastAsia="zh-CN"/>
                    </w:rPr>
                  </w:pPr>
                  <w:r>
                    <w:rPr>
                      <w:rFonts w:hint="default"/>
                      <w:b w:val="0"/>
                      <w:color w:val="000000"/>
                      <w:lang w:val="en-US" w:eastAsia="zh-CN"/>
                    </w:rPr>
                    <w:t>煤炭贮存场所、煤矸石堆置场</w:t>
                  </w:r>
                </w:p>
              </w:tc>
            </w:tr>
            <w:tr w14:paraId="379715D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28" w:type="dxa"/>
                  <w:bottom w:w="0" w:type="dxa"/>
                  <w:right w:w="28" w:type="dxa"/>
                </w:tblCellMar>
              </w:tblPrEx>
              <w:trPr>
                <w:cantSplit/>
                <w:trHeight w:val="127" w:hRule="atLeast"/>
                <w:jc w:val="center"/>
              </w:trPr>
              <w:tc>
                <w:tcPr>
                  <w:tcW w:w="699" w:type="pct"/>
                  <w:vMerge w:val="continue"/>
                  <w:tcBorders>
                    <w:tl2br w:val="nil"/>
                    <w:tr2bl w:val="nil"/>
                  </w:tcBorders>
                  <w:shd w:val="clear" w:color="auto" w:fill="auto"/>
                  <w:noWrap w:val="0"/>
                  <w:vAlign w:val="center"/>
                </w:tcPr>
                <w:p w14:paraId="7FC2F54B">
                  <w:pPr>
                    <w:pStyle w:val="5"/>
                    <w:bidi w:val="0"/>
                    <w:rPr>
                      <w:rFonts w:hint="eastAsia"/>
                      <w:b w:val="0"/>
                      <w:color w:val="000000"/>
                      <w:lang w:val="en-US" w:eastAsia="zh-CN"/>
                    </w:rPr>
                  </w:pPr>
                </w:p>
              </w:tc>
              <w:tc>
                <w:tcPr>
                  <w:tcW w:w="938" w:type="pct"/>
                  <w:vMerge w:val="continue"/>
                  <w:tcBorders>
                    <w:tl2br w:val="nil"/>
                    <w:tr2bl w:val="nil"/>
                  </w:tcBorders>
                  <w:shd w:val="clear" w:color="auto" w:fill="auto"/>
                  <w:noWrap w:val="0"/>
                  <w:vAlign w:val="center"/>
                </w:tcPr>
                <w:p w14:paraId="16F87A1F">
                  <w:pPr>
                    <w:pStyle w:val="5"/>
                    <w:bidi w:val="0"/>
                    <w:rPr>
                      <w:rFonts w:hint="eastAsia"/>
                      <w:b w:val="0"/>
                      <w:color w:val="000000"/>
                      <w:lang w:val="en-US" w:eastAsia="zh-CN"/>
                    </w:rPr>
                  </w:pPr>
                </w:p>
              </w:tc>
              <w:tc>
                <w:tcPr>
                  <w:tcW w:w="1643" w:type="pct"/>
                  <w:tcBorders>
                    <w:tl2br w:val="nil"/>
                    <w:tr2bl w:val="nil"/>
                  </w:tcBorders>
                  <w:shd w:val="clear" w:color="auto" w:fill="auto"/>
                  <w:noWrap w:val="0"/>
                  <w:vAlign w:val="center"/>
                </w:tcPr>
                <w:p w14:paraId="134A10CF">
                  <w:pPr>
                    <w:pStyle w:val="5"/>
                    <w:bidi w:val="0"/>
                    <w:rPr>
                      <w:rFonts w:hint="default"/>
                      <w:b w:val="0"/>
                      <w:color w:val="000000"/>
                      <w:lang w:val="en-US" w:eastAsia="zh-CN"/>
                    </w:rPr>
                  </w:pPr>
                  <w:r>
                    <w:rPr>
                      <w:rFonts w:hint="eastAsia"/>
                      <w:b w:val="0"/>
                      <w:color w:val="000000"/>
                      <w:lang w:val="en-US" w:eastAsia="zh-CN"/>
                    </w:rPr>
                    <w:t>无组织</w:t>
                  </w:r>
                  <w:r>
                    <w:rPr>
                      <w:rFonts w:hint="default"/>
                      <w:b w:val="0"/>
                      <w:color w:val="000000"/>
                      <w:lang w:val="en-US" w:eastAsia="zh-CN"/>
                    </w:rPr>
                    <w:t>排放限值/(mg/m</w:t>
                  </w:r>
                  <w:r>
                    <w:rPr>
                      <w:rFonts w:hint="eastAsia"/>
                      <w:b w:val="0"/>
                      <w:color w:val="000000"/>
                      <w:vertAlign w:val="superscript"/>
                      <w:lang w:val="en-US" w:eastAsia="zh-CN"/>
                    </w:rPr>
                    <w:t>3</w:t>
                  </w:r>
                  <w:r>
                    <w:rPr>
                      <w:rFonts w:hint="default"/>
                      <w:b w:val="0"/>
                      <w:color w:val="000000"/>
                      <w:lang w:val="en-US" w:eastAsia="zh-CN"/>
                    </w:rPr>
                    <w:t>)</w:t>
                  </w:r>
                </w:p>
                <w:p w14:paraId="3A1C5BDA">
                  <w:pPr>
                    <w:pStyle w:val="5"/>
                    <w:bidi w:val="0"/>
                    <w:rPr>
                      <w:rFonts w:hint="default"/>
                      <w:b w:val="0"/>
                      <w:color w:val="000000"/>
                      <w:lang w:val="en-US" w:eastAsia="zh-CN"/>
                    </w:rPr>
                  </w:pPr>
                  <w:r>
                    <w:rPr>
                      <w:rFonts w:hint="eastAsia"/>
                      <w:b w:val="0"/>
                      <w:color w:val="000000"/>
                      <w:lang w:val="en-US" w:eastAsia="zh-CN"/>
                    </w:rPr>
                    <w:t>（</w:t>
                  </w:r>
                  <w:r>
                    <w:rPr>
                      <w:rFonts w:hint="default"/>
                      <w:b w:val="0"/>
                      <w:color w:val="000000"/>
                      <w:lang w:val="en-US" w:eastAsia="zh-CN"/>
                    </w:rPr>
                    <w:t>监控点与参考点浓度差值</w:t>
                  </w:r>
                  <w:r>
                    <w:rPr>
                      <w:rFonts w:hint="eastAsia"/>
                      <w:b w:val="0"/>
                      <w:color w:val="000000"/>
                      <w:lang w:val="en-US" w:eastAsia="zh-CN"/>
                    </w:rPr>
                    <w:t>）</w:t>
                  </w:r>
                </w:p>
              </w:tc>
              <w:tc>
                <w:tcPr>
                  <w:tcW w:w="1719" w:type="pct"/>
                  <w:tcBorders>
                    <w:tl2br w:val="nil"/>
                    <w:tr2bl w:val="nil"/>
                  </w:tcBorders>
                  <w:shd w:val="clear" w:color="auto" w:fill="auto"/>
                  <w:noWrap w:val="0"/>
                  <w:vAlign w:val="center"/>
                </w:tcPr>
                <w:p w14:paraId="6F7A9D2F">
                  <w:pPr>
                    <w:pStyle w:val="5"/>
                    <w:bidi w:val="0"/>
                    <w:rPr>
                      <w:rFonts w:hint="default"/>
                      <w:b w:val="0"/>
                      <w:color w:val="000000"/>
                      <w:lang w:val="en-US" w:eastAsia="zh-CN"/>
                    </w:rPr>
                  </w:pPr>
                  <w:r>
                    <w:rPr>
                      <w:rFonts w:hint="eastAsia"/>
                      <w:b w:val="0"/>
                      <w:color w:val="000000"/>
                      <w:lang w:val="en-US" w:eastAsia="zh-CN"/>
                    </w:rPr>
                    <w:t>无组织</w:t>
                  </w:r>
                  <w:r>
                    <w:rPr>
                      <w:rFonts w:hint="default"/>
                      <w:b w:val="0"/>
                      <w:color w:val="000000"/>
                      <w:lang w:val="en-US" w:eastAsia="zh-CN"/>
                    </w:rPr>
                    <w:t>排放限值/(mg/m</w:t>
                  </w:r>
                  <w:r>
                    <w:rPr>
                      <w:rFonts w:hint="eastAsia"/>
                      <w:b w:val="0"/>
                      <w:color w:val="000000"/>
                      <w:vertAlign w:val="superscript"/>
                      <w:lang w:val="en-US" w:eastAsia="zh-CN"/>
                    </w:rPr>
                    <w:t>3</w:t>
                  </w:r>
                  <w:r>
                    <w:rPr>
                      <w:rFonts w:hint="default"/>
                      <w:b w:val="0"/>
                      <w:color w:val="000000"/>
                      <w:lang w:val="en-US" w:eastAsia="zh-CN"/>
                    </w:rPr>
                    <w:t>)</w:t>
                  </w:r>
                </w:p>
                <w:p w14:paraId="6F2158C0">
                  <w:pPr>
                    <w:pStyle w:val="5"/>
                    <w:bidi w:val="0"/>
                    <w:rPr>
                      <w:rFonts w:hint="default"/>
                      <w:b w:val="0"/>
                      <w:color w:val="000000"/>
                      <w:lang w:val="en-US" w:eastAsia="zh-CN"/>
                    </w:rPr>
                  </w:pPr>
                  <w:r>
                    <w:rPr>
                      <w:rFonts w:hint="eastAsia"/>
                      <w:b w:val="0"/>
                      <w:color w:val="000000"/>
                      <w:lang w:val="en-US" w:eastAsia="zh-CN"/>
                    </w:rPr>
                    <w:t>（</w:t>
                  </w:r>
                  <w:r>
                    <w:rPr>
                      <w:rFonts w:hint="default"/>
                      <w:b w:val="0"/>
                      <w:color w:val="000000"/>
                      <w:lang w:val="en-US" w:eastAsia="zh-CN"/>
                    </w:rPr>
                    <w:t>监控点与参考点浓度差值</w:t>
                  </w:r>
                  <w:r>
                    <w:rPr>
                      <w:rFonts w:hint="eastAsia"/>
                      <w:b w:val="0"/>
                      <w:color w:val="000000"/>
                      <w:lang w:val="en-US" w:eastAsia="zh-CN"/>
                    </w:rPr>
                    <w:t>）</w:t>
                  </w:r>
                </w:p>
              </w:tc>
            </w:tr>
            <w:tr w14:paraId="46B3A81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28" w:type="dxa"/>
                  <w:bottom w:w="0" w:type="dxa"/>
                  <w:right w:w="28" w:type="dxa"/>
                </w:tblCellMar>
              </w:tblPrEx>
              <w:trPr>
                <w:cantSplit/>
                <w:trHeight w:val="312" w:hRule="atLeast"/>
                <w:jc w:val="center"/>
              </w:trPr>
              <w:tc>
                <w:tcPr>
                  <w:tcW w:w="699" w:type="pct"/>
                  <w:tcBorders>
                    <w:tl2br w:val="nil"/>
                    <w:tr2bl w:val="nil"/>
                  </w:tcBorders>
                  <w:shd w:val="clear" w:color="auto" w:fill="auto"/>
                  <w:noWrap w:val="0"/>
                  <w:vAlign w:val="center"/>
                </w:tcPr>
                <w:p w14:paraId="7A6BDFC0">
                  <w:pPr>
                    <w:pStyle w:val="5"/>
                    <w:bidi w:val="0"/>
                    <w:rPr>
                      <w:rFonts w:hint="default"/>
                      <w:b w:val="0"/>
                      <w:color w:val="000000"/>
                      <w:lang w:val="en-US" w:eastAsia="zh-CN"/>
                    </w:rPr>
                  </w:pPr>
                  <w:r>
                    <w:rPr>
                      <w:rFonts w:hint="eastAsia"/>
                      <w:b w:val="0"/>
                      <w:color w:val="000000"/>
                      <w:lang w:val="en-US" w:eastAsia="zh-CN"/>
                    </w:rPr>
                    <w:t>颗粒物</w:t>
                  </w:r>
                </w:p>
              </w:tc>
              <w:tc>
                <w:tcPr>
                  <w:tcW w:w="938" w:type="pct"/>
                  <w:tcBorders>
                    <w:tl2br w:val="nil"/>
                    <w:tr2bl w:val="nil"/>
                  </w:tcBorders>
                  <w:shd w:val="clear" w:color="auto" w:fill="auto"/>
                  <w:noWrap w:val="0"/>
                  <w:vAlign w:val="center"/>
                </w:tcPr>
                <w:p w14:paraId="66D96129">
                  <w:pPr>
                    <w:pStyle w:val="5"/>
                    <w:bidi w:val="0"/>
                    <w:rPr>
                      <w:rFonts w:hint="eastAsia"/>
                      <w:b w:val="0"/>
                      <w:color w:val="000000"/>
                      <w:lang w:val="en-US" w:eastAsia="zh-CN"/>
                    </w:rPr>
                  </w:pPr>
                  <w:r>
                    <w:rPr>
                      <w:rFonts w:hint="eastAsia"/>
                      <w:b w:val="0"/>
                      <w:color w:val="000000"/>
                      <w:lang w:val="en-US" w:eastAsia="zh-CN"/>
                    </w:rPr>
                    <w:t>周界外质量浓度最高点</w:t>
                  </w:r>
                </w:p>
              </w:tc>
              <w:tc>
                <w:tcPr>
                  <w:tcW w:w="1643" w:type="pct"/>
                  <w:tcBorders>
                    <w:tl2br w:val="nil"/>
                    <w:tr2bl w:val="nil"/>
                  </w:tcBorders>
                  <w:shd w:val="clear" w:color="auto" w:fill="auto"/>
                  <w:noWrap w:val="0"/>
                  <w:vAlign w:val="center"/>
                </w:tcPr>
                <w:p w14:paraId="07DB2942">
                  <w:pPr>
                    <w:pStyle w:val="5"/>
                    <w:bidi w:val="0"/>
                    <w:rPr>
                      <w:rFonts w:hint="default"/>
                      <w:b w:val="0"/>
                      <w:color w:val="000000"/>
                      <w:lang w:val="en-US" w:eastAsia="zh-CN"/>
                    </w:rPr>
                  </w:pPr>
                  <w:r>
                    <w:rPr>
                      <w:rFonts w:hint="eastAsia"/>
                      <w:b w:val="0"/>
                      <w:color w:val="000000"/>
                      <w:lang w:val="en-US" w:eastAsia="zh-CN"/>
                    </w:rPr>
                    <w:t>1.0</w:t>
                  </w:r>
                </w:p>
              </w:tc>
              <w:tc>
                <w:tcPr>
                  <w:tcW w:w="1719" w:type="pct"/>
                  <w:tcBorders>
                    <w:tl2br w:val="nil"/>
                    <w:tr2bl w:val="nil"/>
                  </w:tcBorders>
                  <w:shd w:val="clear" w:color="auto" w:fill="auto"/>
                  <w:noWrap w:val="0"/>
                  <w:vAlign w:val="center"/>
                </w:tcPr>
                <w:p w14:paraId="45248446">
                  <w:pPr>
                    <w:pStyle w:val="5"/>
                    <w:bidi w:val="0"/>
                    <w:rPr>
                      <w:rFonts w:hint="default"/>
                      <w:b w:val="0"/>
                      <w:color w:val="000000"/>
                      <w:lang w:val="en-US" w:eastAsia="zh-CN"/>
                    </w:rPr>
                  </w:pPr>
                  <w:r>
                    <w:rPr>
                      <w:rFonts w:hint="eastAsia"/>
                      <w:b w:val="0"/>
                      <w:color w:val="000000"/>
                      <w:lang w:val="en-US" w:eastAsia="zh-CN"/>
                    </w:rPr>
                    <w:t>1.0</w:t>
                  </w:r>
                </w:p>
              </w:tc>
            </w:tr>
          </w:tbl>
          <w:p w14:paraId="7800242B">
            <w:pPr>
              <w:pStyle w:val="3"/>
              <w:bidi w:val="0"/>
              <w:ind w:firstLine="482" w:firstLineChars="200"/>
              <w:rPr>
                <w:rFonts w:hint="default"/>
              </w:rPr>
            </w:pPr>
            <w:r>
              <w:rPr>
                <w:rFonts w:hint="eastAsia"/>
                <w:lang w:val="en-US" w:eastAsia="zh-CN"/>
              </w:rPr>
              <w:t>2.2</w:t>
            </w:r>
            <w:r>
              <w:rPr>
                <w:rFonts w:hint="default"/>
              </w:rPr>
              <w:t>噪声</w:t>
            </w:r>
          </w:p>
          <w:p w14:paraId="278CB96D">
            <w:pPr>
              <w:pStyle w:val="53"/>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auto"/>
              <w:ind w:left="0" w:right="0"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施工期：施工期间施工噪声执行《建筑施工厂界环境噪声排放标准》（GB12523-2011）。</w:t>
            </w:r>
          </w:p>
          <w:p w14:paraId="6CC415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表</w:t>
            </w:r>
            <w:r>
              <w:rPr>
                <w:rFonts w:hint="eastAsia" w:ascii="Times New Roman" w:hAnsi="Times New Roman" w:cs="Times New Roman"/>
                <w:b/>
                <w:bCs/>
                <w:color w:val="000000"/>
                <w:kern w:val="0"/>
                <w:sz w:val="21"/>
                <w:szCs w:val="21"/>
                <w:lang w:val="en-US" w:eastAsia="zh-CN"/>
              </w:rPr>
              <w:t>3-12</w:t>
            </w:r>
            <w:r>
              <w:rPr>
                <w:rFonts w:hint="default" w:ascii="Times New Roman" w:hAnsi="Times New Roman" w:cs="Times New Roman"/>
                <w:b/>
                <w:bCs/>
                <w:color w:val="000000"/>
                <w:kern w:val="0"/>
                <w:sz w:val="21"/>
                <w:szCs w:val="21"/>
                <w:lang w:val="en-US" w:eastAsia="zh-CN"/>
              </w:rPr>
              <w:t xml:space="preserve"> </w:t>
            </w:r>
            <w:r>
              <w:rPr>
                <w:rFonts w:hint="default" w:ascii="Times New Roman" w:hAnsi="Times New Roman" w:cs="Times New Roman"/>
                <w:b/>
                <w:bCs/>
                <w:color w:val="000000"/>
                <w:kern w:val="0"/>
                <w:sz w:val="21"/>
                <w:szCs w:val="21"/>
              </w:rPr>
              <w:t xml:space="preserve"> </w:t>
            </w:r>
            <w:r>
              <w:rPr>
                <w:rFonts w:hint="default" w:ascii="Times New Roman" w:hAnsi="Times New Roman" w:cs="Times New Roman"/>
                <w:b/>
                <w:bCs/>
                <w:color w:val="000000"/>
                <w:kern w:val="0"/>
                <w:sz w:val="21"/>
                <w:szCs w:val="21"/>
                <w:lang w:val="en-US" w:eastAsia="zh-CN"/>
              </w:rPr>
              <w:t xml:space="preserve"> </w:t>
            </w:r>
            <w:r>
              <w:rPr>
                <w:rFonts w:hint="eastAsia" w:ascii="Times New Roman" w:hAnsi="Times New Roman" w:cs="Times New Roman"/>
                <w:b/>
                <w:bCs/>
                <w:color w:val="000000"/>
                <w:kern w:val="0"/>
                <w:sz w:val="21"/>
                <w:szCs w:val="21"/>
                <w:lang w:val="en-US" w:eastAsia="zh-CN"/>
              </w:rPr>
              <w:t xml:space="preserve"> </w:t>
            </w:r>
            <w:r>
              <w:rPr>
                <w:rFonts w:hint="default" w:ascii="Times New Roman" w:hAnsi="Times New Roman" w:cs="Times New Roman"/>
                <w:b/>
                <w:bCs/>
                <w:color w:val="000000"/>
                <w:kern w:val="0"/>
                <w:sz w:val="21"/>
                <w:szCs w:val="21"/>
              </w:rPr>
              <w:t>建筑施工场界环境噪声排放限值</w:t>
            </w:r>
          </w:p>
          <w:tbl>
            <w:tblPr>
              <w:tblStyle w:val="42"/>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2"/>
              <w:gridCol w:w="2714"/>
              <w:gridCol w:w="2716"/>
            </w:tblGrid>
            <w:tr w14:paraId="4A1061C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rPr>
                <w:trHeight w:val="340" w:hRule="atLeast"/>
                <w:jc w:val="center"/>
              </w:trPr>
              <w:tc>
                <w:tcPr>
                  <w:tcW w:w="2689" w:type="dxa"/>
                  <w:tcBorders>
                    <w:tl2br w:val="nil"/>
                    <w:tr2bl w:val="nil"/>
                  </w:tcBorders>
                  <w:noWrap w:val="0"/>
                  <w:vAlign w:val="center"/>
                </w:tcPr>
                <w:p w14:paraId="53007069">
                  <w:pPr>
                    <w:pStyle w:val="5"/>
                    <w:bidi w:val="0"/>
                    <w:rPr>
                      <w:rFonts w:hint="default" w:ascii="Times New Roman" w:hAnsi="Times New Roman" w:eastAsia="宋体" w:cs="Times New Roman"/>
                      <w:b/>
                      <w:bCs w:val="0"/>
                      <w:color w:val="000000"/>
                      <w:lang w:val="en-US" w:eastAsia="zh-CN"/>
                    </w:rPr>
                  </w:pPr>
                  <w:r>
                    <w:rPr>
                      <w:rFonts w:hint="default" w:ascii="Times New Roman" w:hAnsi="Times New Roman" w:eastAsia="宋体" w:cs="Times New Roman"/>
                      <w:b/>
                      <w:bCs w:val="0"/>
                      <w:color w:val="000000"/>
                      <w:lang w:val="en-US" w:eastAsia="zh-CN"/>
                    </w:rPr>
                    <w:t>类别</w:t>
                  </w:r>
                </w:p>
              </w:tc>
              <w:tc>
                <w:tcPr>
                  <w:tcW w:w="2907" w:type="dxa"/>
                  <w:tcBorders>
                    <w:tl2br w:val="nil"/>
                    <w:tr2bl w:val="nil"/>
                  </w:tcBorders>
                  <w:noWrap w:val="0"/>
                  <w:vAlign w:val="center"/>
                </w:tcPr>
                <w:p w14:paraId="2E00AA93">
                  <w:pPr>
                    <w:pStyle w:val="5"/>
                    <w:bidi w:val="0"/>
                    <w:rPr>
                      <w:rFonts w:hint="default" w:ascii="Times New Roman" w:hAnsi="Times New Roman" w:eastAsia="宋体" w:cs="Times New Roman"/>
                      <w:b/>
                      <w:bCs w:val="0"/>
                      <w:color w:val="000000"/>
                      <w:lang w:val="en-US" w:eastAsia="zh-CN"/>
                    </w:rPr>
                  </w:pPr>
                  <w:r>
                    <w:rPr>
                      <w:rFonts w:hint="default" w:ascii="Times New Roman" w:hAnsi="Times New Roman" w:eastAsia="宋体" w:cs="Times New Roman"/>
                      <w:b/>
                      <w:bCs w:val="0"/>
                      <w:color w:val="000000"/>
                      <w:lang w:val="en-US" w:eastAsia="zh-CN"/>
                    </w:rPr>
                    <w:t>昼间</w:t>
                  </w:r>
                </w:p>
              </w:tc>
              <w:tc>
                <w:tcPr>
                  <w:tcW w:w="2909" w:type="dxa"/>
                  <w:tcBorders>
                    <w:tl2br w:val="nil"/>
                    <w:tr2bl w:val="nil"/>
                  </w:tcBorders>
                  <w:noWrap w:val="0"/>
                  <w:vAlign w:val="center"/>
                </w:tcPr>
                <w:p w14:paraId="6B8FB0A9">
                  <w:pPr>
                    <w:pStyle w:val="5"/>
                    <w:bidi w:val="0"/>
                    <w:rPr>
                      <w:rFonts w:hint="default" w:ascii="Times New Roman" w:hAnsi="Times New Roman" w:eastAsia="宋体" w:cs="Times New Roman"/>
                      <w:b/>
                      <w:bCs w:val="0"/>
                      <w:color w:val="000000"/>
                      <w:lang w:val="en-US" w:eastAsia="zh-CN"/>
                    </w:rPr>
                  </w:pPr>
                  <w:r>
                    <w:rPr>
                      <w:rFonts w:hint="default" w:ascii="Times New Roman" w:hAnsi="Times New Roman" w:eastAsia="宋体" w:cs="Times New Roman"/>
                      <w:b/>
                      <w:bCs w:val="0"/>
                      <w:color w:val="000000"/>
                      <w:lang w:val="en-US" w:eastAsia="zh-CN"/>
                    </w:rPr>
                    <w:t>夜间</w:t>
                  </w:r>
                </w:p>
              </w:tc>
            </w:tr>
            <w:tr w14:paraId="41DCBB6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9" w:type="dxa"/>
                  <w:tcBorders>
                    <w:tl2br w:val="nil"/>
                    <w:tr2bl w:val="nil"/>
                  </w:tcBorders>
                  <w:noWrap w:val="0"/>
                  <w:vAlign w:val="center"/>
                </w:tcPr>
                <w:p w14:paraId="6835CE00">
                  <w:pPr>
                    <w:pStyle w:val="5"/>
                    <w:bidi w:val="0"/>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施工场界环境噪声</w:t>
                  </w:r>
                </w:p>
              </w:tc>
              <w:tc>
                <w:tcPr>
                  <w:tcW w:w="2907" w:type="dxa"/>
                  <w:tcBorders>
                    <w:tl2br w:val="nil"/>
                    <w:tr2bl w:val="nil"/>
                  </w:tcBorders>
                  <w:noWrap w:val="0"/>
                  <w:vAlign w:val="center"/>
                </w:tcPr>
                <w:p w14:paraId="21020A02">
                  <w:pPr>
                    <w:pStyle w:val="5"/>
                    <w:bidi w:val="0"/>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70 dB</w:t>
                  </w:r>
                </w:p>
              </w:tc>
              <w:tc>
                <w:tcPr>
                  <w:tcW w:w="2909" w:type="dxa"/>
                  <w:tcBorders>
                    <w:tl2br w:val="nil"/>
                    <w:tr2bl w:val="nil"/>
                  </w:tcBorders>
                  <w:noWrap w:val="0"/>
                  <w:vAlign w:val="center"/>
                </w:tcPr>
                <w:p w14:paraId="4D2A9A13">
                  <w:pPr>
                    <w:pStyle w:val="5"/>
                    <w:bidi w:val="0"/>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55 dB</w:t>
                  </w:r>
                </w:p>
              </w:tc>
            </w:tr>
            <w:tr w14:paraId="0B399ED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5" w:type="dxa"/>
                  <w:gridSpan w:val="3"/>
                  <w:tcBorders>
                    <w:tl2br w:val="nil"/>
                    <w:tr2bl w:val="nil"/>
                  </w:tcBorders>
                  <w:noWrap w:val="0"/>
                  <w:vAlign w:val="center"/>
                </w:tcPr>
                <w:p w14:paraId="7EFC18D0">
                  <w:pPr>
                    <w:pStyle w:val="5"/>
                    <w:bidi w:val="0"/>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注：夜间噪声最大声级超过限制的幅度不得高于15dB（A）。当场界距离声敏感建筑物较近，其室外不满足测量条件时，可在噪声敏感建筑物室内测量，并将相应的限值减10dB（A）作为评价依据。</w:t>
                  </w:r>
                </w:p>
              </w:tc>
            </w:tr>
          </w:tbl>
          <w:p w14:paraId="10F750C1">
            <w:pPr>
              <w:spacing w:line="360" w:lineRule="auto"/>
              <w:ind w:firstLine="480" w:firstLineChars="200"/>
              <w:rPr>
                <w:rFonts w:hint="default" w:ascii="Times New Roman" w:hAnsi="Times New Roman" w:cs="Times New Roman"/>
                <w:b w:val="0"/>
                <w:bCs w:val="0"/>
                <w:color w:val="000000"/>
                <w:kern w:val="0"/>
                <w:sz w:val="24"/>
                <w:szCs w:val="24"/>
                <w:lang w:val="en-US" w:eastAsia="zh-CN" w:bidi="ar-SA"/>
              </w:rPr>
            </w:pPr>
            <w:r>
              <w:rPr>
                <w:rFonts w:hint="eastAsia" w:ascii="Times New Roman" w:hAnsi="Times New Roman" w:cs="Times New Roman"/>
                <w:b w:val="0"/>
                <w:bCs w:val="0"/>
                <w:color w:val="000000"/>
                <w:kern w:val="0"/>
                <w:sz w:val="24"/>
                <w:szCs w:val="24"/>
                <w:lang w:val="en-US" w:eastAsia="zh-CN" w:bidi="ar-SA"/>
              </w:rPr>
              <w:t>运营期：本工程运营期噪声执行《工业企业厂界环境噪声排放标准》（GB12348-2008）中2类声环境功能区要求。</w:t>
            </w:r>
          </w:p>
          <w:p w14:paraId="5B392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rPr>
            </w:pPr>
            <w:r>
              <w:rPr>
                <w:rFonts w:hint="eastAsia" w:ascii="Times New Roman" w:hAnsi="Times New Roman" w:eastAsia="宋体" w:cs="Times New Roman"/>
                <w:b/>
                <w:bCs/>
                <w:color w:val="000000"/>
                <w:kern w:val="0"/>
                <w:sz w:val="21"/>
                <w:szCs w:val="21"/>
                <w:lang w:val="en-US" w:eastAsia="zh-CN"/>
              </w:rPr>
              <w:t>表3-13           环境噪声限值        单位：dB（A）</w:t>
            </w:r>
          </w:p>
          <w:tbl>
            <w:tblPr>
              <w:tblStyle w:val="42"/>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2715"/>
              <w:gridCol w:w="2717"/>
            </w:tblGrid>
            <w:tr w14:paraId="5B5919C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rPr>
                <w:trHeight w:val="340" w:hRule="atLeast"/>
                <w:jc w:val="center"/>
              </w:trPr>
              <w:tc>
                <w:tcPr>
                  <w:tcW w:w="2588" w:type="dxa"/>
                  <w:tcBorders>
                    <w:tl2br w:val="nil"/>
                    <w:tr2bl w:val="nil"/>
                  </w:tcBorders>
                  <w:noWrap w:val="0"/>
                  <w:vAlign w:val="top"/>
                </w:tcPr>
                <w:p w14:paraId="6EFDDE62">
                  <w:pPr>
                    <w:pStyle w:val="5"/>
                    <w:bidi w:val="0"/>
                    <w:rPr>
                      <w:rFonts w:hint="default" w:ascii="Times New Roman" w:hAnsi="Times New Roman" w:eastAsia="宋体" w:cs="Times New Roman"/>
                      <w:b/>
                      <w:bCs w:val="0"/>
                      <w:color w:val="000000"/>
                      <w:lang w:val="en-US" w:eastAsia="zh-CN"/>
                    </w:rPr>
                  </w:pPr>
                  <w:r>
                    <w:rPr>
                      <w:rFonts w:hint="eastAsia" w:ascii="Times New Roman" w:hAnsi="Times New Roman" w:eastAsia="宋体" w:cs="Times New Roman"/>
                      <w:b/>
                      <w:bCs w:val="0"/>
                      <w:color w:val="000000"/>
                      <w:lang w:val="en-US" w:eastAsia="zh-CN"/>
                    </w:rPr>
                    <w:t>声环境功能区类别</w:t>
                  </w:r>
                </w:p>
              </w:tc>
              <w:tc>
                <w:tcPr>
                  <w:tcW w:w="2799" w:type="dxa"/>
                  <w:tcBorders>
                    <w:tl2br w:val="nil"/>
                    <w:tr2bl w:val="nil"/>
                  </w:tcBorders>
                  <w:noWrap w:val="0"/>
                  <w:vAlign w:val="top"/>
                </w:tcPr>
                <w:p w14:paraId="5D2905E9">
                  <w:pPr>
                    <w:pStyle w:val="5"/>
                    <w:bidi w:val="0"/>
                    <w:rPr>
                      <w:rFonts w:hint="default" w:ascii="Times New Roman" w:hAnsi="Times New Roman" w:eastAsia="宋体" w:cs="Times New Roman"/>
                      <w:b/>
                      <w:bCs w:val="0"/>
                      <w:color w:val="000000"/>
                      <w:lang w:val="en-US" w:eastAsia="zh-CN"/>
                    </w:rPr>
                  </w:pPr>
                  <w:r>
                    <w:rPr>
                      <w:rFonts w:hint="default" w:ascii="Times New Roman" w:hAnsi="Times New Roman" w:eastAsia="宋体" w:cs="Times New Roman"/>
                      <w:b/>
                      <w:bCs w:val="0"/>
                      <w:color w:val="000000"/>
                      <w:lang w:val="en-US" w:eastAsia="zh-CN"/>
                    </w:rPr>
                    <w:t>昼间</w:t>
                  </w:r>
                </w:p>
              </w:tc>
              <w:tc>
                <w:tcPr>
                  <w:tcW w:w="2801" w:type="dxa"/>
                  <w:tcBorders>
                    <w:tl2br w:val="nil"/>
                    <w:tr2bl w:val="nil"/>
                  </w:tcBorders>
                  <w:noWrap w:val="0"/>
                  <w:vAlign w:val="top"/>
                </w:tcPr>
                <w:p w14:paraId="27B45978">
                  <w:pPr>
                    <w:pStyle w:val="5"/>
                    <w:bidi w:val="0"/>
                    <w:rPr>
                      <w:rFonts w:hint="default" w:ascii="Times New Roman" w:hAnsi="Times New Roman" w:eastAsia="宋体" w:cs="Times New Roman"/>
                      <w:b/>
                      <w:bCs w:val="0"/>
                      <w:color w:val="000000"/>
                      <w:lang w:val="en-US" w:eastAsia="zh-CN"/>
                    </w:rPr>
                  </w:pPr>
                  <w:r>
                    <w:rPr>
                      <w:rFonts w:hint="default" w:ascii="Times New Roman" w:hAnsi="Times New Roman" w:eastAsia="宋体" w:cs="Times New Roman"/>
                      <w:b/>
                      <w:bCs w:val="0"/>
                      <w:color w:val="000000"/>
                      <w:lang w:val="en-US" w:eastAsia="zh-CN"/>
                    </w:rPr>
                    <w:t>夜间</w:t>
                  </w:r>
                </w:p>
              </w:tc>
            </w:tr>
            <w:tr w14:paraId="724629F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8" w:type="dxa"/>
                  <w:tcBorders>
                    <w:tl2br w:val="nil"/>
                    <w:tr2bl w:val="nil"/>
                  </w:tcBorders>
                  <w:noWrap w:val="0"/>
                  <w:vAlign w:val="center"/>
                </w:tcPr>
                <w:p w14:paraId="4CBC9864">
                  <w:pPr>
                    <w:pStyle w:val="5"/>
                    <w:bidi w:val="0"/>
                    <w:rPr>
                      <w:rFonts w:hint="default" w:ascii="Times New Roman" w:hAnsi="Times New Roman" w:eastAsia="宋体" w:cs="Times New Roman"/>
                      <w:b w:val="0"/>
                      <w:bCs/>
                      <w:color w:val="000000"/>
                      <w:lang w:val="en-US" w:eastAsia="zh-CN"/>
                    </w:rPr>
                  </w:pPr>
                  <w:r>
                    <w:rPr>
                      <w:rFonts w:hint="eastAsia" w:ascii="Times New Roman" w:hAnsi="Times New Roman" w:eastAsia="宋体" w:cs="Times New Roman"/>
                      <w:b w:val="0"/>
                      <w:bCs/>
                      <w:color w:val="000000"/>
                      <w:lang w:val="en-US" w:eastAsia="zh-CN"/>
                    </w:rPr>
                    <w:t>2类</w:t>
                  </w:r>
                </w:p>
              </w:tc>
              <w:tc>
                <w:tcPr>
                  <w:tcW w:w="2799" w:type="dxa"/>
                  <w:tcBorders>
                    <w:tl2br w:val="nil"/>
                    <w:tr2bl w:val="nil"/>
                  </w:tcBorders>
                  <w:noWrap w:val="0"/>
                  <w:vAlign w:val="center"/>
                </w:tcPr>
                <w:p w14:paraId="1F0E79D0">
                  <w:pPr>
                    <w:pStyle w:val="5"/>
                    <w:bidi w:val="0"/>
                    <w:rPr>
                      <w:rFonts w:hint="default" w:ascii="Times New Roman" w:hAnsi="Times New Roman" w:eastAsia="宋体" w:cs="Times New Roman"/>
                      <w:b w:val="0"/>
                      <w:bCs/>
                      <w:color w:val="000000"/>
                      <w:lang w:val="en-US" w:eastAsia="zh-CN"/>
                    </w:rPr>
                  </w:pPr>
                  <w:r>
                    <w:rPr>
                      <w:rFonts w:hint="eastAsia" w:ascii="Times New Roman" w:hAnsi="Times New Roman" w:eastAsia="宋体" w:cs="Times New Roman"/>
                      <w:b w:val="0"/>
                      <w:bCs/>
                      <w:color w:val="000000"/>
                      <w:lang w:val="en-US" w:eastAsia="zh-CN"/>
                    </w:rPr>
                    <w:t>60</w:t>
                  </w:r>
                  <w:r>
                    <w:rPr>
                      <w:rFonts w:hint="default" w:ascii="Times New Roman" w:hAnsi="Times New Roman" w:eastAsia="宋体" w:cs="Times New Roman"/>
                      <w:b w:val="0"/>
                      <w:bCs/>
                      <w:color w:val="000000"/>
                      <w:lang w:val="en-US" w:eastAsia="zh-CN"/>
                    </w:rPr>
                    <w:t xml:space="preserve"> dB</w:t>
                  </w:r>
                </w:p>
              </w:tc>
              <w:tc>
                <w:tcPr>
                  <w:tcW w:w="2801" w:type="dxa"/>
                  <w:tcBorders>
                    <w:tl2br w:val="nil"/>
                    <w:tr2bl w:val="nil"/>
                  </w:tcBorders>
                  <w:noWrap w:val="0"/>
                  <w:vAlign w:val="center"/>
                </w:tcPr>
                <w:p w14:paraId="1033F857">
                  <w:pPr>
                    <w:pStyle w:val="5"/>
                    <w:bidi w:val="0"/>
                    <w:rPr>
                      <w:rFonts w:hint="default" w:ascii="Times New Roman" w:hAnsi="Times New Roman" w:eastAsia="宋体" w:cs="Times New Roman"/>
                      <w:b w:val="0"/>
                      <w:bCs/>
                      <w:color w:val="000000"/>
                      <w:lang w:val="en-US" w:eastAsia="zh-CN"/>
                    </w:rPr>
                  </w:pPr>
                  <w:r>
                    <w:rPr>
                      <w:rFonts w:hint="eastAsia" w:ascii="Times New Roman" w:hAnsi="Times New Roman" w:eastAsia="宋体" w:cs="Times New Roman"/>
                      <w:b w:val="0"/>
                      <w:bCs/>
                      <w:color w:val="000000"/>
                      <w:lang w:val="en-US" w:eastAsia="zh-CN"/>
                    </w:rPr>
                    <w:t>50</w:t>
                  </w:r>
                  <w:r>
                    <w:rPr>
                      <w:rFonts w:hint="default" w:ascii="Times New Roman" w:hAnsi="Times New Roman" w:eastAsia="宋体" w:cs="Times New Roman"/>
                      <w:b w:val="0"/>
                      <w:bCs/>
                      <w:color w:val="000000"/>
                      <w:lang w:val="en-US" w:eastAsia="zh-CN"/>
                    </w:rPr>
                    <w:t>dB</w:t>
                  </w:r>
                </w:p>
              </w:tc>
            </w:tr>
          </w:tbl>
          <w:p w14:paraId="34518929">
            <w:pPr>
              <w:spacing w:line="360" w:lineRule="auto"/>
              <w:ind w:firstLine="482" w:firstLineChars="200"/>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cs="Times New Roman"/>
                <w:b/>
                <w:bCs/>
                <w:color w:val="000000"/>
                <w:kern w:val="0"/>
                <w:sz w:val="24"/>
                <w:szCs w:val="24"/>
                <w:lang w:val="en-US" w:eastAsia="zh-CN" w:bidi="ar-SA"/>
              </w:rPr>
              <w:t>2.3</w:t>
            </w:r>
            <w:r>
              <w:rPr>
                <w:rFonts w:hint="default" w:ascii="Times New Roman" w:hAnsi="Times New Roman" w:eastAsia="宋体" w:cs="Times New Roman"/>
                <w:b/>
                <w:bCs/>
                <w:color w:val="000000"/>
                <w:kern w:val="0"/>
                <w:sz w:val="24"/>
                <w:szCs w:val="24"/>
                <w:lang w:val="en-US" w:eastAsia="zh-CN" w:bidi="ar-SA"/>
              </w:rPr>
              <w:t>、固体废物标准</w:t>
            </w:r>
          </w:p>
          <w:p w14:paraId="2468EC3D">
            <w:pPr>
              <w:adjustRightInd w:val="0"/>
              <w:snapToGrid w:val="0"/>
              <w:spacing w:line="360" w:lineRule="auto"/>
              <w:ind w:firstLine="480" w:firstLineChars="200"/>
              <w:rPr>
                <w:rFonts w:hint="default" w:eastAsia="宋体"/>
                <w:bCs/>
                <w:color w:val="000000"/>
                <w:kern w:val="0"/>
                <w:sz w:val="24"/>
              </w:rPr>
            </w:pPr>
            <w:r>
              <w:rPr>
                <w:rFonts w:hint="eastAsia" w:eastAsia="宋体"/>
                <w:bCs/>
                <w:color w:val="000000"/>
                <w:kern w:val="0"/>
                <w:sz w:val="24"/>
                <w:lang w:val="en-US" w:eastAsia="zh-CN"/>
              </w:rPr>
              <w:t>一般</w:t>
            </w:r>
            <w:r>
              <w:rPr>
                <w:rFonts w:hint="default" w:eastAsia="宋体"/>
                <w:bCs/>
                <w:color w:val="000000"/>
                <w:kern w:val="0"/>
                <w:sz w:val="24"/>
              </w:rPr>
              <w:t>固</w:t>
            </w:r>
            <w:r>
              <w:rPr>
                <w:rFonts w:hint="eastAsia" w:eastAsia="宋体"/>
                <w:bCs/>
                <w:color w:val="000000"/>
                <w:kern w:val="0"/>
                <w:sz w:val="24"/>
                <w:lang w:val="en-US" w:eastAsia="zh-CN"/>
              </w:rPr>
              <w:t>体</w:t>
            </w:r>
            <w:r>
              <w:rPr>
                <w:rFonts w:hint="default" w:eastAsia="宋体"/>
                <w:bCs/>
                <w:color w:val="000000"/>
                <w:kern w:val="0"/>
                <w:sz w:val="24"/>
              </w:rPr>
              <w:t>废</w:t>
            </w:r>
            <w:r>
              <w:rPr>
                <w:rFonts w:hint="eastAsia" w:eastAsia="宋体"/>
                <w:bCs/>
                <w:color w:val="000000"/>
                <w:kern w:val="0"/>
                <w:sz w:val="24"/>
                <w:lang w:val="en-US" w:eastAsia="zh-CN"/>
              </w:rPr>
              <w:t>物</w:t>
            </w:r>
            <w:r>
              <w:rPr>
                <w:rFonts w:hint="default" w:eastAsia="宋体"/>
                <w:bCs/>
                <w:color w:val="000000"/>
                <w:kern w:val="0"/>
                <w:sz w:val="24"/>
              </w:rPr>
              <w:t>处置执行《中华人民共和国固体废物污染环境防治法》中的有关规定和《一般工业固体废物贮存和填埋污染控制标准》</w:t>
            </w:r>
            <w:r>
              <w:rPr>
                <w:rFonts w:hint="eastAsia" w:eastAsia="宋体"/>
                <w:bCs/>
                <w:color w:val="000000"/>
                <w:kern w:val="0"/>
                <w:sz w:val="24"/>
                <w:lang w:eastAsia="zh-CN"/>
              </w:rPr>
              <w:t>（</w:t>
            </w:r>
            <w:r>
              <w:rPr>
                <w:rFonts w:hint="default" w:eastAsia="宋体"/>
                <w:bCs/>
                <w:color w:val="000000"/>
                <w:kern w:val="0"/>
                <w:sz w:val="24"/>
              </w:rPr>
              <w:t>GB18599-2020</w:t>
            </w:r>
            <w:r>
              <w:rPr>
                <w:rFonts w:hint="eastAsia" w:eastAsia="宋体"/>
                <w:bCs/>
                <w:color w:val="000000"/>
                <w:kern w:val="0"/>
                <w:sz w:val="24"/>
                <w:lang w:eastAsia="zh-CN"/>
              </w:rPr>
              <w:t>）</w:t>
            </w:r>
            <w:r>
              <w:rPr>
                <w:rFonts w:hint="eastAsia" w:eastAsia="宋体"/>
                <w:bCs/>
                <w:color w:val="000000"/>
                <w:kern w:val="0"/>
                <w:sz w:val="24"/>
                <w:lang w:val="en-US" w:eastAsia="zh-CN"/>
              </w:rPr>
              <w:t>中相关规定</w:t>
            </w:r>
            <w:r>
              <w:rPr>
                <w:rFonts w:hint="default" w:eastAsia="宋体"/>
                <w:bCs/>
                <w:color w:val="000000"/>
                <w:kern w:val="0"/>
                <w:sz w:val="24"/>
              </w:rPr>
              <w:t>。</w:t>
            </w:r>
          </w:p>
          <w:p w14:paraId="4FC7504F">
            <w:pPr>
              <w:spacing w:line="360" w:lineRule="auto"/>
              <w:ind w:firstLine="480" w:firstLineChars="200"/>
              <w:rPr>
                <w:rFonts w:hint="default" w:ascii="Times New Roman" w:hAnsi="Times New Roman" w:cs="Times New Roman"/>
                <w:b w:val="0"/>
                <w:bCs/>
                <w:color w:val="000000"/>
                <w:highlight w:val="none"/>
              </w:rPr>
            </w:pPr>
            <w:r>
              <w:rPr>
                <w:rFonts w:hint="default" w:eastAsia="宋体"/>
                <w:bCs/>
                <w:color w:val="000000"/>
                <w:kern w:val="0"/>
                <w:sz w:val="24"/>
              </w:rPr>
              <w:t>危险废物执行《危险废物贮存污染控制标准》（GB18597-20</w:t>
            </w:r>
            <w:r>
              <w:rPr>
                <w:rFonts w:hint="eastAsia" w:eastAsia="宋体"/>
                <w:bCs/>
                <w:color w:val="000000"/>
                <w:kern w:val="0"/>
                <w:sz w:val="24"/>
                <w:lang w:val="en-US" w:eastAsia="zh-CN"/>
              </w:rPr>
              <w:t>23</w:t>
            </w:r>
            <w:r>
              <w:rPr>
                <w:rFonts w:hint="default" w:eastAsia="宋体"/>
                <w:bCs/>
                <w:color w:val="000000"/>
                <w:kern w:val="0"/>
                <w:sz w:val="24"/>
              </w:rPr>
              <w:t>）中相关要求</w:t>
            </w:r>
            <w:r>
              <w:rPr>
                <w:rFonts w:hint="default" w:ascii="Times New Roman" w:hAnsi="Times New Roman" w:cs="Times New Roman"/>
                <w:b w:val="0"/>
                <w:bCs/>
                <w:color w:val="000000"/>
                <w:highlight w:val="none"/>
              </w:rPr>
              <w:t>。</w:t>
            </w:r>
          </w:p>
          <w:p w14:paraId="4AACB4F9">
            <w:pPr>
              <w:spacing w:line="360" w:lineRule="auto"/>
              <w:ind w:firstLine="480" w:firstLineChars="200"/>
              <w:rPr>
                <w:rFonts w:hint="eastAsia" w:ascii="Times New Roman" w:hAnsi="Times New Roman" w:cs="Times New Roman"/>
                <w:b w:val="0"/>
                <w:bCs/>
                <w:color w:val="000000"/>
                <w:highlight w:val="none"/>
                <w:lang w:val="en-US" w:eastAsia="zh-CN"/>
              </w:rPr>
            </w:pPr>
          </w:p>
        </w:tc>
      </w:tr>
      <w:tr w14:paraId="75A07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tcBorders>
              <w:tl2br w:val="nil"/>
              <w:tr2bl w:val="nil"/>
            </w:tcBorders>
            <w:vAlign w:val="center"/>
          </w:tcPr>
          <w:p w14:paraId="7666727B">
            <w:pPr>
              <w:pStyle w:val="3"/>
              <w:bidi w:val="0"/>
              <w:jc w:val="center"/>
              <w:rPr>
                <w:rFonts w:hint="eastAsia" w:eastAsia="宋体"/>
                <w:lang w:eastAsia="zh-CN"/>
              </w:rPr>
            </w:pPr>
            <w:r>
              <w:rPr>
                <w:rFonts w:hint="eastAsia"/>
                <w:lang w:val="en-US" w:eastAsia="zh-CN"/>
              </w:rPr>
              <w:t>其他</w:t>
            </w:r>
          </w:p>
        </w:tc>
        <w:tc>
          <w:tcPr>
            <w:tcW w:w="4589" w:type="pct"/>
            <w:tcBorders>
              <w:tl2br w:val="nil"/>
              <w:tr2bl w:val="nil"/>
            </w:tcBorders>
            <w:vAlign w:val="top"/>
          </w:tcPr>
          <w:p w14:paraId="21095F87">
            <w:pPr>
              <w:bidi w:val="0"/>
              <w:ind w:left="0" w:leftChars="0" w:firstLine="0" w:firstLineChars="0"/>
              <w:jc w:val="both"/>
              <w:rPr>
                <w:rFonts w:hint="eastAsia" w:cs="Times New Roman"/>
                <w:color w:val="auto"/>
                <w:sz w:val="24"/>
                <w:szCs w:val="24"/>
                <w:lang w:val="en-US" w:eastAsia="zh-CN"/>
              </w:rPr>
            </w:pPr>
          </w:p>
          <w:p w14:paraId="23460902">
            <w:pPr>
              <w:bidi w:val="0"/>
              <w:ind w:left="0" w:leftChars="0" w:firstLine="0" w:firstLineChars="0"/>
              <w:jc w:val="both"/>
              <w:rPr>
                <w:rFonts w:hint="eastAsia" w:cs="Times New Roman"/>
                <w:color w:val="auto"/>
                <w:sz w:val="24"/>
                <w:szCs w:val="24"/>
                <w:lang w:val="en-US" w:eastAsia="zh-CN"/>
              </w:rPr>
            </w:pPr>
          </w:p>
          <w:p w14:paraId="34971771">
            <w:pPr>
              <w:bidi w:val="0"/>
              <w:ind w:left="0" w:leftChars="0" w:firstLine="0" w:firstLineChars="0"/>
              <w:jc w:val="both"/>
              <w:rPr>
                <w:rFonts w:hint="eastAsia" w:cs="Times New Roman"/>
                <w:color w:val="auto"/>
                <w:sz w:val="24"/>
                <w:szCs w:val="24"/>
                <w:lang w:val="en-US" w:eastAsia="zh-CN"/>
              </w:rPr>
            </w:pPr>
          </w:p>
          <w:p w14:paraId="5CC19DF4">
            <w:pPr>
              <w:bidi w:val="0"/>
              <w:ind w:left="0" w:leftChars="0" w:firstLine="0" w:firstLineChars="0"/>
              <w:jc w:val="both"/>
              <w:rPr>
                <w:rFonts w:hint="eastAsia" w:cs="Times New Roman"/>
                <w:color w:val="auto"/>
                <w:sz w:val="24"/>
                <w:szCs w:val="24"/>
                <w:lang w:val="en-US" w:eastAsia="zh-CN"/>
              </w:rPr>
            </w:pPr>
          </w:p>
          <w:p w14:paraId="58D1D83F">
            <w:pPr>
              <w:bidi w:val="0"/>
              <w:ind w:left="0" w:leftChars="0" w:firstLine="0" w:firstLineChars="0"/>
              <w:jc w:val="both"/>
              <w:rPr>
                <w:rFonts w:hint="eastAsia" w:cs="Times New Roman"/>
                <w:color w:val="auto"/>
                <w:sz w:val="24"/>
                <w:szCs w:val="24"/>
                <w:lang w:val="en-US" w:eastAsia="zh-CN"/>
              </w:rPr>
            </w:pPr>
          </w:p>
          <w:p w14:paraId="2266465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t>无</w:t>
            </w:r>
          </w:p>
          <w:p w14:paraId="02DD94DB">
            <w:pPr>
              <w:bidi w:val="0"/>
              <w:ind w:left="0" w:leftChars="0" w:firstLine="0" w:firstLineChars="0"/>
              <w:jc w:val="center"/>
              <w:rPr>
                <w:rFonts w:hint="eastAsia" w:cs="Times New Roman"/>
                <w:color w:val="auto"/>
                <w:sz w:val="24"/>
                <w:szCs w:val="24"/>
                <w:lang w:val="en-US" w:eastAsia="zh-CN"/>
              </w:rPr>
            </w:pPr>
          </w:p>
          <w:p w14:paraId="5DCACF01">
            <w:pPr>
              <w:bidi w:val="0"/>
              <w:ind w:left="0" w:leftChars="0" w:firstLine="0" w:firstLineChars="0"/>
              <w:jc w:val="center"/>
              <w:rPr>
                <w:rFonts w:hint="eastAsia" w:cs="Times New Roman"/>
                <w:color w:val="auto"/>
                <w:sz w:val="24"/>
                <w:szCs w:val="24"/>
                <w:lang w:val="en-US" w:eastAsia="zh-CN"/>
              </w:rPr>
            </w:pPr>
          </w:p>
          <w:p w14:paraId="1B5F7000">
            <w:pPr>
              <w:bidi w:val="0"/>
              <w:ind w:left="0" w:leftChars="0" w:firstLine="0" w:firstLineChars="0"/>
              <w:jc w:val="center"/>
              <w:rPr>
                <w:rFonts w:hint="eastAsia" w:cs="Times New Roman"/>
                <w:color w:val="auto"/>
                <w:sz w:val="24"/>
                <w:szCs w:val="24"/>
                <w:lang w:val="en-US" w:eastAsia="zh-CN"/>
              </w:rPr>
            </w:pPr>
          </w:p>
          <w:p w14:paraId="152FD01B">
            <w:pPr>
              <w:bidi w:val="0"/>
              <w:ind w:left="0" w:leftChars="0" w:firstLine="0" w:firstLineChars="0"/>
              <w:jc w:val="center"/>
              <w:rPr>
                <w:rFonts w:hint="eastAsia" w:cs="Times New Roman"/>
                <w:color w:val="auto"/>
                <w:sz w:val="24"/>
                <w:szCs w:val="24"/>
                <w:lang w:val="en-US" w:eastAsia="zh-CN"/>
              </w:rPr>
            </w:pPr>
          </w:p>
        </w:tc>
      </w:tr>
    </w:tbl>
    <w:p w14:paraId="5B62A217">
      <w:pPr>
        <w:ind w:left="0" w:leftChars="0" w:firstLine="0" w:firstLineChars="0"/>
        <w:jc w:val="center"/>
        <w:outlineLvl w:val="0"/>
        <w:rPr>
          <w:rFonts w:hint="default" w:ascii="Times New Roman" w:hAnsi="Times New Roman" w:cs="Times New Roman"/>
          <w:b/>
          <w:bCs/>
          <w:sz w:val="30"/>
          <w:szCs w:val="30"/>
        </w:rPr>
      </w:pPr>
    </w:p>
    <w:p w14:paraId="63809F0F">
      <w:pPr>
        <w:ind w:left="0" w:leftChars="0" w:firstLine="0" w:firstLineChars="0"/>
        <w:jc w:val="both"/>
        <w:outlineLvl w:val="0"/>
        <w:rPr>
          <w:rFonts w:hint="default" w:ascii="Times New Roman" w:hAnsi="Times New Roman" w:cs="Times New Roman"/>
          <w:b/>
          <w:bCs/>
          <w:sz w:val="30"/>
          <w:szCs w:val="30"/>
        </w:rPr>
        <w:sectPr>
          <w:footerReference r:id="rId11" w:type="default"/>
          <w:pgSz w:w="11910" w:h="16850"/>
          <w:pgMar w:top="1701" w:right="1531" w:bottom="1701" w:left="1531" w:header="1417" w:footer="1417" w:gutter="0"/>
          <w:pgBorders>
            <w:top w:val="none" w:sz="0" w:space="0"/>
            <w:left w:val="none" w:sz="0" w:space="0"/>
            <w:bottom w:val="none" w:sz="0" w:space="0"/>
            <w:right w:val="none" w:sz="0" w:space="0"/>
          </w:pgBorders>
          <w:pgNumType w:fmt="decimal" w:start="1"/>
          <w:cols w:equalWidth="0" w:num="1">
            <w:col w:w="9250"/>
          </w:cols>
        </w:sectPr>
      </w:pPr>
    </w:p>
    <w:p w14:paraId="7256EB03">
      <w:pPr>
        <w:spacing w:line="240" w:lineRule="auto"/>
        <w:ind w:left="0" w:leftChars="0" w:firstLine="0" w:firstLineChars="0"/>
        <w:jc w:val="center"/>
        <w:outlineLvl w:val="0"/>
        <w:rPr>
          <w:rFonts w:hint="default" w:ascii="Times New Roman" w:hAnsi="Times New Roman" w:eastAsia="宋体" w:cs="Times New Roman"/>
          <w:b/>
          <w:bCs/>
          <w:sz w:val="30"/>
          <w:szCs w:val="30"/>
          <w:lang w:val="en-US" w:eastAsia="zh-CN"/>
        </w:rPr>
      </w:pPr>
      <w:r>
        <w:rPr>
          <w:rFonts w:hint="eastAsia" w:cs="Times New Roman"/>
          <w:b/>
          <w:bCs/>
          <w:sz w:val="30"/>
          <w:szCs w:val="30"/>
          <w:lang w:val="en-US" w:eastAsia="zh-CN"/>
        </w:rPr>
        <w:t>四、生态环境影响分析</w:t>
      </w:r>
    </w:p>
    <w:tbl>
      <w:tblPr>
        <w:tblStyle w:val="42"/>
        <w:tblW w:w="47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8025"/>
      </w:tblGrid>
      <w:tr w14:paraId="5631E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452" w:type="pct"/>
            <w:tcBorders>
              <w:tl2br w:val="nil"/>
              <w:tr2bl w:val="nil"/>
            </w:tcBorders>
            <w:noWrap w:val="0"/>
            <w:tcMar>
              <w:left w:w="28" w:type="dxa"/>
              <w:right w:w="28" w:type="dxa"/>
            </w:tcMar>
            <w:vAlign w:val="center"/>
          </w:tcPr>
          <w:p w14:paraId="0E5B5D72">
            <w:pPr>
              <w:pStyle w:val="37"/>
              <w:pageBreakBefore w:val="0"/>
              <w:wordWrap/>
              <w:overflowPunct/>
              <w:topLinePunct w:val="0"/>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000000"/>
                <w:kern w:val="2"/>
                <w:sz w:val="24"/>
                <w:szCs w:val="24"/>
              </w:rPr>
            </w:pPr>
            <w:bookmarkStart w:id="5" w:name="_Hlk49796138"/>
            <w:r>
              <w:rPr>
                <w:rFonts w:hint="default" w:ascii="Times New Roman" w:hAnsi="Times New Roman" w:eastAsia="宋体" w:cs="Times New Roman"/>
                <w:b/>
                <w:bCs w:val="0"/>
                <w:color w:val="000000"/>
                <w:spacing w:val="10"/>
                <w:kern w:val="2"/>
                <w:sz w:val="24"/>
                <w:szCs w:val="24"/>
              </w:rPr>
              <w:t>施工期生态环境影响分析</w:t>
            </w:r>
            <w:bookmarkEnd w:id="5"/>
          </w:p>
        </w:tc>
        <w:tc>
          <w:tcPr>
            <w:tcW w:w="4547" w:type="pct"/>
            <w:tcBorders>
              <w:tl2br w:val="nil"/>
              <w:tr2bl w:val="nil"/>
            </w:tcBorders>
            <w:noWrap w:val="0"/>
            <w:vAlign w:val="top"/>
          </w:tcPr>
          <w:p w14:paraId="34753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cs="Times New Roman"/>
                <w:b/>
                <w:bCs/>
                <w:color w:val="000000"/>
                <w:sz w:val="28"/>
                <w:szCs w:val="28"/>
              </w:rPr>
            </w:pPr>
            <w:r>
              <w:rPr>
                <w:rFonts w:hint="eastAsia" w:cs="Times New Roman"/>
                <w:b/>
                <w:bCs/>
                <w:color w:val="000000"/>
                <w:sz w:val="28"/>
                <w:szCs w:val="28"/>
                <w:lang w:val="en-US" w:eastAsia="zh-CN"/>
              </w:rPr>
              <w:t>1.</w:t>
            </w:r>
            <w:r>
              <w:rPr>
                <w:rFonts w:hint="default" w:cs="Times New Roman"/>
                <w:b/>
                <w:bCs/>
                <w:color w:val="000000"/>
                <w:sz w:val="28"/>
                <w:szCs w:val="28"/>
              </w:rPr>
              <w:t>施工期生态环境影响分析</w:t>
            </w:r>
          </w:p>
          <w:p w14:paraId="0CEFD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项目</w:t>
            </w:r>
            <w:r>
              <w:rPr>
                <w:rFonts w:hint="eastAsia" w:ascii="Times New Roman" w:hAnsi="Times New Roman" w:eastAsia="宋体" w:cs="Times New Roman"/>
                <w:color w:val="000000"/>
                <w:sz w:val="24"/>
                <w:highlight w:val="none"/>
                <w:lang w:val="en-US" w:eastAsia="zh-CN"/>
              </w:rPr>
              <w:t>拟定施工时长12个月</w:t>
            </w:r>
            <w:r>
              <w:rPr>
                <w:rFonts w:hint="default" w:ascii="Times New Roman" w:hAnsi="Times New Roman" w:eastAsia="宋体" w:cs="Times New Roman"/>
                <w:color w:val="000000"/>
                <w:sz w:val="24"/>
                <w:highlight w:val="none"/>
              </w:rPr>
              <w:t>。施工期间将对周边环境造成一定的影响</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例如：基础施工造成</w:t>
            </w:r>
            <w:r>
              <w:rPr>
                <w:rFonts w:hint="default" w:ascii="Times New Roman" w:hAnsi="Times New Roman" w:eastAsia="宋体" w:cs="Times New Roman"/>
                <w:color w:val="000000"/>
                <w:sz w:val="24"/>
                <w:highlight w:val="none"/>
              </w:rPr>
              <w:t>水土流失、扬尘</w:t>
            </w:r>
            <w:r>
              <w:rPr>
                <w:rFonts w:hint="eastAsia" w:ascii="Times New Roman" w:hAnsi="Times New Roman" w:eastAsia="宋体" w:cs="Times New Roman"/>
                <w:color w:val="000000"/>
                <w:sz w:val="24"/>
                <w:highlight w:val="none"/>
                <w:lang w:val="en-US" w:eastAsia="zh-CN"/>
              </w:rPr>
              <w:t>污染、施工废水、机械设备运行造成噪声污染及生态影响等</w:t>
            </w:r>
            <w:r>
              <w:rPr>
                <w:rFonts w:hint="default" w:ascii="Times New Roman" w:hAnsi="Times New Roman" w:eastAsia="宋体" w:cs="Times New Roman"/>
                <w:color w:val="000000"/>
                <w:sz w:val="24"/>
                <w:highlight w:val="none"/>
              </w:rPr>
              <w:t>。</w:t>
            </w:r>
          </w:p>
          <w:p w14:paraId="3CB76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cs="Times New Roman"/>
                <w:b w:val="0"/>
                <w:bCs w:val="0"/>
                <w:color w:val="000000"/>
              </w:rPr>
            </w:pPr>
            <w:r>
              <w:rPr>
                <w:rFonts w:hint="default" w:cs="Times New Roman"/>
                <w:b/>
                <w:bCs/>
                <w:color w:val="000000"/>
              </w:rPr>
              <w:t>1.</w:t>
            </w:r>
            <w:r>
              <w:rPr>
                <w:rFonts w:hint="eastAsia" w:cs="Times New Roman"/>
                <w:b/>
                <w:bCs/>
                <w:color w:val="000000"/>
                <w:lang w:val="en-US" w:eastAsia="zh-CN"/>
              </w:rPr>
              <w:t>1</w:t>
            </w:r>
            <w:r>
              <w:rPr>
                <w:rFonts w:hint="default" w:cs="Times New Roman"/>
                <w:b/>
                <w:bCs/>
                <w:color w:val="000000"/>
              </w:rPr>
              <w:t>生态环境影响分析</w:t>
            </w:r>
          </w:p>
          <w:p w14:paraId="2A924BF1">
            <w:pPr>
              <w:pageBreakBefore w:val="0"/>
              <w:wordWrap/>
              <w:overflowPunct/>
              <w:topLinePunct w:val="0"/>
              <w:bidi w:val="0"/>
              <w:adjustRightInd/>
              <w:snapToGrid/>
              <w:spacing w:line="360" w:lineRule="auto"/>
              <w:ind w:left="0" w:leftChars="0" w:right="0" w:rightChars="0" w:firstLine="480" w:firstLineChars="200"/>
              <w:rPr>
                <w:highlight w:val="none"/>
              </w:rPr>
            </w:pPr>
            <w:r>
              <w:rPr>
                <w:rFonts w:hint="eastAsia"/>
                <w:highlight w:val="none"/>
                <w:lang w:val="en-US" w:eastAsia="zh-CN"/>
              </w:rPr>
              <w:t>施工期环境影响主要表现为输煤廊道基础施工行为，</w:t>
            </w:r>
            <w:r>
              <w:rPr>
                <w:rFonts w:hint="eastAsia"/>
                <w:highlight w:val="none"/>
              </w:rPr>
              <w:t>施工带清理、开挖和施工活动中施工机械、人员践踏对土壤的扰动、植被的破坏和造成水土流失，对局部生态环境有一定的影响。</w:t>
            </w:r>
          </w:p>
          <w:p w14:paraId="54E0F3D6">
            <w:pPr>
              <w:pageBreakBefore w:val="0"/>
              <w:wordWrap/>
              <w:overflowPunct/>
              <w:topLinePunct w:val="0"/>
              <w:bidi w:val="0"/>
              <w:adjustRightInd/>
              <w:snapToGrid/>
              <w:spacing w:line="360" w:lineRule="auto"/>
              <w:ind w:left="0" w:leftChars="0" w:right="0" w:rightChars="0" w:firstLine="480" w:firstLineChars="200"/>
              <w:rPr>
                <w:highlight w:val="none"/>
              </w:rPr>
            </w:pPr>
            <w:r>
              <w:rPr>
                <w:highlight w:val="none"/>
              </w:rPr>
              <w:t>建设的影响包括</w:t>
            </w:r>
            <w:r>
              <w:rPr>
                <w:rFonts w:hint="eastAsia"/>
                <w:highlight w:val="none"/>
                <w:lang w:val="en-US" w:eastAsia="zh-CN"/>
              </w:rPr>
              <w:t>施工</w:t>
            </w:r>
            <w:r>
              <w:rPr>
                <w:highlight w:val="none"/>
              </w:rPr>
              <w:t>临时占地以及施工活动的所有区域，主要影响表现在：</w:t>
            </w:r>
            <w:r>
              <w:rPr>
                <w:rFonts w:hint="eastAsia"/>
                <w:highlight w:val="none"/>
                <w:lang w:val="en-US" w:eastAsia="zh-CN"/>
              </w:rPr>
              <w:t>工程</w:t>
            </w:r>
            <w:r>
              <w:rPr>
                <w:highlight w:val="none"/>
              </w:rPr>
              <w:t>修建过程中对土壤及</w:t>
            </w:r>
            <w:r>
              <w:rPr>
                <w:rFonts w:hint="eastAsia"/>
                <w:highlight w:val="none"/>
                <w:lang w:val="en-US" w:eastAsia="zh-CN"/>
              </w:rPr>
              <w:t>项目沿线及周边</w:t>
            </w:r>
            <w:r>
              <w:rPr>
                <w:highlight w:val="none"/>
              </w:rPr>
              <w:t>植被的影响。</w:t>
            </w:r>
          </w:p>
          <w:p w14:paraId="58A089D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highlight w:val="none"/>
              </w:rPr>
            </w:pPr>
            <w:r>
              <w:rPr>
                <w:highlight w:val="none"/>
              </w:rPr>
              <w:t>（1）</w:t>
            </w:r>
            <w:r>
              <w:rPr>
                <w:rFonts w:hint="eastAsia"/>
                <w:highlight w:val="none"/>
                <w:lang w:val="en-US" w:eastAsia="zh-CN"/>
              </w:rPr>
              <w:t>施工期</w:t>
            </w:r>
            <w:r>
              <w:rPr>
                <w:highlight w:val="none"/>
              </w:rPr>
              <w:t>临时占地对地表破坏的影响</w:t>
            </w:r>
          </w:p>
          <w:p w14:paraId="4D510D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highlight w:val="none"/>
                <w:lang w:eastAsia="zh-CN"/>
              </w:rPr>
            </w:pPr>
            <w:r>
              <w:rPr>
                <w:highlight w:val="none"/>
              </w:rPr>
              <w:t>施工弃方在沿线不合理的堆放，会扩大占用土地的面积而且使表层</w:t>
            </w:r>
            <w:r>
              <w:rPr>
                <w:rFonts w:hint="eastAsia"/>
                <w:highlight w:val="none"/>
                <w:lang w:eastAsia="zh-CN"/>
              </w:rPr>
              <w:t>土壤</w:t>
            </w:r>
            <w:r>
              <w:rPr>
                <w:highlight w:val="none"/>
              </w:rPr>
              <w:t>被掩盖，影响景观而且对地表植被恢复造成困难，同时产生新的水土流失</w:t>
            </w:r>
            <w:r>
              <w:rPr>
                <w:rFonts w:hint="eastAsia"/>
                <w:highlight w:val="none"/>
                <w:lang w:eastAsia="zh-CN"/>
              </w:rPr>
              <w:t>。</w:t>
            </w:r>
          </w:p>
          <w:p w14:paraId="5928807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highlight w:val="none"/>
              </w:rPr>
            </w:pPr>
            <w:r>
              <w:rPr>
                <w:highlight w:val="none"/>
              </w:rPr>
              <w:t>（2）永久占地对土壤的影响</w:t>
            </w:r>
          </w:p>
          <w:p w14:paraId="2848FE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highlight w:val="none"/>
              </w:rPr>
            </w:pPr>
            <w:r>
              <w:rPr>
                <w:rFonts w:hint="eastAsia"/>
                <w:highlight w:val="none"/>
                <w:lang w:val="en-US" w:eastAsia="zh-CN"/>
              </w:rPr>
              <w:t>输煤廊道</w:t>
            </w:r>
            <w:r>
              <w:rPr>
                <w:highlight w:val="none"/>
              </w:rPr>
              <w:t>工程占地为永久性占地，地表土壤在施工过程中将彻底清除或被覆盖，施工结束后被碎石等替代，从根本上改变了占地区地表覆盖层类型和性质，地表土壤永久不可恢复。</w:t>
            </w:r>
          </w:p>
          <w:p w14:paraId="0CA842E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zh-CN" w:eastAsia="zh-CN"/>
              </w:rPr>
            </w:pPr>
            <w:r>
              <w:rPr>
                <w:highlight w:val="none"/>
              </w:rPr>
              <w:t>（3）</w:t>
            </w:r>
            <w:r>
              <w:rPr>
                <w:rFonts w:hint="eastAsia"/>
                <w:highlight w:val="none"/>
                <w:lang w:eastAsia="zh-CN"/>
              </w:rPr>
              <w:t>对植物的影响分析</w:t>
            </w:r>
          </w:p>
          <w:p w14:paraId="56C034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eastAsia="zh-CN"/>
              </w:rPr>
            </w:pPr>
            <w:r>
              <w:rPr>
                <w:rFonts w:hint="eastAsia"/>
                <w:highlight w:val="none"/>
                <w:lang w:eastAsia="zh-CN"/>
              </w:rPr>
              <w:t>工程在施工过程中，施工机械的碾压、施工人员踩踏等都将不可避免对占地区域植被造成破坏性的影响。施工活动致使项目区转化为人工裸地，导致植被生产能力下降，植被覆盖度降低，</w:t>
            </w:r>
            <w:r>
              <w:rPr>
                <w:rFonts w:hint="eastAsia"/>
                <w:highlight w:val="none"/>
                <w:lang w:val="en-US" w:eastAsia="zh-CN"/>
              </w:rPr>
              <w:t>项目施工时尽量避开自然植被，选择裸露荒地建设，最大程度减少施工期对自然植被的破坏</w:t>
            </w:r>
            <w:r>
              <w:rPr>
                <w:rFonts w:hint="eastAsia"/>
                <w:highlight w:val="none"/>
                <w:lang w:eastAsia="zh-CN"/>
              </w:rPr>
              <w:t>。</w:t>
            </w:r>
          </w:p>
          <w:p w14:paraId="408F61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en-US" w:eastAsia="zh-CN"/>
              </w:rPr>
            </w:pPr>
            <w:r>
              <w:rPr>
                <w:rFonts w:hint="eastAsia"/>
                <w:highlight w:val="none"/>
                <w:lang w:val="en-US" w:eastAsia="zh-CN"/>
              </w:rPr>
              <w:t>项目沿线主要为荒漠戈壁</w:t>
            </w:r>
            <w:r>
              <w:rPr>
                <w:rFonts w:hint="eastAsia"/>
                <w:highlight w:val="none"/>
                <w:lang w:eastAsia="zh-CN"/>
              </w:rPr>
              <w:t>，自然植物种类、数量均较少，</w:t>
            </w:r>
            <w:r>
              <w:rPr>
                <w:rFonts w:hint="eastAsia"/>
                <w:highlight w:val="none"/>
                <w:lang w:val="en-US" w:eastAsia="zh-CN"/>
              </w:rPr>
              <w:t>包括腹果麻黄、黑果枸杞、盐生草等</w:t>
            </w:r>
            <w:r>
              <w:rPr>
                <w:rFonts w:hint="eastAsia"/>
                <w:highlight w:val="none"/>
                <w:lang w:eastAsia="zh-CN"/>
              </w:rPr>
              <w:t>，每年5—</w:t>
            </w:r>
            <w:r>
              <w:rPr>
                <w:rFonts w:hint="eastAsia"/>
                <w:highlight w:val="none"/>
                <w:lang w:val="en-US" w:eastAsia="zh-CN"/>
              </w:rPr>
              <w:t>10</w:t>
            </w:r>
            <w:r>
              <w:rPr>
                <w:rFonts w:hint="eastAsia"/>
                <w:highlight w:val="none"/>
                <w:lang w:eastAsia="zh-CN"/>
              </w:rPr>
              <w:t>月在该区域生长，施工活动致使项目区转化为人工裸地，导致植被生产能力下降，植被覆盖度降低。</w:t>
            </w:r>
            <w:r>
              <w:rPr>
                <w:rFonts w:hint="eastAsia"/>
                <w:highlight w:val="none"/>
                <w:lang w:val="en-US" w:eastAsia="zh-CN"/>
              </w:rPr>
              <w:t>项目沿线及两侧区域地表以砾质戈壁为主，植被发育较差，覆盖度不足</w:t>
            </w: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w:t>
            </w:r>
            <w:r>
              <w:rPr>
                <w:rFonts w:hint="eastAsia"/>
                <w:highlight w:val="none"/>
                <w:lang w:val="en-US" w:eastAsia="zh-CN"/>
              </w:rPr>
              <w:t>植物群种类和数量均贫乏，没有保护植物。工程建设将造成地表植被和植被土层的破坏，应尽量减少和避免工程区域内植被的人为破坏。鉴于工程区植被只有自然植被，在施工结束后要进行人工种植草木来进行植被恢复。</w:t>
            </w:r>
          </w:p>
          <w:p w14:paraId="347C7C7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en-US" w:eastAsia="zh-CN"/>
              </w:rPr>
            </w:pPr>
            <w:r>
              <w:rPr>
                <w:rFonts w:hint="eastAsia"/>
                <w:highlight w:val="none"/>
                <w:lang w:val="en-US" w:eastAsia="zh-CN"/>
              </w:rPr>
              <w:t>由于植物生境的破坏，使得植被覆盖率降低，植物生产能力下降，生物多样性降低，从而导致环境功能的下降。对植被的影响主要有以下两个方面：</w:t>
            </w:r>
          </w:p>
          <w:p w14:paraId="679D443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en-US" w:eastAsia="zh-CN"/>
              </w:rPr>
            </w:pPr>
            <w:r>
              <w:rPr>
                <w:rFonts w:hint="eastAsia"/>
                <w:highlight w:val="none"/>
                <w:lang w:val="en-US" w:eastAsia="zh-CN"/>
              </w:rPr>
              <w:t>①施工过程中产生的悬浮微粒自然沉降在周围植物的叶片上，阻塞气孔，影响植物呼吸和光合作用，有碍植物生长。通过及时洒水降尘以及保持表面含水率等措施，可以有效防止扬尘的产生。</w:t>
            </w:r>
          </w:p>
          <w:p w14:paraId="2255C53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en-US" w:eastAsia="zh-CN"/>
              </w:rPr>
            </w:pPr>
            <w:r>
              <w:rPr>
                <w:rFonts w:hint="eastAsia"/>
                <w:highlight w:val="none"/>
                <w:lang w:val="en-US" w:eastAsia="zh-CN"/>
              </w:rPr>
              <w:t>②固定施工运输路线。在施工过程中，如果缺乏规范和约束，过往车辆和工作人员会对项目沿线的植被随意碾压和践踏，造成土壤板结、物种多样性降低。</w:t>
            </w:r>
          </w:p>
          <w:p w14:paraId="207221E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项目对施工作业点周围的植被产生损坏，造成生物量的损失，间接影响周围生态环境；项目施工弃土依托的现有堆渣场内植被稀疏，施工期弃土堆放过程中要求避开植被区。根据对周边生态环境现状的调查，包括植被生长情况，对照有关资料（主要参考新疆当地有关部门所做的生态损失调查研究成果，结合项目所在区域实际进行测算）和经验公式分析计算。项目总占地面积1</w:t>
            </w:r>
            <w:r>
              <w:rPr>
                <w:rFonts w:hint="eastAsia" w:cs="Times New Roman"/>
                <w:highlight w:val="none"/>
                <w:lang w:val="en-US" w:eastAsia="zh-CN"/>
              </w:rPr>
              <w:t>89270</w:t>
            </w:r>
            <w:r>
              <w:rPr>
                <w:rFonts w:hint="eastAsia" w:ascii="Times New Roman" w:hAnsi="Times New Roman" w:eastAsia="宋体" w:cs="Times New Roman"/>
                <w:highlight w:val="none"/>
                <w:lang w:val="en-US" w:eastAsia="zh-CN"/>
              </w:rPr>
              <w:t>m</w:t>
            </w:r>
            <w:r>
              <w:rPr>
                <w:rFonts w:hint="eastAsia" w:ascii="Times New Roman" w:hAnsi="Times New Roman" w:eastAsia="宋体" w:cs="Times New Roman"/>
                <w:highlight w:val="none"/>
                <w:vertAlign w:val="superscript"/>
                <w:lang w:val="en-US" w:eastAsia="zh-CN"/>
              </w:rPr>
              <w:t>2</w:t>
            </w:r>
            <w:r>
              <w:rPr>
                <w:rFonts w:hint="eastAsia" w:ascii="Times New Roman" w:hAnsi="Times New Roman" w:eastAsia="宋体" w:cs="Times New Roman"/>
                <w:highlight w:val="none"/>
                <w:lang w:val="en-US" w:eastAsia="zh-CN"/>
              </w:rPr>
              <w:t>，占地类型</w:t>
            </w:r>
            <w:r>
              <w:rPr>
                <w:rFonts w:hint="eastAsia" w:cs="Times New Roman"/>
                <w:highlight w:val="none"/>
                <w:lang w:val="en-US" w:eastAsia="zh-CN"/>
              </w:rPr>
              <w:t>包含低密度草地、裸岩石质地和</w:t>
            </w:r>
            <w:r>
              <w:rPr>
                <w:rFonts w:hint="eastAsia" w:ascii="Times New Roman" w:hAnsi="Times New Roman" w:eastAsia="宋体" w:cs="Times New Roman"/>
                <w:highlight w:val="none"/>
                <w:lang w:val="en-US" w:eastAsia="zh-CN"/>
              </w:rPr>
              <w:t>戈壁类，</w:t>
            </w:r>
            <w:r>
              <w:rPr>
                <w:rFonts w:hint="eastAsia" w:cs="Times New Roman"/>
                <w:highlight w:val="none"/>
                <w:lang w:val="en-US" w:eastAsia="zh-CN"/>
              </w:rPr>
              <w:t>根据现场勘查，项目占用低密度草地内植被稀少，以腹果麻黄为主，</w:t>
            </w:r>
            <w:r>
              <w:rPr>
                <w:rFonts w:hint="eastAsia" w:ascii="Times New Roman" w:hAnsi="Times New Roman" w:eastAsia="宋体" w:cs="Times New Roman"/>
                <w:highlight w:val="none"/>
                <w:lang w:val="en-US" w:eastAsia="zh-CN"/>
              </w:rPr>
              <w:t>根据《天然草原等级评定技术规范》（NY/T1579-2007）判断腹果麻黄属于劣质牧草。项目永久性及临时性占地各植被类型生物量损失，见下表4-1。</w:t>
            </w:r>
          </w:p>
          <w:p w14:paraId="5C04619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color w:val="auto"/>
                <w:sz w:val="21"/>
                <w:szCs w:val="21"/>
              </w:rPr>
            </w:pPr>
            <w:r>
              <w:rPr>
                <w:rFonts w:hint="eastAsia"/>
                <w:b/>
                <w:color w:val="auto"/>
                <w:sz w:val="21"/>
                <w:szCs w:val="21"/>
              </w:rPr>
              <w:t>表</w:t>
            </w:r>
            <w:r>
              <w:rPr>
                <w:rFonts w:hint="eastAsia"/>
                <w:b/>
                <w:color w:val="auto"/>
                <w:sz w:val="21"/>
                <w:szCs w:val="21"/>
                <w:lang w:val="en-US" w:eastAsia="zh-CN"/>
              </w:rPr>
              <w:t>4</w:t>
            </w:r>
            <w:r>
              <w:rPr>
                <w:rFonts w:hint="eastAsia"/>
                <w:b/>
                <w:color w:val="auto"/>
                <w:sz w:val="21"/>
                <w:szCs w:val="21"/>
              </w:rPr>
              <w:t xml:space="preserve">-1   </w:t>
            </w:r>
            <w:r>
              <w:rPr>
                <w:rFonts w:hint="eastAsia"/>
                <w:b/>
                <w:color w:val="auto"/>
                <w:sz w:val="21"/>
                <w:szCs w:val="21"/>
                <w:lang w:val="en-US" w:eastAsia="zh-CN"/>
              </w:rPr>
              <w:t xml:space="preserve">  </w:t>
            </w:r>
            <w:r>
              <w:rPr>
                <w:rFonts w:hint="eastAsia"/>
                <w:b/>
                <w:color w:val="auto"/>
                <w:sz w:val="21"/>
                <w:szCs w:val="21"/>
              </w:rPr>
              <w:t>植被类型生物量损失</w:t>
            </w:r>
          </w:p>
          <w:tbl>
            <w:tblPr>
              <w:tblStyle w:val="42"/>
              <w:tblpPr w:leftFromText="45" w:rightFromText="45" w:vertAnchor="text" w:tblpXSpec="center" w:tblpYSpec="center"/>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2683"/>
              <w:gridCol w:w="1466"/>
              <w:gridCol w:w="1868"/>
              <w:gridCol w:w="1779"/>
            </w:tblGrid>
            <w:tr w14:paraId="12905730">
              <w:tblPrEx>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PrEx>
              <w:tc>
                <w:tcPr>
                  <w:tcW w:w="2661" w:type="pct"/>
                  <w:gridSpan w:val="2"/>
                  <w:tcBorders>
                    <w:tl2br w:val="nil"/>
                    <w:tr2bl w:val="nil"/>
                  </w:tcBorders>
                  <w:noWrap w:val="0"/>
                  <w:vAlign w:val="center"/>
                </w:tcPr>
                <w:p w14:paraId="65BE3120">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r>
                    <w:rPr>
                      <w:rFonts w:hint="eastAsia"/>
                      <w:color w:val="auto"/>
                      <w:sz w:val="21"/>
                      <w:szCs w:val="21"/>
                    </w:rPr>
                    <w:t>工程占用植被类型及面积</w:t>
                  </w:r>
                </w:p>
              </w:tc>
              <w:tc>
                <w:tcPr>
                  <w:tcW w:w="1198" w:type="pct"/>
                  <w:vMerge w:val="restart"/>
                  <w:tcBorders>
                    <w:tl2br w:val="nil"/>
                    <w:tr2bl w:val="nil"/>
                  </w:tcBorders>
                  <w:noWrap w:val="0"/>
                  <w:vAlign w:val="center"/>
                </w:tcPr>
                <w:p w14:paraId="7DCBD201">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r>
                    <w:rPr>
                      <w:rFonts w:hint="eastAsia"/>
                      <w:color w:val="auto"/>
                      <w:sz w:val="21"/>
                      <w:szCs w:val="21"/>
                    </w:rPr>
                    <w:t>植被类型平均总生物量（t</w:t>
                  </w:r>
                  <w:r>
                    <w:rPr>
                      <w:color w:val="auto"/>
                      <w:sz w:val="21"/>
                      <w:szCs w:val="21"/>
                    </w:rPr>
                    <w:t>/m</w:t>
                  </w:r>
                  <w:r>
                    <w:rPr>
                      <w:color w:val="auto"/>
                      <w:sz w:val="21"/>
                      <w:szCs w:val="21"/>
                      <w:vertAlign w:val="superscript"/>
                    </w:rPr>
                    <w:t>2</w:t>
                  </w:r>
                  <w:r>
                    <w:rPr>
                      <w:rFonts w:hint="eastAsia"/>
                      <w:color w:val="auto"/>
                      <w:sz w:val="21"/>
                      <w:szCs w:val="21"/>
                    </w:rPr>
                    <w:t>）</w:t>
                  </w:r>
                </w:p>
              </w:tc>
              <w:tc>
                <w:tcPr>
                  <w:tcW w:w="1139" w:type="pct"/>
                  <w:vMerge w:val="restart"/>
                  <w:tcBorders>
                    <w:tl2br w:val="nil"/>
                    <w:tr2bl w:val="nil"/>
                  </w:tcBorders>
                  <w:noWrap w:val="0"/>
                  <w:vAlign w:val="center"/>
                </w:tcPr>
                <w:p w14:paraId="762194A2">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r>
                    <w:rPr>
                      <w:rFonts w:hint="eastAsia"/>
                      <w:color w:val="auto"/>
                      <w:sz w:val="21"/>
                      <w:szCs w:val="21"/>
                    </w:rPr>
                    <w:t>损失生物量（</w:t>
                  </w:r>
                  <w:r>
                    <w:rPr>
                      <w:color w:val="auto"/>
                      <w:sz w:val="21"/>
                      <w:szCs w:val="21"/>
                    </w:rPr>
                    <w:t>t</w:t>
                  </w:r>
                  <w:r>
                    <w:rPr>
                      <w:rFonts w:hint="eastAsia"/>
                      <w:color w:val="auto"/>
                      <w:sz w:val="21"/>
                      <w:szCs w:val="21"/>
                    </w:rPr>
                    <w:t>）</w:t>
                  </w:r>
                </w:p>
              </w:tc>
            </w:tr>
            <w:tr w14:paraId="52FD8727">
              <w:tblPrEx>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CellMar>
                  <w:top w:w="0" w:type="dxa"/>
                  <w:left w:w="108" w:type="dxa"/>
                  <w:bottom w:w="0" w:type="dxa"/>
                  <w:right w:w="108" w:type="dxa"/>
                </w:tblCellMar>
              </w:tblPrEx>
              <w:tc>
                <w:tcPr>
                  <w:tcW w:w="1721" w:type="pct"/>
                  <w:tcBorders>
                    <w:tl2br w:val="nil"/>
                    <w:tr2bl w:val="nil"/>
                  </w:tcBorders>
                  <w:noWrap w:val="0"/>
                  <w:vAlign w:val="center"/>
                </w:tcPr>
                <w:p w14:paraId="5D6722F5">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r>
                    <w:rPr>
                      <w:rFonts w:hint="eastAsia"/>
                      <w:color w:val="auto"/>
                      <w:sz w:val="21"/>
                      <w:szCs w:val="21"/>
                    </w:rPr>
                    <w:t>类型</w:t>
                  </w:r>
                </w:p>
              </w:tc>
              <w:tc>
                <w:tcPr>
                  <w:tcW w:w="940" w:type="pct"/>
                  <w:tcBorders>
                    <w:tl2br w:val="nil"/>
                    <w:tr2bl w:val="nil"/>
                  </w:tcBorders>
                  <w:noWrap w:val="0"/>
                  <w:vAlign w:val="center"/>
                </w:tcPr>
                <w:p w14:paraId="77F9B43B">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r>
                    <w:rPr>
                      <w:rFonts w:hint="eastAsia"/>
                      <w:color w:val="auto"/>
                      <w:sz w:val="21"/>
                      <w:szCs w:val="21"/>
                    </w:rPr>
                    <w:t>面积（</w:t>
                  </w:r>
                  <w:r>
                    <w:rPr>
                      <w:color w:val="auto"/>
                      <w:sz w:val="21"/>
                      <w:szCs w:val="21"/>
                    </w:rPr>
                    <w:t>m</w:t>
                  </w:r>
                  <w:r>
                    <w:rPr>
                      <w:color w:val="auto"/>
                      <w:sz w:val="21"/>
                      <w:szCs w:val="21"/>
                      <w:vertAlign w:val="superscript"/>
                    </w:rPr>
                    <w:t>2</w:t>
                  </w:r>
                  <w:r>
                    <w:rPr>
                      <w:rFonts w:hint="eastAsia"/>
                      <w:color w:val="auto"/>
                      <w:sz w:val="21"/>
                      <w:szCs w:val="21"/>
                    </w:rPr>
                    <w:t>）</w:t>
                  </w:r>
                </w:p>
              </w:tc>
              <w:tc>
                <w:tcPr>
                  <w:tcW w:w="1198" w:type="pct"/>
                  <w:vMerge w:val="continue"/>
                  <w:tcBorders>
                    <w:tl2br w:val="nil"/>
                    <w:tr2bl w:val="nil"/>
                  </w:tcBorders>
                  <w:noWrap w:val="0"/>
                  <w:vAlign w:val="center"/>
                </w:tcPr>
                <w:p w14:paraId="76CB9DD8">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p>
              </w:tc>
              <w:tc>
                <w:tcPr>
                  <w:tcW w:w="1139" w:type="pct"/>
                  <w:vMerge w:val="continue"/>
                  <w:tcBorders>
                    <w:tl2br w:val="nil"/>
                    <w:tr2bl w:val="nil"/>
                  </w:tcBorders>
                  <w:noWrap w:val="0"/>
                  <w:vAlign w:val="center"/>
                </w:tcPr>
                <w:p w14:paraId="5BF98BAA">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p>
              </w:tc>
            </w:tr>
            <w:tr w14:paraId="00698BF5">
              <w:tblPrEx>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PrEx>
              <w:tc>
                <w:tcPr>
                  <w:tcW w:w="5000" w:type="pct"/>
                  <w:gridSpan w:val="4"/>
                  <w:tcBorders>
                    <w:tl2br w:val="nil"/>
                    <w:tr2bl w:val="nil"/>
                  </w:tcBorders>
                  <w:noWrap w:val="0"/>
                  <w:vAlign w:val="center"/>
                </w:tcPr>
                <w:p w14:paraId="2067CDA1">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kern w:val="0"/>
                      <w:sz w:val="21"/>
                      <w:szCs w:val="21"/>
                      <w:lang w:bidi="ar"/>
                    </w:rPr>
                  </w:pPr>
                  <w:r>
                    <w:rPr>
                      <w:rFonts w:hint="eastAsia"/>
                      <w:b/>
                      <w:bCs/>
                      <w:color w:val="auto"/>
                      <w:sz w:val="21"/>
                      <w:szCs w:val="21"/>
                    </w:rPr>
                    <w:t>永久性占地</w:t>
                  </w:r>
                </w:p>
              </w:tc>
            </w:tr>
            <w:tr w14:paraId="1B5A2654">
              <w:tblPrEx>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1721" w:type="pct"/>
                  <w:tcBorders>
                    <w:tl2br w:val="nil"/>
                    <w:tr2bl w:val="nil"/>
                  </w:tcBorders>
                  <w:noWrap w:val="0"/>
                  <w:vAlign w:val="center"/>
                </w:tcPr>
                <w:p w14:paraId="7252EAD3">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低密度草地、裸岩石质地、戈壁</w:t>
                  </w:r>
                </w:p>
              </w:tc>
              <w:tc>
                <w:tcPr>
                  <w:tcW w:w="940" w:type="pct"/>
                  <w:tcBorders>
                    <w:tl2br w:val="nil"/>
                    <w:tr2bl w:val="nil"/>
                  </w:tcBorders>
                  <w:noWrap w:val="0"/>
                  <w:vAlign w:val="center"/>
                </w:tcPr>
                <w:p w14:paraId="703978AF">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189270</w:t>
                  </w:r>
                </w:p>
              </w:tc>
              <w:tc>
                <w:tcPr>
                  <w:tcW w:w="1198" w:type="pct"/>
                  <w:tcBorders>
                    <w:tl2br w:val="nil"/>
                    <w:tr2bl w:val="nil"/>
                  </w:tcBorders>
                  <w:noWrap w:val="0"/>
                  <w:vAlign w:val="center"/>
                </w:tcPr>
                <w:p w14:paraId="6E4D38A4">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5×10</w:t>
                  </w:r>
                  <w:r>
                    <w:rPr>
                      <w:rFonts w:hint="eastAsia"/>
                      <w:color w:val="auto"/>
                      <w:sz w:val="21"/>
                      <w:szCs w:val="21"/>
                      <w:vertAlign w:val="superscript"/>
                      <w:lang w:val="en-US" w:eastAsia="zh-CN"/>
                    </w:rPr>
                    <w:t>-5</w:t>
                  </w:r>
                </w:p>
              </w:tc>
              <w:tc>
                <w:tcPr>
                  <w:tcW w:w="1139" w:type="pct"/>
                  <w:tcBorders>
                    <w:tl2br w:val="nil"/>
                    <w:tr2bl w:val="nil"/>
                  </w:tcBorders>
                  <w:noWrap w:val="0"/>
                  <w:vAlign w:val="center"/>
                </w:tcPr>
                <w:p w14:paraId="6A86D1BD">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bidi="ar"/>
                    </w:rPr>
                    <w:t>-</w:t>
                  </w:r>
                  <w:r>
                    <w:rPr>
                      <w:rFonts w:hint="eastAsia"/>
                      <w:color w:val="auto"/>
                      <w:kern w:val="0"/>
                      <w:sz w:val="21"/>
                      <w:szCs w:val="21"/>
                      <w:lang w:val="en-US" w:eastAsia="zh-CN" w:bidi="ar"/>
                    </w:rPr>
                    <w:t>9.46</w:t>
                  </w:r>
                </w:p>
              </w:tc>
            </w:tr>
            <w:tr w14:paraId="55D7B914">
              <w:tblPrEx>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CellMar>
                  <w:top w:w="0" w:type="dxa"/>
                  <w:left w:w="108" w:type="dxa"/>
                  <w:bottom w:w="0" w:type="dxa"/>
                  <w:right w:w="108" w:type="dxa"/>
                </w:tblCellMar>
              </w:tblPrEx>
              <w:tc>
                <w:tcPr>
                  <w:tcW w:w="1721" w:type="pct"/>
                  <w:tcBorders>
                    <w:tl2br w:val="nil"/>
                    <w:tr2bl w:val="nil"/>
                  </w:tcBorders>
                  <w:noWrap w:val="0"/>
                  <w:vAlign w:val="center"/>
                </w:tcPr>
                <w:p w14:paraId="523D18A9">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sz w:val="21"/>
                      <w:szCs w:val="21"/>
                    </w:rPr>
                  </w:pPr>
                  <w:r>
                    <w:rPr>
                      <w:rFonts w:hint="eastAsia"/>
                      <w:color w:val="auto"/>
                      <w:sz w:val="21"/>
                      <w:szCs w:val="21"/>
                    </w:rPr>
                    <w:t>合计</w:t>
                  </w:r>
                </w:p>
              </w:tc>
              <w:tc>
                <w:tcPr>
                  <w:tcW w:w="940" w:type="pct"/>
                  <w:tcBorders>
                    <w:tl2br w:val="nil"/>
                    <w:tr2bl w:val="nil"/>
                  </w:tcBorders>
                  <w:noWrap w:val="0"/>
                  <w:vAlign w:val="center"/>
                </w:tcPr>
                <w:p w14:paraId="2405885E">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eastAsia="宋体"/>
                      <w:color w:val="auto"/>
                      <w:kern w:val="0"/>
                      <w:sz w:val="21"/>
                      <w:szCs w:val="21"/>
                      <w:lang w:val="en-US" w:eastAsia="zh-CN" w:bidi="ar"/>
                    </w:rPr>
                  </w:pPr>
                  <w:r>
                    <w:rPr>
                      <w:rFonts w:hint="eastAsia"/>
                      <w:color w:val="auto"/>
                      <w:sz w:val="21"/>
                      <w:szCs w:val="21"/>
                      <w:lang w:val="en-US" w:eastAsia="zh-CN"/>
                    </w:rPr>
                    <w:t>189270</w:t>
                  </w:r>
                </w:p>
              </w:tc>
              <w:tc>
                <w:tcPr>
                  <w:tcW w:w="1198" w:type="pct"/>
                  <w:tcBorders>
                    <w:tl2br w:val="nil"/>
                    <w:tr2bl w:val="nil"/>
                  </w:tcBorders>
                  <w:noWrap w:val="0"/>
                  <w:vAlign w:val="center"/>
                </w:tcPr>
                <w:p w14:paraId="014D4F8A">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color w:val="auto"/>
                      <w:kern w:val="0"/>
                      <w:sz w:val="21"/>
                      <w:szCs w:val="21"/>
                      <w:lang w:bidi="ar"/>
                    </w:rPr>
                  </w:pPr>
                  <w:r>
                    <w:rPr>
                      <w:color w:val="auto"/>
                      <w:sz w:val="21"/>
                      <w:szCs w:val="21"/>
                    </w:rPr>
                    <w:t>-</w:t>
                  </w:r>
                </w:p>
              </w:tc>
              <w:tc>
                <w:tcPr>
                  <w:tcW w:w="1139" w:type="pct"/>
                  <w:tcBorders>
                    <w:tl2br w:val="nil"/>
                    <w:tr2bl w:val="nil"/>
                  </w:tcBorders>
                  <w:noWrap w:val="0"/>
                  <w:vAlign w:val="center"/>
                </w:tcPr>
                <w:p w14:paraId="548A3232">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bidi="ar"/>
                    </w:rPr>
                    <w:t>-</w:t>
                  </w:r>
                  <w:r>
                    <w:rPr>
                      <w:rFonts w:hint="eastAsia"/>
                      <w:color w:val="auto"/>
                      <w:kern w:val="0"/>
                      <w:sz w:val="21"/>
                      <w:szCs w:val="21"/>
                      <w:lang w:val="en-US" w:eastAsia="zh-CN" w:bidi="ar"/>
                    </w:rPr>
                    <w:t>9.46</w:t>
                  </w:r>
                </w:p>
              </w:tc>
            </w:tr>
            <w:tr w14:paraId="0C70E015">
              <w:tblPrEx>
                <w:tblBorders>
                  <w:top w:val="single" w:color="auto" w:sz="12" w:space="0"/>
                  <w:left w:val="dotted" w:color="auto" w:sz="4" w:space="0"/>
                  <w:bottom w:val="single" w:color="auto" w:sz="12" w:space="0"/>
                  <w:right w:val="dotted" w:color="auto" w:sz="4" w:space="0"/>
                  <w:insideH w:val="single" w:color="auto" w:sz="4" w:space="0"/>
                  <w:insideV w:val="single" w:color="auto" w:sz="6"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7F6F51EA">
                  <w:pPr>
                    <w:keepNext w:val="0"/>
                    <w:keepLines w:val="0"/>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left"/>
                    <w:rPr>
                      <w:color w:val="auto"/>
                      <w:sz w:val="21"/>
                      <w:szCs w:val="21"/>
                    </w:rPr>
                  </w:pPr>
                  <w:r>
                    <w:rPr>
                      <w:rFonts w:hint="eastAsia"/>
                      <w:color w:val="auto"/>
                      <w:sz w:val="21"/>
                      <w:szCs w:val="21"/>
                      <w:lang w:val="en-US" w:eastAsia="zh-CN"/>
                    </w:rPr>
                    <w:t>参考</w:t>
                  </w:r>
                  <w:r>
                    <w:rPr>
                      <w:color w:val="auto"/>
                      <w:sz w:val="21"/>
                      <w:szCs w:val="21"/>
                    </w:rPr>
                    <w:t>《</w:t>
                  </w:r>
                  <w:r>
                    <w:rPr>
                      <w:rFonts w:hint="eastAsia"/>
                      <w:color w:val="auto"/>
                      <w:sz w:val="21"/>
                      <w:szCs w:val="21"/>
                    </w:rPr>
                    <w:t>天然草原等级评定技术规范</w:t>
                  </w:r>
                  <w:r>
                    <w:rPr>
                      <w:color w:val="auto"/>
                      <w:sz w:val="21"/>
                      <w:szCs w:val="21"/>
                    </w:rPr>
                    <w:t>》</w:t>
                  </w:r>
                  <w:r>
                    <w:rPr>
                      <w:rFonts w:hint="eastAsia"/>
                      <w:color w:val="auto"/>
                      <w:sz w:val="21"/>
                      <w:szCs w:val="21"/>
                      <w:lang w:eastAsia="zh-CN"/>
                    </w:rPr>
                    <w:t>（</w:t>
                  </w:r>
                  <w:r>
                    <w:rPr>
                      <w:rFonts w:hint="eastAsia"/>
                      <w:color w:val="auto"/>
                      <w:sz w:val="21"/>
                      <w:szCs w:val="21"/>
                      <w:lang w:val="en-US" w:eastAsia="zh-CN"/>
                    </w:rPr>
                    <w:t>NY/T1579-2007</w:t>
                  </w:r>
                  <w:r>
                    <w:rPr>
                      <w:rFonts w:hint="eastAsia"/>
                      <w:color w:val="auto"/>
                      <w:sz w:val="21"/>
                      <w:szCs w:val="21"/>
                      <w:lang w:eastAsia="zh-CN"/>
                    </w:rPr>
                    <w:t>）</w:t>
                  </w:r>
                  <w:r>
                    <w:rPr>
                      <w:rFonts w:hint="eastAsia"/>
                      <w:color w:val="auto"/>
                      <w:sz w:val="21"/>
                      <w:szCs w:val="21"/>
                      <w:lang w:val="en-US" w:eastAsia="zh-CN"/>
                    </w:rPr>
                    <w:t>草原等级核算损失量</w:t>
                  </w:r>
                  <w:r>
                    <w:rPr>
                      <w:color w:val="auto"/>
                      <w:sz w:val="21"/>
                      <w:szCs w:val="21"/>
                    </w:rPr>
                    <w:t>，</w:t>
                  </w:r>
                  <w:r>
                    <w:rPr>
                      <w:rFonts w:hint="eastAsia"/>
                      <w:color w:val="auto"/>
                      <w:sz w:val="21"/>
                      <w:szCs w:val="21"/>
                      <w:lang w:val="en-US" w:eastAsia="zh-CN"/>
                    </w:rPr>
                    <w:t>根据项目占地资料判断本项目所在区域</w:t>
                  </w:r>
                  <w:r>
                    <w:rPr>
                      <w:color w:val="auto"/>
                      <w:sz w:val="21"/>
                      <w:szCs w:val="21"/>
                    </w:rPr>
                    <w:t>平均每公顷平均生物量</w:t>
                  </w:r>
                  <w:r>
                    <w:rPr>
                      <w:rFonts w:hint="eastAsia"/>
                      <w:color w:val="auto"/>
                      <w:sz w:val="21"/>
                      <w:szCs w:val="21"/>
                      <w:lang w:val="en-US" w:eastAsia="zh-CN"/>
                    </w:rPr>
                    <w:t>500</w:t>
                  </w:r>
                  <w:r>
                    <w:rPr>
                      <w:color w:val="auto"/>
                      <w:sz w:val="21"/>
                      <w:szCs w:val="21"/>
                    </w:rPr>
                    <w:t>kg计算。</w:t>
                  </w:r>
                </w:p>
              </w:tc>
            </w:tr>
          </w:tbl>
          <w:p w14:paraId="380A32B7">
            <w:pPr>
              <w:pStyle w:val="30"/>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en-US" w:eastAsia="zh-CN"/>
              </w:rPr>
            </w:pPr>
            <w:r>
              <w:rPr>
                <w:rFonts w:hint="eastAsia" w:ascii="Times New Roman" w:hAnsi="Times New Roman" w:eastAsia="宋体" w:cs="Times New Roman"/>
                <w:b w:val="0"/>
                <w:kern w:val="2"/>
                <w:sz w:val="24"/>
                <w:szCs w:val="24"/>
                <w:highlight w:val="none"/>
                <w:lang w:val="en-US" w:eastAsia="zh-CN" w:bidi="ar-SA"/>
              </w:rPr>
              <w:t>由表4-1中数据可以看出，项目建设对植被存在一定的影响，但总体损失量相对不大，并不会使区内生态体系的生物量发生明显的改变。</w:t>
            </w:r>
            <w:r>
              <w:rPr>
                <w:rFonts w:hint="eastAsia"/>
                <w:highlight w:val="none"/>
                <w:lang w:val="en-US" w:eastAsia="zh-CN"/>
              </w:rPr>
              <w:t xml:space="preserve"> </w:t>
            </w:r>
          </w:p>
          <w:p w14:paraId="5334F3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val="en-US" w:eastAsia="zh-CN"/>
              </w:rPr>
            </w:pPr>
            <w:r>
              <w:rPr>
                <w:rFonts w:hint="eastAsia"/>
                <w:highlight w:val="none"/>
                <w:lang w:val="en-US" w:eastAsia="zh-CN"/>
              </w:rPr>
              <w:t>通过收集项目区当地资料并结合现场调查的情况来看，项目沿线及周围没有珍稀濒危及受保护的植物物种，项目选址所在区域植被稀疏，植被类型简单、覆盖率较低，因此，该项目的建设对整个区域植被的群落组成、覆盖度、频率、密度以及连续性等影响在可接受范围内。</w:t>
            </w:r>
          </w:p>
          <w:p w14:paraId="5A9628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）对野生动物的影响</w:t>
            </w:r>
          </w:p>
          <w:p w14:paraId="0D19B7D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default"/>
                <w:highlight w:val="none"/>
                <w:lang w:eastAsia="zh-CN"/>
              </w:rPr>
              <w:t>根据现场调查，</w:t>
            </w:r>
            <w:r>
              <w:rPr>
                <w:rFonts w:hint="eastAsia"/>
                <w:highlight w:val="none"/>
                <w:lang w:val="en-US" w:eastAsia="zh-CN"/>
              </w:rPr>
              <w:t>项目沿线及周边</w:t>
            </w:r>
            <w:r>
              <w:rPr>
                <w:rFonts w:hint="default"/>
                <w:highlight w:val="none"/>
                <w:lang w:eastAsia="zh-CN"/>
              </w:rPr>
              <w:t>区域未见大型野生动物</w:t>
            </w:r>
            <w:r>
              <w:rPr>
                <w:rFonts w:hint="eastAsia"/>
                <w:highlight w:val="none"/>
                <w:lang w:eastAsia="zh-CN"/>
              </w:rPr>
              <w:t>，</w:t>
            </w:r>
            <w:r>
              <w:rPr>
                <w:rFonts w:hint="default"/>
                <w:highlight w:val="none"/>
              </w:rPr>
              <w:t>仅生存着小型啮齿类动物、麻雀、燕子、野鼠类等</w:t>
            </w:r>
            <w:r>
              <w:rPr>
                <w:rFonts w:hint="eastAsia"/>
                <w:highlight w:val="none"/>
                <w:lang w:eastAsia="zh-CN"/>
              </w:rPr>
              <w:t>。</w:t>
            </w:r>
            <w:r>
              <w:rPr>
                <w:rFonts w:hint="default"/>
                <w:highlight w:val="none"/>
                <w:lang w:eastAsia="zh-CN"/>
              </w:rPr>
              <w:t>大型野生动物的栖息地一般在远离人类的</w:t>
            </w:r>
            <w:r>
              <w:rPr>
                <w:rFonts w:hint="eastAsia"/>
                <w:highlight w:val="none"/>
                <w:lang w:eastAsia="zh-CN"/>
              </w:rPr>
              <w:t>活动区</w:t>
            </w:r>
            <w:r>
              <w:rPr>
                <w:rFonts w:hint="default"/>
                <w:highlight w:val="none"/>
                <w:lang w:eastAsia="zh-CN"/>
              </w:rPr>
              <w:t>，较少在施工作业区域出现，本工程的建设不会造成野生动物生境割裂或饮水通道被阻断。只要加强施工人员管理，严格限制施工作业范围，不会对野生动物造成不良影响</w:t>
            </w:r>
            <w:r>
              <w:rPr>
                <w:rFonts w:hint="eastAsia" w:ascii="Times New Roman" w:hAnsi="Times New Roman" w:cs="Times New Roman"/>
                <w:b w:val="0"/>
                <w:bCs w:val="0"/>
                <w:kern w:val="2"/>
                <w:sz w:val="24"/>
                <w:szCs w:val="24"/>
                <w:lang w:val="en-US" w:eastAsia="zh-CN" w:bidi="ar-SA"/>
              </w:rPr>
              <w:t>。</w:t>
            </w:r>
          </w:p>
          <w:p w14:paraId="3CF2A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cs="Times New Roman"/>
                <w:b/>
                <w:bCs/>
                <w:color w:val="000000"/>
              </w:rPr>
            </w:pPr>
            <w:r>
              <w:rPr>
                <w:rFonts w:hint="eastAsia" w:cs="Times New Roman"/>
                <w:b/>
                <w:bCs/>
                <w:color w:val="000000"/>
                <w:lang w:val="en-US" w:eastAsia="zh-CN"/>
              </w:rPr>
              <w:t>1.2</w:t>
            </w:r>
            <w:r>
              <w:rPr>
                <w:rFonts w:hint="default" w:cs="Times New Roman"/>
                <w:b/>
                <w:bCs/>
                <w:color w:val="000000"/>
              </w:rPr>
              <w:t>水土流失影响分析</w:t>
            </w:r>
          </w:p>
          <w:p w14:paraId="613E2B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lang w:val="en-US" w:eastAsia="zh-CN"/>
              </w:rPr>
              <w:t>项目</w:t>
            </w:r>
            <w:r>
              <w:rPr>
                <w:rFonts w:hint="default" w:ascii="Times New Roman" w:hAnsi="Times New Roman" w:cs="Times New Roman"/>
                <w:sz w:val="24"/>
                <w:lang w:val="en-US" w:eastAsia="zh-CN"/>
              </w:rPr>
              <w:t>位于轮台县境内，属于《全国水土保持规划》</w:t>
            </w:r>
            <w:r>
              <w:rPr>
                <w:rFonts w:hint="eastAsia" w:ascii="宋体" w:hAnsi="宋体" w:eastAsia="宋体" w:cs="宋体"/>
                <w:sz w:val="24"/>
                <w:lang w:val="en-US" w:eastAsia="zh-CN"/>
              </w:rPr>
              <w:t>中划定的“北方风沙区”。</w:t>
            </w:r>
            <w:r>
              <w:rPr>
                <w:rFonts w:hint="default" w:ascii="Times New Roman" w:hAnsi="Times New Roman" w:cs="Times New Roman"/>
                <w:sz w:val="24"/>
                <w:lang w:val="en-US" w:eastAsia="zh-CN"/>
              </w:rPr>
              <w:t>依据《全国水土保持规划国家级水土流失重点预防区和重点治理区复核划分成果的通知》和</w:t>
            </w:r>
            <w:r>
              <w:rPr>
                <w:rFonts w:hint="eastAsia" w:cs="Times New Roman"/>
                <w:sz w:val="24"/>
                <w:lang w:val="en-US" w:eastAsia="zh-CN"/>
              </w:rPr>
              <w:t>新疆维吾尔自治区水利厅</w:t>
            </w:r>
            <w:r>
              <w:rPr>
                <w:rFonts w:hint="default" w:ascii="Times New Roman" w:hAnsi="Times New Roman" w:cs="Times New Roman"/>
                <w:sz w:val="24"/>
                <w:lang w:val="en-US" w:eastAsia="zh-CN"/>
              </w:rPr>
              <w:t>《关于印发</w:t>
            </w:r>
            <w:bookmarkStart w:id="6" w:name="_GoBack"/>
            <w:r>
              <w:rPr>
                <w:rFonts w:hint="default" w:ascii="Times New Roman" w:hAnsi="Times New Roman" w:cs="Times New Roman"/>
                <w:sz w:val="24"/>
                <w:lang w:val="en-US" w:eastAsia="zh-CN"/>
              </w:rPr>
              <w:t>新疆自治区</w:t>
            </w:r>
            <w:bookmarkEnd w:id="6"/>
            <w:r>
              <w:rPr>
                <w:rFonts w:hint="default" w:ascii="Times New Roman" w:hAnsi="Times New Roman" w:cs="Times New Roman"/>
                <w:sz w:val="24"/>
                <w:lang w:val="en-US" w:eastAsia="zh-CN"/>
              </w:rPr>
              <w:t>级水土流失重点预防区和重点治理区复核划分成果的通知》，项目区属于</w:t>
            </w:r>
            <w:r>
              <w:rPr>
                <w:rFonts w:hint="eastAsia" w:cs="Times New Roman"/>
                <w:color w:val="000000"/>
                <w:kern w:val="2"/>
                <w:sz w:val="24"/>
                <w:szCs w:val="24"/>
                <w:lang w:val="en-US" w:eastAsia="zh-CN" w:bidi="ar-SA"/>
              </w:rPr>
              <w:t>自治区II</w:t>
            </w:r>
            <w:r>
              <w:rPr>
                <w:rFonts w:hint="eastAsia" w:cs="Times New Roman"/>
                <w:color w:val="000000"/>
                <w:kern w:val="2"/>
                <w:sz w:val="24"/>
                <w:szCs w:val="24"/>
                <w:vertAlign w:val="subscript"/>
                <w:lang w:val="en-US" w:eastAsia="zh-CN" w:bidi="ar-SA"/>
              </w:rPr>
              <w:t>3</w:t>
            </w:r>
            <w:r>
              <w:rPr>
                <w:rFonts w:hint="eastAsia" w:cs="Times New Roman"/>
                <w:color w:val="000000"/>
                <w:kern w:val="2"/>
                <w:sz w:val="24"/>
                <w:szCs w:val="24"/>
                <w:lang w:val="en-US" w:eastAsia="zh-CN" w:bidi="ar-SA"/>
              </w:rPr>
              <w:t>塔里木河流域水土流失重点治理区</w:t>
            </w:r>
            <w:r>
              <w:rPr>
                <w:rFonts w:hint="default" w:ascii="Times New Roman" w:hAnsi="Times New Roman" w:cs="Times New Roman"/>
                <w:sz w:val="24"/>
                <w:lang w:val="en-US" w:eastAsia="zh-CN"/>
              </w:rPr>
              <w:t>。</w:t>
            </w:r>
            <w:r>
              <w:rPr>
                <w:rFonts w:hint="eastAsia" w:ascii="Times New Roman" w:hAnsi="Times New Roman" w:cs="Times New Roman"/>
                <w:sz w:val="24"/>
                <w:szCs w:val="24"/>
                <w:lang w:val="en-US" w:eastAsia="zh-CN"/>
              </w:rPr>
              <w:t>本工程水土流失防治责任范围仅为项目建设区，不设立直接影响区。</w:t>
            </w:r>
          </w:p>
          <w:p w14:paraId="2F8C17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本工程建设区主要为水土保持区，防治范围为1</w:t>
            </w:r>
            <w:r>
              <w:rPr>
                <w:rFonts w:hint="eastAsia" w:cs="Times New Roman"/>
                <w:sz w:val="24"/>
                <w:lang w:val="en-US" w:eastAsia="zh-CN"/>
              </w:rPr>
              <w:t>8.927</w:t>
            </w:r>
            <w:r>
              <w:rPr>
                <w:rFonts w:hint="eastAsia" w:ascii="Times New Roman" w:hAnsi="Times New Roman" w:cs="Times New Roman"/>
                <w:sz w:val="24"/>
                <w:lang w:val="en-US" w:eastAsia="zh-CN"/>
              </w:rPr>
              <w:t>hm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w:t>
            </w:r>
          </w:p>
          <w:p w14:paraId="65FCED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本工程施工期水土流失主要影响因素包含：施工机械扰动地表、移动土石方、损坏植被等都会导致水土流失加剧，依据工程建设特点，对水土流失的影响可分为工程建设期和自然恢复期。</w:t>
            </w:r>
          </w:p>
          <w:p w14:paraId="428BFF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（1）防护工程</w:t>
            </w:r>
          </w:p>
          <w:p w14:paraId="51715B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在建设期，大规模的建设活动对地表的扰动，遇到降雨会引发一定量的水土流失，因此雨季是水土流失发生的主要时期。</w:t>
            </w:r>
          </w:p>
          <w:p w14:paraId="2D347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（2）施工场地</w:t>
            </w:r>
          </w:p>
          <w:p w14:paraId="1A694F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施工开始后，大量的施工机械占压、人为扰动剧烈，破坏原有地表结构，加剧了水土流失强度。</w:t>
            </w:r>
          </w:p>
          <w:p w14:paraId="48D061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（3）施工道路</w:t>
            </w:r>
          </w:p>
          <w:p w14:paraId="5FFA38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道路的水土流失主要发生在施工期，路基的填垫由此带来的土、石方挖填、转运，破坏了原有地表的植被，取而代之的是松散的堆垫层土石，一遇降雨很容易发生水土流失。</w:t>
            </w:r>
          </w:p>
          <w:p w14:paraId="79989B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工程建设可能产生的水土流失影响因素分析见表4-2。</w:t>
            </w:r>
          </w:p>
          <w:p w14:paraId="77A866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表4-2    工程可能产生的水土流失影响因素分析表</w:t>
            </w:r>
          </w:p>
          <w:tbl>
            <w:tblPr>
              <w:tblStyle w:val="43"/>
              <w:tblW w:w="5000"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301"/>
              <w:gridCol w:w="5200"/>
            </w:tblGrid>
            <w:tr w14:paraId="602EECE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tcBorders>
                    <w:tl2br w:val="nil"/>
                    <w:tr2bl w:val="nil"/>
                  </w:tcBorders>
                  <w:noWrap w:val="0"/>
                  <w:vAlign w:val="center"/>
                </w:tcPr>
                <w:p w14:paraId="526C89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工程项目</w:t>
                  </w:r>
                </w:p>
              </w:tc>
              <w:tc>
                <w:tcPr>
                  <w:tcW w:w="3333" w:type="pct"/>
                  <w:tcBorders>
                    <w:tl2br w:val="nil"/>
                    <w:tr2bl w:val="nil"/>
                  </w:tcBorders>
                  <w:noWrap w:val="0"/>
                  <w:vAlign w:val="center"/>
                </w:tcPr>
                <w:p w14:paraId="019B61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影响因素</w:t>
                  </w:r>
                </w:p>
              </w:tc>
            </w:tr>
            <w:tr w14:paraId="6A8F361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tcBorders>
                    <w:tl2br w:val="nil"/>
                    <w:tr2bl w:val="nil"/>
                  </w:tcBorders>
                  <w:noWrap w:val="0"/>
                  <w:vAlign w:val="center"/>
                </w:tcPr>
                <w:p w14:paraId="6D8033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防护工程</w:t>
                  </w:r>
                </w:p>
              </w:tc>
              <w:tc>
                <w:tcPr>
                  <w:tcW w:w="834" w:type="pct"/>
                  <w:tcBorders>
                    <w:tl2br w:val="nil"/>
                    <w:tr2bl w:val="nil"/>
                  </w:tcBorders>
                  <w:noWrap w:val="0"/>
                  <w:vAlign w:val="center"/>
                </w:tcPr>
                <w:p w14:paraId="0A00BF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防护工程</w:t>
                  </w:r>
                </w:p>
              </w:tc>
              <w:tc>
                <w:tcPr>
                  <w:tcW w:w="3333" w:type="pct"/>
                  <w:tcBorders>
                    <w:tl2br w:val="nil"/>
                    <w:tr2bl w:val="nil"/>
                  </w:tcBorders>
                  <w:noWrap w:val="0"/>
                  <w:vAlign w:val="center"/>
                </w:tcPr>
                <w:p w14:paraId="54A834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基础开挖扰动地表和土层结构，损坏植被，松散开挖料再堆放时无植被覆盖和工程拦挡，抗蚀能力差。</w:t>
                  </w:r>
                </w:p>
              </w:tc>
            </w:tr>
            <w:tr w14:paraId="56CACA1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tcBorders>
                    <w:tl2br w:val="nil"/>
                    <w:tr2bl w:val="nil"/>
                  </w:tcBorders>
                  <w:noWrap w:val="0"/>
                  <w:vAlign w:val="center"/>
                </w:tcPr>
                <w:p w14:paraId="47D072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834" w:type="pct"/>
                  <w:tcBorders>
                    <w:tl2br w:val="nil"/>
                    <w:tr2bl w:val="nil"/>
                  </w:tcBorders>
                  <w:noWrap w:val="0"/>
                  <w:vAlign w:val="center"/>
                </w:tcPr>
                <w:p w14:paraId="4C26A8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场地整理</w:t>
                  </w:r>
                </w:p>
              </w:tc>
              <w:tc>
                <w:tcPr>
                  <w:tcW w:w="3333" w:type="pct"/>
                  <w:tcBorders>
                    <w:tl2br w:val="nil"/>
                    <w:tr2bl w:val="nil"/>
                  </w:tcBorders>
                  <w:noWrap w:val="0"/>
                  <w:vAlign w:val="center"/>
                </w:tcPr>
                <w:p w14:paraId="1D35DF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场地平整</w:t>
                  </w:r>
                  <w:r>
                    <w:rPr>
                      <w:rFonts w:hint="eastAsia" w:cs="Times New Roman"/>
                      <w:sz w:val="21"/>
                      <w:szCs w:val="21"/>
                      <w:vertAlign w:val="baseline"/>
                      <w:lang w:val="en-US" w:eastAsia="zh-CN"/>
                    </w:rPr>
                    <w:t>时</w:t>
                  </w:r>
                  <w:r>
                    <w:rPr>
                      <w:rFonts w:hint="eastAsia" w:ascii="Times New Roman" w:hAnsi="Times New Roman" w:cs="Times New Roman"/>
                      <w:sz w:val="21"/>
                      <w:szCs w:val="21"/>
                      <w:vertAlign w:val="baseline"/>
                      <w:lang w:val="en-US" w:eastAsia="zh-CN"/>
                    </w:rPr>
                    <w:t>扰动土层结构。</w:t>
                  </w:r>
                </w:p>
              </w:tc>
            </w:tr>
            <w:tr w14:paraId="32FEE5B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tcBorders>
                    <w:tl2br w:val="nil"/>
                    <w:tr2bl w:val="nil"/>
                  </w:tcBorders>
                  <w:noWrap w:val="0"/>
                  <w:vAlign w:val="center"/>
                </w:tcPr>
                <w:p w14:paraId="59E7C9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施工场地</w:t>
                  </w:r>
                </w:p>
              </w:tc>
              <w:tc>
                <w:tcPr>
                  <w:tcW w:w="3333" w:type="pct"/>
                  <w:tcBorders>
                    <w:tl2br w:val="nil"/>
                    <w:tr2bl w:val="nil"/>
                  </w:tcBorders>
                  <w:noWrap w:val="0"/>
                  <w:vAlign w:val="center"/>
                </w:tcPr>
                <w:p w14:paraId="7E367C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施工机械等人为活动扰动地表。</w:t>
                  </w:r>
                </w:p>
              </w:tc>
            </w:tr>
            <w:tr w14:paraId="19EF50E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32" w:type="pct"/>
                  <w:tcBorders>
                    <w:tl2br w:val="nil"/>
                    <w:tr2bl w:val="nil"/>
                  </w:tcBorders>
                  <w:noWrap w:val="0"/>
                  <w:vAlign w:val="center"/>
                </w:tcPr>
                <w:p w14:paraId="44DC86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施工道路</w:t>
                  </w:r>
                </w:p>
              </w:tc>
              <w:tc>
                <w:tcPr>
                  <w:tcW w:w="834" w:type="pct"/>
                  <w:tcBorders>
                    <w:tl2br w:val="nil"/>
                    <w:tr2bl w:val="nil"/>
                  </w:tcBorders>
                  <w:noWrap w:val="0"/>
                  <w:vAlign w:val="center"/>
                </w:tcPr>
                <w:p w14:paraId="393A67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施工沿线临时道路</w:t>
                  </w:r>
                </w:p>
              </w:tc>
              <w:tc>
                <w:tcPr>
                  <w:tcW w:w="3333" w:type="pct"/>
                  <w:tcBorders>
                    <w:tl2br w:val="nil"/>
                    <w:tr2bl w:val="nil"/>
                  </w:tcBorders>
                  <w:noWrap w:val="0"/>
                  <w:vAlign w:val="center"/>
                </w:tcPr>
                <w:p w14:paraId="2C9CF7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道路修建时扰动地表及土层结构；损坏植被，造成地表裸露，局部地段形成开挖和堆垫边坡。</w:t>
                  </w:r>
                </w:p>
              </w:tc>
            </w:tr>
          </w:tbl>
          <w:p w14:paraId="6BF202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（4）水土流失危害分析</w:t>
            </w:r>
          </w:p>
          <w:p w14:paraId="7E808F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本工程位于水土流失重点预防区，施工</w:t>
            </w:r>
            <w:r>
              <w:rPr>
                <w:rFonts w:hint="eastAsia" w:cs="Times New Roman"/>
                <w:sz w:val="24"/>
                <w:lang w:val="en-US" w:eastAsia="zh-CN"/>
              </w:rPr>
              <w:t>期间</w:t>
            </w:r>
            <w:r>
              <w:rPr>
                <w:rFonts w:hint="eastAsia" w:ascii="Times New Roman" w:hAnsi="Times New Roman" w:cs="Times New Roman"/>
                <w:sz w:val="24"/>
                <w:lang w:val="en-US" w:eastAsia="zh-CN"/>
              </w:rPr>
              <w:t>避免不了对地面的扰动，工程建设期间可能造成的水土流失危害主要表现在以下几方面：</w:t>
            </w:r>
          </w:p>
          <w:p w14:paraId="750A30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①地面扰动、影响区域生态环境</w:t>
            </w:r>
          </w:p>
          <w:p w14:paraId="6771B2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在工程施工过程中，人为活动和机械运作不可避免地破坏原生地貌以及造成地表植被死亡，导致地表土疏松。在项目建设期结束后如不采取有效的综合防治措施，可能使建设区域的土壤失去固土防风能力，给项目区生态环境带来不良影响。</w:t>
            </w:r>
          </w:p>
          <w:p w14:paraId="320A08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②加速项目区及周边扬尘和风蚀的发展</w:t>
            </w:r>
          </w:p>
          <w:p w14:paraId="0AA90D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由于建设区需要进行土方开挖，会形成堆土体，如不采取有效的防护措施，在大风、下雨等特殊天气下，会造成水土流失加剧，对周边环境造成一定污染。</w:t>
            </w:r>
          </w:p>
          <w:p w14:paraId="779219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③埋压原地表</w:t>
            </w:r>
          </w:p>
          <w:p w14:paraId="0452A2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在工程建设期的机械、施工人员踩踏等活动均会造成原生地表破坏，损坏原有植被，造成地表更大面积裸露，降低了土壤抗侵蚀能力。</w:t>
            </w:r>
          </w:p>
          <w:p w14:paraId="718594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④对土地资源的影响</w:t>
            </w:r>
          </w:p>
          <w:p w14:paraId="4DA1C7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在施工建设中，因扰动地表而</w:t>
            </w:r>
            <w:r>
              <w:rPr>
                <w:rFonts w:hint="eastAsia" w:cs="Times New Roman"/>
                <w:sz w:val="24"/>
                <w:lang w:val="en-US" w:eastAsia="zh-CN"/>
              </w:rPr>
              <w:t>造成</w:t>
            </w:r>
            <w:r>
              <w:rPr>
                <w:rFonts w:hint="eastAsia" w:ascii="Times New Roman" w:hAnsi="Times New Roman" w:cs="Times New Roman"/>
                <w:sz w:val="24"/>
                <w:lang w:val="en-US" w:eastAsia="zh-CN"/>
              </w:rPr>
              <w:t>大量的水土流失，使地表土壤更加疏松，土壤中营养元素随着风蚀作用而流失，造成土壤生产力减退。</w:t>
            </w:r>
          </w:p>
          <w:p w14:paraId="13DCD1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⑤对水资源的影响</w:t>
            </w:r>
          </w:p>
          <w:p w14:paraId="5891BC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sz w:val="24"/>
                <w:lang w:val="en-US" w:eastAsia="zh-CN"/>
              </w:rPr>
              <w:t>本工程建设过程中对地表扰动，但对水资源影响程度很小，其影响主要表现为：项目建设改变了占地范围内原有降水入渗关系，减少了地下水降水入渗补给量。项目施工期施工范围内不涉及地面径流，不会对地表水产生影响。</w:t>
            </w:r>
          </w:p>
          <w:p w14:paraId="411D3241">
            <w:pPr>
              <w:pStyle w:val="53"/>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1.</w:t>
            </w:r>
            <w:r>
              <w:rPr>
                <w:rFonts w:hint="eastAsia" w:ascii="Times New Roman" w:hAnsi="Times New Roman" w:eastAsia="宋体" w:cs="Times New Roman"/>
                <w:b/>
                <w:bCs/>
                <w:color w:val="000000"/>
                <w:kern w:val="2"/>
                <w:sz w:val="24"/>
                <w:szCs w:val="24"/>
                <w:lang w:val="en-US" w:eastAsia="zh-CN" w:bidi="ar-SA"/>
              </w:rPr>
              <w:t>3</w:t>
            </w:r>
            <w:r>
              <w:rPr>
                <w:rFonts w:hint="default" w:ascii="Times New Roman" w:hAnsi="Times New Roman" w:eastAsia="宋体" w:cs="Times New Roman"/>
                <w:b/>
                <w:bCs/>
                <w:color w:val="000000"/>
                <w:kern w:val="2"/>
                <w:sz w:val="24"/>
                <w:szCs w:val="24"/>
                <w:lang w:val="en-US" w:eastAsia="zh-CN" w:bidi="ar-SA"/>
              </w:rPr>
              <w:t>防沙治沙</w:t>
            </w:r>
          </w:p>
          <w:p w14:paraId="097E5CF1">
            <w:pPr>
              <w:pStyle w:val="53"/>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（1）建设项目区土地沙化基本情况</w:t>
            </w:r>
          </w:p>
          <w:p w14:paraId="24924198">
            <w:pPr>
              <w:pStyle w:val="53"/>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根据《</w:t>
            </w:r>
            <w:r>
              <w:rPr>
                <w:rFonts w:hint="eastAsia" w:ascii="Times New Roman" w:hAnsi="Times New Roman" w:eastAsia="宋体" w:cs="Times New Roman"/>
                <w:b w:val="0"/>
                <w:bCs/>
                <w:kern w:val="2"/>
                <w:sz w:val="24"/>
                <w:szCs w:val="24"/>
                <w:lang w:val="en-US" w:eastAsia="zh-CN" w:bidi="ar-SA"/>
              </w:rPr>
              <w:t>新疆第六次沙化监测报告</w:t>
            </w:r>
            <w:r>
              <w:rPr>
                <w:rFonts w:hint="default" w:ascii="Times New Roman" w:hAnsi="Times New Roman" w:eastAsia="宋体" w:cs="Times New Roman"/>
                <w:b w:val="0"/>
                <w:bCs/>
                <w:kern w:val="2"/>
                <w:sz w:val="24"/>
                <w:szCs w:val="24"/>
                <w:lang w:val="en-US" w:eastAsia="zh-CN" w:bidi="ar-SA"/>
              </w:rPr>
              <w:t>》，新疆是我国沙化土地面积最大，分布最广，风沙危害最严重的省区，</w:t>
            </w:r>
            <w:r>
              <w:rPr>
                <w:rFonts w:hint="eastAsia" w:ascii="Times New Roman" w:hAnsi="Times New Roman" w:eastAsia="宋体" w:cs="Times New Roman"/>
                <w:b w:val="0"/>
                <w:bCs/>
                <w:kern w:val="2"/>
                <w:sz w:val="24"/>
                <w:szCs w:val="24"/>
                <w:lang w:val="en-US" w:eastAsia="zh-CN" w:bidi="ar-SA"/>
              </w:rPr>
              <w:t>本工程</w:t>
            </w:r>
            <w:r>
              <w:rPr>
                <w:rFonts w:hint="default" w:ascii="Times New Roman" w:hAnsi="Times New Roman" w:eastAsia="宋体" w:cs="Times New Roman"/>
                <w:b w:val="0"/>
                <w:bCs/>
                <w:kern w:val="2"/>
                <w:sz w:val="24"/>
                <w:szCs w:val="24"/>
                <w:lang w:val="en-US" w:eastAsia="zh-CN" w:bidi="ar-SA"/>
              </w:rPr>
              <w:t>区位于</w:t>
            </w:r>
            <w:r>
              <w:rPr>
                <w:rFonts w:hint="eastAsia" w:ascii="Times New Roman" w:hAnsi="Times New Roman" w:eastAsia="宋体" w:cs="Times New Roman"/>
                <w:b w:val="0"/>
                <w:bCs/>
                <w:kern w:val="2"/>
                <w:sz w:val="24"/>
                <w:szCs w:val="24"/>
                <w:lang w:val="en-US" w:eastAsia="zh-CN" w:bidi="ar-SA"/>
              </w:rPr>
              <w:t>轮台县阳霞镇周边</w:t>
            </w:r>
            <w:r>
              <w:rPr>
                <w:rFonts w:hint="default" w:ascii="Times New Roman" w:hAnsi="Times New Roman" w:eastAsia="宋体" w:cs="Times New Roman"/>
                <w:b w:val="0"/>
                <w:bCs/>
                <w:kern w:val="2"/>
                <w:sz w:val="24"/>
                <w:szCs w:val="24"/>
                <w:lang w:val="en-US" w:eastAsia="zh-CN" w:bidi="ar-SA"/>
              </w:rPr>
              <w:t>，目前</w:t>
            </w:r>
            <w:r>
              <w:rPr>
                <w:rFonts w:hint="eastAsia" w:ascii="Times New Roman" w:hAnsi="Times New Roman" w:eastAsia="宋体" w:cs="Times New Roman"/>
                <w:b w:val="0"/>
                <w:bCs/>
                <w:kern w:val="2"/>
                <w:sz w:val="24"/>
                <w:szCs w:val="24"/>
                <w:lang w:val="en-US" w:eastAsia="zh-CN" w:bidi="ar-SA"/>
              </w:rPr>
              <w:t>项目选线及周边为砾石类戈壁</w:t>
            </w:r>
            <w:r>
              <w:rPr>
                <w:rFonts w:hint="default" w:ascii="Times New Roman" w:hAnsi="Times New Roman" w:eastAsia="宋体" w:cs="Times New Roman"/>
                <w:b w:val="0"/>
                <w:bCs/>
                <w:kern w:val="2"/>
                <w:sz w:val="24"/>
                <w:szCs w:val="24"/>
                <w:lang w:val="en-US" w:eastAsia="zh-CN" w:bidi="ar-SA"/>
              </w:rPr>
              <w:t>，属于土地沙化</w:t>
            </w:r>
            <w:r>
              <w:rPr>
                <w:rFonts w:hint="eastAsia" w:ascii="Times New Roman" w:hAnsi="Times New Roman" w:eastAsia="宋体" w:cs="Times New Roman"/>
                <w:b w:val="0"/>
                <w:bCs/>
                <w:kern w:val="2"/>
                <w:sz w:val="24"/>
                <w:szCs w:val="24"/>
                <w:lang w:val="en-US" w:eastAsia="zh-CN" w:bidi="ar-SA"/>
              </w:rPr>
              <w:t>较轻</w:t>
            </w:r>
            <w:r>
              <w:rPr>
                <w:rFonts w:hint="default" w:ascii="Times New Roman" w:hAnsi="Times New Roman" w:eastAsia="宋体" w:cs="Times New Roman"/>
                <w:b w:val="0"/>
                <w:bCs/>
                <w:kern w:val="2"/>
                <w:sz w:val="24"/>
                <w:szCs w:val="24"/>
                <w:lang w:val="en-US" w:eastAsia="zh-CN" w:bidi="ar-SA"/>
              </w:rPr>
              <w:t>区域。</w:t>
            </w:r>
          </w:p>
          <w:p w14:paraId="11071BE0">
            <w:pPr>
              <w:pStyle w:val="53"/>
              <w:keepNext w:val="0"/>
              <w:keepLines w:val="0"/>
              <w:pageBreakBefore w:val="0"/>
              <w:suppressLineNumbers w:val="0"/>
              <w:kinsoku/>
              <w:wordWrap/>
              <w:overflowPunct/>
              <w:topLinePunct w:val="0"/>
              <w:bidi w:val="0"/>
              <w:adjustRightInd/>
              <w:snapToGrid/>
              <w:spacing w:beforeAutospacing="0" w:afterAutospacing="0" w:line="360" w:lineRule="auto"/>
              <w:ind w:left="0" w:leftChars="0" w:right="0" w:rightChars="0" w:firstLine="480" w:firstLineChars="200"/>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（2）项目建设对沙化土地环境影响分析</w:t>
            </w:r>
          </w:p>
          <w:p w14:paraId="7FC05C3B">
            <w:pPr>
              <w:keepNext w:val="0"/>
              <w:keepLines w:val="0"/>
              <w:pageBreakBefore w:val="0"/>
              <w:suppressLineNumbers w:val="0"/>
              <w:kinsoku/>
              <w:wordWrap/>
              <w:overflowPunct/>
              <w:topLinePunct w:val="0"/>
              <w:bidi w:val="0"/>
              <w:adjustRightInd/>
              <w:snapToGrid/>
              <w:spacing w:beforeAutospacing="0" w:afterAutospacing="0" w:line="360" w:lineRule="auto"/>
              <w:ind w:left="0" w:leftChars="0" w:right="0" w:rightChars="0" w:firstLine="480" w:firstLineChars="20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本次施工活动主要表现和施工期间将不可避免</w:t>
            </w:r>
            <w:r>
              <w:rPr>
                <w:rFonts w:hint="eastAsia" w:ascii="Times New Roman" w:hAnsi="Times New Roman" w:eastAsia="宋体" w:cs="Times New Roman"/>
                <w:color w:val="000000"/>
                <w:sz w:val="24"/>
                <w:szCs w:val="24"/>
                <w:lang w:eastAsia="zh-CN"/>
              </w:rPr>
              <w:t>地</w:t>
            </w:r>
            <w:r>
              <w:rPr>
                <w:rFonts w:hint="default" w:ascii="Times New Roman" w:hAnsi="Times New Roman" w:eastAsia="宋体" w:cs="Times New Roman"/>
                <w:color w:val="000000"/>
                <w:sz w:val="24"/>
                <w:szCs w:val="24"/>
              </w:rPr>
              <w:t>对原生微地貌、地表植被产生碾压、破坏。导致植物干枯死亡，丧失了固定地表土壤的能力，</w:t>
            </w:r>
            <w:r>
              <w:rPr>
                <w:rFonts w:hint="eastAsia" w:cs="Times New Roman"/>
                <w:color w:val="000000"/>
                <w:sz w:val="24"/>
                <w:szCs w:val="24"/>
                <w:lang w:val="en-US" w:eastAsia="zh-CN"/>
              </w:rPr>
              <w:t>在大棚建成之前</w:t>
            </w:r>
            <w:r>
              <w:rPr>
                <w:rFonts w:hint="default" w:ascii="Times New Roman" w:hAnsi="Times New Roman" w:eastAsia="宋体" w:cs="Times New Roman"/>
                <w:color w:val="000000"/>
                <w:sz w:val="24"/>
                <w:szCs w:val="24"/>
              </w:rPr>
              <w:t>受风蚀和水蚀的影响，土壤将流失。</w:t>
            </w:r>
          </w:p>
          <w:p w14:paraId="76E63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eastAsia="宋体" w:cs="Times New Roman"/>
                <w:b/>
                <w:bCs/>
                <w:color w:val="000000"/>
                <w:highlight w:val="none"/>
                <w:lang w:val="en-US" w:eastAsia="zh-CN"/>
              </w:rPr>
            </w:pPr>
            <w:r>
              <w:rPr>
                <w:rFonts w:hint="eastAsia" w:cs="Times New Roman"/>
                <w:b/>
                <w:bCs/>
                <w:color w:val="000000"/>
                <w:highlight w:val="none"/>
                <w:lang w:val="en-US" w:eastAsia="zh-CN"/>
              </w:rPr>
              <w:t>1.4景观影响分析</w:t>
            </w:r>
          </w:p>
          <w:p w14:paraId="2B6B0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s="Times New Roman"/>
                <w:b w:val="0"/>
                <w:bCs w:val="0"/>
                <w:color w:val="000000"/>
                <w:highlight w:val="none"/>
              </w:rPr>
            </w:pPr>
            <w:r>
              <w:rPr>
                <w:rFonts w:hint="eastAsia" w:cs="Times New Roman"/>
                <w:b w:val="0"/>
                <w:bCs w:val="0"/>
                <w:color w:val="000000"/>
                <w:highlight w:val="none"/>
                <w:lang w:val="en-US" w:eastAsia="zh-CN"/>
              </w:rPr>
              <w:t>由于项目施工开挖等活动，会造成地表植被不同程度的破坏，在短期内成为与原有生态景观不协调的“裸地”或“疮疤”斑块，另外施工现场的暴露、建筑垃圾的堆存也影响区域景观，对整体生态景观形成不和谐的视觉效果，造成较为明显的不利影响。</w:t>
            </w:r>
          </w:p>
          <w:p w14:paraId="6D529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cs="Times New Roman"/>
                <w:b/>
                <w:bCs/>
                <w:color w:val="000000"/>
              </w:rPr>
            </w:pPr>
            <w:r>
              <w:rPr>
                <w:rFonts w:hint="default" w:cs="Times New Roman"/>
                <w:b/>
                <w:bCs/>
                <w:color w:val="000000"/>
              </w:rPr>
              <w:t>1.</w:t>
            </w:r>
            <w:r>
              <w:rPr>
                <w:rFonts w:hint="eastAsia" w:cs="Times New Roman"/>
                <w:b/>
                <w:bCs/>
                <w:color w:val="000000"/>
                <w:lang w:val="en-US" w:eastAsia="zh-CN"/>
              </w:rPr>
              <w:t>5</w:t>
            </w:r>
            <w:r>
              <w:rPr>
                <w:rFonts w:hint="default" w:cs="Times New Roman"/>
                <w:b/>
                <w:bCs/>
                <w:color w:val="000000"/>
              </w:rPr>
              <w:t>大气环境影响分析</w:t>
            </w:r>
          </w:p>
          <w:p w14:paraId="49BAB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本工程施工期大气污染物包含施工扬尘和施工机械废气，其中施工扬尘包含土石方挖掘扬尘和运输车辆的二次扬尘。</w:t>
            </w:r>
          </w:p>
          <w:p w14:paraId="78409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val="en-US" w:eastAsia="zh-CN"/>
              </w:rPr>
              <w:t>（1）</w:t>
            </w:r>
            <w:r>
              <w:rPr>
                <w:rFonts w:hint="default" w:ascii="Times New Roman" w:hAnsi="Times New Roman" w:eastAsia="宋体" w:cs="Times New Roman"/>
                <w:color w:val="000000"/>
                <w:sz w:val="24"/>
                <w:highlight w:val="none"/>
              </w:rPr>
              <w:t>土方施工产生的粉尘对大气环境的影响</w:t>
            </w:r>
          </w:p>
          <w:p w14:paraId="497C6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在施工运输中，由于开挖土方后，致使土地裸露和土方堆放，建筑材料装卸以及运输车辆产生粉尘，这些粉尘随风扩散造成施工扬尘。施工扬尘的大小随施工季节、施工管理等不同差别甚大，影响可达150～300m。</w:t>
            </w:r>
          </w:p>
          <w:p w14:paraId="28CE7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通过类比调查，在一般气象条件下，建筑工地内TSP浓度为上风向对照点的1.5～2.3倍；建筑工地扬尘影响为下风向150m处，被影响地区TSP平均浓度为0.49mg/m³（标态）左右，相当于大气环境质量标准的1.6倍；围栏对减少施工扬尘污染有一定作用，风速为0.5m/s时，可使影响距离缩短40%左右。</w:t>
            </w:r>
          </w:p>
          <w:p w14:paraId="0CD0A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000000"/>
                <w:lang w:val="en-US" w:eastAsia="zh-CN"/>
              </w:rPr>
            </w:pPr>
            <w:r>
              <w:rPr>
                <w:rFonts w:hint="default" w:ascii="Times New Roman" w:hAnsi="Times New Roman" w:eastAsia="宋体" w:cs="Times New Roman"/>
                <w:color w:val="000000"/>
                <w:sz w:val="24"/>
                <w:highlight w:val="none"/>
              </w:rPr>
              <w:t>施工过程中少量的挖土堆置施工场地</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项目</w:t>
            </w:r>
            <w:r>
              <w:rPr>
                <w:rFonts w:hint="default" w:ascii="Times New Roman" w:hAnsi="Times New Roman" w:eastAsia="宋体" w:cs="Times New Roman"/>
                <w:color w:val="000000"/>
                <w:sz w:val="24"/>
                <w:highlight w:val="none"/>
              </w:rPr>
              <w:t>所在区域平均风速较小，但堆置的土较为疏松，容易引起扬尘，还会给周围大气环境带来一定的影响。预测分析认为，拟建项目施工期对大气的影响仅限于局部较小范围。上述扬尘对大气环境的影响虽然是暂时的，但局部污染</w:t>
            </w:r>
            <w:r>
              <w:rPr>
                <w:rFonts w:hint="eastAsia" w:ascii="Times New Roman" w:hAnsi="Times New Roman" w:eastAsia="宋体" w:cs="Times New Roman"/>
                <w:color w:val="000000"/>
                <w:sz w:val="24"/>
                <w:highlight w:val="none"/>
                <w:lang w:eastAsia="zh-CN"/>
              </w:rPr>
              <w:t>状况</w:t>
            </w:r>
            <w:r>
              <w:rPr>
                <w:rFonts w:hint="default" w:ascii="Times New Roman" w:hAnsi="Times New Roman" w:eastAsia="宋体" w:cs="Times New Roman"/>
                <w:color w:val="000000"/>
                <w:sz w:val="24"/>
                <w:highlight w:val="none"/>
              </w:rPr>
              <w:t>较为严重，必须引起重视，可以采取洒水或遮盖措施减少其影响。</w:t>
            </w:r>
          </w:p>
          <w:p w14:paraId="482FDA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sz w:val="24"/>
                <w:highlight w:val="none"/>
              </w:rPr>
            </w:pPr>
            <w:r>
              <w:rPr>
                <w:rFonts w:hint="eastAsia" w:ascii="Times New Roman" w:hAnsi="Times New Roman" w:cs="Times New Roman"/>
                <w:b w:val="0"/>
                <w:bCs w:val="0"/>
                <w:color w:val="000000"/>
                <w:sz w:val="24"/>
                <w:highlight w:val="none"/>
                <w:lang w:val="en-US" w:eastAsia="zh-CN"/>
              </w:rPr>
              <w:t>（2）</w:t>
            </w:r>
            <w:r>
              <w:rPr>
                <w:rFonts w:hint="default" w:ascii="Times New Roman" w:hAnsi="Times New Roman" w:eastAsia="宋体" w:cs="Times New Roman"/>
                <w:b w:val="0"/>
                <w:bCs w:val="0"/>
                <w:color w:val="000000"/>
                <w:sz w:val="24"/>
                <w:highlight w:val="none"/>
              </w:rPr>
              <w:t>运输道路扬尘对大气环境影响</w:t>
            </w:r>
          </w:p>
          <w:p w14:paraId="7A3E7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道路扬尘主要来自运输车辆的行驶过程。在施工期间，需要将施工机械设备、原材料及土石方运到施工现场，道路扬尘的起尘量与运输车辆的车速、载重量、车流量、路面含尘量、相对湿度等因素有关。一般而言，扬尘污染与路面湿度呈负相关，而与运行速度及车流量呈正相关，扬尘影响范围也只局限于道路两侧的近距离内，在施工期间，应根据情况，适时对汽车便道进行洒水、对运输车辆加盖篷布，并控制车辆行驶速度，可有效地防止</w:t>
            </w:r>
            <w:r>
              <w:rPr>
                <w:rFonts w:hint="eastAsia" w:cs="Times New Roman"/>
                <w:color w:val="000000"/>
                <w:sz w:val="24"/>
                <w:highlight w:val="none"/>
                <w:lang w:val="en-US" w:eastAsia="zh-CN"/>
              </w:rPr>
              <w:t>车辆</w:t>
            </w:r>
            <w:r>
              <w:rPr>
                <w:rFonts w:hint="default" w:ascii="Times New Roman" w:hAnsi="Times New Roman" w:eastAsia="宋体" w:cs="Times New Roman"/>
                <w:color w:val="000000"/>
                <w:sz w:val="24"/>
                <w:highlight w:val="none"/>
              </w:rPr>
              <w:t>扬尘对周围环境的影响。</w:t>
            </w:r>
          </w:p>
          <w:p w14:paraId="7AF55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3</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施工机械废气</w:t>
            </w:r>
          </w:p>
          <w:p w14:paraId="6B46E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本工程燃油机械以推土机、挖掘机等燃油机械为主，均以柴油为燃料。本工程施工机械较少，且非同时施工，施工机械尾气以无组织形式排放，项目区周围场地开阔，环境容量较大，自然环境自净能力强。选用低能耗、高效率的燃油设备，加强日常检修及维护保养、管理，燃油废气对周围空气环境质量影响甚微。</w:t>
            </w:r>
          </w:p>
          <w:p w14:paraId="2EF16B53">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2" w:firstLineChars="200"/>
              <w:rPr>
                <w:rFonts w:hint="default" w:cs="Times New Roman"/>
                <w:b/>
                <w:bCs/>
                <w:color w:val="000000"/>
              </w:rPr>
            </w:pPr>
            <w:r>
              <w:rPr>
                <w:rFonts w:hint="default" w:cs="Times New Roman"/>
                <w:b/>
                <w:bCs/>
                <w:color w:val="000000"/>
              </w:rPr>
              <w:t>1.</w:t>
            </w:r>
            <w:r>
              <w:rPr>
                <w:rFonts w:hint="eastAsia" w:cs="Times New Roman"/>
                <w:b/>
                <w:bCs/>
                <w:color w:val="000000"/>
                <w:lang w:val="en-US" w:eastAsia="zh-CN"/>
              </w:rPr>
              <w:t>6</w:t>
            </w:r>
            <w:r>
              <w:rPr>
                <w:rFonts w:hint="default" w:cs="Times New Roman"/>
                <w:b/>
                <w:bCs/>
                <w:color w:val="000000"/>
              </w:rPr>
              <w:t>水环境影响分析</w:t>
            </w:r>
          </w:p>
          <w:p w14:paraId="735F1F6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（1）地表水环境</w:t>
            </w:r>
          </w:p>
          <w:p w14:paraId="745C39D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本工程施工期不单独设置施工营地，施工人员居住在煤炭仓储加工基地、阳霞发运站和东辰煤矿等在建工程现有生活区内；施工机械、车辆冲洗废水经临时防渗沉淀池收集处理后回用于施工现场洒水抑尘，施工场地抑尘洒水自然蒸发损耗。项目施工期无废水外排，施工区施工废水与距离矿区最近地表水体，即与项目沿线东北侧1.2km的阳霞塔勒克干渠无直接水力联系，因此本工程施工期不会对地表水环境造成污染影响</w:t>
            </w:r>
            <w:r>
              <w:rPr>
                <w:rFonts w:hint="default" w:ascii="Times New Roman" w:hAnsi="Times New Roman" w:eastAsia="宋体" w:cs="Times New Roman"/>
                <w:color w:val="000000"/>
                <w:sz w:val="24"/>
                <w:highlight w:val="none"/>
                <w:lang w:val="en-US" w:eastAsia="zh-CN"/>
              </w:rPr>
              <w:t>。</w:t>
            </w:r>
          </w:p>
          <w:p w14:paraId="3087AA4E">
            <w:pPr>
              <w:pStyle w:val="5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color w:val="000000"/>
                <w:kern w:val="2"/>
                <w:sz w:val="24"/>
                <w:szCs w:val="24"/>
                <w:highlight w:val="none"/>
                <w:lang w:val="en-US" w:eastAsia="zh-CN" w:bidi="ar-SA"/>
              </w:rPr>
            </w:pPr>
            <w:r>
              <w:rPr>
                <w:rFonts w:hint="eastAsia" w:ascii="Times New Roman" w:hAnsi="Times New Roman" w:eastAsia="宋体" w:cs="Times New Roman"/>
                <w:b w:val="0"/>
                <w:bCs/>
                <w:color w:val="000000"/>
                <w:kern w:val="2"/>
                <w:sz w:val="24"/>
                <w:szCs w:val="24"/>
                <w:highlight w:val="none"/>
                <w:lang w:val="en-US" w:eastAsia="zh-CN" w:bidi="ar-SA"/>
              </w:rPr>
              <w:t>（2）地下水环境</w:t>
            </w:r>
          </w:p>
          <w:p w14:paraId="11D5848D">
            <w:pPr>
              <w:pStyle w:val="5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color w:val="000000"/>
                <w:kern w:val="2"/>
                <w:sz w:val="24"/>
                <w:szCs w:val="24"/>
                <w:highlight w:val="none"/>
                <w:lang w:val="en-US" w:eastAsia="zh-CN" w:bidi="ar-SA"/>
              </w:rPr>
            </w:pPr>
            <w:r>
              <w:rPr>
                <w:rFonts w:hint="eastAsia" w:ascii="Times New Roman" w:hAnsi="Times New Roman" w:eastAsia="宋体" w:cs="Times New Roman"/>
                <w:b w:val="0"/>
                <w:bCs/>
                <w:color w:val="000000"/>
                <w:kern w:val="2"/>
                <w:sz w:val="24"/>
                <w:szCs w:val="24"/>
                <w:highlight w:val="none"/>
                <w:lang w:val="en-US" w:eastAsia="zh-CN" w:bidi="ar-SA"/>
              </w:rPr>
              <w:t>本工程施工期针对施工废水临时沉淀池采取硬化防渗措施，预防施工废水下渗，本工程为线性工程，不单独设置施工营地，因此本工程无地下水污染途径，不会对地下水环境产生污染影响。</w:t>
            </w:r>
          </w:p>
          <w:p w14:paraId="066371F4">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000000"/>
                <w:lang w:val="en-US" w:eastAsia="zh-CN"/>
              </w:rPr>
            </w:pPr>
            <w:r>
              <w:rPr>
                <w:rFonts w:hint="default" w:ascii="Times New Roman" w:hAnsi="Times New Roman" w:eastAsia="宋体" w:cs="Times New Roman"/>
                <w:b/>
                <w:bCs/>
                <w:color w:val="000000"/>
                <w:lang w:val="en-US" w:eastAsia="zh-CN"/>
              </w:rPr>
              <w:t>1.</w:t>
            </w:r>
            <w:r>
              <w:rPr>
                <w:rFonts w:hint="eastAsia" w:ascii="Times New Roman" w:hAnsi="Times New Roman" w:eastAsia="宋体" w:cs="Times New Roman"/>
                <w:b/>
                <w:bCs/>
                <w:color w:val="000000"/>
                <w:lang w:val="en-US" w:eastAsia="zh-CN"/>
              </w:rPr>
              <w:t>7</w:t>
            </w:r>
            <w:r>
              <w:rPr>
                <w:rFonts w:hint="default" w:ascii="Times New Roman" w:hAnsi="Times New Roman" w:eastAsia="宋体" w:cs="Times New Roman"/>
                <w:b/>
                <w:bCs/>
                <w:color w:val="000000"/>
                <w:lang w:val="en-US" w:eastAsia="zh-CN"/>
              </w:rPr>
              <w:t>声环境影响分析</w:t>
            </w:r>
          </w:p>
          <w:p w14:paraId="0F8FB799">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baseline"/>
              <w:rPr>
                <w:rFonts w:hint="default" w:ascii="Times New Roman" w:hAnsi="Times New Roman" w:cs="Times New Roman"/>
                <w:color w:val="000000"/>
                <w:highlight w:val="none"/>
              </w:rPr>
            </w:pPr>
            <w:r>
              <w:rPr>
                <w:rFonts w:hint="default" w:ascii="Times New Roman" w:hAnsi="Times New Roman" w:cs="Times New Roman"/>
                <w:color w:val="000000"/>
                <w:sz w:val="24"/>
                <w:highlight w:val="none"/>
              </w:rPr>
              <w:t>施工场所使用的机械应尽可能满足一定的控制距离，满足施工场界等效声级限值的要求。施工机械操作运转时有一定的工作间距，噪声源为点声源。</w:t>
            </w:r>
            <w:r>
              <w:rPr>
                <w:rFonts w:hint="default" w:ascii="Times New Roman" w:hAnsi="Times New Roman" w:cs="Times New Roman"/>
                <w:color w:val="000000"/>
                <w:highlight w:val="none"/>
              </w:rPr>
              <w:t>该预测点的等效连续A声级按下式计算：</w:t>
            </w:r>
          </w:p>
          <w:p w14:paraId="3543FC0F">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0" w:firstLineChars="0"/>
              <w:rPr>
                <w:rFonts w:hint="default" w:ascii="Times New Roman" w:hAnsi="Times New Roman" w:cs="Times New Roman"/>
                <w:color w:val="000000"/>
                <w:highlight w:val="none"/>
              </w:rPr>
            </w:pPr>
            <w:r>
              <w:rPr>
                <w:rFonts w:hint="default" w:ascii="Times New Roman" w:hAnsi="Times New Roman" w:cs="Times New Roman"/>
                <w:color w:val="000000"/>
                <w:highlight w:val="none"/>
              </w:rPr>
              <w:drawing>
                <wp:anchor distT="0" distB="0" distL="114300" distR="114300" simplePos="0" relativeHeight="251659264" behindDoc="0" locked="0" layoutInCell="1" allowOverlap="1">
                  <wp:simplePos x="0" y="0"/>
                  <wp:positionH relativeFrom="column">
                    <wp:posOffset>1171575</wp:posOffset>
                  </wp:positionH>
                  <wp:positionV relativeFrom="paragraph">
                    <wp:posOffset>48895</wp:posOffset>
                  </wp:positionV>
                  <wp:extent cx="2400300" cy="382905"/>
                  <wp:effectExtent l="0" t="0" r="0" b="17145"/>
                  <wp:wrapNone/>
                  <wp:docPr id="1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54"/>
                          <pic:cNvPicPr>
                            <a:picLocks noChangeAspect="1"/>
                          </pic:cNvPicPr>
                        </pic:nvPicPr>
                        <pic:blipFill>
                          <a:blip r:embed="rId28"/>
                          <a:stretch>
                            <a:fillRect/>
                          </a:stretch>
                        </pic:blipFill>
                        <pic:spPr>
                          <a:xfrm>
                            <a:off x="0" y="0"/>
                            <a:ext cx="2400300" cy="382905"/>
                          </a:xfrm>
                          <a:prstGeom prst="rect">
                            <a:avLst/>
                          </a:prstGeom>
                          <a:noFill/>
                          <a:ln>
                            <a:noFill/>
                          </a:ln>
                        </pic:spPr>
                      </pic:pic>
                    </a:graphicData>
                  </a:graphic>
                </wp:anchor>
              </w:drawing>
            </w:r>
            <w:r>
              <w:rPr>
                <w:rFonts w:hint="eastAsia" w:ascii="Times New Roman" w:hAnsi="Times New Roman" w:cs="Times New Roman"/>
                <w:color w:val="000000"/>
                <w:highlight w:val="none"/>
                <w:lang w:val="en-US" w:eastAsia="zh-CN"/>
              </w:rPr>
              <w:t xml:space="preserve"> </w:t>
            </w:r>
          </w:p>
          <w:p w14:paraId="4E42EDB3">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0" w:firstLineChars="0"/>
              <w:rPr>
                <w:rFonts w:hint="default" w:ascii="Times New Roman" w:hAnsi="Times New Roman" w:cs="Times New Roman"/>
                <w:color w:val="000000"/>
                <w:highlight w:val="none"/>
              </w:rPr>
            </w:pPr>
          </w:p>
          <w:p w14:paraId="6ADA976D">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right="0" w:rightChars="0" w:firstLine="720" w:firstLineChars="300"/>
              <w:rPr>
                <w:rFonts w:hint="default" w:ascii="Times New Roman" w:hAnsi="Times New Roman" w:cs="Times New Roman"/>
                <w:color w:val="000000"/>
                <w:highlight w:val="none"/>
              </w:rPr>
            </w:pPr>
            <w:r>
              <w:rPr>
                <w:rFonts w:hint="default" w:ascii="Times New Roman" w:hAnsi="Times New Roman" w:cs="Times New Roman"/>
                <w:color w:val="000000"/>
                <w:highlight w:val="none"/>
              </w:rPr>
              <w:t>噪声衰减公式如下：</w:t>
            </w:r>
          </w:p>
          <w:p w14:paraId="09AE47BB">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1440" w:firstLineChars="600"/>
              <w:rPr>
                <w:rFonts w:hint="default" w:ascii="Times New Roman" w:hAnsi="Times New Roman" w:cs="Times New Roman"/>
                <w:color w:val="000000"/>
                <w:highlight w:val="none"/>
              </w:rPr>
            </w:pPr>
            <w:r>
              <w:rPr>
                <w:rFonts w:hint="default" w:ascii="Times New Roman" w:hAnsi="Times New Roman" w:cs="Times New Roman"/>
                <w:color w:val="000000"/>
                <w:highlight w:val="none"/>
              </w:rPr>
              <w:t>L</w:t>
            </w:r>
            <w:r>
              <w:rPr>
                <w:rFonts w:hint="default" w:ascii="Times New Roman" w:hAnsi="Times New Roman" w:cs="Times New Roman"/>
                <w:color w:val="000000"/>
                <w:highlight w:val="none"/>
                <w:vertAlign w:val="subscript"/>
              </w:rPr>
              <w:t>A</w:t>
            </w:r>
            <w:r>
              <w:rPr>
                <w:rFonts w:hint="default" w:ascii="Times New Roman" w:hAnsi="Times New Roman" w:cs="Times New Roman"/>
                <w:color w:val="000000"/>
                <w:highlight w:val="none"/>
              </w:rPr>
              <w:t>=L</w:t>
            </w:r>
            <w:r>
              <w:rPr>
                <w:rFonts w:hint="default" w:ascii="Times New Roman" w:hAnsi="Times New Roman" w:cs="Times New Roman"/>
                <w:color w:val="000000"/>
                <w:highlight w:val="none"/>
                <w:vertAlign w:val="subscript"/>
              </w:rPr>
              <w:t>0</w:t>
            </w:r>
            <w:r>
              <w:rPr>
                <w:rFonts w:hint="default" w:ascii="Times New Roman" w:hAnsi="Times New Roman" w:cs="Times New Roman"/>
                <w:color w:val="000000"/>
                <w:highlight w:val="none"/>
              </w:rPr>
              <w:t>-20lg</w:t>
            </w:r>
            <w:r>
              <w:rPr>
                <w:rFonts w:hint="eastAsia" w:ascii="Times New Roman" w:hAnsi="Times New Roman" w:cs="Times New Roman"/>
                <w:color w:val="000000"/>
                <w:highlight w:val="none"/>
                <w:lang w:eastAsia="zh-CN"/>
              </w:rPr>
              <w:t>(</w:t>
            </w:r>
            <w:r>
              <w:rPr>
                <w:rFonts w:hint="default" w:ascii="Times New Roman" w:hAnsi="Times New Roman" w:cs="Times New Roman"/>
                <w:color w:val="000000"/>
                <w:highlight w:val="none"/>
              </w:rPr>
              <w:t>r</w:t>
            </w:r>
            <w:r>
              <w:rPr>
                <w:rFonts w:hint="default" w:ascii="Times New Roman" w:hAnsi="Times New Roman" w:cs="Times New Roman"/>
                <w:color w:val="000000"/>
                <w:highlight w:val="none"/>
                <w:vertAlign w:val="subscript"/>
              </w:rPr>
              <w:t>A</w:t>
            </w:r>
            <w:r>
              <w:rPr>
                <w:rFonts w:hint="default" w:ascii="Times New Roman" w:hAnsi="Times New Roman" w:cs="Times New Roman"/>
                <w:color w:val="000000"/>
                <w:highlight w:val="none"/>
              </w:rPr>
              <w:t>/r</w:t>
            </w:r>
            <w:r>
              <w:rPr>
                <w:rFonts w:hint="default" w:ascii="Times New Roman" w:hAnsi="Times New Roman" w:cs="Times New Roman"/>
                <w:color w:val="000000"/>
                <w:highlight w:val="none"/>
                <w:vertAlign w:val="subscript"/>
              </w:rPr>
              <w:t>0</w:t>
            </w:r>
            <w:r>
              <w:rPr>
                <w:rFonts w:hint="eastAsia" w:ascii="Times New Roman" w:hAnsi="Times New Roman" w:cs="Times New Roman"/>
                <w:color w:val="000000"/>
                <w:highlight w:val="none"/>
                <w:vertAlign w:val="subscript"/>
                <w:lang w:eastAsia="zh-CN"/>
              </w:rPr>
              <w:t>)</w:t>
            </w:r>
          </w:p>
          <w:p w14:paraId="3ACC5790">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720" w:firstLineChars="300"/>
              <w:rPr>
                <w:rFonts w:hint="default" w:ascii="Times New Roman" w:hAnsi="Times New Roman" w:cs="Times New Roman"/>
                <w:color w:val="000000"/>
                <w:highlight w:val="none"/>
              </w:rPr>
            </w:pPr>
            <w:r>
              <w:rPr>
                <w:rFonts w:hint="default" w:ascii="Times New Roman" w:hAnsi="Times New Roman" w:cs="Times New Roman"/>
                <w:color w:val="000000"/>
                <w:highlight w:val="none"/>
              </w:rPr>
              <w:t>式中：L</w:t>
            </w:r>
            <w:r>
              <w:rPr>
                <w:rFonts w:hint="default" w:ascii="Times New Roman" w:hAnsi="Times New Roman" w:cs="Times New Roman"/>
                <w:color w:val="000000"/>
                <w:highlight w:val="none"/>
                <w:vertAlign w:val="subscript"/>
              </w:rPr>
              <w:t>A</w:t>
            </w:r>
            <w:r>
              <w:rPr>
                <w:rFonts w:hint="default" w:ascii="Times New Roman" w:hAnsi="Times New Roman" w:cs="Times New Roman"/>
                <w:color w:val="000000"/>
                <w:highlight w:val="none"/>
              </w:rPr>
              <w:t>——距声源为r</w:t>
            </w:r>
            <w:r>
              <w:rPr>
                <w:rFonts w:hint="default" w:ascii="Times New Roman" w:hAnsi="Times New Roman" w:cs="Times New Roman"/>
                <w:color w:val="000000"/>
                <w:highlight w:val="none"/>
                <w:vertAlign w:val="subscript"/>
              </w:rPr>
              <w:t>A</w:t>
            </w:r>
            <w:r>
              <w:rPr>
                <w:rFonts w:hint="default" w:ascii="Times New Roman" w:hAnsi="Times New Roman" w:cs="Times New Roman"/>
                <w:color w:val="000000"/>
                <w:highlight w:val="none"/>
              </w:rPr>
              <w:t>处的声级，dB；</w:t>
            </w:r>
          </w:p>
          <w:p w14:paraId="484331DC">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0" w:firstLineChars="0"/>
              <w:rPr>
                <w:rFonts w:hint="default" w:ascii="Times New Roman" w:hAnsi="Times New Roman" w:cs="Times New Roman"/>
                <w:color w:val="000000"/>
                <w:highlight w:val="none"/>
              </w:rPr>
            </w:pPr>
            <w:r>
              <w:rPr>
                <w:rFonts w:hint="default" w:ascii="Times New Roman" w:hAnsi="Times New Roman" w:cs="Times New Roman"/>
                <w:color w:val="000000"/>
                <w:highlight w:val="none"/>
              </w:rPr>
              <w:t xml:space="preserve">     </w:t>
            </w:r>
            <w:r>
              <w:rPr>
                <w:rFonts w:hint="eastAsia" w:ascii="Times New Roman" w:hAnsi="Times New Roman" w:cs="Times New Roman"/>
                <w:color w:val="000000"/>
                <w:highlight w:val="none"/>
                <w:lang w:val="en-US" w:eastAsia="zh-CN"/>
              </w:rPr>
              <w:t xml:space="preserve">      </w:t>
            </w:r>
            <w:r>
              <w:rPr>
                <w:rFonts w:hint="default" w:ascii="Times New Roman" w:hAnsi="Times New Roman" w:cs="Times New Roman"/>
                <w:color w:val="000000"/>
                <w:highlight w:val="none"/>
              </w:rPr>
              <w:t xml:space="preserve"> L</w:t>
            </w:r>
            <w:r>
              <w:rPr>
                <w:rFonts w:hint="default" w:ascii="Times New Roman" w:hAnsi="Times New Roman" w:cs="Times New Roman"/>
                <w:color w:val="000000"/>
                <w:highlight w:val="none"/>
                <w:vertAlign w:val="subscript"/>
              </w:rPr>
              <w:t>0</w:t>
            </w:r>
            <w:r>
              <w:rPr>
                <w:rFonts w:hint="default" w:ascii="Times New Roman" w:hAnsi="Times New Roman" w:cs="Times New Roman"/>
                <w:color w:val="000000"/>
                <w:highlight w:val="none"/>
              </w:rPr>
              <w:t>——距声源为r</w:t>
            </w:r>
            <w:r>
              <w:rPr>
                <w:rFonts w:hint="default" w:ascii="Times New Roman" w:hAnsi="Times New Roman" w:cs="Times New Roman"/>
                <w:color w:val="000000"/>
                <w:highlight w:val="none"/>
                <w:vertAlign w:val="subscript"/>
              </w:rPr>
              <w:t>0</w:t>
            </w:r>
            <w:r>
              <w:rPr>
                <w:rFonts w:hint="default" w:ascii="Times New Roman" w:hAnsi="Times New Roman" w:cs="Times New Roman"/>
                <w:color w:val="000000"/>
                <w:highlight w:val="none"/>
              </w:rPr>
              <w:t>处的声级，dB；</w:t>
            </w:r>
          </w:p>
          <w:p w14:paraId="355A7A4F">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cs="Times New Roman"/>
                <w:color w:val="000000"/>
                <w:highlight w:val="none"/>
              </w:rPr>
            </w:pPr>
            <w:r>
              <w:rPr>
                <w:rFonts w:hint="default" w:ascii="Times New Roman" w:hAnsi="Times New Roman" w:cs="Times New Roman"/>
                <w:color w:val="000000"/>
                <w:highlight w:val="none"/>
              </w:rPr>
              <w:t>施工机械距离施工场界的控制距离应根据多种机械施工的实际情况进行计算，本次昼间分别按8、10、12小时，夜间分别按1、2、3小时，施工机械分别为1台、2台，通过公式计算给出施工机械控制距离和施工机械噪声对环境的影响范围，见表</w:t>
            </w:r>
            <w:r>
              <w:rPr>
                <w:rFonts w:hint="eastAsia" w:ascii="Times New Roman" w:hAnsi="Times New Roman" w:cs="Times New Roman"/>
                <w:color w:val="000000"/>
                <w:highlight w:val="none"/>
                <w:lang w:val="en-US" w:eastAsia="zh-CN"/>
              </w:rPr>
              <w:t>4-3</w:t>
            </w:r>
            <w:r>
              <w:rPr>
                <w:rFonts w:hint="default" w:ascii="Times New Roman" w:hAnsi="Times New Roman" w:cs="Times New Roman"/>
                <w:color w:val="000000"/>
                <w:highlight w:val="none"/>
              </w:rPr>
              <w:t>。</w:t>
            </w:r>
          </w:p>
          <w:p w14:paraId="256DD49A">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表</w:t>
            </w:r>
            <w:r>
              <w:rPr>
                <w:rFonts w:hint="eastAsia" w:cs="Times New Roman"/>
                <w:b/>
                <w:color w:val="000000"/>
                <w:kern w:val="0"/>
                <w:sz w:val="21"/>
                <w:szCs w:val="21"/>
                <w:highlight w:val="none"/>
                <w:lang w:val="en-US" w:eastAsia="zh-CN"/>
              </w:rPr>
              <w:t>4-3</w:t>
            </w:r>
            <w:r>
              <w:rPr>
                <w:rFonts w:hint="default" w:ascii="Times New Roman" w:hAnsi="Times New Roman" w:cs="Times New Roman"/>
                <w:b/>
                <w:color w:val="000000"/>
                <w:kern w:val="0"/>
                <w:sz w:val="21"/>
                <w:szCs w:val="21"/>
                <w:highlight w:val="none"/>
              </w:rPr>
              <w:t xml:space="preserve">      </w:t>
            </w:r>
            <w:r>
              <w:rPr>
                <w:rFonts w:hint="default" w:ascii="Times New Roman" w:hAnsi="Times New Roman" w:cs="Times New Roman"/>
                <w:b/>
                <w:color w:val="000000"/>
                <w:kern w:val="0"/>
                <w:sz w:val="21"/>
                <w:szCs w:val="21"/>
                <w:highlight w:val="none"/>
                <w:lang w:val="en-US" w:eastAsia="zh-CN"/>
              </w:rPr>
              <w:t xml:space="preserve">  </w:t>
            </w:r>
            <w:r>
              <w:rPr>
                <w:rFonts w:hint="default" w:ascii="Times New Roman" w:hAnsi="Times New Roman" w:cs="Times New Roman"/>
                <w:b/>
                <w:color w:val="000000"/>
                <w:kern w:val="0"/>
                <w:sz w:val="21"/>
                <w:szCs w:val="21"/>
                <w:highlight w:val="none"/>
              </w:rPr>
              <w:t xml:space="preserve"> 典型施工机械控制距离         单位：m</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854"/>
              <w:gridCol w:w="817"/>
              <w:gridCol w:w="828"/>
              <w:gridCol w:w="942"/>
              <w:gridCol w:w="667"/>
              <w:gridCol w:w="798"/>
              <w:gridCol w:w="714"/>
              <w:gridCol w:w="776"/>
            </w:tblGrid>
            <w:tr w14:paraId="6E29C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restart"/>
                  <w:tcBorders>
                    <w:tl2br w:val="nil"/>
                    <w:tr2bl w:val="nil"/>
                  </w:tcBorders>
                  <w:noWrap w:val="0"/>
                  <w:vAlign w:val="center"/>
                </w:tcPr>
                <w:p w14:paraId="664291F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施工机械</w:t>
                  </w:r>
                </w:p>
              </w:tc>
              <w:tc>
                <w:tcPr>
                  <w:tcW w:w="1070" w:type="pct"/>
                  <w:gridSpan w:val="2"/>
                  <w:tcBorders>
                    <w:tl2br w:val="nil"/>
                    <w:tr2bl w:val="nil"/>
                  </w:tcBorders>
                  <w:noWrap w:val="0"/>
                  <w:vAlign w:val="center"/>
                </w:tcPr>
                <w:p w14:paraId="06E56D54">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场界限值（dB）</w:t>
                  </w:r>
                </w:p>
              </w:tc>
              <w:tc>
                <w:tcPr>
                  <w:tcW w:w="1133" w:type="pct"/>
                  <w:gridSpan w:val="2"/>
                  <w:tcBorders>
                    <w:tl2br w:val="nil"/>
                    <w:tr2bl w:val="nil"/>
                  </w:tcBorders>
                  <w:noWrap w:val="0"/>
                  <w:vAlign w:val="center"/>
                </w:tcPr>
                <w:p w14:paraId="40E6974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作业时间</w:t>
                  </w:r>
                  <w:r>
                    <w:rPr>
                      <w:rFonts w:hint="eastAsia" w:cs="Times New Roman"/>
                      <w:b/>
                      <w:bCs/>
                      <w:color w:val="000000"/>
                      <w:sz w:val="21"/>
                      <w:szCs w:val="21"/>
                      <w:highlight w:val="none"/>
                      <w:lang w:eastAsia="zh-CN"/>
                    </w:rPr>
                    <w:t>（</w:t>
                  </w:r>
                  <w:r>
                    <w:rPr>
                      <w:rFonts w:hint="default" w:ascii="Times New Roman" w:hAnsi="Times New Roman" w:cs="Times New Roman"/>
                      <w:b/>
                      <w:bCs/>
                      <w:color w:val="000000"/>
                      <w:sz w:val="21"/>
                      <w:szCs w:val="21"/>
                      <w:highlight w:val="none"/>
                    </w:rPr>
                    <w:t>小时）</w:t>
                  </w:r>
                </w:p>
              </w:tc>
              <w:tc>
                <w:tcPr>
                  <w:tcW w:w="938" w:type="pct"/>
                  <w:gridSpan w:val="2"/>
                  <w:tcBorders>
                    <w:tl2br w:val="nil"/>
                    <w:tr2bl w:val="nil"/>
                  </w:tcBorders>
                  <w:noWrap w:val="0"/>
                  <w:vAlign w:val="center"/>
                </w:tcPr>
                <w:p w14:paraId="375F62B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使用1台</w:t>
                  </w:r>
                </w:p>
              </w:tc>
              <w:tc>
                <w:tcPr>
                  <w:tcW w:w="954" w:type="pct"/>
                  <w:gridSpan w:val="2"/>
                  <w:tcBorders>
                    <w:tl2br w:val="nil"/>
                    <w:tr2bl w:val="nil"/>
                  </w:tcBorders>
                  <w:noWrap w:val="0"/>
                  <w:vAlign w:val="center"/>
                </w:tcPr>
                <w:p w14:paraId="0A683B4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使用2台</w:t>
                  </w:r>
                </w:p>
              </w:tc>
            </w:tr>
            <w:tr w14:paraId="041D1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continue"/>
                  <w:tcBorders>
                    <w:tl2br w:val="nil"/>
                    <w:tr2bl w:val="nil"/>
                  </w:tcBorders>
                  <w:noWrap w:val="0"/>
                  <w:vAlign w:val="center"/>
                </w:tcPr>
                <w:p w14:paraId="536AE1DD">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p>
              </w:tc>
              <w:tc>
                <w:tcPr>
                  <w:tcW w:w="547" w:type="pct"/>
                  <w:tcBorders>
                    <w:tl2br w:val="nil"/>
                    <w:tr2bl w:val="nil"/>
                  </w:tcBorders>
                  <w:noWrap w:val="0"/>
                  <w:vAlign w:val="center"/>
                </w:tcPr>
                <w:p w14:paraId="1BDE6B2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昼</w:t>
                  </w:r>
                </w:p>
              </w:tc>
              <w:tc>
                <w:tcPr>
                  <w:tcW w:w="523" w:type="pct"/>
                  <w:tcBorders>
                    <w:tl2br w:val="nil"/>
                    <w:tr2bl w:val="nil"/>
                  </w:tcBorders>
                  <w:noWrap w:val="0"/>
                  <w:vAlign w:val="center"/>
                </w:tcPr>
                <w:p w14:paraId="337DBCB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夜</w:t>
                  </w:r>
                </w:p>
              </w:tc>
              <w:tc>
                <w:tcPr>
                  <w:tcW w:w="530" w:type="pct"/>
                  <w:tcBorders>
                    <w:tl2br w:val="nil"/>
                    <w:tr2bl w:val="nil"/>
                  </w:tcBorders>
                  <w:noWrap w:val="0"/>
                  <w:vAlign w:val="center"/>
                </w:tcPr>
                <w:p w14:paraId="01B1197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昼</w:t>
                  </w:r>
                </w:p>
              </w:tc>
              <w:tc>
                <w:tcPr>
                  <w:tcW w:w="602" w:type="pct"/>
                  <w:tcBorders>
                    <w:tl2br w:val="nil"/>
                    <w:tr2bl w:val="nil"/>
                  </w:tcBorders>
                  <w:noWrap w:val="0"/>
                  <w:vAlign w:val="center"/>
                </w:tcPr>
                <w:p w14:paraId="357E50B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夜</w:t>
                  </w:r>
                </w:p>
              </w:tc>
              <w:tc>
                <w:tcPr>
                  <w:tcW w:w="427" w:type="pct"/>
                  <w:tcBorders>
                    <w:tl2br w:val="nil"/>
                    <w:tr2bl w:val="nil"/>
                  </w:tcBorders>
                  <w:noWrap w:val="0"/>
                  <w:vAlign w:val="center"/>
                </w:tcPr>
                <w:p w14:paraId="634A97D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昼</w:t>
                  </w:r>
                </w:p>
              </w:tc>
              <w:tc>
                <w:tcPr>
                  <w:tcW w:w="510" w:type="pct"/>
                  <w:tcBorders>
                    <w:tl2br w:val="nil"/>
                    <w:tr2bl w:val="nil"/>
                  </w:tcBorders>
                  <w:noWrap w:val="0"/>
                  <w:vAlign w:val="center"/>
                </w:tcPr>
                <w:p w14:paraId="7AB3485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夜</w:t>
                  </w:r>
                </w:p>
              </w:tc>
              <w:tc>
                <w:tcPr>
                  <w:tcW w:w="457" w:type="pct"/>
                  <w:tcBorders>
                    <w:tl2br w:val="nil"/>
                    <w:tr2bl w:val="nil"/>
                  </w:tcBorders>
                  <w:noWrap w:val="0"/>
                  <w:vAlign w:val="center"/>
                </w:tcPr>
                <w:p w14:paraId="009E9EE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昼</w:t>
                  </w:r>
                </w:p>
              </w:tc>
              <w:tc>
                <w:tcPr>
                  <w:tcW w:w="497" w:type="pct"/>
                  <w:tcBorders>
                    <w:tl2br w:val="nil"/>
                    <w:tr2bl w:val="nil"/>
                  </w:tcBorders>
                  <w:noWrap w:val="0"/>
                  <w:vAlign w:val="center"/>
                </w:tcPr>
                <w:p w14:paraId="16FF5BDD">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夜</w:t>
                  </w:r>
                </w:p>
              </w:tc>
            </w:tr>
            <w:tr w14:paraId="4BC53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restart"/>
                  <w:tcBorders>
                    <w:tl2br w:val="nil"/>
                    <w:tr2bl w:val="nil"/>
                  </w:tcBorders>
                  <w:noWrap w:val="0"/>
                  <w:vAlign w:val="center"/>
                </w:tcPr>
                <w:p w14:paraId="1F54E75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推土机</w:t>
                  </w:r>
                </w:p>
              </w:tc>
              <w:tc>
                <w:tcPr>
                  <w:tcW w:w="547" w:type="pct"/>
                  <w:vMerge w:val="restart"/>
                  <w:tcBorders>
                    <w:tl2br w:val="nil"/>
                    <w:tr2bl w:val="nil"/>
                  </w:tcBorders>
                  <w:noWrap w:val="0"/>
                  <w:vAlign w:val="center"/>
                </w:tcPr>
                <w:p w14:paraId="2365002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70</w:t>
                  </w:r>
                </w:p>
              </w:tc>
              <w:tc>
                <w:tcPr>
                  <w:tcW w:w="523" w:type="pct"/>
                  <w:vMerge w:val="restart"/>
                  <w:tcBorders>
                    <w:tl2br w:val="nil"/>
                    <w:tr2bl w:val="nil"/>
                  </w:tcBorders>
                  <w:noWrap w:val="0"/>
                  <w:vAlign w:val="center"/>
                </w:tcPr>
                <w:p w14:paraId="1C1D07E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w:t>
                  </w:r>
                </w:p>
              </w:tc>
              <w:tc>
                <w:tcPr>
                  <w:tcW w:w="530" w:type="pct"/>
                  <w:tcBorders>
                    <w:tl2br w:val="nil"/>
                    <w:tr2bl w:val="nil"/>
                  </w:tcBorders>
                  <w:noWrap w:val="0"/>
                  <w:vAlign w:val="center"/>
                </w:tcPr>
                <w:p w14:paraId="106A6FB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8</w:t>
                  </w:r>
                </w:p>
              </w:tc>
              <w:tc>
                <w:tcPr>
                  <w:tcW w:w="602" w:type="pct"/>
                  <w:tcBorders>
                    <w:tl2br w:val="nil"/>
                    <w:tr2bl w:val="nil"/>
                  </w:tcBorders>
                  <w:noWrap w:val="0"/>
                  <w:vAlign w:val="center"/>
                </w:tcPr>
                <w:p w14:paraId="549F634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427" w:type="pct"/>
                  <w:tcBorders>
                    <w:tl2br w:val="nil"/>
                    <w:tr2bl w:val="nil"/>
                  </w:tcBorders>
                  <w:noWrap w:val="0"/>
                  <w:vAlign w:val="center"/>
                </w:tcPr>
                <w:p w14:paraId="3862548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33</w:t>
                  </w:r>
                </w:p>
              </w:tc>
              <w:tc>
                <w:tcPr>
                  <w:tcW w:w="510" w:type="pct"/>
                  <w:tcBorders>
                    <w:tl2br w:val="nil"/>
                    <w:tr2bl w:val="nil"/>
                  </w:tcBorders>
                  <w:noWrap w:val="0"/>
                  <w:vAlign w:val="center"/>
                </w:tcPr>
                <w:p w14:paraId="4AF4261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158</w:t>
                  </w:r>
                </w:p>
              </w:tc>
              <w:tc>
                <w:tcPr>
                  <w:tcW w:w="457" w:type="pct"/>
                  <w:tcBorders>
                    <w:tl2br w:val="nil"/>
                    <w:tr2bl w:val="nil"/>
                  </w:tcBorders>
                  <w:noWrap w:val="0"/>
                  <w:vAlign w:val="center"/>
                </w:tcPr>
                <w:p w14:paraId="1B68964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45</w:t>
                  </w:r>
                </w:p>
              </w:tc>
              <w:tc>
                <w:tcPr>
                  <w:tcW w:w="497" w:type="pct"/>
                  <w:tcBorders>
                    <w:tl2br w:val="nil"/>
                    <w:tr2bl w:val="nil"/>
                  </w:tcBorders>
                  <w:noWrap w:val="0"/>
                  <w:vAlign w:val="center"/>
                </w:tcPr>
                <w:p w14:paraId="6344C73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223</w:t>
                  </w:r>
                </w:p>
              </w:tc>
            </w:tr>
            <w:tr w14:paraId="7B556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continue"/>
                  <w:tcBorders>
                    <w:tl2br w:val="nil"/>
                    <w:tr2bl w:val="nil"/>
                  </w:tcBorders>
                  <w:noWrap w:val="0"/>
                  <w:vAlign w:val="center"/>
                </w:tcPr>
                <w:p w14:paraId="4B28A31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47" w:type="pct"/>
                  <w:vMerge w:val="continue"/>
                  <w:tcBorders>
                    <w:tl2br w:val="nil"/>
                    <w:tr2bl w:val="nil"/>
                  </w:tcBorders>
                  <w:noWrap w:val="0"/>
                  <w:vAlign w:val="center"/>
                </w:tcPr>
                <w:p w14:paraId="6080A7B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23" w:type="pct"/>
                  <w:vMerge w:val="continue"/>
                  <w:tcBorders>
                    <w:tl2br w:val="nil"/>
                    <w:tr2bl w:val="nil"/>
                  </w:tcBorders>
                  <w:noWrap w:val="0"/>
                  <w:vAlign w:val="center"/>
                </w:tcPr>
                <w:p w14:paraId="09FE389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30" w:type="pct"/>
                  <w:tcBorders>
                    <w:tl2br w:val="nil"/>
                    <w:tr2bl w:val="nil"/>
                  </w:tcBorders>
                  <w:noWrap w:val="0"/>
                  <w:vAlign w:val="center"/>
                </w:tcPr>
                <w:p w14:paraId="25922BC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10</w:t>
                  </w:r>
                </w:p>
              </w:tc>
              <w:tc>
                <w:tcPr>
                  <w:tcW w:w="602" w:type="pct"/>
                  <w:tcBorders>
                    <w:tl2br w:val="nil"/>
                    <w:tr2bl w:val="nil"/>
                  </w:tcBorders>
                  <w:noWrap w:val="0"/>
                  <w:vAlign w:val="center"/>
                </w:tcPr>
                <w:p w14:paraId="47EEA67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w:t>
                  </w:r>
                </w:p>
              </w:tc>
              <w:tc>
                <w:tcPr>
                  <w:tcW w:w="427" w:type="pct"/>
                  <w:tcBorders>
                    <w:tl2br w:val="nil"/>
                    <w:tr2bl w:val="nil"/>
                  </w:tcBorders>
                  <w:noWrap w:val="0"/>
                  <w:vAlign w:val="center"/>
                </w:tcPr>
                <w:p w14:paraId="7FD0801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37</w:t>
                  </w:r>
                </w:p>
              </w:tc>
              <w:tc>
                <w:tcPr>
                  <w:tcW w:w="510" w:type="pct"/>
                  <w:tcBorders>
                    <w:tl2br w:val="nil"/>
                    <w:tr2bl w:val="nil"/>
                  </w:tcBorders>
                  <w:noWrap w:val="0"/>
                  <w:vAlign w:val="center"/>
                </w:tcPr>
                <w:p w14:paraId="5FBC3B3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223</w:t>
                  </w:r>
                </w:p>
              </w:tc>
              <w:tc>
                <w:tcPr>
                  <w:tcW w:w="457" w:type="pct"/>
                  <w:tcBorders>
                    <w:tl2br w:val="nil"/>
                    <w:tr2bl w:val="nil"/>
                  </w:tcBorders>
                  <w:noWrap w:val="0"/>
                  <w:vAlign w:val="center"/>
                </w:tcPr>
                <w:p w14:paraId="7AC5A97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50</w:t>
                  </w:r>
                </w:p>
              </w:tc>
              <w:tc>
                <w:tcPr>
                  <w:tcW w:w="497" w:type="pct"/>
                  <w:tcBorders>
                    <w:tl2br w:val="nil"/>
                    <w:tr2bl w:val="nil"/>
                  </w:tcBorders>
                  <w:noWrap w:val="0"/>
                  <w:vAlign w:val="center"/>
                </w:tcPr>
                <w:p w14:paraId="3C1C447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316</w:t>
                  </w:r>
                </w:p>
              </w:tc>
            </w:tr>
            <w:tr w14:paraId="30706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continue"/>
                  <w:tcBorders>
                    <w:tl2br w:val="nil"/>
                    <w:tr2bl w:val="nil"/>
                  </w:tcBorders>
                  <w:noWrap w:val="0"/>
                  <w:vAlign w:val="center"/>
                </w:tcPr>
                <w:p w14:paraId="1509F89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47" w:type="pct"/>
                  <w:vMerge w:val="continue"/>
                  <w:tcBorders>
                    <w:tl2br w:val="nil"/>
                    <w:tr2bl w:val="nil"/>
                  </w:tcBorders>
                  <w:noWrap w:val="0"/>
                  <w:vAlign w:val="center"/>
                </w:tcPr>
                <w:p w14:paraId="65C4ECD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23" w:type="pct"/>
                  <w:vMerge w:val="continue"/>
                  <w:tcBorders>
                    <w:tl2br w:val="nil"/>
                    <w:tr2bl w:val="nil"/>
                  </w:tcBorders>
                  <w:noWrap w:val="0"/>
                  <w:vAlign w:val="center"/>
                </w:tcPr>
                <w:p w14:paraId="65CF5CD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30" w:type="pct"/>
                  <w:tcBorders>
                    <w:tl2br w:val="nil"/>
                    <w:tr2bl w:val="nil"/>
                  </w:tcBorders>
                  <w:noWrap w:val="0"/>
                  <w:vAlign w:val="center"/>
                </w:tcPr>
                <w:p w14:paraId="0159E53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12</w:t>
                  </w:r>
                </w:p>
              </w:tc>
              <w:tc>
                <w:tcPr>
                  <w:tcW w:w="602" w:type="pct"/>
                  <w:tcBorders>
                    <w:tl2br w:val="nil"/>
                    <w:tr2bl w:val="nil"/>
                  </w:tcBorders>
                  <w:noWrap w:val="0"/>
                  <w:vAlign w:val="center"/>
                </w:tcPr>
                <w:p w14:paraId="2E733F3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w:t>
                  </w:r>
                </w:p>
              </w:tc>
              <w:tc>
                <w:tcPr>
                  <w:tcW w:w="427" w:type="pct"/>
                  <w:tcBorders>
                    <w:tl2br w:val="nil"/>
                    <w:tr2bl w:val="nil"/>
                  </w:tcBorders>
                  <w:noWrap w:val="0"/>
                  <w:vAlign w:val="center"/>
                </w:tcPr>
                <w:p w14:paraId="45DEA94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39</w:t>
                  </w:r>
                </w:p>
              </w:tc>
              <w:tc>
                <w:tcPr>
                  <w:tcW w:w="510" w:type="pct"/>
                  <w:tcBorders>
                    <w:tl2br w:val="nil"/>
                    <w:tr2bl w:val="nil"/>
                  </w:tcBorders>
                  <w:noWrap w:val="0"/>
                  <w:vAlign w:val="center"/>
                </w:tcPr>
                <w:p w14:paraId="2E98582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274</w:t>
                  </w:r>
                </w:p>
              </w:tc>
              <w:tc>
                <w:tcPr>
                  <w:tcW w:w="457" w:type="pct"/>
                  <w:tcBorders>
                    <w:tl2br w:val="nil"/>
                    <w:tr2bl w:val="nil"/>
                  </w:tcBorders>
                  <w:noWrap w:val="0"/>
                  <w:vAlign w:val="center"/>
                </w:tcPr>
                <w:p w14:paraId="44BA7E1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55</w:t>
                  </w:r>
                </w:p>
              </w:tc>
              <w:tc>
                <w:tcPr>
                  <w:tcW w:w="497" w:type="pct"/>
                  <w:tcBorders>
                    <w:tl2br w:val="nil"/>
                    <w:tr2bl w:val="nil"/>
                  </w:tcBorders>
                  <w:noWrap w:val="0"/>
                  <w:vAlign w:val="center"/>
                </w:tcPr>
                <w:p w14:paraId="4E5FD2F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387</w:t>
                  </w:r>
                </w:p>
              </w:tc>
            </w:tr>
            <w:tr w14:paraId="68637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restart"/>
                  <w:tcBorders>
                    <w:tl2br w:val="nil"/>
                    <w:tr2bl w:val="nil"/>
                  </w:tcBorders>
                  <w:noWrap w:val="0"/>
                  <w:vAlign w:val="center"/>
                </w:tcPr>
                <w:p w14:paraId="3C14939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装载机</w:t>
                  </w:r>
                </w:p>
              </w:tc>
              <w:tc>
                <w:tcPr>
                  <w:tcW w:w="547" w:type="pct"/>
                  <w:vMerge w:val="restart"/>
                  <w:tcBorders>
                    <w:tl2br w:val="nil"/>
                    <w:tr2bl w:val="nil"/>
                  </w:tcBorders>
                  <w:noWrap w:val="0"/>
                  <w:vAlign w:val="center"/>
                </w:tcPr>
                <w:p w14:paraId="1E99977D">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70</w:t>
                  </w:r>
                </w:p>
              </w:tc>
              <w:tc>
                <w:tcPr>
                  <w:tcW w:w="523" w:type="pct"/>
                  <w:vMerge w:val="restart"/>
                  <w:tcBorders>
                    <w:tl2br w:val="nil"/>
                    <w:tr2bl w:val="nil"/>
                  </w:tcBorders>
                  <w:noWrap w:val="0"/>
                  <w:vAlign w:val="center"/>
                </w:tcPr>
                <w:p w14:paraId="3EBA435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w:t>
                  </w:r>
                </w:p>
              </w:tc>
              <w:tc>
                <w:tcPr>
                  <w:tcW w:w="530" w:type="pct"/>
                  <w:tcBorders>
                    <w:tl2br w:val="nil"/>
                    <w:tr2bl w:val="nil"/>
                  </w:tcBorders>
                  <w:noWrap w:val="0"/>
                  <w:vAlign w:val="center"/>
                </w:tcPr>
                <w:p w14:paraId="4589F2E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8</w:t>
                  </w:r>
                </w:p>
              </w:tc>
              <w:tc>
                <w:tcPr>
                  <w:tcW w:w="602" w:type="pct"/>
                  <w:tcBorders>
                    <w:tl2br w:val="nil"/>
                    <w:tr2bl w:val="nil"/>
                  </w:tcBorders>
                  <w:noWrap w:val="0"/>
                  <w:vAlign w:val="center"/>
                </w:tcPr>
                <w:p w14:paraId="652CF674">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427" w:type="pct"/>
                  <w:tcBorders>
                    <w:tl2br w:val="nil"/>
                    <w:tr2bl w:val="nil"/>
                  </w:tcBorders>
                  <w:noWrap w:val="0"/>
                  <w:vAlign w:val="center"/>
                </w:tcPr>
                <w:p w14:paraId="63E4A9F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25</w:t>
                  </w:r>
                </w:p>
              </w:tc>
              <w:tc>
                <w:tcPr>
                  <w:tcW w:w="510" w:type="pct"/>
                  <w:tcBorders>
                    <w:tl2br w:val="nil"/>
                    <w:tr2bl w:val="nil"/>
                  </w:tcBorders>
                  <w:noWrap w:val="0"/>
                  <w:vAlign w:val="center"/>
                </w:tcPr>
                <w:p w14:paraId="289C81C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89</w:t>
                  </w:r>
                </w:p>
              </w:tc>
              <w:tc>
                <w:tcPr>
                  <w:tcW w:w="457" w:type="pct"/>
                  <w:tcBorders>
                    <w:tl2br w:val="nil"/>
                    <w:tr2bl w:val="nil"/>
                  </w:tcBorders>
                  <w:noWrap w:val="0"/>
                  <w:vAlign w:val="center"/>
                </w:tcPr>
                <w:p w14:paraId="27CF10C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25</w:t>
                  </w:r>
                </w:p>
              </w:tc>
              <w:tc>
                <w:tcPr>
                  <w:tcW w:w="497" w:type="pct"/>
                  <w:tcBorders>
                    <w:tl2br w:val="nil"/>
                    <w:tr2bl w:val="nil"/>
                  </w:tcBorders>
                  <w:noWrap w:val="0"/>
                  <w:vAlign w:val="center"/>
                </w:tcPr>
                <w:p w14:paraId="23DD525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126</w:t>
                  </w:r>
                </w:p>
              </w:tc>
            </w:tr>
            <w:tr w14:paraId="01CB9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continue"/>
                  <w:tcBorders>
                    <w:tl2br w:val="nil"/>
                    <w:tr2bl w:val="nil"/>
                  </w:tcBorders>
                  <w:noWrap w:val="0"/>
                  <w:vAlign w:val="center"/>
                </w:tcPr>
                <w:p w14:paraId="09A1AD3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47" w:type="pct"/>
                  <w:vMerge w:val="continue"/>
                  <w:tcBorders>
                    <w:tl2br w:val="nil"/>
                    <w:tr2bl w:val="nil"/>
                  </w:tcBorders>
                  <w:noWrap w:val="0"/>
                  <w:vAlign w:val="center"/>
                </w:tcPr>
                <w:p w14:paraId="491EE6FD">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23" w:type="pct"/>
                  <w:vMerge w:val="continue"/>
                  <w:tcBorders>
                    <w:tl2br w:val="nil"/>
                    <w:tr2bl w:val="nil"/>
                  </w:tcBorders>
                  <w:noWrap w:val="0"/>
                  <w:vAlign w:val="center"/>
                </w:tcPr>
                <w:p w14:paraId="4619CD7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30" w:type="pct"/>
                  <w:tcBorders>
                    <w:tl2br w:val="nil"/>
                    <w:tr2bl w:val="nil"/>
                  </w:tcBorders>
                  <w:noWrap w:val="0"/>
                  <w:vAlign w:val="center"/>
                </w:tcPr>
                <w:p w14:paraId="149C1D7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10</w:t>
                  </w:r>
                </w:p>
              </w:tc>
              <w:tc>
                <w:tcPr>
                  <w:tcW w:w="602" w:type="pct"/>
                  <w:tcBorders>
                    <w:tl2br w:val="nil"/>
                    <w:tr2bl w:val="nil"/>
                  </w:tcBorders>
                  <w:noWrap w:val="0"/>
                  <w:vAlign w:val="center"/>
                </w:tcPr>
                <w:p w14:paraId="2A2D66B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w:t>
                  </w:r>
                </w:p>
              </w:tc>
              <w:tc>
                <w:tcPr>
                  <w:tcW w:w="427" w:type="pct"/>
                  <w:tcBorders>
                    <w:tl2br w:val="nil"/>
                    <w:tr2bl w:val="nil"/>
                  </w:tcBorders>
                  <w:noWrap w:val="0"/>
                  <w:vAlign w:val="center"/>
                </w:tcPr>
                <w:p w14:paraId="397C7E8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26</w:t>
                  </w:r>
                </w:p>
              </w:tc>
              <w:tc>
                <w:tcPr>
                  <w:tcW w:w="510" w:type="pct"/>
                  <w:tcBorders>
                    <w:tl2br w:val="nil"/>
                    <w:tr2bl w:val="nil"/>
                  </w:tcBorders>
                  <w:noWrap w:val="0"/>
                  <w:vAlign w:val="center"/>
                </w:tcPr>
                <w:p w14:paraId="50A6981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126</w:t>
                  </w:r>
                </w:p>
              </w:tc>
              <w:tc>
                <w:tcPr>
                  <w:tcW w:w="457" w:type="pct"/>
                  <w:tcBorders>
                    <w:tl2br w:val="nil"/>
                    <w:tr2bl w:val="nil"/>
                  </w:tcBorders>
                  <w:noWrap w:val="0"/>
                  <w:vAlign w:val="center"/>
                </w:tcPr>
                <w:p w14:paraId="4B70C0E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28</w:t>
                  </w:r>
                </w:p>
              </w:tc>
              <w:tc>
                <w:tcPr>
                  <w:tcW w:w="497" w:type="pct"/>
                  <w:tcBorders>
                    <w:tl2br w:val="nil"/>
                    <w:tr2bl w:val="nil"/>
                  </w:tcBorders>
                  <w:noWrap w:val="0"/>
                  <w:vAlign w:val="center"/>
                </w:tcPr>
                <w:p w14:paraId="06532C9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178</w:t>
                  </w:r>
                </w:p>
              </w:tc>
            </w:tr>
            <w:tr w14:paraId="466E6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03" w:type="pct"/>
                  <w:vMerge w:val="continue"/>
                  <w:tcBorders>
                    <w:tl2br w:val="nil"/>
                    <w:tr2bl w:val="nil"/>
                  </w:tcBorders>
                  <w:noWrap w:val="0"/>
                  <w:vAlign w:val="center"/>
                </w:tcPr>
                <w:p w14:paraId="117D137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47" w:type="pct"/>
                  <w:vMerge w:val="continue"/>
                  <w:tcBorders>
                    <w:tl2br w:val="nil"/>
                    <w:tr2bl w:val="nil"/>
                  </w:tcBorders>
                  <w:noWrap w:val="0"/>
                  <w:vAlign w:val="center"/>
                </w:tcPr>
                <w:p w14:paraId="29E9910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23" w:type="pct"/>
                  <w:vMerge w:val="continue"/>
                  <w:tcBorders>
                    <w:tl2br w:val="nil"/>
                    <w:tr2bl w:val="nil"/>
                  </w:tcBorders>
                  <w:noWrap w:val="0"/>
                  <w:vAlign w:val="center"/>
                </w:tcPr>
                <w:p w14:paraId="2F7252F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p>
              </w:tc>
              <w:tc>
                <w:tcPr>
                  <w:tcW w:w="530" w:type="pct"/>
                  <w:tcBorders>
                    <w:tl2br w:val="nil"/>
                    <w:tr2bl w:val="nil"/>
                  </w:tcBorders>
                  <w:noWrap w:val="0"/>
                  <w:vAlign w:val="center"/>
                </w:tcPr>
                <w:p w14:paraId="73522C2D">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12</w:t>
                  </w:r>
                </w:p>
              </w:tc>
              <w:tc>
                <w:tcPr>
                  <w:tcW w:w="602" w:type="pct"/>
                  <w:tcBorders>
                    <w:tl2br w:val="nil"/>
                    <w:tr2bl w:val="nil"/>
                  </w:tcBorders>
                  <w:noWrap w:val="0"/>
                  <w:vAlign w:val="center"/>
                </w:tcPr>
                <w:p w14:paraId="0BDC11A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w:t>
                  </w:r>
                </w:p>
              </w:tc>
              <w:tc>
                <w:tcPr>
                  <w:tcW w:w="427" w:type="pct"/>
                  <w:tcBorders>
                    <w:tl2br w:val="nil"/>
                    <w:tr2bl w:val="nil"/>
                  </w:tcBorders>
                  <w:noWrap w:val="0"/>
                  <w:vAlign w:val="center"/>
                </w:tcPr>
                <w:p w14:paraId="4647B34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28</w:t>
                  </w:r>
                </w:p>
              </w:tc>
              <w:tc>
                <w:tcPr>
                  <w:tcW w:w="510" w:type="pct"/>
                  <w:tcBorders>
                    <w:tl2br w:val="nil"/>
                    <w:tr2bl w:val="nil"/>
                  </w:tcBorders>
                  <w:noWrap w:val="0"/>
                  <w:vAlign w:val="center"/>
                </w:tcPr>
                <w:p w14:paraId="7FFDF70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154</w:t>
                  </w:r>
                </w:p>
              </w:tc>
              <w:tc>
                <w:tcPr>
                  <w:tcW w:w="457" w:type="pct"/>
                  <w:tcBorders>
                    <w:tl2br w:val="nil"/>
                    <w:tr2bl w:val="nil"/>
                  </w:tcBorders>
                  <w:noWrap w:val="0"/>
                  <w:vAlign w:val="center"/>
                </w:tcPr>
                <w:p w14:paraId="3EF0BF0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31</w:t>
                  </w:r>
                </w:p>
              </w:tc>
              <w:tc>
                <w:tcPr>
                  <w:tcW w:w="497" w:type="pct"/>
                  <w:tcBorders>
                    <w:tl2br w:val="nil"/>
                    <w:tr2bl w:val="nil"/>
                  </w:tcBorders>
                  <w:noWrap w:val="0"/>
                  <w:vAlign w:val="center"/>
                </w:tcPr>
                <w:p w14:paraId="0259798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218</w:t>
                  </w:r>
                </w:p>
              </w:tc>
            </w:tr>
          </w:tbl>
          <w:p w14:paraId="6490FCCD">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baseline"/>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施工阶段产生的噪声对周围区域环境有一定的影响。相对营运期而言，建设期施工噪声影响是短期的，而且具有局部特性。</w:t>
            </w:r>
          </w:p>
          <w:p w14:paraId="6A33CC07">
            <w:pPr>
              <w:pStyle w:val="8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cs="Times New Roman"/>
                <w:bCs/>
                <w:color w:val="000000"/>
                <w:kern w:val="24"/>
                <w:sz w:val="24"/>
                <w:szCs w:val="24"/>
                <w:highlight w:val="none"/>
                <w:lang w:val="en-US" w:eastAsia="zh-CN" w:bidi="ar-SA"/>
              </w:rPr>
            </w:pPr>
            <w:r>
              <w:rPr>
                <w:rFonts w:hint="default" w:ascii="Times New Roman" w:hAnsi="Times New Roman" w:cs="Times New Roman"/>
                <w:color w:val="000000"/>
                <w:highlight w:val="none"/>
              </w:rPr>
              <w:t>由表</w:t>
            </w:r>
            <w:r>
              <w:rPr>
                <w:rFonts w:hint="eastAsia" w:ascii="Times New Roman" w:hAnsi="Times New Roman" w:cs="Times New Roman"/>
                <w:color w:val="000000"/>
                <w:highlight w:val="none"/>
                <w:lang w:val="en-US" w:eastAsia="zh-CN"/>
              </w:rPr>
              <w:t>4-3</w:t>
            </w:r>
            <w:r>
              <w:rPr>
                <w:rFonts w:hint="default" w:ascii="Times New Roman" w:hAnsi="Times New Roman" w:cs="Times New Roman"/>
                <w:color w:val="000000"/>
                <w:highlight w:val="none"/>
              </w:rPr>
              <w:t>可知，施工机械使用1台时，在昼间的噪声达标范围为距声源39m以外的区域，在夜间的噪声达标范围为距声源274m以外的区域；施工机械使用2台时，在昼间的噪声达标范围为距声源55m以外的区域，在夜间的噪声达标范围为距声源387m以外的区域。</w:t>
            </w:r>
            <w:r>
              <w:rPr>
                <w:rFonts w:hint="default" w:ascii="Times New Roman" w:hAnsi="Times New Roman" w:cs="Times New Roman"/>
                <w:bCs/>
                <w:color w:val="000000"/>
                <w:kern w:val="24"/>
                <w:sz w:val="24"/>
                <w:szCs w:val="24"/>
                <w:highlight w:val="none"/>
                <w:lang w:val="en-US" w:eastAsia="zh-CN" w:bidi="ar-SA"/>
              </w:rPr>
              <w:t>施工期噪声对周围环境影响较小。</w:t>
            </w:r>
          </w:p>
          <w:p w14:paraId="55D79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cs="Times New Roman"/>
                <w:b/>
                <w:bCs/>
                <w:color w:val="000000"/>
              </w:rPr>
            </w:pPr>
            <w:r>
              <w:rPr>
                <w:rFonts w:hint="default" w:cs="Times New Roman"/>
                <w:b/>
                <w:bCs/>
                <w:color w:val="000000"/>
              </w:rPr>
              <w:t>1.</w:t>
            </w:r>
            <w:r>
              <w:rPr>
                <w:rFonts w:hint="eastAsia" w:cs="Times New Roman"/>
                <w:b/>
                <w:bCs/>
                <w:color w:val="000000"/>
                <w:lang w:val="en-US" w:eastAsia="zh-CN"/>
              </w:rPr>
              <w:t>8</w:t>
            </w:r>
            <w:r>
              <w:rPr>
                <w:rFonts w:hint="default" w:cs="Times New Roman"/>
                <w:b/>
                <w:bCs/>
                <w:color w:val="000000"/>
              </w:rPr>
              <w:t>固体废物环境影响分析</w:t>
            </w:r>
          </w:p>
          <w:p w14:paraId="69FE2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kern w:val="24"/>
                <w:sz w:val="24"/>
                <w:szCs w:val="24"/>
                <w:highlight w:val="none"/>
                <w:lang w:val="en-US" w:eastAsia="zh-CN" w:bidi="ar-SA"/>
              </w:rPr>
            </w:pPr>
            <w:r>
              <w:rPr>
                <w:rFonts w:hint="default" w:ascii="Times New Roman" w:hAnsi="Times New Roman" w:eastAsia="宋体" w:cs="Times New Roman"/>
                <w:bCs/>
                <w:color w:val="000000"/>
                <w:kern w:val="24"/>
                <w:sz w:val="24"/>
                <w:szCs w:val="24"/>
                <w:highlight w:val="none"/>
                <w:lang w:val="en-US" w:eastAsia="zh-CN" w:bidi="ar-SA"/>
              </w:rPr>
              <w:t>施工期间产生的固体废物主要为施工渣土、建筑垃圾、生活垃圾。</w:t>
            </w:r>
          </w:p>
          <w:p w14:paraId="17C29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kern w:val="24"/>
                <w:sz w:val="24"/>
                <w:szCs w:val="24"/>
                <w:highlight w:val="none"/>
                <w:lang w:val="en-US" w:eastAsia="zh-CN" w:bidi="ar-SA"/>
              </w:rPr>
            </w:pPr>
            <w:r>
              <w:rPr>
                <w:rFonts w:hint="eastAsia" w:ascii="Times New Roman" w:hAnsi="Times New Roman" w:eastAsia="宋体" w:cs="Times New Roman"/>
                <w:bCs/>
                <w:color w:val="000000"/>
                <w:spacing w:val="0"/>
                <w:sz w:val="24"/>
                <w:szCs w:val="24"/>
                <w:lang w:val="en-US" w:eastAsia="zh-CN"/>
              </w:rPr>
              <w:t>施工</w:t>
            </w:r>
            <w:r>
              <w:rPr>
                <w:rFonts w:hint="default" w:ascii="Times New Roman" w:hAnsi="Times New Roman" w:eastAsia="宋体" w:cs="Times New Roman"/>
                <w:bCs/>
                <w:color w:val="000000"/>
                <w:spacing w:val="0"/>
                <w:sz w:val="24"/>
                <w:szCs w:val="24"/>
                <w:lang w:val="en-US" w:eastAsia="zh-CN"/>
              </w:rPr>
              <w:t>弃土</w:t>
            </w:r>
            <w:r>
              <w:rPr>
                <w:rFonts w:hint="eastAsia" w:ascii="Times New Roman" w:hAnsi="Times New Roman" w:eastAsia="宋体" w:cs="Times New Roman"/>
                <w:bCs/>
                <w:color w:val="000000"/>
                <w:spacing w:val="0"/>
                <w:sz w:val="24"/>
                <w:szCs w:val="24"/>
                <w:lang w:val="en-US" w:eastAsia="zh-CN"/>
              </w:rPr>
              <w:t>统一收集后外运至东辰煤矿建设既有弃渣场内；</w:t>
            </w:r>
            <w:r>
              <w:rPr>
                <w:rFonts w:hint="default" w:ascii="Times New Roman" w:hAnsi="Times New Roman" w:eastAsia="宋体" w:cs="Times New Roman"/>
                <w:bCs/>
                <w:color w:val="000000"/>
                <w:spacing w:val="0"/>
                <w:sz w:val="24"/>
                <w:szCs w:val="24"/>
                <w:lang w:val="en-US" w:eastAsia="zh-CN"/>
              </w:rPr>
              <w:t>建筑废料应</w:t>
            </w:r>
            <w:r>
              <w:rPr>
                <w:rFonts w:hint="eastAsia" w:ascii="Times New Roman" w:hAnsi="Times New Roman" w:eastAsia="宋体" w:cs="Times New Roman"/>
                <w:bCs/>
                <w:color w:val="000000"/>
                <w:spacing w:val="0"/>
                <w:sz w:val="24"/>
                <w:szCs w:val="24"/>
                <w:lang w:val="en-US" w:eastAsia="zh-CN"/>
              </w:rPr>
              <w:t>按照当地住建</w:t>
            </w:r>
            <w:r>
              <w:rPr>
                <w:rFonts w:hint="default" w:ascii="Times New Roman" w:hAnsi="Times New Roman" w:eastAsia="宋体" w:cs="Times New Roman"/>
                <w:bCs/>
                <w:color w:val="000000"/>
                <w:spacing w:val="0"/>
                <w:sz w:val="24"/>
                <w:szCs w:val="24"/>
                <w:lang w:val="en-US" w:eastAsia="zh-CN"/>
              </w:rPr>
              <w:t>部门</w:t>
            </w:r>
            <w:r>
              <w:rPr>
                <w:rFonts w:hint="eastAsia" w:ascii="Times New Roman" w:hAnsi="Times New Roman" w:eastAsia="宋体" w:cs="Times New Roman"/>
                <w:bCs/>
                <w:color w:val="000000"/>
                <w:spacing w:val="0"/>
                <w:sz w:val="24"/>
                <w:szCs w:val="24"/>
                <w:lang w:val="en-US" w:eastAsia="zh-CN"/>
              </w:rPr>
              <w:t>要求处置</w:t>
            </w:r>
            <w:r>
              <w:rPr>
                <w:rFonts w:hint="default" w:ascii="Times New Roman" w:hAnsi="Times New Roman" w:eastAsia="宋体" w:cs="Times New Roman"/>
                <w:bCs/>
                <w:color w:val="000000"/>
                <w:kern w:val="24"/>
                <w:sz w:val="24"/>
                <w:szCs w:val="24"/>
                <w:highlight w:val="none"/>
                <w:lang w:val="en-US" w:eastAsia="zh-CN" w:bidi="ar-SA"/>
              </w:rPr>
              <w:t>；生活垃圾集中收集后，</w:t>
            </w:r>
            <w:r>
              <w:rPr>
                <w:rFonts w:hint="eastAsia" w:ascii="Times New Roman" w:hAnsi="Times New Roman" w:eastAsia="宋体" w:cs="Times New Roman"/>
                <w:bCs/>
                <w:color w:val="000000"/>
                <w:kern w:val="24"/>
                <w:sz w:val="24"/>
                <w:szCs w:val="24"/>
                <w:highlight w:val="none"/>
                <w:lang w:val="en-US" w:eastAsia="zh-CN" w:bidi="ar-SA"/>
              </w:rPr>
              <w:t>交由环卫部门统一清运处理</w:t>
            </w:r>
            <w:r>
              <w:rPr>
                <w:rFonts w:hint="default" w:ascii="Times New Roman" w:hAnsi="Times New Roman" w:eastAsia="宋体" w:cs="Times New Roman"/>
                <w:bCs/>
                <w:color w:val="000000"/>
                <w:kern w:val="24"/>
                <w:sz w:val="24"/>
                <w:szCs w:val="24"/>
                <w:highlight w:val="none"/>
                <w:lang w:val="en-US" w:eastAsia="zh-CN" w:bidi="ar-SA"/>
              </w:rPr>
              <w:t>。</w:t>
            </w:r>
          </w:p>
          <w:p w14:paraId="44B1F7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000000"/>
                <w:kern w:val="24"/>
                <w:sz w:val="24"/>
                <w:szCs w:val="24"/>
                <w:highlight w:val="none"/>
                <w:lang w:val="en-US" w:eastAsia="zh-CN" w:bidi="ar-SA"/>
              </w:rPr>
            </w:pPr>
            <w:r>
              <w:rPr>
                <w:rFonts w:hint="eastAsia" w:ascii="Times New Roman" w:hAnsi="Times New Roman" w:eastAsia="宋体" w:cs="Times New Roman"/>
                <w:bCs/>
                <w:color w:val="000000"/>
                <w:kern w:val="24"/>
                <w:sz w:val="24"/>
                <w:szCs w:val="24"/>
                <w:highlight w:val="none"/>
                <w:lang w:val="en-US" w:eastAsia="zh-CN" w:bidi="ar-SA"/>
              </w:rPr>
              <w:t>生活垃圾产生量按照人均0.2kg/d计算，施工期人数以130人计，则生活垃圾产生量为26kg/d，施工期限为12个月，则生活垃圾产生量为9.36t/a，统一收集后由环卫部门集中清运填埋处理。</w:t>
            </w:r>
          </w:p>
          <w:p w14:paraId="4FF701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bCs/>
                <w:color w:val="000000"/>
                <w:kern w:val="24"/>
                <w:sz w:val="24"/>
                <w:szCs w:val="24"/>
                <w:highlight w:val="none"/>
                <w:lang w:val="en-US" w:eastAsia="zh-CN" w:bidi="ar-SA"/>
              </w:rPr>
            </w:pPr>
            <w:r>
              <w:rPr>
                <w:rFonts w:hint="eastAsia" w:ascii="Times New Roman" w:hAnsi="Times New Roman" w:eastAsia="宋体" w:cs="Times New Roman"/>
                <w:bCs/>
                <w:color w:val="000000"/>
                <w:kern w:val="24"/>
                <w:sz w:val="24"/>
                <w:szCs w:val="24"/>
                <w:highlight w:val="none"/>
                <w:lang w:val="en-US" w:eastAsia="zh-CN" w:bidi="ar-SA"/>
              </w:rPr>
              <w:t>类比同类型施工项目资料，本工程土建施工碎石、过剩混凝土等建筑垃圾定额产生量为2kg/m</w:t>
            </w:r>
            <w:r>
              <w:rPr>
                <w:rFonts w:hint="eastAsia" w:ascii="Times New Roman" w:hAnsi="Times New Roman" w:eastAsia="宋体" w:cs="Times New Roman"/>
                <w:bCs/>
                <w:color w:val="000000"/>
                <w:kern w:val="24"/>
                <w:sz w:val="24"/>
                <w:szCs w:val="24"/>
                <w:highlight w:val="none"/>
                <w:vertAlign w:val="superscript"/>
                <w:lang w:val="en-US" w:eastAsia="zh-CN" w:bidi="ar-SA"/>
              </w:rPr>
              <w:t>2</w:t>
            </w:r>
            <w:r>
              <w:rPr>
                <w:rFonts w:hint="eastAsia" w:ascii="Times New Roman" w:hAnsi="Times New Roman" w:eastAsia="宋体" w:cs="Times New Roman"/>
                <w:bCs/>
                <w:color w:val="000000"/>
                <w:kern w:val="24"/>
                <w:sz w:val="24"/>
                <w:szCs w:val="24"/>
                <w:highlight w:val="none"/>
                <w:lang w:val="en-US" w:eastAsia="zh-CN" w:bidi="ar-SA"/>
              </w:rPr>
              <w:t>，施工总面积1</w:t>
            </w:r>
            <w:r>
              <w:rPr>
                <w:rFonts w:hint="eastAsia" w:cs="Times New Roman"/>
                <w:bCs/>
                <w:color w:val="000000"/>
                <w:kern w:val="24"/>
                <w:sz w:val="24"/>
                <w:szCs w:val="24"/>
                <w:highlight w:val="none"/>
                <w:lang w:val="en-US" w:eastAsia="zh-CN" w:bidi="ar-SA"/>
              </w:rPr>
              <w:t>89270</w:t>
            </w:r>
            <w:r>
              <w:rPr>
                <w:rFonts w:hint="eastAsia" w:ascii="Times New Roman" w:hAnsi="Times New Roman" w:eastAsia="宋体" w:cs="Times New Roman"/>
                <w:bCs/>
                <w:color w:val="000000"/>
                <w:kern w:val="24"/>
                <w:sz w:val="24"/>
                <w:szCs w:val="24"/>
                <w:highlight w:val="none"/>
                <w:lang w:val="en-US" w:eastAsia="zh-CN" w:bidi="ar-SA"/>
              </w:rPr>
              <w:t>m</w:t>
            </w:r>
            <w:r>
              <w:rPr>
                <w:rFonts w:hint="eastAsia" w:ascii="Times New Roman" w:hAnsi="Times New Roman" w:eastAsia="宋体" w:cs="Times New Roman"/>
                <w:bCs/>
                <w:color w:val="000000"/>
                <w:kern w:val="24"/>
                <w:sz w:val="24"/>
                <w:szCs w:val="24"/>
                <w:highlight w:val="none"/>
                <w:vertAlign w:val="superscript"/>
                <w:lang w:val="en-US" w:eastAsia="zh-CN" w:bidi="ar-SA"/>
              </w:rPr>
              <w:t>2</w:t>
            </w:r>
            <w:r>
              <w:rPr>
                <w:rFonts w:hint="eastAsia" w:ascii="Times New Roman" w:hAnsi="Times New Roman" w:eastAsia="宋体" w:cs="Times New Roman"/>
                <w:bCs/>
                <w:color w:val="000000"/>
                <w:kern w:val="24"/>
                <w:sz w:val="24"/>
                <w:szCs w:val="24"/>
                <w:highlight w:val="none"/>
                <w:lang w:val="en-US" w:eastAsia="zh-CN" w:bidi="ar-SA"/>
              </w:rPr>
              <w:t>，则整个施工期建筑垃圾产生量为</w:t>
            </w:r>
            <w:r>
              <w:rPr>
                <w:rFonts w:hint="eastAsia" w:cs="Times New Roman"/>
                <w:bCs/>
                <w:color w:val="000000"/>
                <w:kern w:val="24"/>
                <w:sz w:val="24"/>
                <w:szCs w:val="24"/>
                <w:highlight w:val="none"/>
                <w:lang w:val="en-US" w:eastAsia="zh-CN" w:bidi="ar-SA"/>
              </w:rPr>
              <w:t>278.54</w:t>
            </w:r>
            <w:r>
              <w:rPr>
                <w:rFonts w:hint="eastAsia" w:ascii="Times New Roman" w:hAnsi="Times New Roman" w:eastAsia="宋体" w:cs="Times New Roman"/>
                <w:bCs/>
                <w:color w:val="000000"/>
                <w:kern w:val="24"/>
                <w:sz w:val="24"/>
                <w:szCs w:val="24"/>
                <w:highlight w:val="none"/>
                <w:lang w:val="en-US" w:eastAsia="zh-CN" w:bidi="ar-SA"/>
              </w:rPr>
              <w:t>t，按建筑垃圾管理要求清运至建筑垃圾填埋场进行填埋处理。</w:t>
            </w:r>
          </w:p>
          <w:p w14:paraId="197BD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kern w:val="24"/>
                <w:sz w:val="24"/>
                <w:szCs w:val="24"/>
                <w:highlight w:val="none"/>
                <w:lang w:val="en-US" w:eastAsia="zh-CN" w:bidi="ar-SA"/>
              </w:rPr>
            </w:pPr>
            <w:r>
              <w:rPr>
                <w:rFonts w:hint="eastAsia" w:ascii="Times New Roman" w:hAnsi="Times New Roman" w:eastAsia="宋体" w:cs="Times New Roman"/>
                <w:bCs/>
                <w:color w:val="000000"/>
                <w:kern w:val="24"/>
                <w:sz w:val="24"/>
                <w:szCs w:val="24"/>
                <w:highlight w:val="none"/>
                <w:lang w:val="en-US" w:eastAsia="zh-CN" w:bidi="ar-SA"/>
              </w:rPr>
              <w:t>综上，</w:t>
            </w:r>
            <w:r>
              <w:rPr>
                <w:rFonts w:hint="default" w:ascii="Times New Roman" w:hAnsi="Times New Roman" w:eastAsia="宋体" w:cs="Times New Roman"/>
                <w:bCs/>
                <w:color w:val="000000"/>
                <w:kern w:val="24"/>
                <w:sz w:val="24"/>
                <w:szCs w:val="24"/>
                <w:highlight w:val="none"/>
                <w:lang w:val="en-US" w:eastAsia="zh-CN" w:bidi="ar-SA"/>
              </w:rPr>
              <w:t>施工期采取</w:t>
            </w:r>
            <w:r>
              <w:rPr>
                <w:rFonts w:hint="eastAsia" w:ascii="Times New Roman" w:hAnsi="Times New Roman" w:eastAsia="宋体" w:cs="Times New Roman"/>
                <w:bCs/>
                <w:color w:val="000000"/>
                <w:kern w:val="24"/>
                <w:sz w:val="24"/>
                <w:szCs w:val="24"/>
                <w:highlight w:val="none"/>
                <w:lang w:val="en-US" w:eastAsia="zh-CN" w:bidi="ar-SA"/>
              </w:rPr>
              <w:t>相应</w:t>
            </w:r>
            <w:r>
              <w:rPr>
                <w:rFonts w:hint="default" w:ascii="Times New Roman" w:hAnsi="Times New Roman" w:eastAsia="宋体" w:cs="Times New Roman"/>
                <w:bCs/>
                <w:color w:val="000000"/>
                <w:kern w:val="24"/>
                <w:sz w:val="24"/>
                <w:szCs w:val="24"/>
                <w:highlight w:val="none"/>
                <w:lang w:val="en-US" w:eastAsia="zh-CN" w:bidi="ar-SA"/>
              </w:rPr>
              <w:t>措施后，固体废物对周围环境影响不大。</w:t>
            </w:r>
          </w:p>
          <w:p w14:paraId="1D19F661">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1.9土壤环境影响分析</w:t>
            </w:r>
          </w:p>
          <w:p w14:paraId="66D3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r>
              <w:rPr>
                <w:rFonts w:hint="eastAsia" w:ascii="Times New Roman" w:hAnsi="Times New Roman" w:eastAsia="宋体" w:cs="Times New Roman"/>
                <w:bCs/>
                <w:color w:val="000000"/>
                <w:kern w:val="24"/>
                <w:sz w:val="24"/>
                <w:szCs w:val="24"/>
                <w:highlight w:val="none"/>
                <w:lang w:val="en-US" w:eastAsia="zh-CN" w:bidi="ar-SA"/>
              </w:rPr>
              <w:t>本工程占地区域土壤类型</w:t>
            </w:r>
            <w:r>
              <w:rPr>
                <w:rFonts w:hint="eastAsia" w:cs="Times New Roman"/>
                <w:bCs/>
                <w:color w:val="000000"/>
                <w:kern w:val="24"/>
                <w:sz w:val="24"/>
                <w:szCs w:val="24"/>
                <w:highlight w:val="none"/>
                <w:lang w:val="en-US" w:eastAsia="zh-CN" w:bidi="ar-SA"/>
              </w:rPr>
              <w:t>包含钙质石质土和</w:t>
            </w:r>
            <w:r>
              <w:rPr>
                <w:rFonts w:hint="eastAsia" w:ascii="Times New Roman" w:hAnsi="Times New Roman" w:eastAsia="宋体" w:cs="Times New Roman"/>
                <w:bCs/>
                <w:color w:val="000000"/>
                <w:kern w:val="24"/>
                <w:sz w:val="24"/>
                <w:szCs w:val="24"/>
                <w:highlight w:val="none"/>
                <w:lang w:val="en-US" w:eastAsia="zh-CN" w:bidi="ar-SA"/>
              </w:rPr>
              <w:t>棕漠土，本工程施工期对周边土壤存在施工粉尘大气沉降污染风险，无组织排放的施工粉尘随风扩散至周边，在自身重力作用下自由沉降，长时间堆积可能会改变土壤表层结构，不利于植被生长，造成更严重的沙化和水土流失。</w:t>
            </w:r>
          </w:p>
          <w:p w14:paraId="3390A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26230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06E00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221C7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34A4F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70B2D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33D23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562E9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4FA46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749BF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3E0F3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kern w:val="24"/>
                <w:sz w:val="24"/>
                <w:szCs w:val="24"/>
                <w:highlight w:val="none"/>
                <w:lang w:val="en-US" w:eastAsia="zh-CN" w:bidi="ar-SA"/>
              </w:rPr>
            </w:pPr>
          </w:p>
          <w:p w14:paraId="55175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kern w:val="24"/>
                <w:sz w:val="24"/>
                <w:szCs w:val="24"/>
                <w:highlight w:val="none"/>
                <w:lang w:val="en-US" w:eastAsia="zh-CN" w:bidi="ar-SA"/>
              </w:rPr>
            </w:pPr>
          </w:p>
          <w:p w14:paraId="0E4F4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kern w:val="24"/>
                <w:sz w:val="24"/>
                <w:szCs w:val="24"/>
                <w:highlight w:val="none"/>
                <w:lang w:val="en-US" w:eastAsia="zh-CN" w:bidi="ar-SA"/>
              </w:rPr>
            </w:pPr>
          </w:p>
        </w:tc>
      </w:tr>
      <w:tr w14:paraId="18FE3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2" w:type="pct"/>
            <w:tcBorders>
              <w:tl2br w:val="nil"/>
              <w:tr2bl w:val="nil"/>
            </w:tcBorders>
            <w:noWrap w:val="0"/>
            <w:tcMar>
              <w:left w:w="28" w:type="dxa"/>
              <w:right w:w="28" w:type="dxa"/>
            </w:tcMar>
            <w:vAlign w:val="center"/>
          </w:tcPr>
          <w:p w14:paraId="0A6E3E1E">
            <w:pPr>
              <w:pStyle w:val="37"/>
              <w:pageBreakBefore w:val="0"/>
              <w:wordWrap/>
              <w:overflowPunct/>
              <w:topLinePunct w:val="0"/>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bCs/>
                <w:color w:val="000000"/>
                <w:kern w:val="2"/>
                <w:sz w:val="24"/>
                <w:szCs w:val="24"/>
              </w:rPr>
            </w:pPr>
            <w:r>
              <w:rPr>
                <w:rFonts w:hint="eastAsia" w:ascii="宋体" w:hAnsi="宋体" w:eastAsia="宋体" w:cs="宋体"/>
                <w:b/>
                <w:bCs w:val="0"/>
                <w:color w:val="000000"/>
                <w:spacing w:val="10"/>
                <w:kern w:val="2"/>
                <w:sz w:val="24"/>
                <w:szCs w:val="24"/>
              </w:rPr>
              <w:t>运营期生态环境影响分析</w:t>
            </w:r>
          </w:p>
        </w:tc>
        <w:tc>
          <w:tcPr>
            <w:tcW w:w="4547" w:type="pct"/>
            <w:tcBorders>
              <w:tl2br w:val="nil"/>
              <w:tr2bl w:val="nil"/>
            </w:tcBorders>
            <w:noWrap w:val="0"/>
            <w:vAlign w:val="top"/>
          </w:tcPr>
          <w:p w14:paraId="62E43774">
            <w:pPr>
              <w:pStyle w:val="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sz w:val="24"/>
                <w:szCs w:val="24"/>
                <w:highlight w:val="none"/>
              </w:rPr>
            </w:pPr>
            <w:r>
              <w:rPr>
                <w:rFonts w:hint="eastAsia"/>
                <w:sz w:val="24"/>
                <w:szCs w:val="24"/>
                <w:highlight w:val="none"/>
                <w:lang w:val="en-US" w:eastAsia="zh-CN"/>
              </w:rPr>
              <w:t>1.</w:t>
            </w:r>
            <w:r>
              <w:rPr>
                <w:rFonts w:hint="eastAsia"/>
                <w:sz w:val="24"/>
                <w:szCs w:val="24"/>
                <w:highlight w:val="none"/>
                <w:lang w:eastAsia="zh-CN"/>
              </w:rPr>
              <w:t>运营期</w:t>
            </w:r>
            <w:r>
              <w:rPr>
                <w:sz w:val="24"/>
                <w:szCs w:val="24"/>
                <w:highlight w:val="none"/>
              </w:rPr>
              <w:t>生态影响</w:t>
            </w:r>
            <w:r>
              <w:rPr>
                <w:rFonts w:hint="eastAsia"/>
                <w:sz w:val="24"/>
                <w:szCs w:val="24"/>
                <w:highlight w:val="none"/>
              </w:rPr>
              <w:t>分析</w:t>
            </w:r>
          </w:p>
          <w:p w14:paraId="36D4CA50">
            <w:pPr>
              <w:pStyle w:val="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sz w:val="24"/>
                <w:szCs w:val="24"/>
                <w:highlight w:val="none"/>
              </w:rPr>
            </w:pPr>
            <w:r>
              <w:rPr>
                <w:rFonts w:hint="eastAsia"/>
                <w:sz w:val="24"/>
                <w:szCs w:val="24"/>
                <w:highlight w:val="none"/>
                <w:lang w:val="en-US" w:eastAsia="zh-CN"/>
              </w:rPr>
              <w:t>1</w:t>
            </w:r>
            <w:r>
              <w:rPr>
                <w:rFonts w:hint="eastAsia"/>
                <w:sz w:val="24"/>
                <w:szCs w:val="24"/>
                <w:highlight w:val="none"/>
              </w:rPr>
              <w:t>.1</w:t>
            </w:r>
            <w:r>
              <w:rPr>
                <w:sz w:val="24"/>
                <w:szCs w:val="24"/>
                <w:highlight w:val="none"/>
              </w:rPr>
              <w:t>工程占地情况</w:t>
            </w:r>
          </w:p>
          <w:p w14:paraId="48120E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
                <w:snapToGrid/>
                <w:color w:val="000000"/>
                <w:kern w:val="0"/>
                <w:sz w:val="21"/>
                <w:szCs w:val="21"/>
                <w:highlight w:val="none"/>
                <w:lang w:val="en-US" w:eastAsia="zh-CN" w:bidi="ar-SA"/>
              </w:rPr>
            </w:pPr>
            <w:r>
              <w:rPr>
                <w:highlight w:val="none"/>
              </w:rPr>
              <w:t>本项目</w:t>
            </w:r>
            <w:r>
              <w:rPr>
                <w:rFonts w:hint="eastAsia"/>
                <w:highlight w:val="none"/>
                <w:lang w:val="en-US" w:eastAsia="zh-CN"/>
              </w:rPr>
              <w:t>总占地</w:t>
            </w:r>
            <w:r>
              <w:rPr>
                <w:highlight w:val="none"/>
              </w:rPr>
              <w:t>面积为</w:t>
            </w:r>
            <w:r>
              <w:rPr>
                <w:rFonts w:hint="eastAsia"/>
                <w:highlight w:val="none"/>
                <w:lang w:val="en-US" w:eastAsia="zh-CN"/>
              </w:rPr>
              <w:t>189270m</w:t>
            </w:r>
            <w:r>
              <w:rPr>
                <w:highlight w:val="none"/>
                <w:vertAlign w:val="superscript"/>
              </w:rPr>
              <w:t>2</w:t>
            </w:r>
            <w:r>
              <w:rPr>
                <w:rFonts w:hint="eastAsia"/>
                <w:highlight w:val="none"/>
              </w:rPr>
              <w:t>，</w:t>
            </w:r>
            <w:r>
              <w:rPr>
                <w:highlight w:val="none"/>
              </w:rPr>
              <w:t>项目运行中因各类开挖、占压、堆弃用地将不可避免地损害原地貌、植被等。主要</w:t>
            </w:r>
            <w:r>
              <w:rPr>
                <w:rFonts w:hint="eastAsia"/>
                <w:highlight w:val="none"/>
                <w:lang w:val="en-US" w:eastAsia="zh-CN"/>
              </w:rPr>
              <w:t>工程沿线及临时占地</w:t>
            </w:r>
            <w:r>
              <w:rPr>
                <w:highlight w:val="none"/>
              </w:rPr>
              <w:t>，</w:t>
            </w:r>
            <w:r>
              <w:rPr>
                <w:rFonts w:hint="eastAsia"/>
                <w:highlight w:val="none"/>
              </w:rPr>
              <w:t>根据现场调查，</w:t>
            </w:r>
            <w:r>
              <w:rPr>
                <w:rFonts w:hint="eastAsia"/>
                <w:highlight w:val="none"/>
                <w:lang w:val="en-US" w:eastAsia="zh-CN"/>
              </w:rPr>
              <w:t>项目区主要占地损毁类型包含挖损、扰动压占</w:t>
            </w:r>
            <w:r>
              <w:rPr>
                <w:rFonts w:hint="eastAsia"/>
                <w:highlight w:val="none"/>
                <w:lang w:eastAsia="zh-CN"/>
              </w:rPr>
              <w:t>，</w:t>
            </w:r>
            <w:r>
              <w:rPr>
                <w:rFonts w:hint="eastAsia"/>
                <w:highlight w:val="none"/>
                <w:lang w:val="en-US" w:eastAsia="zh-CN"/>
              </w:rPr>
              <w:t>不同区域损毁情况</w:t>
            </w:r>
            <w:r>
              <w:rPr>
                <w:rFonts w:hint="eastAsia"/>
                <w:highlight w:val="none"/>
                <w:lang w:eastAsia="zh-CN"/>
              </w:rPr>
              <w:t>详见表</w:t>
            </w:r>
            <w:r>
              <w:rPr>
                <w:rFonts w:hint="eastAsia"/>
                <w:highlight w:val="none"/>
                <w:lang w:val="en-US" w:eastAsia="zh-CN"/>
              </w:rPr>
              <w:t>4-4</w:t>
            </w:r>
            <w:r>
              <w:rPr>
                <w:rFonts w:hint="eastAsia"/>
                <w:highlight w:val="none"/>
              </w:rPr>
              <w:t>。</w:t>
            </w:r>
          </w:p>
          <w:p w14:paraId="7DF5202F">
            <w:pPr>
              <w:pStyle w:val="84"/>
              <w:pageBreakBefore w:val="0"/>
              <w:wordWrap/>
              <w:overflowPunct/>
              <w:topLinePunct w:val="0"/>
              <w:bidi w:val="0"/>
              <w:adjustRightInd/>
              <w:snapToGrid/>
              <w:spacing w:after="0" w:line="240" w:lineRule="auto"/>
              <w:ind w:left="0" w:leftChars="0" w:right="0" w:rightChars="0" w:firstLine="0" w:firstLineChars="0"/>
              <w:jc w:val="center"/>
              <w:rPr>
                <w:rFonts w:hint="eastAsia" w:ascii="Times New Roman" w:hAnsi="Times New Roman" w:eastAsia="宋体" w:cs="Times New Roman"/>
                <w:b/>
                <w:snapToGrid/>
                <w:color w:val="000000"/>
                <w:kern w:val="0"/>
                <w:sz w:val="21"/>
                <w:szCs w:val="21"/>
                <w:highlight w:val="none"/>
                <w:lang w:val="en-US" w:eastAsia="zh-CN" w:bidi="ar-SA"/>
              </w:rPr>
            </w:pPr>
            <w:r>
              <w:rPr>
                <w:rFonts w:hint="eastAsia" w:ascii="Times New Roman" w:hAnsi="Times New Roman" w:eastAsia="宋体" w:cs="Times New Roman"/>
                <w:b/>
                <w:snapToGrid/>
                <w:color w:val="000000"/>
                <w:kern w:val="0"/>
                <w:sz w:val="21"/>
                <w:szCs w:val="21"/>
                <w:highlight w:val="none"/>
                <w:lang w:val="en-US" w:eastAsia="zh-CN" w:bidi="ar-SA"/>
              </w:rPr>
              <w:t>表4-4    使用损毁土地情况汇总表</w:t>
            </w:r>
          </w:p>
          <w:tbl>
            <w:tblPr>
              <w:tblStyle w:val="42"/>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6"/>
              <w:gridCol w:w="1039"/>
              <w:gridCol w:w="1419"/>
              <w:gridCol w:w="997"/>
              <w:gridCol w:w="1097"/>
              <w:gridCol w:w="1085"/>
              <w:gridCol w:w="1177"/>
            </w:tblGrid>
            <w:tr w14:paraId="790DBB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2" w:type="pct"/>
                  <w:tcBorders>
                    <w:tl2br w:val="nil"/>
                    <w:tr2bl w:val="nil"/>
                  </w:tcBorders>
                  <w:noWrap w:val="0"/>
                  <w:vAlign w:val="center"/>
                </w:tcPr>
                <w:p w14:paraId="08DD39D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损毁单元</w:t>
                  </w:r>
                </w:p>
              </w:tc>
              <w:tc>
                <w:tcPr>
                  <w:tcW w:w="666" w:type="pct"/>
                  <w:tcBorders>
                    <w:tl2br w:val="nil"/>
                    <w:tr2bl w:val="nil"/>
                  </w:tcBorders>
                  <w:noWrap w:val="0"/>
                  <w:vAlign w:val="center"/>
                </w:tcPr>
                <w:p w14:paraId="47F1905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损毁时序</w:t>
                  </w:r>
                </w:p>
              </w:tc>
              <w:tc>
                <w:tcPr>
                  <w:tcW w:w="909" w:type="pct"/>
                  <w:tcBorders>
                    <w:tl2br w:val="nil"/>
                    <w:tr2bl w:val="nil"/>
                  </w:tcBorders>
                  <w:noWrap w:val="0"/>
                  <w:vAlign w:val="center"/>
                </w:tcPr>
                <w:p w14:paraId="41FAB0C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面积（公顷）</w:t>
                  </w:r>
                </w:p>
              </w:tc>
              <w:tc>
                <w:tcPr>
                  <w:tcW w:w="639" w:type="pct"/>
                  <w:tcBorders>
                    <w:tl2br w:val="nil"/>
                    <w:tr2bl w:val="nil"/>
                  </w:tcBorders>
                  <w:noWrap w:val="0"/>
                  <w:vAlign w:val="center"/>
                </w:tcPr>
                <w:p w14:paraId="765B587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损毁方式</w:t>
                  </w:r>
                </w:p>
              </w:tc>
              <w:tc>
                <w:tcPr>
                  <w:tcW w:w="703" w:type="pct"/>
                  <w:tcBorders>
                    <w:tl2br w:val="nil"/>
                    <w:tr2bl w:val="nil"/>
                  </w:tcBorders>
                  <w:noWrap w:val="0"/>
                  <w:vAlign w:val="center"/>
                </w:tcPr>
                <w:p w14:paraId="3175B08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lang w:eastAsia="zh-CN"/>
                    </w:rPr>
                  </w:pPr>
                  <w:r>
                    <w:rPr>
                      <w:rFonts w:hint="eastAsia" w:ascii="Times New Roman" w:hAnsi="Times New Roman" w:eastAsia="宋体" w:cs="Times New Roman"/>
                      <w:b/>
                      <w:bCs/>
                      <w:color w:val="000000"/>
                      <w:sz w:val="21"/>
                      <w:szCs w:val="21"/>
                      <w:highlight w:val="none"/>
                      <w:lang w:eastAsia="zh-CN"/>
                    </w:rPr>
                    <w:t>占地性质</w:t>
                  </w:r>
                </w:p>
              </w:tc>
              <w:tc>
                <w:tcPr>
                  <w:tcW w:w="695" w:type="pct"/>
                  <w:tcBorders>
                    <w:right w:val="single" w:color="auto" w:sz="4" w:space="0"/>
                    <w:tl2br w:val="nil"/>
                    <w:tr2bl w:val="nil"/>
                  </w:tcBorders>
                  <w:noWrap w:val="0"/>
                  <w:vAlign w:val="center"/>
                </w:tcPr>
                <w:p w14:paraId="210D15C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损毁地类</w:t>
                  </w:r>
                </w:p>
              </w:tc>
              <w:tc>
                <w:tcPr>
                  <w:tcW w:w="754" w:type="pct"/>
                  <w:tcBorders>
                    <w:left w:val="single" w:color="auto" w:sz="4" w:space="0"/>
                    <w:tl2br w:val="nil"/>
                    <w:tr2bl w:val="nil"/>
                  </w:tcBorders>
                  <w:noWrap w:val="0"/>
                  <w:vAlign w:val="center"/>
                </w:tcPr>
                <w:p w14:paraId="430F793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bCs/>
                      <w:color w:val="000000"/>
                      <w:sz w:val="21"/>
                      <w:szCs w:val="21"/>
                      <w:highlight w:val="none"/>
                      <w:lang w:eastAsia="zh-CN"/>
                    </w:rPr>
                  </w:pPr>
                  <w:r>
                    <w:rPr>
                      <w:rFonts w:hint="eastAsia" w:ascii="Times New Roman" w:hAnsi="Times New Roman" w:eastAsia="宋体" w:cs="Times New Roman"/>
                      <w:b/>
                      <w:bCs/>
                      <w:color w:val="000000"/>
                      <w:sz w:val="21"/>
                      <w:szCs w:val="21"/>
                      <w:highlight w:val="none"/>
                      <w:lang w:eastAsia="zh-CN"/>
                    </w:rPr>
                    <w:t>备注</w:t>
                  </w:r>
                </w:p>
              </w:tc>
            </w:tr>
            <w:tr w14:paraId="5BC106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2" w:type="pct"/>
                  <w:tcBorders>
                    <w:tl2br w:val="nil"/>
                    <w:tr2bl w:val="nil"/>
                  </w:tcBorders>
                  <w:noWrap w:val="0"/>
                  <w:vAlign w:val="center"/>
                </w:tcPr>
                <w:p w14:paraId="538CD87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工程选线</w:t>
                  </w:r>
                </w:p>
              </w:tc>
              <w:tc>
                <w:tcPr>
                  <w:tcW w:w="666" w:type="pct"/>
                  <w:tcBorders>
                    <w:tl2br w:val="nil"/>
                    <w:tr2bl w:val="nil"/>
                  </w:tcBorders>
                  <w:noWrap w:val="0"/>
                  <w:vAlign w:val="center"/>
                </w:tcPr>
                <w:p w14:paraId="2D52E60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拟损毁</w:t>
                  </w:r>
                </w:p>
              </w:tc>
              <w:tc>
                <w:tcPr>
                  <w:tcW w:w="909" w:type="pct"/>
                  <w:tcBorders>
                    <w:tl2br w:val="nil"/>
                    <w:tr2bl w:val="nil"/>
                  </w:tcBorders>
                  <w:noWrap w:val="0"/>
                  <w:vAlign w:val="center"/>
                </w:tcPr>
                <w:p w14:paraId="4454657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18.927</w:t>
                  </w:r>
                </w:p>
              </w:tc>
              <w:tc>
                <w:tcPr>
                  <w:tcW w:w="639" w:type="pct"/>
                  <w:tcBorders>
                    <w:tl2br w:val="nil"/>
                    <w:tr2bl w:val="nil"/>
                  </w:tcBorders>
                  <w:noWrap w:val="0"/>
                  <w:vAlign w:val="center"/>
                </w:tcPr>
                <w:p w14:paraId="77C32F5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扰动、占压</w:t>
                  </w:r>
                </w:p>
              </w:tc>
              <w:tc>
                <w:tcPr>
                  <w:tcW w:w="703" w:type="pct"/>
                  <w:tcBorders>
                    <w:tl2br w:val="nil"/>
                    <w:tr2bl w:val="nil"/>
                  </w:tcBorders>
                  <w:noWrap w:val="0"/>
                  <w:vAlign w:val="center"/>
                </w:tcPr>
                <w:p w14:paraId="5FB8178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永久</w:t>
                  </w:r>
                  <w:r>
                    <w:rPr>
                      <w:rFonts w:hint="eastAsia" w:ascii="Times New Roman" w:hAnsi="Times New Roman" w:eastAsia="宋体" w:cs="Times New Roman"/>
                      <w:color w:val="000000"/>
                      <w:sz w:val="21"/>
                      <w:szCs w:val="21"/>
                      <w:highlight w:val="none"/>
                      <w:lang w:eastAsia="zh-CN"/>
                    </w:rPr>
                    <w:t>占地</w:t>
                  </w:r>
                </w:p>
              </w:tc>
              <w:tc>
                <w:tcPr>
                  <w:tcW w:w="695" w:type="pct"/>
                  <w:tcBorders>
                    <w:right w:val="single" w:color="auto" w:sz="4" w:space="0"/>
                    <w:tl2br w:val="nil"/>
                    <w:tr2bl w:val="nil"/>
                  </w:tcBorders>
                  <w:noWrap w:val="0"/>
                  <w:vAlign w:val="center"/>
                </w:tcPr>
                <w:p w14:paraId="5636188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戈壁</w:t>
                  </w:r>
                </w:p>
              </w:tc>
              <w:tc>
                <w:tcPr>
                  <w:tcW w:w="754" w:type="pct"/>
                  <w:tcBorders>
                    <w:left w:val="single" w:color="auto" w:sz="4" w:space="0"/>
                    <w:tl2br w:val="nil"/>
                    <w:tr2bl w:val="nil"/>
                  </w:tcBorders>
                  <w:noWrap w:val="0"/>
                  <w:vAlign w:val="center"/>
                </w:tcPr>
                <w:p w14:paraId="19F83FF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划定范围</w:t>
                  </w:r>
                  <w:r>
                    <w:rPr>
                      <w:rFonts w:hint="eastAsia" w:ascii="Times New Roman" w:hAnsi="Times New Roman" w:eastAsia="宋体" w:cs="Times New Roman"/>
                      <w:color w:val="000000"/>
                      <w:sz w:val="21"/>
                      <w:szCs w:val="21"/>
                      <w:highlight w:val="none"/>
                      <w:lang w:eastAsia="zh-CN"/>
                    </w:rPr>
                    <w:t>内</w:t>
                  </w:r>
                </w:p>
              </w:tc>
            </w:tr>
          </w:tbl>
          <w:p w14:paraId="7671EE5F">
            <w:pPr>
              <w:pStyle w:val="3"/>
              <w:pageBreakBefore w:val="0"/>
              <w:wordWrap/>
              <w:overflowPunct/>
              <w:topLinePunct w:val="0"/>
              <w:bidi w:val="0"/>
              <w:adjustRightInd/>
              <w:snapToGrid/>
              <w:spacing w:line="360" w:lineRule="auto"/>
              <w:ind w:left="0" w:leftChars="0" w:right="0" w:rightChars="0" w:firstLine="482" w:firstLineChars="200"/>
              <w:rPr>
                <w:rFonts w:hint="eastAsia"/>
                <w:sz w:val="24"/>
                <w:szCs w:val="24"/>
                <w:highlight w:val="none"/>
                <w:lang w:eastAsia="zh-CN"/>
              </w:rPr>
            </w:pPr>
            <w:r>
              <w:rPr>
                <w:rFonts w:hint="eastAsia"/>
                <w:sz w:val="24"/>
                <w:szCs w:val="24"/>
                <w:highlight w:val="none"/>
                <w:lang w:val="en-US" w:eastAsia="zh-CN"/>
              </w:rPr>
              <w:t>1</w:t>
            </w:r>
            <w:r>
              <w:rPr>
                <w:sz w:val="24"/>
                <w:szCs w:val="24"/>
                <w:highlight w:val="none"/>
              </w:rPr>
              <w:t>.2</w:t>
            </w:r>
            <w:r>
              <w:rPr>
                <w:rFonts w:hint="eastAsia"/>
                <w:sz w:val="24"/>
                <w:szCs w:val="24"/>
                <w:highlight w:val="none"/>
                <w:lang w:eastAsia="zh-CN"/>
              </w:rPr>
              <w:t>对植被的影响</w:t>
            </w:r>
          </w:p>
          <w:p w14:paraId="553D688A">
            <w:pPr>
              <w:pStyle w:val="3"/>
              <w:pageBreakBefore w:val="0"/>
              <w:wordWrap/>
              <w:overflowPunct/>
              <w:topLinePunct w:val="0"/>
              <w:bidi w:val="0"/>
              <w:adjustRightInd/>
              <w:snapToGrid/>
              <w:spacing w:line="360" w:lineRule="auto"/>
              <w:ind w:left="0" w:leftChars="0" w:right="0" w:rightChars="0" w:firstLine="480" w:firstLineChars="200"/>
              <w:rPr>
                <w:rFonts w:hint="eastAsia"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项目运营过程中人员、机械的沿线来往，使项目占地及周边环境中人类活动频率大幅度增加。对植被的影响主要表现在人类和机械对植物的践踏、碾压，使原生植被生境发生变化。根据实地调查，</w:t>
            </w:r>
            <w:r>
              <w:rPr>
                <w:rFonts w:hint="eastAsia" w:cs="Times New Roman"/>
                <w:b w:val="0"/>
                <w:bCs w:val="0"/>
                <w:kern w:val="2"/>
                <w:sz w:val="24"/>
                <w:szCs w:val="24"/>
                <w:highlight w:val="none"/>
                <w:lang w:val="en-US" w:eastAsia="zh-CN" w:bidi="ar-SA"/>
              </w:rPr>
              <w:t>项目区内植被种类较少</w:t>
            </w:r>
            <w:r>
              <w:rPr>
                <w:rFonts w:hint="eastAsia" w:ascii="Times New Roman" w:hAnsi="Times New Roman" w:eastAsia="宋体" w:cs="Times New Roman"/>
                <w:b w:val="0"/>
                <w:bCs w:val="0"/>
                <w:kern w:val="2"/>
                <w:sz w:val="24"/>
                <w:szCs w:val="24"/>
                <w:highlight w:val="none"/>
                <w:lang w:val="en-US" w:eastAsia="zh-CN" w:bidi="ar-SA"/>
              </w:rPr>
              <w:t>，分布相对松散，总覆盖度低于5%。因此，人类活动对该区域天然植被产生的不良影响有限。</w:t>
            </w:r>
          </w:p>
          <w:p w14:paraId="67C6E9F8">
            <w:pPr>
              <w:pStyle w:val="3"/>
              <w:pageBreakBefore w:val="0"/>
              <w:wordWrap/>
              <w:overflowPunct/>
              <w:topLinePunct w:val="0"/>
              <w:bidi w:val="0"/>
              <w:adjustRightInd/>
              <w:snapToGrid/>
              <w:spacing w:line="360" w:lineRule="auto"/>
              <w:ind w:left="0" w:leftChars="0" w:right="0" w:rightChars="0" w:firstLine="482" w:firstLineChars="200"/>
              <w:rPr>
                <w:sz w:val="24"/>
                <w:szCs w:val="24"/>
                <w:highlight w:val="none"/>
              </w:rPr>
            </w:pPr>
            <w:r>
              <w:rPr>
                <w:rFonts w:hint="eastAsia"/>
                <w:sz w:val="24"/>
                <w:szCs w:val="24"/>
                <w:highlight w:val="none"/>
                <w:lang w:val="en-US" w:eastAsia="zh-CN"/>
              </w:rPr>
              <w:t>1.3</w:t>
            </w:r>
            <w:r>
              <w:rPr>
                <w:sz w:val="24"/>
                <w:szCs w:val="24"/>
                <w:highlight w:val="none"/>
              </w:rPr>
              <w:t>对动物的影响</w:t>
            </w:r>
          </w:p>
          <w:p w14:paraId="3CFB2338">
            <w:pPr>
              <w:pStyle w:val="3"/>
              <w:pageBreakBefore w:val="0"/>
              <w:wordWrap/>
              <w:overflowPunct/>
              <w:topLinePunct w:val="0"/>
              <w:bidi w:val="0"/>
              <w:adjustRightInd/>
              <w:snapToGrid/>
              <w:spacing w:line="360" w:lineRule="auto"/>
              <w:ind w:left="0" w:leftChars="0" w:right="0" w:rightChars="0" w:firstLine="480" w:firstLineChars="200"/>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项目沿线内无珍贵动物栖息地，无动物迁徙路线途经，项目运营期对野生动物的生存环境、分布范围和种群数量的影响主要分为直接影响和间接影响两个方面。直接影响主要表现为建设项目的占地及运营，使野生动物的原始生存环境被破坏或改变；间接影响主要表现为由于植被的减少或污染破坏而引起野生动物食物来源、生存空间的减少。</w:t>
            </w:r>
          </w:p>
          <w:p w14:paraId="5CEABC06">
            <w:pPr>
              <w:pStyle w:val="3"/>
              <w:pageBreakBefore w:val="0"/>
              <w:wordWrap/>
              <w:overflowPunct/>
              <w:topLinePunct w:val="0"/>
              <w:bidi w:val="0"/>
              <w:adjustRightInd/>
              <w:snapToGrid/>
              <w:spacing w:line="360" w:lineRule="auto"/>
              <w:ind w:left="0" w:leftChars="0" w:right="0" w:rightChars="0" w:firstLine="482" w:firstLineChars="200"/>
              <w:rPr>
                <w:rFonts w:hint="eastAsia"/>
                <w:sz w:val="24"/>
                <w:szCs w:val="24"/>
                <w:highlight w:val="none"/>
                <w:lang w:eastAsia="zh-CN"/>
              </w:rPr>
            </w:pPr>
            <w:r>
              <w:rPr>
                <w:rFonts w:hint="eastAsia"/>
                <w:sz w:val="24"/>
                <w:szCs w:val="24"/>
                <w:highlight w:val="none"/>
                <w:lang w:val="en-US" w:eastAsia="zh-CN"/>
              </w:rPr>
              <w:t>1.4</w:t>
            </w:r>
            <w:r>
              <w:rPr>
                <w:rFonts w:hint="eastAsia"/>
                <w:sz w:val="24"/>
                <w:szCs w:val="24"/>
                <w:highlight w:val="none"/>
                <w:lang w:eastAsia="zh-CN"/>
              </w:rPr>
              <w:t>对土壤环境的影响</w:t>
            </w:r>
          </w:p>
          <w:p w14:paraId="6AA4117B">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 xml:space="preserve">运营期对土壤的影响主要是对沿线土壤的碾压以及各种活动扰动地表，降低土壤抗侵蚀能力，破坏土壤结构，降低土壤肥力，由于土层扰乱以及对土壤肥力和性质的破坏，使占地区土壤失去其原有的植物生长能力。引发水土流失，临时占地将改变区域土地利用功能，废石的堆放占用土地，改变土地使用功能和生态景观等。本项目对土壤的影响主要表现在土壤性质和土壤污染两个方面。 </w:t>
            </w:r>
          </w:p>
          <w:p w14:paraId="0933E5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 xml:space="preserve">①土壤性质影响 </w:t>
            </w:r>
          </w:p>
          <w:p w14:paraId="64FA519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 xml:space="preserve">日常巡护车辆的碾压等活动都将对土壤理化性质产生影响。 </w:t>
            </w:r>
          </w:p>
          <w:p w14:paraId="4EE6A7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 xml:space="preserve">②土壤污染影响 </w:t>
            </w:r>
          </w:p>
          <w:p w14:paraId="171812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highlight w:val="none"/>
                <w:lang w:val="en-US" w:eastAsia="zh-CN"/>
              </w:rPr>
            </w:pPr>
            <w:r>
              <w:rPr>
                <w:rFonts w:hint="eastAsia" w:ascii="宋体" w:hAnsi="宋体" w:cs="宋体"/>
                <w:b w:val="0"/>
                <w:bCs w:val="0"/>
                <w:color w:val="000000"/>
                <w:kern w:val="0"/>
                <w:sz w:val="24"/>
                <w:szCs w:val="24"/>
                <w:highlight w:val="none"/>
                <w:lang w:val="en-US" w:eastAsia="zh-CN" w:bidi="ar"/>
              </w:rPr>
              <w:t>施工人员在施工现场</w:t>
            </w:r>
            <w:r>
              <w:rPr>
                <w:rFonts w:hint="eastAsia" w:ascii="宋体" w:hAnsi="宋体" w:eastAsia="宋体" w:cs="宋体"/>
                <w:b w:val="0"/>
                <w:bCs w:val="0"/>
                <w:color w:val="000000"/>
                <w:kern w:val="0"/>
                <w:sz w:val="24"/>
                <w:szCs w:val="24"/>
                <w:highlight w:val="none"/>
                <w:lang w:val="en-US" w:eastAsia="zh-CN" w:bidi="ar"/>
              </w:rPr>
              <w:t>产生的生活垃圾，包括工作人员的一次性餐具、饮料瓶等废物残留于土壤中，这些在土壤中难以生物降解的固体废物，影响植物的生长。因此，采矿区必须对固体废物实施严格的管理措施，进行统一回收和专门处理，不得随意抛撒。</w:t>
            </w:r>
          </w:p>
          <w:p w14:paraId="7D6AD27B">
            <w:pPr>
              <w:pStyle w:val="3"/>
              <w:pageBreakBefore w:val="0"/>
              <w:wordWrap/>
              <w:overflowPunct/>
              <w:topLinePunct w:val="0"/>
              <w:bidi w:val="0"/>
              <w:adjustRightInd/>
              <w:snapToGrid/>
              <w:spacing w:line="360" w:lineRule="auto"/>
              <w:ind w:left="0" w:leftChars="0" w:right="0" w:rightChars="0" w:firstLine="482" w:firstLineChars="200"/>
              <w:rPr>
                <w:rFonts w:hint="eastAsia"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1.5对景观生态影响</w:t>
            </w:r>
          </w:p>
          <w:p w14:paraId="10C15D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景观生态影响主要是矿区建设造成自然景观的分隔，使景观的破碎度增加，整体性被破坏，景观的连通性降低。但区域景观生态水平与质量一般，并没有需要特殊保护的景观。</w:t>
            </w:r>
          </w:p>
          <w:p w14:paraId="14AAA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bidi="ar"/>
              </w:rPr>
              <w:t>项目区生态景观会受到影响，表现为地表更加裸露、有风天气尘土飞扬、机械轰鸣、人声嘈杂。原有自然生态景观中增加了较多的人类活动成分，而且这种人为活动对自然生态景观的影响是不利的。但这种不利影响会随着闭矿而有所改善，影响是可以承受的。</w:t>
            </w:r>
          </w:p>
          <w:p w14:paraId="33AFFBA3">
            <w:pPr>
              <w:pStyle w:val="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eastAsia="宋体"/>
                <w:sz w:val="24"/>
                <w:szCs w:val="24"/>
                <w:highlight w:val="none"/>
                <w:lang w:val="en-US" w:eastAsia="zh-CN"/>
              </w:rPr>
            </w:pPr>
            <w:r>
              <w:rPr>
                <w:rFonts w:hint="eastAsia"/>
                <w:sz w:val="24"/>
                <w:szCs w:val="24"/>
                <w:highlight w:val="none"/>
                <w:lang w:val="en-US" w:eastAsia="zh-CN"/>
              </w:rPr>
              <w:t>2.</w:t>
            </w:r>
            <w:r>
              <w:rPr>
                <w:sz w:val="24"/>
                <w:szCs w:val="24"/>
                <w:highlight w:val="none"/>
              </w:rPr>
              <w:t>水土流失</w:t>
            </w:r>
            <w:r>
              <w:rPr>
                <w:rFonts w:hint="eastAsia"/>
                <w:sz w:val="24"/>
                <w:szCs w:val="24"/>
                <w:highlight w:val="none"/>
                <w:lang w:val="en-US" w:eastAsia="zh-CN"/>
              </w:rPr>
              <w:t>及土地沙化</w:t>
            </w:r>
            <w:r>
              <w:rPr>
                <w:sz w:val="24"/>
                <w:szCs w:val="24"/>
                <w:highlight w:val="none"/>
              </w:rPr>
              <w:t>影响</w:t>
            </w:r>
            <w:r>
              <w:rPr>
                <w:rFonts w:hint="eastAsia"/>
                <w:sz w:val="24"/>
                <w:szCs w:val="24"/>
                <w:highlight w:val="none"/>
                <w:lang w:val="en-US" w:eastAsia="zh-CN"/>
              </w:rPr>
              <w:t>分析</w:t>
            </w:r>
          </w:p>
          <w:p w14:paraId="381F3351">
            <w:pPr>
              <w:pageBreakBefore w:val="0"/>
              <w:wordWrap/>
              <w:overflowPunct/>
              <w:topLinePunct w:val="0"/>
              <w:bidi w:val="0"/>
              <w:adjustRightInd/>
              <w:snapToGrid/>
              <w:spacing w:line="360" w:lineRule="auto"/>
              <w:ind w:left="0" w:leftChars="0" w:right="0" w:rightChars="0" w:firstLine="480" w:firstLineChars="200"/>
              <w:rPr>
                <w:rFonts w:hint="default" w:eastAsia="宋体"/>
                <w:highlight w:val="none"/>
                <w:lang w:val="en-US" w:eastAsia="zh-CN"/>
              </w:rPr>
            </w:pPr>
            <w:r>
              <w:rPr>
                <w:rFonts w:hint="eastAsia"/>
                <w:highlight w:val="none"/>
                <w:lang w:val="en-US" w:eastAsia="zh-CN"/>
              </w:rPr>
              <w:t>（1）水土流失影响</w:t>
            </w:r>
          </w:p>
          <w:p w14:paraId="2AE5CFB0">
            <w:pPr>
              <w:pageBreakBefore w:val="0"/>
              <w:wordWrap/>
              <w:overflowPunct/>
              <w:topLinePunct w:val="0"/>
              <w:bidi w:val="0"/>
              <w:adjustRightInd/>
              <w:snapToGrid/>
              <w:spacing w:line="360" w:lineRule="auto"/>
              <w:ind w:left="0" w:leftChars="0" w:right="0" w:rightChars="0" w:firstLine="480" w:firstLineChars="200"/>
              <w:rPr>
                <w:highlight w:val="none"/>
              </w:rPr>
            </w:pPr>
            <w:r>
              <w:rPr>
                <w:highlight w:val="none"/>
              </w:rPr>
              <w:t>项目建设中，一方面扰动原地形地貌，将破坏原有相对稳定的地貌，使土壤结构疏松，作业带地表植被丧失，产生一定面积的裸露地面，遇降雨天气，极易引起水土流失诱发土壤侵蚀危害</w:t>
            </w:r>
            <w:r>
              <w:rPr>
                <w:rFonts w:hint="eastAsia"/>
                <w:highlight w:val="none"/>
                <w:lang w:eastAsia="zh-CN"/>
              </w:rPr>
              <w:t>，水土流失</w:t>
            </w:r>
            <w:r>
              <w:rPr>
                <w:highlight w:val="none"/>
              </w:rPr>
              <w:t>会诱发滑坡、崩塌同时影响生态自然景观；另一方面</w:t>
            </w:r>
            <w:r>
              <w:rPr>
                <w:rFonts w:hint="eastAsia"/>
                <w:highlight w:val="none"/>
                <w:lang w:val="en-US" w:eastAsia="zh-CN"/>
              </w:rPr>
              <w:t>运营期</w:t>
            </w:r>
            <w:r>
              <w:rPr>
                <w:highlight w:val="none"/>
              </w:rPr>
              <w:t>形成裸露的开挖面，极易造成水土流失。水土流失量将</w:t>
            </w:r>
            <w:r>
              <w:rPr>
                <w:rFonts w:hint="eastAsia"/>
                <w:highlight w:val="none"/>
                <w:lang w:eastAsia="zh-CN"/>
              </w:rPr>
              <w:t>可能</w:t>
            </w:r>
            <w:r>
              <w:rPr>
                <w:highlight w:val="none"/>
              </w:rPr>
              <w:t>进入河道，增加河道的泥沙淤泥，影响</w:t>
            </w:r>
            <w:r>
              <w:rPr>
                <w:rFonts w:hint="eastAsia"/>
                <w:highlight w:val="none"/>
                <w:lang w:eastAsia="zh-CN"/>
              </w:rPr>
              <w:t>地表水</w:t>
            </w:r>
            <w:r>
              <w:rPr>
                <w:highlight w:val="none"/>
              </w:rPr>
              <w:t>水质</w:t>
            </w:r>
            <w:r>
              <w:rPr>
                <w:rFonts w:hint="eastAsia"/>
                <w:highlight w:val="none"/>
                <w:lang w:eastAsia="zh-CN"/>
              </w:rPr>
              <w:t>；</w:t>
            </w:r>
            <w:r>
              <w:rPr>
                <w:highlight w:val="none"/>
              </w:rPr>
              <w:t>但本项目</w:t>
            </w:r>
            <w:r>
              <w:rPr>
                <w:rFonts w:hint="eastAsia"/>
                <w:highlight w:val="none"/>
                <w:lang w:val="en-US" w:eastAsia="zh-CN"/>
              </w:rPr>
              <w:t>运营期</w:t>
            </w:r>
            <w:r>
              <w:rPr>
                <w:highlight w:val="none"/>
              </w:rPr>
              <w:t>工程扰动面积不大，水土流失量与新增水土流失量不大，只要严格落实相应的水土保持措施，就能够极大的减缓水土流失的影响。</w:t>
            </w:r>
          </w:p>
          <w:p w14:paraId="330C492F">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eastAsia="zh-CN"/>
              </w:rPr>
              <w:t>（</w:t>
            </w:r>
            <w:r>
              <w:rPr>
                <w:rFonts w:hint="eastAsia" w:cs="Times New Roman"/>
                <w:sz w:val="24"/>
                <w:szCs w:val="24"/>
                <w:highlight w:val="none"/>
                <w:lang w:val="en-US" w:eastAsia="zh-CN"/>
              </w:rPr>
              <w:t>2</w:t>
            </w:r>
            <w:r>
              <w:rPr>
                <w:rFonts w:hint="eastAsia" w:cs="Times New Roman"/>
                <w:sz w:val="24"/>
                <w:szCs w:val="24"/>
                <w:highlight w:val="none"/>
                <w:lang w:eastAsia="zh-CN"/>
              </w:rPr>
              <w:t>）</w:t>
            </w:r>
            <w:r>
              <w:rPr>
                <w:rFonts w:hint="eastAsia" w:cs="Times New Roman"/>
                <w:sz w:val="24"/>
                <w:szCs w:val="24"/>
                <w:highlight w:val="none"/>
                <w:lang w:val="en-US" w:eastAsia="zh-CN"/>
              </w:rPr>
              <w:t>土地沙化影响</w:t>
            </w:r>
          </w:p>
          <w:p w14:paraId="3704F9E3">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rPr>
              <w:t>本项目位于</w:t>
            </w:r>
            <w:r>
              <w:rPr>
                <w:rFonts w:hint="eastAsia" w:cs="Times New Roman"/>
                <w:kern w:val="2"/>
                <w:szCs w:val="24"/>
                <w:lang w:val="en-US" w:eastAsia="zh-CN"/>
              </w:rPr>
              <w:t>新疆维吾尔自治区巴音郭楞蒙古自治州轮台县城北偏东方向，直线距离约33 km，西距阳霞镇3.5km，阳霞矿区110 KV变电所西部约2公里处</w:t>
            </w:r>
            <w:r>
              <w:rPr>
                <w:rFonts w:hint="eastAsia"/>
                <w:color w:val="auto"/>
                <w:sz w:val="24"/>
                <w:highlight w:val="none"/>
                <w:lang w:val="en-US" w:eastAsia="zh-CN"/>
              </w:rPr>
              <w:t>，</w:t>
            </w:r>
            <w:r>
              <w:rPr>
                <w:rFonts w:hint="default" w:ascii="Times New Roman" w:hAnsi="Times New Roman" w:eastAsia="宋体" w:cs="Times New Roman"/>
                <w:snapToGrid w:val="0"/>
                <w:sz w:val="24"/>
                <w:szCs w:val="24"/>
                <w:highlight w:val="none"/>
              </w:rPr>
              <w:t>区域地表几乎全部为基岩裸露，周边无耕地、林地、牧草地及农用地等土壤环境敏感目标</w:t>
            </w:r>
            <w:r>
              <w:rPr>
                <w:rFonts w:hint="default" w:ascii="Times New Roman" w:hAnsi="Times New Roman" w:eastAsia="宋体" w:cs="Times New Roman"/>
                <w:snapToGrid w:val="0"/>
                <w:sz w:val="24"/>
                <w:szCs w:val="24"/>
                <w:highlight w:val="none"/>
                <w:lang w:eastAsia="zh-CN"/>
              </w:rPr>
              <w:t>。</w:t>
            </w:r>
            <w:r>
              <w:rPr>
                <w:rFonts w:hint="default" w:ascii="Times New Roman" w:hAnsi="Times New Roman" w:eastAsia="宋体" w:cs="Times New Roman"/>
                <w:snapToGrid w:val="0"/>
                <w:sz w:val="24"/>
                <w:szCs w:val="24"/>
                <w:highlight w:val="none"/>
                <w:lang w:val="en-US" w:eastAsia="zh-CN"/>
              </w:rPr>
              <w:t>项目区</w:t>
            </w:r>
            <w:r>
              <w:rPr>
                <w:rFonts w:hint="default" w:ascii="Times New Roman" w:hAnsi="Times New Roman" w:eastAsia="宋体" w:cs="Times New Roman"/>
                <w:snapToGrid w:val="0"/>
                <w:sz w:val="24"/>
                <w:szCs w:val="24"/>
                <w:highlight w:val="none"/>
              </w:rPr>
              <w:t>土壤</w:t>
            </w:r>
            <w:r>
              <w:rPr>
                <w:rFonts w:hint="eastAsia" w:ascii="Times New Roman" w:hAnsi="Times New Roman" w:eastAsia="宋体" w:cs="Times New Roman"/>
                <w:snapToGrid w:val="0"/>
                <w:sz w:val="24"/>
                <w:szCs w:val="24"/>
                <w:highlight w:val="none"/>
                <w:lang w:val="en-US" w:eastAsia="zh-CN"/>
              </w:rPr>
              <w:t>类型</w:t>
            </w:r>
            <w:r>
              <w:rPr>
                <w:rFonts w:hint="eastAsia" w:cs="Times New Roman"/>
                <w:snapToGrid w:val="0"/>
                <w:sz w:val="24"/>
                <w:szCs w:val="24"/>
                <w:highlight w:val="none"/>
                <w:lang w:val="en-US" w:eastAsia="zh-CN"/>
              </w:rPr>
              <w:t>包含钙质石质土和棕漠</w:t>
            </w:r>
            <w:r>
              <w:rPr>
                <w:rFonts w:hint="default" w:ascii="Times New Roman" w:hAnsi="Times New Roman" w:eastAsia="宋体" w:cs="Times New Roman"/>
                <w:snapToGrid w:val="0"/>
                <w:sz w:val="24"/>
                <w:szCs w:val="24"/>
                <w:highlight w:val="none"/>
                <w:lang w:val="en-US" w:eastAsia="zh-CN"/>
              </w:rPr>
              <w:t>土</w:t>
            </w:r>
            <w:r>
              <w:rPr>
                <w:rFonts w:hint="default" w:ascii="Times New Roman" w:hAnsi="Times New Roman" w:eastAsia="宋体" w:cs="Times New Roman"/>
                <w:snapToGrid w:val="0"/>
                <w:sz w:val="24"/>
                <w:szCs w:val="24"/>
                <w:highlight w:val="none"/>
              </w:rPr>
              <w:t>，水分条件较差，可垦性和土地利用率低，土壤肥力及有机质含量较低</w:t>
            </w:r>
            <w:r>
              <w:rPr>
                <w:rFonts w:hint="default" w:ascii="Times New Roman" w:hAnsi="Times New Roman" w:eastAsia="宋体" w:cs="Times New Roman"/>
                <w:snapToGrid w:val="0"/>
                <w:sz w:val="24"/>
                <w:szCs w:val="24"/>
                <w:highlight w:val="none"/>
                <w:lang w:eastAsia="zh-CN"/>
              </w:rPr>
              <w:t>，</w:t>
            </w:r>
            <w:r>
              <w:rPr>
                <w:rFonts w:hint="default" w:ascii="Times New Roman" w:hAnsi="Times New Roman" w:eastAsia="宋体" w:cs="Times New Roman"/>
                <w:color w:val="000000"/>
                <w:sz w:val="24"/>
                <w:szCs w:val="24"/>
                <w:highlight w:val="none"/>
              </w:rPr>
              <w:t>项目区沙化情况不明显。</w:t>
            </w:r>
          </w:p>
          <w:p w14:paraId="7FB09E96">
            <w:pPr>
              <w:keepNext w:val="0"/>
              <w:keepLines w:val="0"/>
              <w:pageBreakBefore w:val="0"/>
              <w:kinsoku/>
              <w:wordWrap/>
              <w:overflowPunct/>
              <w:topLinePunct w:val="0"/>
              <w:bidi w:val="0"/>
              <w:adjustRightInd/>
              <w:snapToGrid/>
              <w:spacing w:line="360" w:lineRule="auto"/>
              <w:ind w:left="0" w:leftChars="0" w:right="0" w:rightChars="0" w:firstLine="496" w:firstLineChars="200"/>
              <w:textAlignment w:val="auto"/>
              <w:rPr>
                <w:rFonts w:hint="default" w:ascii="Times New Roman" w:hAnsi="Times New Roman" w:eastAsia="宋体" w:cs="Times New Roman"/>
                <w:b/>
                <w:bCs/>
                <w:color w:val="000000"/>
                <w:sz w:val="24"/>
                <w:szCs w:val="24"/>
                <w:highlight w:val="none"/>
              </w:rPr>
            </w:pPr>
            <w:r>
              <w:rPr>
                <w:rFonts w:hint="eastAsia" w:cs="Times New Roman"/>
                <w:spacing w:val="4"/>
                <w:sz w:val="24"/>
                <w:szCs w:val="24"/>
                <w:highlight w:val="none"/>
                <w:lang w:val="en-US" w:eastAsia="zh-CN"/>
              </w:rPr>
              <w:t>项目建设</w:t>
            </w:r>
            <w:r>
              <w:rPr>
                <w:rFonts w:hint="default" w:ascii="Times New Roman" w:hAnsi="Times New Roman" w:eastAsia="宋体" w:cs="Times New Roman"/>
                <w:spacing w:val="4"/>
                <w:sz w:val="24"/>
                <w:szCs w:val="24"/>
                <w:highlight w:val="none"/>
              </w:rPr>
              <w:t>会扰动原有地表，必然会对原有土壤结构形成扰动，其结果会使土壤原有的土层发生紊乱，团粒结构破坏，土壤毛细管断裂，将破坏表层植被，同时破坏腐殖层，区域地表呈现裸露状态，将造成土地沙化及水土流失等，使土地的生物生产潜力逐渐衰减消失，在刮风下雨天气易造成水</w:t>
            </w:r>
            <w:r>
              <w:rPr>
                <w:rFonts w:hint="default" w:ascii="Times New Roman" w:hAnsi="Times New Roman" w:eastAsia="宋体" w:cs="Times New Roman"/>
                <w:color w:val="auto"/>
                <w:spacing w:val="4"/>
                <w:sz w:val="24"/>
                <w:szCs w:val="24"/>
                <w:highlight w:val="none"/>
              </w:rPr>
              <w:t>土流失，不但污染矿区景观环境，而且加剧土壤、植被的侵蚀。</w:t>
            </w:r>
            <w:r>
              <w:rPr>
                <w:rFonts w:hint="default" w:ascii="Times New Roman" w:hAnsi="Times New Roman" w:eastAsia="宋体" w:cs="Times New Roman"/>
                <w:spacing w:val="4"/>
                <w:sz w:val="24"/>
                <w:szCs w:val="24"/>
                <w:highlight w:val="none"/>
                <w:lang w:eastAsia="zh-CN"/>
              </w:rPr>
              <w:t>且土地沙漠化会导致自然灾害加剧，沙尘暴频发，影响周边居民生产生活。</w:t>
            </w:r>
          </w:p>
          <w:p w14:paraId="6603A596">
            <w:pPr>
              <w:pStyle w:val="53"/>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360" w:lineRule="auto"/>
              <w:ind w:left="0" w:leftChars="0" w:right="0" w:rightChars="0" w:firstLine="0" w:firstLineChars="0"/>
              <w:rPr>
                <w:rFonts w:hint="eastAsia" w:cs="Times New Roman"/>
                <w:b/>
                <w:bCs/>
                <w:color w:val="000000"/>
                <w:sz w:val="24"/>
                <w:szCs w:val="24"/>
                <w:lang w:val="en-US" w:eastAsia="zh-CN"/>
              </w:rPr>
            </w:pPr>
            <w:r>
              <w:rPr>
                <w:rFonts w:hint="eastAsia" w:cs="Times New Roman"/>
                <w:b/>
                <w:bCs/>
                <w:color w:val="000000"/>
                <w:sz w:val="24"/>
                <w:szCs w:val="24"/>
                <w:lang w:val="en-US" w:eastAsia="zh-CN"/>
              </w:rPr>
              <w:t>3.运营期大气环境影响分析</w:t>
            </w:r>
          </w:p>
          <w:p w14:paraId="55A970AA">
            <w:pPr>
              <w:pStyle w:val="13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sz w:val="24"/>
                <w:szCs w:val="24"/>
                <w:highlight w:val="none"/>
              </w:rPr>
            </w:pPr>
            <w:r>
              <w:rPr>
                <w:rFonts w:hint="eastAsia"/>
                <w:sz w:val="24"/>
                <w:szCs w:val="24"/>
                <w:highlight w:val="none"/>
              </w:rPr>
              <w:t>运营过程中</w:t>
            </w:r>
            <w:r>
              <w:rPr>
                <w:sz w:val="24"/>
                <w:szCs w:val="24"/>
                <w:highlight w:val="none"/>
              </w:rPr>
              <w:t>大气污染源主要</w:t>
            </w:r>
            <w:r>
              <w:rPr>
                <w:rFonts w:hint="eastAsia"/>
                <w:sz w:val="24"/>
                <w:szCs w:val="24"/>
                <w:highlight w:val="none"/>
                <w:lang w:eastAsia="zh-CN"/>
              </w:rPr>
              <w:t>来自</w:t>
            </w:r>
            <w:r>
              <w:rPr>
                <w:rFonts w:hint="eastAsia"/>
                <w:sz w:val="24"/>
                <w:szCs w:val="24"/>
                <w:highlight w:val="none"/>
                <w:lang w:val="en-US" w:eastAsia="zh-CN"/>
              </w:rPr>
              <w:t>煤炭运输</w:t>
            </w:r>
            <w:r>
              <w:rPr>
                <w:sz w:val="24"/>
                <w:szCs w:val="24"/>
                <w:highlight w:val="none"/>
              </w:rPr>
              <w:t>、</w:t>
            </w:r>
            <w:r>
              <w:rPr>
                <w:rFonts w:hint="eastAsia"/>
                <w:sz w:val="24"/>
                <w:szCs w:val="24"/>
                <w:highlight w:val="none"/>
                <w:lang w:val="en-US" w:eastAsia="zh-CN"/>
              </w:rPr>
              <w:t>转载</w:t>
            </w:r>
            <w:r>
              <w:rPr>
                <w:sz w:val="24"/>
                <w:szCs w:val="24"/>
                <w:highlight w:val="none"/>
              </w:rPr>
              <w:t>产生的粉尘。</w:t>
            </w:r>
          </w:p>
          <w:p w14:paraId="54B17D93">
            <w:pPr>
              <w:bidi w:val="0"/>
              <w:rPr>
                <w:rFonts w:hint="default"/>
                <w:lang w:val="en-US" w:eastAsia="zh-CN"/>
              </w:rPr>
            </w:pPr>
            <w:r>
              <w:rPr>
                <w:rFonts w:hint="eastAsia"/>
                <w:lang w:val="en-US" w:eastAsia="zh-CN"/>
              </w:rPr>
              <w:t>（1）输送粉尘</w:t>
            </w:r>
          </w:p>
          <w:p w14:paraId="6B5A1E2F">
            <w:pPr>
              <w:bidi w:val="0"/>
              <w:rPr>
                <w:rFonts w:hint="default"/>
                <w:lang w:val="en-US" w:eastAsia="zh-CN"/>
              </w:rPr>
            </w:pPr>
            <w:r>
              <w:rPr>
                <w:rFonts w:hint="eastAsia"/>
                <w:lang w:val="en-US" w:eastAsia="zh-CN"/>
              </w:rPr>
              <w:t>本项目输送廊道为完全封闭，输送原煤以块状为主，且定时喷雾抑尘，故煤炭封闭输送过程中产尘量忽略不计。</w:t>
            </w:r>
          </w:p>
          <w:p w14:paraId="052EC2DD">
            <w:pPr>
              <w:numPr>
                <w:ilvl w:val="0"/>
                <w:numId w:val="0"/>
              </w:numPr>
              <w:bidi w:val="0"/>
              <w:ind w:firstLine="480" w:firstLineChars="200"/>
              <w:rPr>
                <w:rFonts w:hint="eastAsia"/>
                <w:lang w:val="en-US" w:eastAsia="zh-CN"/>
              </w:rPr>
            </w:pPr>
            <w:r>
              <w:rPr>
                <w:rFonts w:hint="eastAsia"/>
                <w:lang w:val="en-US" w:eastAsia="zh-CN"/>
              </w:rPr>
              <w:t>（2）转运粉尘。</w:t>
            </w:r>
          </w:p>
          <w:p w14:paraId="359AD0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4"/>
                <w:highlight w:val="none"/>
              </w:rPr>
            </w:pPr>
            <w:r>
              <w:rPr>
                <w:rFonts w:hint="eastAsia" w:ascii="Times New Roman" w:hAnsi="Times New Roman" w:cs="Times New Roman"/>
                <w:b w:val="0"/>
                <w:bCs w:val="0"/>
                <w:spacing w:val="0"/>
                <w:sz w:val="24"/>
                <w:szCs w:val="24"/>
                <w:lang w:val="en-US" w:eastAsia="zh-CN"/>
              </w:rPr>
              <w:t>本项目设计年转运煤炭500万吨，采用全封闭输送廊道转运，先将原煤转运至煤炭仓储加工基地，经加工处置后再转运至发运站，全线设置2道转运站（T2转运站和T4转运站），转运站均采取全封闭处置措施，设置集气罩收集转运粉尘</w:t>
            </w:r>
            <w:r>
              <w:rPr>
                <w:rFonts w:hint="default" w:ascii="Times New Roman" w:hAnsi="Times New Roman" w:cs="Times New Roman"/>
                <w:b w:val="0"/>
                <w:bCs w:val="0"/>
                <w:spacing w:val="0"/>
                <w:sz w:val="24"/>
                <w:szCs w:val="24"/>
                <w:lang w:val="en-US" w:eastAsia="zh-CN"/>
              </w:rPr>
              <w:t>，收集效率为90%，废气</w:t>
            </w:r>
            <w:r>
              <w:rPr>
                <w:rFonts w:hint="eastAsia" w:ascii="Times New Roman" w:hAnsi="Times New Roman" w:cs="Times New Roman"/>
                <w:b w:val="0"/>
                <w:bCs w:val="0"/>
                <w:spacing w:val="0"/>
                <w:sz w:val="24"/>
                <w:szCs w:val="24"/>
                <w:lang w:val="en-US" w:eastAsia="zh-CN"/>
              </w:rPr>
              <w:t>经</w:t>
            </w:r>
            <w:r>
              <w:rPr>
                <w:rFonts w:hint="default" w:ascii="Times New Roman" w:hAnsi="Times New Roman" w:cs="Times New Roman"/>
                <w:b w:val="0"/>
                <w:bCs w:val="0"/>
                <w:spacing w:val="0"/>
                <w:sz w:val="24"/>
                <w:szCs w:val="24"/>
                <w:lang w:val="en-US" w:eastAsia="zh-CN"/>
              </w:rPr>
              <w:t>布袋除尘器</w:t>
            </w:r>
            <w:r>
              <w:rPr>
                <w:rFonts w:hint="eastAsia" w:ascii="Times New Roman" w:hAnsi="Times New Roman" w:cs="Times New Roman"/>
                <w:b w:val="0"/>
                <w:bCs w:val="0"/>
                <w:spacing w:val="0"/>
                <w:sz w:val="24"/>
                <w:szCs w:val="24"/>
                <w:lang w:val="en-US" w:eastAsia="zh-CN"/>
              </w:rPr>
              <w:t>处理后通过15m排气筒（DA001、DA002）排放</w:t>
            </w:r>
            <w:r>
              <w:rPr>
                <w:rFonts w:hint="default" w:ascii="Times New Roman" w:hAnsi="Times New Roman" w:cs="Times New Roman"/>
                <w:b w:val="0"/>
                <w:bCs w:val="0"/>
                <w:spacing w:val="0"/>
                <w:sz w:val="24"/>
                <w:szCs w:val="24"/>
                <w:lang w:val="en-US" w:eastAsia="zh-CN"/>
              </w:rPr>
              <w:t>，处理效率为9</w:t>
            </w:r>
            <w:r>
              <w:rPr>
                <w:rFonts w:hint="eastAsia" w:ascii="Times New Roman" w:hAnsi="Times New Roman" w:cs="Times New Roman"/>
                <w:b w:val="0"/>
                <w:bCs w:val="0"/>
                <w:spacing w:val="0"/>
                <w:sz w:val="24"/>
                <w:szCs w:val="24"/>
                <w:lang w:val="en-US" w:eastAsia="zh-CN"/>
              </w:rPr>
              <w:t>9.7</w:t>
            </w:r>
            <w:r>
              <w:rPr>
                <w:rFonts w:hint="default" w:ascii="Times New Roman" w:hAnsi="Times New Roman" w:cs="Times New Roman"/>
                <w:b w:val="0"/>
                <w:bCs w:val="0"/>
                <w:spacing w:val="0"/>
                <w:sz w:val="24"/>
                <w:szCs w:val="24"/>
                <w:lang w:val="en-US" w:eastAsia="zh-CN"/>
              </w:rPr>
              <w:t>%，布袋除尘器配套的风机风量为</w:t>
            </w:r>
            <w:r>
              <w:rPr>
                <w:rFonts w:hint="eastAsia" w:ascii="Times New Roman" w:hAnsi="Times New Roman" w:cs="Times New Roman"/>
                <w:b w:val="0"/>
                <w:bCs w:val="0"/>
                <w:spacing w:val="0"/>
                <w:sz w:val="24"/>
                <w:szCs w:val="24"/>
                <w:lang w:val="en-US" w:eastAsia="zh-CN"/>
              </w:rPr>
              <w:t>20</w:t>
            </w:r>
            <w:r>
              <w:rPr>
                <w:rFonts w:hint="default" w:ascii="Times New Roman" w:hAnsi="Times New Roman" w:cs="Times New Roman"/>
                <w:b w:val="0"/>
                <w:bCs w:val="0"/>
                <w:spacing w:val="0"/>
                <w:sz w:val="24"/>
                <w:szCs w:val="24"/>
                <w:lang w:val="en-US" w:eastAsia="zh-CN"/>
              </w:rPr>
              <w:t>000m</w:t>
            </w:r>
            <w:r>
              <w:rPr>
                <w:rFonts w:hint="default" w:ascii="Times New Roman" w:hAnsi="Times New Roman" w:cs="Times New Roman"/>
                <w:b w:val="0"/>
                <w:bCs w:val="0"/>
                <w:spacing w:val="0"/>
                <w:sz w:val="24"/>
                <w:szCs w:val="24"/>
                <w:vertAlign w:val="superscript"/>
                <w:lang w:val="en-US" w:eastAsia="zh-CN"/>
              </w:rPr>
              <w:t>3</w:t>
            </w:r>
            <w:r>
              <w:rPr>
                <w:rFonts w:hint="default" w:ascii="Times New Roman" w:hAnsi="Times New Roman" w:cs="Times New Roman"/>
                <w:b w:val="0"/>
                <w:bCs w:val="0"/>
                <w:spacing w:val="0"/>
                <w:sz w:val="24"/>
                <w:szCs w:val="24"/>
                <w:lang w:val="en-US" w:eastAsia="zh-CN"/>
              </w:rPr>
              <w:t>/h。参考《</w:t>
            </w:r>
            <w:r>
              <w:rPr>
                <w:rFonts w:hint="eastAsia" w:ascii="Times New Roman" w:hAnsi="Times New Roman" w:cs="Times New Roman"/>
                <w:b w:val="0"/>
                <w:bCs w:val="0"/>
                <w:spacing w:val="0"/>
                <w:sz w:val="24"/>
                <w:szCs w:val="24"/>
                <w:lang w:val="en-US" w:eastAsia="zh-CN"/>
              </w:rPr>
              <w:t>逸散性工业粉尘控制技术</w:t>
            </w:r>
            <w:r>
              <w:rPr>
                <w:rFonts w:hint="default" w:ascii="Times New Roman" w:hAnsi="Times New Roman" w:cs="Times New Roman"/>
                <w:b w:val="0"/>
                <w:bCs w:val="0"/>
                <w:spacing w:val="0"/>
                <w:sz w:val="24"/>
                <w:szCs w:val="24"/>
                <w:lang w:val="en-US" w:eastAsia="zh-CN"/>
              </w:rPr>
              <w:t>》</w:t>
            </w:r>
            <w:r>
              <w:rPr>
                <w:rFonts w:hint="eastAsia" w:ascii="Times New Roman" w:hAnsi="Times New Roman" w:cs="Times New Roman"/>
                <w:b w:val="0"/>
                <w:bCs w:val="0"/>
                <w:spacing w:val="0"/>
                <w:sz w:val="24"/>
                <w:szCs w:val="24"/>
                <w:lang w:val="en-US" w:eastAsia="zh-CN"/>
              </w:rPr>
              <w:t>中“表19-2煤加工过程逸散尘的排放因子”运输和输送</w:t>
            </w:r>
            <w:r>
              <w:rPr>
                <w:rFonts w:hint="default" w:ascii="Times New Roman" w:hAnsi="Times New Roman" w:cs="Times New Roman"/>
                <w:b w:val="0"/>
                <w:bCs w:val="0"/>
                <w:spacing w:val="0"/>
                <w:sz w:val="24"/>
                <w:szCs w:val="24"/>
                <w:lang w:val="en-US" w:eastAsia="zh-CN"/>
              </w:rPr>
              <w:t>颗粒物产生系数为</w:t>
            </w:r>
            <w:r>
              <w:rPr>
                <w:rFonts w:hint="eastAsia" w:ascii="Times New Roman" w:hAnsi="Times New Roman" w:cs="Times New Roman"/>
                <w:b w:val="0"/>
                <w:bCs w:val="0"/>
                <w:spacing w:val="0"/>
                <w:sz w:val="24"/>
                <w:szCs w:val="24"/>
                <w:lang w:val="en-US" w:eastAsia="zh-CN"/>
              </w:rPr>
              <w:t>0.1</w:t>
            </w:r>
            <w:r>
              <w:rPr>
                <w:rFonts w:hint="default" w:ascii="Times New Roman" w:hAnsi="Times New Roman" w:cs="Times New Roman"/>
                <w:b w:val="0"/>
                <w:bCs w:val="0"/>
                <w:spacing w:val="0"/>
                <w:sz w:val="24"/>
                <w:szCs w:val="24"/>
                <w:lang w:val="en-US" w:eastAsia="zh-CN"/>
              </w:rPr>
              <w:t>kg/t</w:t>
            </w:r>
            <w:r>
              <w:rPr>
                <w:rFonts w:hint="eastAsia" w:ascii="Times New Roman" w:hAnsi="Times New Roman" w:cs="Times New Roman"/>
                <w:b w:val="0"/>
                <w:bCs w:val="0"/>
                <w:spacing w:val="0"/>
                <w:sz w:val="24"/>
                <w:szCs w:val="24"/>
                <w:lang w:val="en-US" w:eastAsia="zh-CN"/>
              </w:rPr>
              <w:t>（转移或运输量）计算</w:t>
            </w:r>
            <w:r>
              <w:rPr>
                <w:rFonts w:hint="default" w:ascii="Times New Roman" w:hAnsi="Times New Roman" w:cs="Times New Roman"/>
                <w:b w:val="0"/>
                <w:bCs w:val="0"/>
                <w:spacing w:val="0"/>
                <w:sz w:val="24"/>
                <w:szCs w:val="24"/>
                <w:lang w:val="en-US" w:eastAsia="zh-CN"/>
              </w:rPr>
              <w:t>，则</w:t>
            </w:r>
            <w:r>
              <w:rPr>
                <w:rFonts w:hint="eastAsia" w:ascii="Times New Roman" w:hAnsi="Times New Roman" w:cs="Times New Roman"/>
                <w:b w:val="0"/>
                <w:bCs w:val="0"/>
                <w:spacing w:val="0"/>
                <w:sz w:val="24"/>
                <w:szCs w:val="24"/>
                <w:lang w:val="en-US" w:eastAsia="zh-CN"/>
              </w:rPr>
              <w:t>T2转运站转移</w:t>
            </w:r>
            <w:r>
              <w:rPr>
                <w:rFonts w:hint="default" w:ascii="Times New Roman" w:hAnsi="Times New Roman" w:cs="Times New Roman"/>
                <w:b w:val="0"/>
                <w:bCs w:val="0"/>
                <w:spacing w:val="0"/>
                <w:sz w:val="24"/>
                <w:szCs w:val="24"/>
                <w:lang w:val="en-US" w:eastAsia="zh-CN"/>
              </w:rPr>
              <w:t>粉尘产生量为</w:t>
            </w:r>
            <w:r>
              <w:rPr>
                <w:rFonts w:hint="eastAsia" w:ascii="Times New Roman" w:hAnsi="Times New Roman" w:cs="Times New Roman"/>
                <w:b w:val="0"/>
                <w:bCs w:val="0"/>
                <w:spacing w:val="0"/>
                <w:sz w:val="24"/>
                <w:szCs w:val="24"/>
                <w:lang w:val="en-US" w:eastAsia="zh-CN"/>
              </w:rPr>
              <w:t>500</w:t>
            </w:r>
            <w:r>
              <w:rPr>
                <w:rFonts w:hint="default" w:ascii="Times New Roman" w:hAnsi="Times New Roman" w:cs="Times New Roman"/>
                <w:b w:val="0"/>
                <w:bCs w:val="0"/>
                <w:spacing w:val="0"/>
                <w:sz w:val="24"/>
                <w:szCs w:val="24"/>
                <w:lang w:val="en-US" w:eastAsia="zh-CN"/>
              </w:rPr>
              <w:t>t/a，有组织</w:t>
            </w:r>
            <w:r>
              <w:rPr>
                <w:rFonts w:hint="eastAsia" w:cs="Times New Roman"/>
                <w:b w:val="0"/>
                <w:bCs w:val="0"/>
                <w:spacing w:val="0"/>
                <w:sz w:val="24"/>
                <w:szCs w:val="24"/>
                <w:lang w:val="en-US" w:eastAsia="zh-CN"/>
              </w:rPr>
              <w:t>粉尘</w:t>
            </w:r>
            <w:r>
              <w:rPr>
                <w:rFonts w:hint="default" w:ascii="Times New Roman" w:hAnsi="Times New Roman" w:cs="Times New Roman"/>
                <w:b w:val="0"/>
                <w:bCs w:val="0"/>
                <w:spacing w:val="0"/>
                <w:sz w:val="24"/>
                <w:szCs w:val="24"/>
                <w:lang w:val="en-US" w:eastAsia="zh-CN"/>
              </w:rPr>
              <w:t>产生量为</w:t>
            </w:r>
            <w:r>
              <w:rPr>
                <w:rFonts w:hint="eastAsia" w:ascii="Times New Roman" w:hAnsi="Times New Roman" w:cs="Times New Roman"/>
                <w:b w:val="0"/>
                <w:bCs w:val="0"/>
                <w:spacing w:val="0"/>
                <w:sz w:val="24"/>
                <w:szCs w:val="24"/>
                <w:lang w:val="en-US" w:eastAsia="zh-CN"/>
              </w:rPr>
              <w:t>450</w:t>
            </w:r>
            <w:r>
              <w:rPr>
                <w:rFonts w:hint="default" w:ascii="Times New Roman" w:hAnsi="Times New Roman" w:cs="Times New Roman"/>
                <w:b w:val="0"/>
                <w:bCs w:val="0"/>
                <w:spacing w:val="0"/>
                <w:sz w:val="24"/>
                <w:szCs w:val="24"/>
                <w:lang w:val="en-US" w:eastAsia="zh-CN"/>
              </w:rPr>
              <w:t>t/a，产生速率为</w:t>
            </w:r>
            <w:r>
              <w:rPr>
                <w:rFonts w:hint="eastAsia" w:ascii="Times New Roman" w:hAnsi="Times New Roman" w:cs="Times New Roman"/>
                <w:b w:val="0"/>
                <w:bCs w:val="0"/>
                <w:spacing w:val="0"/>
                <w:sz w:val="24"/>
                <w:szCs w:val="24"/>
                <w:lang w:val="en-US" w:eastAsia="zh-CN"/>
              </w:rPr>
              <w:t>56.82</w:t>
            </w:r>
            <w:r>
              <w:rPr>
                <w:rFonts w:hint="default" w:ascii="Times New Roman" w:hAnsi="Times New Roman" w:cs="Times New Roman"/>
                <w:b w:val="0"/>
                <w:bCs w:val="0"/>
                <w:spacing w:val="0"/>
                <w:sz w:val="24"/>
                <w:szCs w:val="24"/>
                <w:lang w:val="en-US" w:eastAsia="zh-CN"/>
              </w:rPr>
              <w:t>kg/h，产生浓度为</w:t>
            </w:r>
            <w:r>
              <w:rPr>
                <w:rFonts w:hint="eastAsia" w:ascii="Times New Roman" w:hAnsi="Times New Roman" w:cs="Times New Roman"/>
                <w:b w:val="0"/>
                <w:bCs w:val="0"/>
                <w:spacing w:val="0"/>
                <w:sz w:val="24"/>
                <w:szCs w:val="24"/>
                <w:lang w:val="en-US" w:eastAsia="zh-CN"/>
              </w:rPr>
              <w:t>2840.9</w:t>
            </w:r>
            <w:r>
              <w:rPr>
                <w:rFonts w:hint="default" w:ascii="Times New Roman" w:hAnsi="Times New Roman" w:cs="Times New Roman"/>
                <w:b w:val="0"/>
                <w:bCs w:val="0"/>
                <w:spacing w:val="0"/>
                <w:sz w:val="24"/>
                <w:szCs w:val="24"/>
                <w:lang w:val="en-US" w:eastAsia="zh-CN"/>
              </w:rPr>
              <w:t>mg/m</w:t>
            </w:r>
            <w:r>
              <w:rPr>
                <w:rFonts w:hint="default" w:ascii="Times New Roman" w:hAnsi="Times New Roman" w:cs="Times New Roman"/>
                <w:b w:val="0"/>
                <w:bCs w:val="0"/>
                <w:spacing w:val="0"/>
                <w:sz w:val="24"/>
                <w:szCs w:val="24"/>
                <w:vertAlign w:val="superscript"/>
                <w:lang w:val="en-US" w:eastAsia="zh-CN"/>
              </w:rPr>
              <w:t>3</w:t>
            </w:r>
            <w:r>
              <w:rPr>
                <w:rFonts w:hint="default" w:ascii="Times New Roman" w:hAnsi="Times New Roman" w:cs="Times New Roman"/>
                <w:b w:val="0"/>
                <w:bCs w:val="0"/>
                <w:spacing w:val="0"/>
                <w:sz w:val="24"/>
                <w:szCs w:val="24"/>
                <w:lang w:val="en-US" w:eastAsia="zh-CN"/>
              </w:rPr>
              <w:t>；排放量为</w:t>
            </w:r>
            <w:r>
              <w:rPr>
                <w:rFonts w:hint="eastAsia" w:ascii="Times New Roman" w:hAnsi="Times New Roman" w:cs="Times New Roman"/>
                <w:b w:val="0"/>
                <w:bCs w:val="0"/>
                <w:spacing w:val="0"/>
                <w:sz w:val="24"/>
                <w:szCs w:val="24"/>
                <w:lang w:val="en-US" w:eastAsia="zh-CN"/>
              </w:rPr>
              <w:t>1.35</w:t>
            </w:r>
            <w:r>
              <w:rPr>
                <w:rFonts w:hint="default" w:ascii="Times New Roman" w:hAnsi="Times New Roman" w:cs="Times New Roman"/>
                <w:b w:val="0"/>
                <w:bCs w:val="0"/>
                <w:spacing w:val="0"/>
                <w:sz w:val="24"/>
                <w:szCs w:val="24"/>
                <w:lang w:val="en-US" w:eastAsia="zh-CN"/>
              </w:rPr>
              <w:t>t/a，排放速率为</w:t>
            </w:r>
            <w:r>
              <w:rPr>
                <w:rFonts w:hint="eastAsia" w:ascii="Times New Roman" w:hAnsi="Times New Roman" w:cs="Times New Roman"/>
                <w:b w:val="0"/>
                <w:bCs w:val="0"/>
                <w:spacing w:val="0"/>
                <w:sz w:val="24"/>
                <w:szCs w:val="24"/>
                <w:lang w:val="en-US" w:eastAsia="zh-CN"/>
              </w:rPr>
              <w:t>0.17</w:t>
            </w:r>
            <w:r>
              <w:rPr>
                <w:rFonts w:hint="default" w:ascii="Times New Roman" w:hAnsi="Times New Roman" w:cs="Times New Roman"/>
                <w:b w:val="0"/>
                <w:bCs w:val="0"/>
                <w:spacing w:val="0"/>
                <w:sz w:val="24"/>
                <w:szCs w:val="24"/>
                <w:lang w:val="en-US" w:eastAsia="zh-CN"/>
              </w:rPr>
              <w:t>kg/h，排放浓度为</w:t>
            </w:r>
            <w:r>
              <w:rPr>
                <w:rFonts w:hint="eastAsia" w:ascii="Times New Roman" w:hAnsi="Times New Roman" w:cs="Times New Roman"/>
                <w:b w:val="0"/>
                <w:bCs w:val="0"/>
                <w:spacing w:val="0"/>
                <w:sz w:val="24"/>
                <w:szCs w:val="24"/>
                <w:lang w:val="en-US" w:eastAsia="zh-CN"/>
              </w:rPr>
              <w:t>8.52</w:t>
            </w:r>
            <w:r>
              <w:rPr>
                <w:rFonts w:hint="default" w:ascii="Times New Roman" w:hAnsi="Times New Roman" w:cs="Times New Roman"/>
                <w:b w:val="0"/>
                <w:bCs w:val="0"/>
                <w:spacing w:val="0"/>
                <w:sz w:val="24"/>
                <w:szCs w:val="24"/>
                <w:lang w:val="en-US" w:eastAsia="zh-CN"/>
              </w:rPr>
              <w:t>mg/m</w:t>
            </w:r>
            <w:r>
              <w:rPr>
                <w:rFonts w:hint="default" w:ascii="Times New Roman" w:hAnsi="Times New Roman" w:cs="Times New Roman"/>
                <w:b w:val="0"/>
                <w:bCs w:val="0"/>
                <w:spacing w:val="0"/>
                <w:sz w:val="24"/>
                <w:szCs w:val="24"/>
                <w:vertAlign w:val="superscript"/>
                <w:lang w:val="en-US" w:eastAsia="zh-CN"/>
              </w:rPr>
              <w:t>3</w:t>
            </w:r>
            <w:r>
              <w:rPr>
                <w:rFonts w:hint="default" w:ascii="Times New Roman" w:hAnsi="Times New Roman" w:cs="Times New Roman"/>
                <w:b w:val="0"/>
                <w:bCs w:val="0"/>
                <w:spacing w:val="0"/>
                <w:sz w:val="24"/>
                <w:szCs w:val="24"/>
                <w:lang w:val="en-US" w:eastAsia="zh-CN"/>
              </w:rPr>
              <w:t>。</w:t>
            </w:r>
            <w:r>
              <w:rPr>
                <w:rFonts w:hint="eastAsia" w:ascii="Times New Roman" w:hAnsi="Times New Roman" w:cs="Times New Roman"/>
                <w:b w:val="0"/>
                <w:bCs w:val="0"/>
                <w:spacing w:val="0"/>
                <w:sz w:val="24"/>
                <w:szCs w:val="24"/>
                <w:lang w:val="en-US" w:eastAsia="zh-CN"/>
              </w:rPr>
              <w:t>T4转运站转移</w:t>
            </w:r>
            <w:r>
              <w:rPr>
                <w:rFonts w:hint="default" w:ascii="Times New Roman" w:hAnsi="Times New Roman" w:cs="Times New Roman"/>
                <w:b w:val="0"/>
                <w:bCs w:val="0"/>
                <w:spacing w:val="0"/>
                <w:sz w:val="24"/>
                <w:szCs w:val="24"/>
                <w:lang w:val="en-US" w:eastAsia="zh-CN"/>
              </w:rPr>
              <w:t>粉尘产生量为</w:t>
            </w:r>
            <w:r>
              <w:rPr>
                <w:rFonts w:hint="eastAsia" w:ascii="Times New Roman" w:hAnsi="Times New Roman" w:cs="Times New Roman"/>
                <w:b w:val="0"/>
                <w:bCs w:val="0"/>
                <w:spacing w:val="0"/>
                <w:sz w:val="24"/>
                <w:szCs w:val="24"/>
                <w:lang w:val="en-US" w:eastAsia="zh-CN"/>
              </w:rPr>
              <w:t>500</w:t>
            </w:r>
            <w:r>
              <w:rPr>
                <w:rFonts w:hint="default" w:ascii="Times New Roman" w:hAnsi="Times New Roman" w:cs="Times New Roman"/>
                <w:b w:val="0"/>
                <w:bCs w:val="0"/>
                <w:spacing w:val="0"/>
                <w:sz w:val="24"/>
                <w:szCs w:val="24"/>
                <w:lang w:val="en-US" w:eastAsia="zh-CN"/>
              </w:rPr>
              <w:t>t/a，有组织废气产生量为</w:t>
            </w:r>
            <w:r>
              <w:rPr>
                <w:rFonts w:hint="eastAsia" w:ascii="Times New Roman" w:hAnsi="Times New Roman" w:cs="Times New Roman"/>
                <w:b w:val="0"/>
                <w:bCs w:val="0"/>
                <w:spacing w:val="0"/>
                <w:sz w:val="24"/>
                <w:szCs w:val="24"/>
                <w:lang w:val="en-US" w:eastAsia="zh-CN"/>
              </w:rPr>
              <w:t>450</w:t>
            </w:r>
            <w:r>
              <w:rPr>
                <w:rFonts w:hint="default" w:ascii="Times New Roman" w:hAnsi="Times New Roman" w:cs="Times New Roman"/>
                <w:b w:val="0"/>
                <w:bCs w:val="0"/>
                <w:spacing w:val="0"/>
                <w:sz w:val="24"/>
                <w:szCs w:val="24"/>
                <w:lang w:val="en-US" w:eastAsia="zh-CN"/>
              </w:rPr>
              <w:t>t/a，产生速率为</w:t>
            </w:r>
            <w:r>
              <w:rPr>
                <w:rFonts w:hint="eastAsia" w:ascii="Times New Roman" w:hAnsi="Times New Roman" w:cs="Times New Roman"/>
                <w:b w:val="0"/>
                <w:bCs w:val="0"/>
                <w:spacing w:val="0"/>
                <w:sz w:val="24"/>
                <w:szCs w:val="24"/>
                <w:lang w:val="en-US" w:eastAsia="zh-CN"/>
              </w:rPr>
              <w:t>56.82</w:t>
            </w:r>
            <w:r>
              <w:rPr>
                <w:rFonts w:hint="default" w:ascii="Times New Roman" w:hAnsi="Times New Roman" w:cs="Times New Roman"/>
                <w:b w:val="0"/>
                <w:bCs w:val="0"/>
                <w:spacing w:val="0"/>
                <w:sz w:val="24"/>
                <w:szCs w:val="24"/>
                <w:lang w:val="en-US" w:eastAsia="zh-CN"/>
              </w:rPr>
              <w:t>kg/h，产生浓度为</w:t>
            </w:r>
            <w:r>
              <w:rPr>
                <w:rFonts w:hint="eastAsia" w:ascii="Times New Roman" w:hAnsi="Times New Roman" w:cs="Times New Roman"/>
                <w:b w:val="0"/>
                <w:bCs w:val="0"/>
                <w:spacing w:val="0"/>
                <w:sz w:val="24"/>
                <w:szCs w:val="24"/>
                <w:lang w:val="en-US" w:eastAsia="zh-CN"/>
              </w:rPr>
              <w:t>2840.9</w:t>
            </w:r>
            <w:r>
              <w:rPr>
                <w:rFonts w:hint="default" w:ascii="Times New Roman" w:hAnsi="Times New Roman" w:cs="Times New Roman"/>
                <w:b w:val="0"/>
                <w:bCs w:val="0"/>
                <w:spacing w:val="0"/>
                <w:sz w:val="24"/>
                <w:szCs w:val="24"/>
                <w:lang w:val="en-US" w:eastAsia="zh-CN"/>
              </w:rPr>
              <w:t>mg/m</w:t>
            </w:r>
            <w:r>
              <w:rPr>
                <w:rFonts w:hint="default" w:ascii="Times New Roman" w:hAnsi="Times New Roman" w:cs="Times New Roman"/>
                <w:b w:val="0"/>
                <w:bCs w:val="0"/>
                <w:spacing w:val="0"/>
                <w:sz w:val="24"/>
                <w:szCs w:val="24"/>
                <w:vertAlign w:val="superscript"/>
                <w:lang w:val="en-US" w:eastAsia="zh-CN"/>
              </w:rPr>
              <w:t>3</w:t>
            </w:r>
            <w:r>
              <w:rPr>
                <w:rFonts w:hint="default" w:ascii="Times New Roman" w:hAnsi="Times New Roman" w:cs="Times New Roman"/>
                <w:b w:val="0"/>
                <w:bCs w:val="0"/>
                <w:spacing w:val="0"/>
                <w:sz w:val="24"/>
                <w:szCs w:val="24"/>
                <w:lang w:val="en-US" w:eastAsia="zh-CN"/>
              </w:rPr>
              <w:t>；排放量为</w:t>
            </w:r>
            <w:r>
              <w:rPr>
                <w:rFonts w:hint="eastAsia" w:ascii="Times New Roman" w:hAnsi="Times New Roman" w:cs="Times New Roman"/>
                <w:b w:val="0"/>
                <w:bCs w:val="0"/>
                <w:spacing w:val="0"/>
                <w:sz w:val="24"/>
                <w:szCs w:val="24"/>
                <w:lang w:val="en-US" w:eastAsia="zh-CN"/>
              </w:rPr>
              <w:t>1.35</w:t>
            </w:r>
            <w:r>
              <w:rPr>
                <w:rFonts w:hint="default" w:ascii="Times New Roman" w:hAnsi="Times New Roman" w:cs="Times New Roman"/>
                <w:b w:val="0"/>
                <w:bCs w:val="0"/>
                <w:spacing w:val="0"/>
                <w:sz w:val="24"/>
                <w:szCs w:val="24"/>
                <w:lang w:val="en-US" w:eastAsia="zh-CN"/>
              </w:rPr>
              <w:t>t/a，排放速率为</w:t>
            </w:r>
            <w:r>
              <w:rPr>
                <w:rFonts w:hint="eastAsia" w:ascii="Times New Roman" w:hAnsi="Times New Roman" w:cs="Times New Roman"/>
                <w:b w:val="0"/>
                <w:bCs w:val="0"/>
                <w:spacing w:val="0"/>
                <w:sz w:val="24"/>
                <w:szCs w:val="24"/>
                <w:lang w:val="en-US" w:eastAsia="zh-CN"/>
              </w:rPr>
              <w:t>0.17</w:t>
            </w:r>
            <w:r>
              <w:rPr>
                <w:rFonts w:hint="default" w:ascii="Times New Roman" w:hAnsi="Times New Roman" w:cs="Times New Roman"/>
                <w:b w:val="0"/>
                <w:bCs w:val="0"/>
                <w:spacing w:val="0"/>
                <w:sz w:val="24"/>
                <w:szCs w:val="24"/>
                <w:lang w:val="en-US" w:eastAsia="zh-CN"/>
              </w:rPr>
              <w:t>kg/h，排放浓度为</w:t>
            </w:r>
            <w:r>
              <w:rPr>
                <w:rFonts w:hint="eastAsia" w:ascii="Times New Roman" w:hAnsi="Times New Roman" w:cs="Times New Roman"/>
                <w:b w:val="0"/>
                <w:bCs w:val="0"/>
                <w:spacing w:val="0"/>
                <w:sz w:val="24"/>
                <w:szCs w:val="24"/>
                <w:lang w:val="en-US" w:eastAsia="zh-CN"/>
              </w:rPr>
              <w:t>8.52</w:t>
            </w:r>
            <w:r>
              <w:rPr>
                <w:rFonts w:hint="default" w:ascii="Times New Roman" w:hAnsi="Times New Roman" w:cs="Times New Roman"/>
                <w:b w:val="0"/>
                <w:bCs w:val="0"/>
                <w:spacing w:val="0"/>
                <w:sz w:val="24"/>
                <w:szCs w:val="24"/>
                <w:lang w:val="en-US" w:eastAsia="zh-CN"/>
              </w:rPr>
              <w:t>mg/m</w:t>
            </w:r>
            <w:r>
              <w:rPr>
                <w:rFonts w:hint="default" w:ascii="Times New Roman" w:hAnsi="Times New Roman" w:cs="Times New Roman"/>
                <w:b w:val="0"/>
                <w:bCs w:val="0"/>
                <w:spacing w:val="0"/>
                <w:sz w:val="24"/>
                <w:szCs w:val="24"/>
                <w:vertAlign w:val="superscript"/>
                <w:lang w:val="en-US" w:eastAsia="zh-CN"/>
              </w:rPr>
              <w:t>3</w:t>
            </w:r>
            <w:r>
              <w:rPr>
                <w:rFonts w:hint="eastAsia"/>
                <w:sz w:val="24"/>
                <w:szCs w:val="24"/>
                <w:highlight w:val="none"/>
              </w:rPr>
              <w:t>。</w:t>
            </w:r>
          </w:p>
          <w:p w14:paraId="4B3A9DE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highlight w:val="none"/>
              </w:rPr>
            </w:pPr>
            <w:r>
              <w:rPr>
                <w:highlight w:val="none"/>
              </w:rPr>
              <w:t>本项目废气污染源强核算详见表</w:t>
            </w:r>
            <w:r>
              <w:rPr>
                <w:rFonts w:hint="eastAsia"/>
                <w:highlight w:val="none"/>
                <w:lang w:val="en-US" w:eastAsia="zh-CN"/>
              </w:rPr>
              <w:t>4-5</w:t>
            </w:r>
            <w:r>
              <w:rPr>
                <w:highlight w:val="none"/>
              </w:rPr>
              <w:t>。</w:t>
            </w:r>
          </w:p>
          <w:p w14:paraId="259EE2B1">
            <w:pPr>
              <w:pStyle w:val="5"/>
              <w:pageBreakBefore w:val="0"/>
              <w:wordWrap/>
              <w:overflowPunct/>
              <w:topLinePunct w:val="0"/>
              <w:bidi w:val="0"/>
              <w:adjustRightInd/>
              <w:snapToGrid/>
              <w:spacing w:line="240" w:lineRule="auto"/>
              <w:ind w:left="0" w:leftChars="0" w:right="0" w:rightChars="0" w:firstLine="0" w:firstLineChars="0"/>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表</w:t>
            </w:r>
            <w:r>
              <w:rPr>
                <w:rFonts w:hint="eastAsia" w:cs="Times New Roman"/>
                <w:b/>
                <w:bCs/>
                <w:kern w:val="2"/>
                <w:sz w:val="21"/>
                <w:szCs w:val="21"/>
                <w:highlight w:val="none"/>
                <w:lang w:val="en-US" w:eastAsia="zh-CN" w:bidi="ar-SA"/>
              </w:rPr>
              <w:t>4-5</w:t>
            </w:r>
            <w:r>
              <w:rPr>
                <w:rFonts w:hint="eastAsia" w:ascii="Times New Roman" w:hAnsi="Times New Roman" w:eastAsia="宋体" w:cs="Times New Roman"/>
                <w:b/>
                <w:bCs/>
                <w:kern w:val="2"/>
                <w:sz w:val="21"/>
                <w:szCs w:val="21"/>
                <w:highlight w:val="none"/>
                <w:lang w:val="en-US" w:eastAsia="zh-CN" w:bidi="ar-SA"/>
              </w:rPr>
              <w:t xml:space="preserve">       废气污染源源强核算一览表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683"/>
              <w:gridCol w:w="688"/>
              <w:gridCol w:w="753"/>
              <w:gridCol w:w="835"/>
              <w:gridCol w:w="689"/>
              <w:gridCol w:w="869"/>
              <w:gridCol w:w="611"/>
              <w:gridCol w:w="721"/>
              <w:gridCol w:w="835"/>
              <w:gridCol w:w="672"/>
            </w:tblGrid>
            <w:tr w14:paraId="7CF45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restart"/>
                  <w:tcBorders>
                    <w:tl2br w:val="nil"/>
                    <w:tr2bl w:val="nil"/>
                  </w:tcBorders>
                  <w:noWrap w:val="0"/>
                  <w:vAlign w:val="center"/>
                </w:tcPr>
                <w:p w14:paraId="525CEBE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污染源</w:t>
                  </w:r>
                </w:p>
              </w:tc>
              <w:tc>
                <w:tcPr>
                  <w:tcW w:w="877" w:type="pct"/>
                  <w:gridSpan w:val="2"/>
                  <w:vMerge w:val="restart"/>
                  <w:tcBorders>
                    <w:tl2br w:val="nil"/>
                    <w:tr2bl w:val="nil"/>
                  </w:tcBorders>
                  <w:noWrap w:val="0"/>
                  <w:vAlign w:val="center"/>
                </w:tcPr>
                <w:p w14:paraId="18E6F89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污染物名称</w:t>
                  </w:r>
                </w:p>
              </w:tc>
              <w:tc>
                <w:tcPr>
                  <w:tcW w:w="482" w:type="pct"/>
                  <w:tcBorders>
                    <w:tl2br w:val="nil"/>
                    <w:tr2bl w:val="nil"/>
                  </w:tcBorders>
                  <w:noWrap w:val="0"/>
                  <w:vAlign w:val="center"/>
                </w:tcPr>
                <w:p w14:paraId="12D26A1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产生量</w:t>
                  </w:r>
                </w:p>
              </w:tc>
              <w:tc>
                <w:tcPr>
                  <w:tcW w:w="534" w:type="pct"/>
                  <w:tcBorders>
                    <w:tl2br w:val="nil"/>
                    <w:tr2bl w:val="nil"/>
                  </w:tcBorders>
                  <w:noWrap w:val="0"/>
                  <w:vAlign w:val="center"/>
                </w:tcPr>
                <w:p w14:paraId="6DD1DDB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产生浓度</w:t>
                  </w:r>
                </w:p>
              </w:tc>
              <w:tc>
                <w:tcPr>
                  <w:tcW w:w="441" w:type="pct"/>
                  <w:tcBorders>
                    <w:tl2br w:val="nil"/>
                    <w:tr2bl w:val="nil"/>
                  </w:tcBorders>
                  <w:noWrap w:val="0"/>
                  <w:vAlign w:val="center"/>
                </w:tcPr>
                <w:p w14:paraId="183F1D9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产生速率</w:t>
                  </w:r>
                </w:p>
              </w:tc>
              <w:tc>
                <w:tcPr>
                  <w:tcW w:w="947" w:type="pct"/>
                  <w:gridSpan w:val="2"/>
                  <w:tcBorders>
                    <w:tl2br w:val="nil"/>
                    <w:tr2bl w:val="nil"/>
                  </w:tcBorders>
                  <w:noWrap w:val="0"/>
                  <w:vAlign w:val="center"/>
                </w:tcPr>
                <w:p w14:paraId="54E0741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削减量</w:t>
                  </w:r>
                </w:p>
              </w:tc>
              <w:tc>
                <w:tcPr>
                  <w:tcW w:w="461" w:type="pct"/>
                  <w:tcBorders>
                    <w:tl2br w:val="nil"/>
                    <w:tr2bl w:val="nil"/>
                  </w:tcBorders>
                  <w:noWrap w:val="0"/>
                  <w:vAlign w:val="center"/>
                </w:tcPr>
                <w:p w14:paraId="1A4D90C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排放量</w:t>
                  </w:r>
                </w:p>
              </w:tc>
              <w:tc>
                <w:tcPr>
                  <w:tcW w:w="534" w:type="pct"/>
                  <w:tcBorders>
                    <w:tl2br w:val="nil"/>
                    <w:tr2bl w:val="nil"/>
                  </w:tcBorders>
                  <w:noWrap w:val="0"/>
                  <w:vAlign w:val="center"/>
                </w:tcPr>
                <w:p w14:paraId="0F3A9AE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排放浓度</w:t>
                  </w:r>
                </w:p>
              </w:tc>
              <w:tc>
                <w:tcPr>
                  <w:tcW w:w="430" w:type="pct"/>
                  <w:tcBorders>
                    <w:tl2br w:val="nil"/>
                    <w:tr2bl w:val="nil"/>
                  </w:tcBorders>
                  <w:noWrap w:val="0"/>
                  <w:vAlign w:val="center"/>
                </w:tcPr>
                <w:p w14:paraId="6D971E8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排放速率</w:t>
                  </w:r>
                </w:p>
              </w:tc>
            </w:tr>
            <w:tr w14:paraId="04A29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noWrap w:val="0"/>
                  <w:vAlign w:val="center"/>
                </w:tcPr>
                <w:p w14:paraId="0C6A80D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p>
              </w:tc>
              <w:tc>
                <w:tcPr>
                  <w:tcW w:w="877" w:type="pct"/>
                  <w:gridSpan w:val="2"/>
                  <w:vMerge w:val="continue"/>
                  <w:tcBorders>
                    <w:tl2br w:val="nil"/>
                    <w:tr2bl w:val="nil"/>
                  </w:tcBorders>
                  <w:noWrap w:val="0"/>
                  <w:vAlign w:val="center"/>
                </w:tcPr>
                <w:p w14:paraId="6D645F9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p>
              </w:tc>
              <w:tc>
                <w:tcPr>
                  <w:tcW w:w="482" w:type="pct"/>
                  <w:tcBorders>
                    <w:tl2br w:val="nil"/>
                    <w:tr2bl w:val="nil"/>
                  </w:tcBorders>
                  <w:noWrap w:val="0"/>
                  <w:vAlign w:val="center"/>
                </w:tcPr>
                <w:p w14:paraId="589C2AE4">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t/a</w:t>
                  </w:r>
                </w:p>
              </w:tc>
              <w:tc>
                <w:tcPr>
                  <w:tcW w:w="534" w:type="pct"/>
                  <w:tcBorders>
                    <w:tl2br w:val="nil"/>
                    <w:tr2bl w:val="nil"/>
                  </w:tcBorders>
                  <w:noWrap w:val="0"/>
                  <w:vAlign w:val="center"/>
                </w:tcPr>
                <w:p w14:paraId="64E84AA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mg/m</w:t>
                  </w:r>
                  <w:r>
                    <w:rPr>
                      <w:rFonts w:hint="eastAsia" w:ascii="Times New Roman" w:hAnsi="Times New Roman" w:eastAsia="宋体" w:cs="Times New Roman"/>
                      <w:b/>
                      <w:bCs/>
                      <w:color w:val="000000"/>
                      <w:sz w:val="21"/>
                      <w:szCs w:val="21"/>
                      <w:highlight w:val="none"/>
                      <w:vertAlign w:val="superscript"/>
                      <w:lang w:val="en-US" w:eastAsia="zh-CN"/>
                    </w:rPr>
                    <w:t>3</w:t>
                  </w:r>
                </w:p>
              </w:tc>
              <w:tc>
                <w:tcPr>
                  <w:tcW w:w="441" w:type="pct"/>
                  <w:tcBorders>
                    <w:tl2br w:val="nil"/>
                    <w:tr2bl w:val="nil"/>
                  </w:tcBorders>
                  <w:noWrap w:val="0"/>
                  <w:vAlign w:val="center"/>
                </w:tcPr>
                <w:p w14:paraId="13DF1A3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kg/h</w:t>
                  </w:r>
                </w:p>
              </w:tc>
              <w:tc>
                <w:tcPr>
                  <w:tcW w:w="556" w:type="pct"/>
                  <w:tcBorders>
                    <w:tl2br w:val="nil"/>
                    <w:tr2bl w:val="nil"/>
                  </w:tcBorders>
                  <w:noWrap w:val="0"/>
                  <w:vAlign w:val="center"/>
                </w:tcPr>
                <w:p w14:paraId="09A183D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治理</w:t>
                  </w:r>
                </w:p>
                <w:p w14:paraId="310AC11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措施</w:t>
                  </w:r>
                </w:p>
              </w:tc>
              <w:tc>
                <w:tcPr>
                  <w:tcW w:w="391" w:type="pct"/>
                  <w:tcBorders>
                    <w:tl2br w:val="nil"/>
                    <w:tr2bl w:val="nil"/>
                  </w:tcBorders>
                  <w:noWrap w:val="0"/>
                  <w:vAlign w:val="center"/>
                </w:tcPr>
                <w:p w14:paraId="540AB60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效率</w:t>
                  </w:r>
                </w:p>
              </w:tc>
              <w:tc>
                <w:tcPr>
                  <w:tcW w:w="461" w:type="pct"/>
                  <w:tcBorders>
                    <w:tl2br w:val="nil"/>
                    <w:tr2bl w:val="nil"/>
                  </w:tcBorders>
                  <w:noWrap w:val="0"/>
                  <w:vAlign w:val="center"/>
                </w:tcPr>
                <w:p w14:paraId="7AAE715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rPr>
                    <w:t>t/a</w:t>
                  </w:r>
                </w:p>
              </w:tc>
              <w:tc>
                <w:tcPr>
                  <w:tcW w:w="534" w:type="pct"/>
                  <w:tcBorders>
                    <w:tl2br w:val="nil"/>
                    <w:tr2bl w:val="nil"/>
                  </w:tcBorders>
                  <w:noWrap w:val="0"/>
                  <w:vAlign w:val="center"/>
                </w:tcPr>
                <w:p w14:paraId="7DCCFEB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lang w:val="en-US" w:eastAsia="zh-CN"/>
                    </w:rPr>
                    <w:t>mg/m</w:t>
                  </w:r>
                  <w:r>
                    <w:rPr>
                      <w:rFonts w:hint="eastAsia" w:ascii="Times New Roman" w:hAnsi="Times New Roman" w:eastAsia="宋体" w:cs="Times New Roman"/>
                      <w:b/>
                      <w:bCs/>
                      <w:color w:val="000000"/>
                      <w:sz w:val="21"/>
                      <w:szCs w:val="21"/>
                      <w:highlight w:val="none"/>
                      <w:vertAlign w:val="superscript"/>
                      <w:lang w:val="en-US" w:eastAsia="zh-CN"/>
                    </w:rPr>
                    <w:t>3</w:t>
                  </w:r>
                </w:p>
              </w:tc>
              <w:tc>
                <w:tcPr>
                  <w:tcW w:w="430" w:type="pct"/>
                  <w:tcBorders>
                    <w:tl2br w:val="nil"/>
                    <w:tr2bl w:val="nil"/>
                  </w:tcBorders>
                  <w:noWrap w:val="0"/>
                  <w:vAlign w:val="center"/>
                </w:tcPr>
                <w:p w14:paraId="6EC72AE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lang w:val="en-US" w:eastAsia="zh-CN"/>
                    </w:rPr>
                    <w:t>kg/h</w:t>
                  </w:r>
                </w:p>
              </w:tc>
            </w:tr>
            <w:tr w14:paraId="759FC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90" w:type="pct"/>
                  <w:vMerge w:val="restart"/>
                  <w:tcBorders>
                    <w:tl2br w:val="nil"/>
                    <w:tr2bl w:val="nil"/>
                  </w:tcBorders>
                  <w:noWrap w:val="0"/>
                  <w:vAlign w:val="center"/>
                </w:tcPr>
                <w:p w14:paraId="2007684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有组织</w:t>
                  </w:r>
                </w:p>
              </w:tc>
              <w:tc>
                <w:tcPr>
                  <w:tcW w:w="437" w:type="pct"/>
                  <w:tcBorders>
                    <w:tl2br w:val="nil"/>
                    <w:tr2bl w:val="nil"/>
                  </w:tcBorders>
                  <w:noWrap w:val="0"/>
                  <w:vAlign w:val="center"/>
                </w:tcPr>
                <w:p w14:paraId="1B1A1D0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转运粉尘</w:t>
                  </w:r>
                </w:p>
              </w:tc>
              <w:tc>
                <w:tcPr>
                  <w:tcW w:w="439" w:type="pct"/>
                  <w:tcBorders>
                    <w:tl2br w:val="nil"/>
                    <w:tr2bl w:val="nil"/>
                  </w:tcBorders>
                  <w:noWrap w:val="0"/>
                  <w:vAlign w:val="center"/>
                </w:tcPr>
                <w:p w14:paraId="67CA80D4">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颗粒物</w:t>
                  </w:r>
                </w:p>
              </w:tc>
              <w:tc>
                <w:tcPr>
                  <w:tcW w:w="482" w:type="pct"/>
                  <w:tcBorders>
                    <w:tl2br w:val="nil"/>
                    <w:tr2bl w:val="nil"/>
                  </w:tcBorders>
                  <w:noWrap w:val="0"/>
                  <w:vAlign w:val="center"/>
                </w:tcPr>
                <w:p w14:paraId="3AA5E9A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450</w:t>
                  </w:r>
                </w:p>
              </w:tc>
              <w:tc>
                <w:tcPr>
                  <w:tcW w:w="534" w:type="pct"/>
                  <w:tcBorders>
                    <w:tl2br w:val="nil"/>
                    <w:tr2bl w:val="nil"/>
                  </w:tcBorders>
                  <w:noWrap w:val="0"/>
                  <w:vAlign w:val="center"/>
                </w:tcPr>
                <w:p w14:paraId="79C6FA7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2840.9</w:t>
                  </w:r>
                </w:p>
              </w:tc>
              <w:tc>
                <w:tcPr>
                  <w:tcW w:w="441" w:type="pct"/>
                  <w:tcBorders>
                    <w:tl2br w:val="nil"/>
                    <w:tr2bl w:val="nil"/>
                  </w:tcBorders>
                  <w:noWrap w:val="0"/>
                  <w:vAlign w:val="center"/>
                </w:tcPr>
                <w:p w14:paraId="415020F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56.82</w:t>
                  </w:r>
                </w:p>
              </w:tc>
              <w:tc>
                <w:tcPr>
                  <w:tcW w:w="556" w:type="pct"/>
                  <w:tcBorders>
                    <w:tl2br w:val="nil"/>
                    <w:tr2bl w:val="nil"/>
                  </w:tcBorders>
                  <w:noWrap w:val="0"/>
                  <w:vAlign w:val="center"/>
                </w:tcPr>
                <w:p w14:paraId="0FCABA3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袋式除尘器</w:t>
                  </w:r>
                </w:p>
              </w:tc>
              <w:tc>
                <w:tcPr>
                  <w:tcW w:w="391" w:type="pct"/>
                  <w:tcBorders>
                    <w:tl2br w:val="nil"/>
                    <w:tr2bl w:val="nil"/>
                  </w:tcBorders>
                  <w:noWrap w:val="0"/>
                  <w:vAlign w:val="center"/>
                </w:tcPr>
                <w:p w14:paraId="040237E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99.7</w:t>
                  </w:r>
                </w:p>
              </w:tc>
              <w:tc>
                <w:tcPr>
                  <w:tcW w:w="461" w:type="pct"/>
                  <w:tcBorders>
                    <w:tl2br w:val="nil"/>
                    <w:tr2bl w:val="nil"/>
                  </w:tcBorders>
                  <w:noWrap w:val="0"/>
                  <w:vAlign w:val="center"/>
                </w:tcPr>
                <w:p w14:paraId="63C464E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1.35</w:t>
                  </w:r>
                </w:p>
              </w:tc>
              <w:tc>
                <w:tcPr>
                  <w:tcW w:w="534" w:type="pct"/>
                  <w:tcBorders>
                    <w:tl2br w:val="nil"/>
                    <w:tr2bl w:val="nil"/>
                  </w:tcBorders>
                  <w:noWrap w:val="0"/>
                  <w:vAlign w:val="center"/>
                </w:tcPr>
                <w:p w14:paraId="6D6F71D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8.52</w:t>
                  </w:r>
                </w:p>
              </w:tc>
              <w:tc>
                <w:tcPr>
                  <w:tcW w:w="430" w:type="pct"/>
                  <w:tcBorders>
                    <w:tl2br w:val="nil"/>
                    <w:tr2bl w:val="nil"/>
                  </w:tcBorders>
                  <w:noWrap w:val="0"/>
                  <w:vAlign w:val="center"/>
                </w:tcPr>
                <w:p w14:paraId="120FB01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0.17</w:t>
                  </w:r>
                </w:p>
              </w:tc>
            </w:tr>
            <w:tr w14:paraId="3A52F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90" w:type="pct"/>
                  <w:vMerge w:val="continue"/>
                  <w:tcBorders>
                    <w:tl2br w:val="nil"/>
                    <w:tr2bl w:val="nil"/>
                  </w:tcBorders>
                  <w:noWrap w:val="0"/>
                  <w:vAlign w:val="center"/>
                </w:tcPr>
                <w:p w14:paraId="3AC2654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Times New Roman"/>
                      <w:b w:val="0"/>
                      <w:bCs w:val="0"/>
                      <w:color w:val="000000"/>
                      <w:sz w:val="21"/>
                      <w:szCs w:val="21"/>
                      <w:highlight w:val="none"/>
                      <w:lang w:val="en-US" w:eastAsia="zh-CN"/>
                    </w:rPr>
                  </w:pPr>
                </w:p>
              </w:tc>
              <w:tc>
                <w:tcPr>
                  <w:tcW w:w="437" w:type="pct"/>
                  <w:tcBorders>
                    <w:tl2br w:val="nil"/>
                    <w:tr2bl w:val="nil"/>
                  </w:tcBorders>
                  <w:noWrap w:val="0"/>
                  <w:vAlign w:val="center"/>
                </w:tcPr>
                <w:p w14:paraId="5E86BA1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转运粉尘</w:t>
                  </w:r>
                </w:p>
              </w:tc>
              <w:tc>
                <w:tcPr>
                  <w:tcW w:w="439" w:type="pct"/>
                  <w:tcBorders>
                    <w:tl2br w:val="nil"/>
                    <w:tr2bl w:val="nil"/>
                  </w:tcBorders>
                  <w:noWrap w:val="0"/>
                  <w:vAlign w:val="center"/>
                </w:tcPr>
                <w:p w14:paraId="56665B8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颗粒物</w:t>
                  </w:r>
                </w:p>
              </w:tc>
              <w:tc>
                <w:tcPr>
                  <w:tcW w:w="482" w:type="pct"/>
                  <w:tcBorders>
                    <w:tl2br w:val="nil"/>
                    <w:tr2bl w:val="nil"/>
                  </w:tcBorders>
                  <w:noWrap w:val="0"/>
                  <w:vAlign w:val="center"/>
                </w:tcPr>
                <w:p w14:paraId="12874D9B">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450</w:t>
                  </w:r>
                </w:p>
              </w:tc>
              <w:tc>
                <w:tcPr>
                  <w:tcW w:w="534" w:type="pct"/>
                  <w:tcBorders>
                    <w:tl2br w:val="nil"/>
                    <w:tr2bl w:val="nil"/>
                  </w:tcBorders>
                  <w:noWrap w:val="0"/>
                  <w:vAlign w:val="center"/>
                </w:tcPr>
                <w:p w14:paraId="66162AB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2840.9</w:t>
                  </w:r>
                </w:p>
              </w:tc>
              <w:tc>
                <w:tcPr>
                  <w:tcW w:w="441" w:type="pct"/>
                  <w:tcBorders>
                    <w:tl2br w:val="nil"/>
                    <w:tr2bl w:val="nil"/>
                  </w:tcBorders>
                  <w:noWrap w:val="0"/>
                  <w:vAlign w:val="center"/>
                </w:tcPr>
                <w:p w14:paraId="1D2C97C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56.82</w:t>
                  </w:r>
                </w:p>
              </w:tc>
              <w:tc>
                <w:tcPr>
                  <w:tcW w:w="556" w:type="pct"/>
                  <w:tcBorders>
                    <w:tl2br w:val="nil"/>
                    <w:tr2bl w:val="nil"/>
                  </w:tcBorders>
                  <w:noWrap w:val="0"/>
                  <w:vAlign w:val="center"/>
                </w:tcPr>
                <w:p w14:paraId="2750981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袋式除尘器</w:t>
                  </w:r>
                </w:p>
              </w:tc>
              <w:tc>
                <w:tcPr>
                  <w:tcW w:w="391" w:type="pct"/>
                  <w:tcBorders>
                    <w:tl2br w:val="nil"/>
                    <w:tr2bl w:val="nil"/>
                  </w:tcBorders>
                  <w:noWrap w:val="0"/>
                  <w:vAlign w:val="center"/>
                </w:tcPr>
                <w:p w14:paraId="7920591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99.7</w:t>
                  </w:r>
                </w:p>
              </w:tc>
              <w:tc>
                <w:tcPr>
                  <w:tcW w:w="461" w:type="pct"/>
                  <w:tcBorders>
                    <w:tl2br w:val="nil"/>
                    <w:tr2bl w:val="nil"/>
                  </w:tcBorders>
                  <w:noWrap w:val="0"/>
                  <w:vAlign w:val="center"/>
                </w:tcPr>
                <w:p w14:paraId="2C3D099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1.35</w:t>
                  </w:r>
                </w:p>
              </w:tc>
              <w:tc>
                <w:tcPr>
                  <w:tcW w:w="534" w:type="pct"/>
                  <w:tcBorders>
                    <w:tl2br w:val="nil"/>
                    <w:tr2bl w:val="nil"/>
                  </w:tcBorders>
                  <w:noWrap w:val="0"/>
                  <w:vAlign w:val="center"/>
                </w:tcPr>
                <w:p w14:paraId="28CAA0B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8.52</w:t>
                  </w:r>
                </w:p>
              </w:tc>
              <w:tc>
                <w:tcPr>
                  <w:tcW w:w="430" w:type="pct"/>
                  <w:tcBorders>
                    <w:tl2br w:val="nil"/>
                    <w:tr2bl w:val="nil"/>
                  </w:tcBorders>
                  <w:noWrap w:val="0"/>
                  <w:vAlign w:val="center"/>
                </w:tcPr>
                <w:p w14:paraId="41140AF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0.17</w:t>
                  </w:r>
                </w:p>
              </w:tc>
            </w:tr>
            <w:tr w14:paraId="5E041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90" w:type="pct"/>
                  <w:vMerge w:val="restart"/>
                  <w:tcBorders>
                    <w:tl2br w:val="nil"/>
                    <w:tr2bl w:val="nil"/>
                  </w:tcBorders>
                  <w:noWrap w:val="0"/>
                  <w:vAlign w:val="center"/>
                </w:tcPr>
                <w:p w14:paraId="3EBF5F0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无组织面源</w:t>
                  </w:r>
                </w:p>
              </w:tc>
              <w:tc>
                <w:tcPr>
                  <w:tcW w:w="437" w:type="pct"/>
                  <w:tcBorders>
                    <w:tl2br w:val="nil"/>
                    <w:tr2bl w:val="nil"/>
                  </w:tcBorders>
                  <w:noWrap w:val="0"/>
                  <w:vAlign w:val="center"/>
                </w:tcPr>
                <w:p w14:paraId="0902D13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T2转运</w:t>
                  </w:r>
                  <w:r>
                    <w:rPr>
                      <w:rFonts w:hint="eastAsia" w:ascii="Times New Roman" w:hAnsi="Times New Roman" w:eastAsia="宋体" w:cs="Times New Roman"/>
                      <w:b w:val="0"/>
                      <w:bCs w:val="0"/>
                      <w:color w:val="000000"/>
                      <w:sz w:val="21"/>
                      <w:szCs w:val="21"/>
                      <w:highlight w:val="none"/>
                    </w:rPr>
                    <w:t>粉尘</w:t>
                  </w:r>
                </w:p>
              </w:tc>
              <w:tc>
                <w:tcPr>
                  <w:tcW w:w="439" w:type="pct"/>
                  <w:tcBorders>
                    <w:tl2br w:val="nil"/>
                    <w:tr2bl w:val="nil"/>
                  </w:tcBorders>
                  <w:noWrap w:val="0"/>
                  <w:vAlign w:val="center"/>
                </w:tcPr>
                <w:p w14:paraId="533AB4A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颗粒物</w:t>
                  </w:r>
                </w:p>
              </w:tc>
              <w:tc>
                <w:tcPr>
                  <w:tcW w:w="482" w:type="pct"/>
                  <w:tcBorders>
                    <w:tl2br w:val="nil"/>
                    <w:tr2bl w:val="nil"/>
                  </w:tcBorders>
                  <w:noWrap w:val="0"/>
                  <w:vAlign w:val="center"/>
                </w:tcPr>
                <w:p w14:paraId="262324C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50</w:t>
                  </w:r>
                </w:p>
              </w:tc>
              <w:tc>
                <w:tcPr>
                  <w:tcW w:w="534" w:type="pct"/>
                  <w:tcBorders>
                    <w:tl2br w:val="nil"/>
                    <w:tr2bl w:val="nil"/>
                  </w:tcBorders>
                  <w:noWrap w:val="0"/>
                  <w:vAlign w:val="center"/>
                </w:tcPr>
                <w:p w14:paraId="5821305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441" w:type="pct"/>
                  <w:tcBorders>
                    <w:tl2br w:val="nil"/>
                    <w:tr2bl w:val="nil"/>
                  </w:tcBorders>
                  <w:noWrap w:val="0"/>
                  <w:vAlign w:val="center"/>
                </w:tcPr>
                <w:p w14:paraId="6CB67C43">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556" w:type="pct"/>
                  <w:tcBorders>
                    <w:tl2br w:val="nil"/>
                    <w:tr2bl w:val="nil"/>
                  </w:tcBorders>
                  <w:noWrap w:val="0"/>
                  <w:vAlign w:val="center"/>
                </w:tcPr>
                <w:p w14:paraId="1029D04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全封闭+</w:t>
                  </w:r>
                  <w:r>
                    <w:rPr>
                      <w:rFonts w:hint="eastAsia" w:ascii="Times New Roman" w:hAnsi="Times New Roman" w:eastAsia="宋体" w:cs="Times New Roman"/>
                      <w:b w:val="0"/>
                      <w:bCs w:val="0"/>
                      <w:color w:val="000000"/>
                      <w:sz w:val="21"/>
                      <w:szCs w:val="21"/>
                      <w:highlight w:val="none"/>
                    </w:rPr>
                    <w:t>洒水抑尘</w:t>
                  </w:r>
                </w:p>
              </w:tc>
              <w:tc>
                <w:tcPr>
                  <w:tcW w:w="391" w:type="pct"/>
                  <w:tcBorders>
                    <w:tl2br w:val="nil"/>
                    <w:tr2bl w:val="nil"/>
                  </w:tcBorders>
                  <w:noWrap w:val="0"/>
                  <w:vAlign w:val="center"/>
                </w:tcPr>
                <w:p w14:paraId="754A1339">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60%</w:t>
                  </w:r>
                </w:p>
              </w:tc>
              <w:tc>
                <w:tcPr>
                  <w:tcW w:w="461" w:type="pct"/>
                  <w:tcBorders>
                    <w:tl2br w:val="nil"/>
                    <w:tr2bl w:val="nil"/>
                  </w:tcBorders>
                  <w:noWrap w:val="0"/>
                  <w:vAlign w:val="center"/>
                </w:tcPr>
                <w:p w14:paraId="64E730C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20</w:t>
                  </w:r>
                </w:p>
              </w:tc>
              <w:tc>
                <w:tcPr>
                  <w:tcW w:w="534" w:type="pct"/>
                  <w:tcBorders>
                    <w:tl2br w:val="nil"/>
                    <w:tr2bl w:val="nil"/>
                  </w:tcBorders>
                  <w:noWrap w:val="0"/>
                  <w:vAlign w:val="center"/>
                </w:tcPr>
                <w:p w14:paraId="4D177EC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430" w:type="pct"/>
                  <w:tcBorders>
                    <w:tl2br w:val="nil"/>
                    <w:tr2bl w:val="nil"/>
                  </w:tcBorders>
                  <w:noWrap w:val="0"/>
                  <w:vAlign w:val="center"/>
                </w:tcPr>
                <w:p w14:paraId="0F02105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2.52</w:t>
                  </w:r>
                </w:p>
              </w:tc>
            </w:tr>
            <w:tr w14:paraId="38667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90" w:type="pct"/>
                  <w:vMerge w:val="continue"/>
                  <w:tcBorders>
                    <w:tl2br w:val="nil"/>
                    <w:tr2bl w:val="nil"/>
                  </w:tcBorders>
                  <w:noWrap w:val="0"/>
                  <w:vAlign w:val="center"/>
                </w:tcPr>
                <w:p w14:paraId="75C65F7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p>
              </w:tc>
              <w:tc>
                <w:tcPr>
                  <w:tcW w:w="437" w:type="pct"/>
                  <w:tcBorders>
                    <w:tl2br w:val="nil"/>
                    <w:tr2bl w:val="nil"/>
                  </w:tcBorders>
                  <w:noWrap w:val="0"/>
                  <w:vAlign w:val="center"/>
                </w:tcPr>
                <w:p w14:paraId="12BB644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T4转运粉尘</w:t>
                  </w:r>
                </w:p>
              </w:tc>
              <w:tc>
                <w:tcPr>
                  <w:tcW w:w="439" w:type="pct"/>
                  <w:tcBorders>
                    <w:tl2br w:val="nil"/>
                    <w:tr2bl w:val="nil"/>
                  </w:tcBorders>
                  <w:noWrap w:val="0"/>
                  <w:vAlign w:val="center"/>
                </w:tcPr>
                <w:p w14:paraId="2AE91A4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颗粒物</w:t>
                  </w:r>
                </w:p>
              </w:tc>
              <w:tc>
                <w:tcPr>
                  <w:tcW w:w="482" w:type="pct"/>
                  <w:tcBorders>
                    <w:tl2br w:val="nil"/>
                    <w:tr2bl w:val="nil"/>
                  </w:tcBorders>
                  <w:noWrap w:val="0"/>
                  <w:vAlign w:val="center"/>
                </w:tcPr>
                <w:p w14:paraId="4726AAB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50</w:t>
                  </w:r>
                </w:p>
              </w:tc>
              <w:tc>
                <w:tcPr>
                  <w:tcW w:w="534" w:type="pct"/>
                  <w:tcBorders>
                    <w:tl2br w:val="nil"/>
                    <w:tr2bl w:val="nil"/>
                  </w:tcBorders>
                  <w:noWrap w:val="0"/>
                  <w:vAlign w:val="center"/>
                </w:tcPr>
                <w:p w14:paraId="01F0E67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441" w:type="pct"/>
                  <w:tcBorders>
                    <w:tl2br w:val="nil"/>
                    <w:tr2bl w:val="nil"/>
                  </w:tcBorders>
                  <w:noWrap w:val="0"/>
                  <w:vAlign w:val="center"/>
                </w:tcPr>
                <w:p w14:paraId="4969BCDA">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556" w:type="pct"/>
                  <w:tcBorders>
                    <w:tl2br w:val="nil"/>
                    <w:tr2bl w:val="nil"/>
                  </w:tcBorders>
                  <w:noWrap w:val="0"/>
                  <w:vAlign w:val="center"/>
                </w:tcPr>
                <w:p w14:paraId="49DD5F9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全封闭+洒水抑尘</w:t>
                  </w:r>
                </w:p>
              </w:tc>
              <w:tc>
                <w:tcPr>
                  <w:tcW w:w="391" w:type="pct"/>
                  <w:tcBorders>
                    <w:tl2br w:val="nil"/>
                    <w:tr2bl w:val="nil"/>
                  </w:tcBorders>
                  <w:noWrap w:val="0"/>
                  <w:vAlign w:val="center"/>
                </w:tcPr>
                <w:p w14:paraId="6C323A5C">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60%</w:t>
                  </w:r>
                </w:p>
              </w:tc>
              <w:tc>
                <w:tcPr>
                  <w:tcW w:w="461" w:type="pct"/>
                  <w:tcBorders>
                    <w:tl2br w:val="nil"/>
                    <w:tr2bl w:val="nil"/>
                  </w:tcBorders>
                  <w:noWrap w:val="0"/>
                  <w:vAlign w:val="center"/>
                </w:tcPr>
                <w:p w14:paraId="687BC6EE">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20</w:t>
                  </w:r>
                </w:p>
              </w:tc>
              <w:tc>
                <w:tcPr>
                  <w:tcW w:w="534" w:type="pct"/>
                  <w:tcBorders>
                    <w:tl2br w:val="nil"/>
                    <w:tr2bl w:val="nil"/>
                  </w:tcBorders>
                  <w:noWrap w:val="0"/>
                  <w:vAlign w:val="center"/>
                </w:tcPr>
                <w:p w14:paraId="7988EAB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430" w:type="pct"/>
                  <w:tcBorders>
                    <w:tl2br w:val="nil"/>
                    <w:tr2bl w:val="nil"/>
                  </w:tcBorders>
                  <w:noWrap w:val="0"/>
                  <w:vAlign w:val="center"/>
                </w:tcPr>
                <w:p w14:paraId="67D2652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2.52</w:t>
                  </w:r>
                </w:p>
              </w:tc>
            </w:tr>
            <w:tr w14:paraId="07393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90" w:type="pct"/>
                  <w:vMerge w:val="continue"/>
                  <w:tcBorders>
                    <w:tl2br w:val="nil"/>
                    <w:tr2bl w:val="nil"/>
                  </w:tcBorders>
                  <w:noWrap w:val="0"/>
                  <w:vAlign w:val="center"/>
                </w:tcPr>
                <w:p w14:paraId="6C53818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p>
              </w:tc>
              <w:tc>
                <w:tcPr>
                  <w:tcW w:w="437" w:type="pct"/>
                  <w:tcBorders>
                    <w:tl2br w:val="nil"/>
                    <w:tr2bl w:val="nil"/>
                  </w:tcBorders>
                  <w:noWrap w:val="0"/>
                  <w:vAlign w:val="center"/>
                </w:tcPr>
                <w:p w14:paraId="4DF6A847">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输煤廊道粉尘</w:t>
                  </w:r>
                </w:p>
              </w:tc>
              <w:tc>
                <w:tcPr>
                  <w:tcW w:w="439" w:type="pct"/>
                  <w:tcBorders>
                    <w:tl2br w:val="nil"/>
                    <w:tr2bl w:val="nil"/>
                  </w:tcBorders>
                  <w:noWrap w:val="0"/>
                  <w:vAlign w:val="center"/>
                </w:tcPr>
                <w:p w14:paraId="7E7AF6D8">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颗粒物</w:t>
                  </w:r>
                </w:p>
              </w:tc>
              <w:tc>
                <w:tcPr>
                  <w:tcW w:w="482" w:type="pct"/>
                  <w:tcBorders>
                    <w:tl2br w:val="nil"/>
                    <w:tr2bl w:val="nil"/>
                  </w:tcBorders>
                  <w:noWrap w:val="0"/>
                  <w:vAlign w:val="center"/>
                </w:tcPr>
                <w:p w14:paraId="75DE0F70">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534" w:type="pct"/>
                  <w:tcBorders>
                    <w:tl2br w:val="nil"/>
                    <w:tr2bl w:val="nil"/>
                  </w:tcBorders>
                  <w:noWrap w:val="0"/>
                  <w:vAlign w:val="center"/>
                </w:tcPr>
                <w:p w14:paraId="2C6F3A5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441" w:type="pct"/>
                  <w:tcBorders>
                    <w:tl2br w:val="nil"/>
                    <w:tr2bl w:val="nil"/>
                  </w:tcBorders>
                  <w:noWrap w:val="0"/>
                  <w:vAlign w:val="center"/>
                </w:tcPr>
                <w:p w14:paraId="5C3FB2F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556" w:type="pct"/>
                  <w:tcBorders>
                    <w:tl2br w:val="nil"/>
                    <w:tr2bl w:val="nil"/>
                  </w:tcBorders>
                  <w:noWrap w:val="0"/>
                  <w:vAlign w:val="center"/>
                </w:tcPr>
                <w:p w14:paraId="570200C6">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全封闭输煤廊道+喷雾</w:t>
                  </w:r>
                </w:p>
              </w:tc>
              <w:tc>
                <w:tcPr>
                  <w:tcW w:w="391" w:type="pct"/>
                  <w:tcBorders>
                    <w:tl2br w:val="nil"/>
                    <w:tr2bl w:val="nil"/>
                  </w:tcBorders>
                  <w:noWrap w:val="0"/>
                  <w:vAlign w:val="center"/>
                </w:tcPr>
                <w:p w14:paraId="0B823E1F">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w:t>
                  </w:r>
                </w:p>
              </w:tc>
              <w:tc>
                <w:tcPr>
                  <w:tcW w:w="461" w:type="pct"/>
                  <w:tcBorders>
                    <w:tl2br w:val="nil"/>
                    <w:tr2bl w:val="nil"/>
                  </w:tcBorders>
                  <w:noWrap w:val="0"/>
                  <w:vAlign w:val="center"/>
                </w:tcPr>
                <w:p w14:paraId="3CEDCE51">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忽略不计</w:t>
                  </w:r>
                </w:p>
              </w:tc>
              <w:tc>
                <w:tcPr>
                  <w:tcW w:w="534" w:type="pct"/>
                  <w:tcBorders>
                    <w:tl2br w:val="nil"/>
                    <w:tr2bl w:val="nil"/>
                  </w:tcBorders>
                  <w:noWrap w:val="0"/>
                  <w:vAlign w:val="center"/>
                </w:tcPr>
                <w:p w14:paraId="13A4E582">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430" w:type="pct"/>
                  <w:tcBorders>
                    <w:tl2br w:val="nil"/>
                    <w:tr2bl w:val="nil"/>
                  </w:tcBorders>
                  <w:noWrap w:val="0"/>
                  <w:vAlign w:val="center"/>
                </w:tcPr>
                <w:p w14:paraId="52DFBF25">
                  <w:pPr>
                    <w:pStyle w:val="1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baseline"/>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r>
          </w:tbl>
          <w:p w14:paraId="05746491">
            <w:pPr>
              <w:pStyle w:val="37"/>
              <w:keepNext w:val="0"/>
              <w:keepLines/>
              <w:widowControl w:val="0"/>
              <w:suppressLineNumbers w:val="0"/>
              <w:autoSpaceDE w:val="0"/>
              <w:autoSpaceDN/>
              <w:spacing w:before="0" w:beforeLines="0" w:beforeAutospacing="0" w:after="0" w:afterLines="0" w:afterAutospacing="0" w:line="240" w:lineRule="auto"/>
              <w:ind w:left="0" w:right="0" w:firstLine="422" w:firstLineChars="200"/>
              <w:jc w:val="both"/>
              <w:textAlignment w:val="bottom"/>
              <w:outlineLvl w:val="2"/>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w:t>
            </w:r>
            <w:r>
              <w:rPr>
                <w:rFonts w:hint="eastAsia" w:ascii="Times New Roman" w:hAnsi="Times New Roman" w:cs="Times New Roman"/>
                <w:b/>
                <w:bCs/>
                <w:color w:val="000000" w:themeColor="text1"/>
                <w:kern w:val="0"/>
                <w:sz w:val="21"/>
                <w:szCs w:val="21"/>
                <w:lang w:val="en-US" w:eastAsia="zh-CN" w:bidi="ar"/>
                <w14:textFill>
                  <w14:solidFill>
                    <w14:schemeClr w14:val="tx1"/>
                  </w14:solidFill>
                </w14:textFill>
              </w:rPr>
              <w:t xml:space="preserve">4-6                   </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废气污染物排气筒情况</w:t>
            </w:r>
          </w:p>
          <w:tbl>
            <w:tblPr>
              <w:tblStyle w:val="42"/>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57" w:type="dxa"/>
                <w:bottom w:w="0" w:type="dxa"/>
                <w:right w:w="57" w:type="dxa"/>
              </w:tblCellMar>
            </w:tblPr>
            <w:tblGrid>
              <w:gridCol w:w="766"/>
              <w:gridCol w:w="1277"/>
              <w:gridCol w:w="1826"/>
              <w:gridCol w:w="1060"/>
              <w:gridCol w:w="960"/>
              <w:gridCol w:w="960"/>
              <w:gridCol w:w="960"/>
            </w:tblGrid>
            <w:tr w14:paraId="4B668A7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91" w:type="pct"/>
                  <w:tcBorders>
                    <w:top w:val="single" w:color="auto" w:sz="12" w:space="0"/>
                    <w:left w:val="nil"/>
                    <w:bottom w:val="single" w:color="auto" w:sz="4" w:space="0"/>
                    <w:right w:val="single" w:color="auto" w:sz="4" w:space="0"/>
                  </w:tcBorders>
                  <w:noWrap w:val="0"/>
                  <w:vAlign w:val="center"/>
                </w:tcPr>
                <w:p w14:paraId="4B3E47A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编号</w:t>
                  </w:r>
                </w:p>
              </w:tc>
              <w:tc>
                <w:tcPr>
                  <w:tcW w:w="817" w:type="pct"/>
                  <w:tcBorders>
                    <w:top w:val="single" w:color="auto" w:sz="12" w:space="0"/>
                    <w:left w:val="single" w:color="auto" w:sz="4" w:space="0"/>
                    <w:bottom w:val="single" w:color="auto" w:sz="4" w:space="0"/>
                    <w:right w:val="single" w:color="auto" w:sz="4" w:space="0"/>
                  </w:tcBorders>
                  <w:noWrap w:val="0"/>
                  <w:vAlign w:val="center"/>
                </w:tcPr>
                <w:p w14:paraId="7AE82C23">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名称</w:t>
                  </w:r>
                </w:p>
              </w:tc>
              <w:tc>
                <w:tcPr>
                  <w:tcW w:w="1168" w:type="pct"/>
                  <w:tcBorders>
                    <w:top w:val="single" w:color="auto" w:sz="12" w:space="0"/>
                    <w:left w:val="single" w:color="auto" w:sz="4" w:space="0"/>
                    <w:bottom w:val="single" w:color="auto" w:sz="4" w:space="0"/>
                    <w:right w:val="single" w:color="auto" w:sz="4" w:space="0"/>
                  </w:tcBorders>
                  <w:noWrap w:val="0"/>
                  <w:vAlign w:val="center"/>
                </w:tcPr>
                <w:p w14:paraId="6CDB51A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地理坐标</w:t>
                  </w:r>
                </w:p>
              </w:tc>
              <w:tc>
                <w:tcPr>
                  <w:tcW w:w="678" w:type="pct"/>
                  <w:tcBorders>
                    <w:top w:val="single" w:color="auto" w:sz="12" w:space="0"/>
                    <w:left w:val="single" w:color="auto" w:sz="4" w:space="0"/>
                    <w:bottom w:val="single" w:color="auto" w:sz="4" w:space="0"/>
                    <w:right w:val="single" w:color="auto" w:sz="4" w:space="0"/>
                  </w:tcBorders>
                  <w:noWrap w:val="0"/>
                  <w:vAlign w:val="center"/>
                </w:tcPr>
                <w:p w14:paraId="7DDCB9F1">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高度</w:t>
                  </w:r>
                </w:p>
              </w:tc>
              <w:tc>
                <w:tcPr>
                  <w:tcW w:w="614" w:type="pct"/>
                  <w:tcBorders>
                    <w:top w:val="single" w:color="auto" w:sz="12" w:space="0"/>
                    <w:left w:val="single" w:color="auto" w:sz="4" w:space="0"/>
                    <w:bottom w:val="single" w:color="auto" w:sz="4" w:space="0"/>
                    <w:right w:val="single" w:color="auto" w:sz="4" w:space="0"/>
                  </w:tcBorders>
                  <w:noWrap w:val="0"/>
                  <w:vAlign w:val="center"/>
                </w:tcPr>
                <w:p w14:paraId="52EF2D98">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内径</w:t>
                  </w:r>
                </w:p>
              </w:tc>
              <w:tc>
                <w:tcPr>
                  <w:tcW w:w="614" w:type="pct"/>
                  <w:tcBorders>
                    <w:top w:val="single" w:color="auto" w:sz="12" w:space="0"/>
                    <w:left w:val="single" w:color="auto" w:sz="4" w:space="0"/>
                    <w:bottom w:val="single" w:color="auto" w:sz="4" w:space="0"/>
                    <w:right w:val="single" w:color="auto" w:sz="4" w:space="0"/>
                  </w:tcBorders>
                  <w:noWrap w:val="0"/>
                  <w:vAlign w:val="center"/>
                </w:tcPr>
                <w:p w14:paraId="7964EC63">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温度</w:t>
                  </w:r>
                </w:p>
              </w:tc>
              <w:tc>
                <w:tcPr>
                  <w:tcW w:w="614" w:type="pct"/>
                  <w:tcBorders>
                    <w:top w:val="single" w:color="auto" w:sz="12" w:space="0"/>
                    <w:left w:val="single" w:color="auto" w:sz="4" w:space="0"/>
                    <w:bottom w:val="single" w:color="auto" w:sz="4" w:space="0"/>
                    <w:right w:val="nil"/>
                  </w:tcBorders>
                  <w:noWrap w:val="0"/>
                  <w:vAlign w:val="center"/>
                </w:tcPr>
                <w:p w14:paraId="07BDE68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14:textFill>
                        <w14:solidFill>
                          <w14:schemeClr w14:val="tx1"/>
                        </w14:solidFill>
                      </w14:textFill>
                    </w:rPr>
                    <w:t>类型</w:t>
                  </w:r>
                </w:p>
              </w:tc>
            </w:tr>
            <w:tr w14:paraId="00A9F16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91" w:type="pct"/>
                  <w:tcBorders>
                    <w:top w:val="single" w:color="auto" w:sz="4" w:space="0"/>
                    <w:left w:val="nil"/>
                    <w:bottom w:val="single" w:color="auto" w:sz="4" w:space="0"/>
                    <w:right w:val="single" w:color="auto" w:sz="4" w:space="0"/>
                  </w:tcBorders>
                  <w:noWrap w:val="0"/>
                  <w:vAlign w:val="center"/>
                </w:tcPr>
                <w:p w14:paraId="5D76CB23">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DA001</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3AAEF33A">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T2转运站</w:t>
                  </w: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排气筒</w:t>
                  </w:r>
                </w:p>
              </w:tc>
              <w:tc>
                <w:tcPr>
                  <w:tcW w:w="1168" w:type="pct"/>
                  <w:tcBorders>
                    <w:top w:val="single" w:color="auto" w:sz="4" w:space="0"/>
                    <w:left w:val="single" w:color="auto" w:sz="4" w:space="0"/>
                    <w:bottom w:val="single" w:color="auto" w:sz="4" w:space="0"/>
                    <w:right w:val="single" w:color="auto" w:sz="4" w:space="0"/>
                  </w:tcBorders>
                  <w:noWrap w:val="0"/>
                  <w:vAlign w:val="center"/>
                </w:tcPr>
                <w:p w14:paraId="7AB50364">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t>E84°25′52.143″</w:t>
                  </w:r>
                </w:p>
                <w:p w14:paraId="73604EBB">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N42°2′45.360″</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61FC644E">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pPr>
                  <w:r>
                    <w:rPr>
                      <w:rFonts w:hint="eastAsia" w:ascii="Times New Roman" w:hAnsi="Times New Roman" w:cs="Times New Roman"/>
                      <w:b w:val="0"/>
                      <w:bCs w:val="0"/>
                      <w:color w:val="000000" w:themeColor="text1"/>
                      <w:spacing w:val="0"/>
                      <w:kern w:val="0"/>
                      <w:sz w:val="21"/>
                      <w:szCs w:val="2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t>m</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139A149">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t>0.5m</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C94E15A">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t>20</w:t>
                  </w:r>
                  <w:r>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t>℃</w:t>
                  </w:r>
                </w:p>
              </w:tc>
              <w:tc>
                <w:tcPr>
                  <w:tcW w:w="614" w:type="pct"/>
                  <w:tcBorders>
                    <w:top w:val="single" w:color="auto" w:sz="4" w:space="0"/>
                    <w:left w:val="single" w:color="auto" w:sz="4" w:space="0"/>
                    <w:bottom w:val="single" w:color="auto" w:sz="4" w:space="0"/>
                    <w:right w:val="nil"/>
                  </w:tcBorders>
                  <w:noWrap w:val="0"/>
                  <w:vAlign w:val="center"/>
                </w:tcPr>
                <w:p w14:paraId="2B8D33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pacing w:val="0"/>
                      <w:kern w:val="2"/>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
                      <w14:textFill>
                        <w14:solidFill>
                          <w14:schemeClr w14:val="tx1"/>
                        </w14:solidFill>
                      </w14:textFill>
                    </w:rPr>
                    <w:t>一般排放口</w:t>
                  </w:r>
                </w:p>
              </w:tc>
            </w:tr>
            <w:tr w14:paraId="59EB37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91" w:type="pct"/>
                  <w:tcBorders>
                    <w:top w:val="single" w:color="auto" w:sz="4" w:space="0"/>
                    <w:left w:val="nil"/>
                    <w:bottom w:val="single" w:color="auto" w:sz="4" w:space="0"/>
                    <w:right w:val="single" w:color="auto" w:sz="4" w:space="0"/>
                  </w:tcBorders>
                  <w:noWrap w:val="0"/>
                  <w:vAlign w:val="center"/>
                </w:tcPr>
                <w:p w14:paraId="309F8945">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DA002</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1C3A29AB">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T4转运站</w:t>
                  </w: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排气筒</w:t>
                  </w:r>
                </w:p>
              </w:tc>
              <w:tc>
                <w:tcPr>
                  <w:tcW w:w="1168" w:type="pct"/>
                  <w:tcBorders>
                    <w:top w:val="single" w:color="auto" w:sz="4" w:space="0"/>
                    <w:left w:val="single" w:color="auto" w:sz="4" w:space="0"/>
                    <w:bottom w:val="single" w:color="auto" w:sz="4" w:space="0"/>
                    <w:right w:val="single" w:color="auto" w:sz="4" w:space="0"/>
                  </w:tcBorders>
                  <w:noWrap w:val="0"/>
                  <w:vAlign w:val="center"/>
                </w:tcPr>
                <w:p w14:paraId="427FDF3D">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t>E84°30′44.699″</w:t>
                  </w:r>
                </w:p>
                <w:p w14:paraId="18238E60">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N41°58′10.725″</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1C6709F8">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eastAsia"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0"/>
                      <w:sz w:val="21"/>
                      <w:szCs w:val="2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t>m</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7B3E05E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t>0.5m</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BA2922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t>20</w:t>
                  </w:r>
                  <w:r>
                    <w:rPr>
                      <w:rFonts w:hint="default" w:ascii="Times New Roman" w:hAnsi="Times New Roman" w:eastAsia="宋体" w:cs="Times New Roman"/>
                      <w:b w:val="0"/>
                      <w:bCs w:val="0"/>
                      <w:color w:val="000000" w:themeColor="text1"/>
                      <w:spacing w:val="0"/>
                      <w:kern w:val="0"/>
                      <w:sz w:val="21"/>
                      <w:szCs w:val="21"/>
                      <w14:textFill>
                        <w14:solidFill>
                          <w14:schemeClr w14:val="tx1"/>
                        </w14:solidFill>
                      </w14:textFill>
                    </w:rPr>
                    <w:t>℃</w:t>
                  </w:r>
                </w:p>
              </w:tc>
              <w:tc>
                <w:tcPr>
                  <w:tcW w:w="960" w:type="dxa"/>
                  <w:tcBorders>
                    <w:top w:val="single" w:color="auto" w:sz="4" w:space="0"/>
                    <w:left w:val="single" w:color="auto" w:sz="4" w:space="0"/>
                    <w:bottom w:val="single" w:color="auto" w:sz="4" w:space="0"/>
                    <w:right w:val="nil"/>
                  </w:tcBorders>
                  <w:noWrap w:val="0"/>
                  <w:vAlign w:val="center"/>
                </w:tcPr>
                <w:p w14:paraId="21A05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0"/>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
                      <w14:textFill>
                        <w14:solidFill>
                          <w14:schemeClr w14:val="tx1"/>
                        </w14:solidFill>
                      </w14:textFill>
                    </w:rPr>
                    <w:t>一般排放口</w:t>
                  </w:r>
                </w:p>
              </w:tc>
            </w:tr>
          </w:tbl>
          <w:p w14:paraId="140B1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b w:val="0"/>
                <w:bCs w:val="0"/>
                <w:color w:val="000000" w:themeColor="text1"/>
                <w:kern w:val="2"/>
                <w:sz w:val="24"/>
                <w:szCs w:val="32"/>
                <w:highlight w:val="none"/>
                <w:lang w:val="en-US" w:eastAsia="zh-CN" w:bidi="ar-SA"/>
                <w14:textFill>
                  <w14:solidFill>
                    <w14:schemeClr w14:val="tx1"/>
                  </w14:solidFill>
                </w14:textFill>
              </w:rPr>
            </w:pPr>
            <w:r>
              <w:rPr>
                <w:rFonts w:hint="eastAsia"/>
                <w:highlight w:val="none"/>
              </w:rPr>
              <w:t>运营期在严格落实污染治理措施的前提下，粉尘排放浓度可满足</w:t>
            </w:r>
            <w:r>
              <w:rPr>
                <w:rFonts w:hint="default"/>
              </w:rPr>
              <w:t>《煤炭工业污染物排放标准》</w:t>
            </w:r>
            <w:r>
              <w:rPr>
                <w:rFonts w:hint="eastAsia"/>
                <w:lang w:eastAsia="zh-CN"/>
              </w:rPr>
              <w:t>（</w:t>
            </w:r>
            <w:r>
              <w:rPr>
                <w:rFonts w:hint="default"/>
              </w:rPr>
              <w:t>GB 20426-2006</w:t>
            </w:r>
            <w:r>
              <w:rPr>
                <w:rFonts w:hint="eastAsia"/>
                <w:lang w:eastAsia="zh-CN"/>
              </w:rPr>
              <w:t>）</w:t>
            </w:r>
            <w:r>
              <w:rPr>
                <w:rFonts w:hint="eastAsia"/>
                <w:lang w:val="en-US" w:eastAsia="zh-CN"/>
              </w:rPr>
              <w:t>表4和表5中</w:t>
            </w:r>
            <w:r>
              <w:rPr>
                <w:rFonts w:hint="default"/>
              </w:rPr>
              <w:t>的</w:t>
            </w:r>
            <w:r>
              <w:rPr>
                <w:rFonts w:hint="eastAsia"/>
                <w:lang w:eastAsia="zh-CN"/>
              </w:rPr>
              <w:t>排放限值</w:t>
            </w:r>
            <w:r>
              <w:rPr>
                <w:rFonts w:hint="eastAsia"/>
                <w:highlight w:val="none"/>
              </w:rPr>
              <w:t>，</w:t>
            </w:r>
            <w:r>
              <w:rPr>
                <w:rFonts w:hint="eastAsia"/>
                <w:highlight w:val="none"/>
                <w:lang w:val="en-US" w:eastAsia="zh-CN"/>
              </w:rPr>
              <w:t>对</w:t>
            </w:r>
            <w:r>
              <w:rPr>
                <w:rFonts w:hint="eastAsia"/>
                <w:highlight w:val="none"/>
              </w:rPr>
              <w:t>周围大气环境影响较小</w:t>
            </w:r>
            <w:r>
              <w:rPr>
                <w:rFonts w:hint="eastAsia" w:cs="Times New Roman"/>
                <w:b w:val="0"/>
                <w:bCs w:val="0"/>
                <w:color w:val="000000"/>
                <w:sz w:val="24"/>
                <w:szCs w:val="24"/>
                <w:lang w:val="en-US" w:eastAsia="zh-CN"/>
              </w:rPr>
              <w:t>。</w:t>
            </w:r>
          </w:p>
          <w:p w14:paraId="42DF9B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auto"/>
              <w:ind w:left="0" w:right="0"/>
              <w:textAlignment w:val="auto"/>
              <w:rPr>
                <w:rFonts w:hint="default" w:cs="Times New Roman"/>
                <w:b w:val="0"/>
                <w:bCs w:val="0"/>
                <w:color w:val="000000" w:themeColor="text1"/>
                <w:kern w:val="2"/>
                <w:sz w:val="24"/>
                <w:szCs w:val="32"/>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32"/>
                <w:highlight w:val="none"/>
                <w:lang w:val="en-US" w:eastAsia="zh-CN" w:bidi="ar-SA"/>
                <w14:textFill>
                  <w14:solidFill>
                    <w14:schemeClr w14:val="tx1"/>
                  </w14:solidFill>
                </w14:textFill>
              </w:rPr>
              <w:t>（3）非正常工况</w:t>
            </w:r>
          </w:p>
          <w:p w14:paraId="603C77BC">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pacing w:val="0"/>
                <w:kern w:val="2"/>
                <w:sz w:val="24"/>
                <w:szCs w:val="24"/>
                <w14:textFill>
                  <w14:solidFill>
                    <w14:schemeClr w14:val="tx1"/>
                  </w14:solidFill>
                </w14:textFill>
              </w:rPr>
            </w:pPr>
            <w:r>
              <w:rPr>
                <w:rFonts w:hint="eastAsia" w:ascii="宋体" w:hAnsi="宋体" w:eastAsia="宋体" w:cs="宋体"/>
                <w:bCs/>
                <w:color w:val="000000" w:themeColor="text1"/>
                <w:spacing w:val="0"/>
                <w:kern w:val="2"/>
                <w:sz w:val="24"/>
                <w:szCs w:val="24"/>
                <w:lang w:val="en-US" w:eastAsia="zh-CN" w:bidi="ar"/>
                <w14:textFill>
                  <w14:solidFill>
                    <w14:schemeClr w14:val="tx1"/>
                  </w14:solidFill>
                </w14:textFill>
              </w:rPr>
              <w:t>本项目非正常工况主要为布袋除尘器破损（治理效率降</w:t>
            </w:r>
            <w:r>
              <w:rPr>
                <w:rFonts w:hint="default" w:ascii="Times New Roman" w:hAnsi="Times New Roman" w:eastAsia="宋体" w:cs="Times New Roman"/>
                <w:bCs/>
                <w:color w:val="000000" w:themeColor="text1"/>
                <w:spacing w:val="0"/>
                <w:kern w:val="2"/>
                <w:sz w:val="24"/>
                <w:szCs w:val="24"/>
                <w:lang w:val="en-US" w:eastAsia="zh-CN" w:bidi="ar"/>
                <w14:textFill>
                  <w14:solidFill>
                    <w14:schemeClr w14:val="tx1"/>
                  </w14:solidFill>
                </w14:textFill>
              </w:rPr>
              <w:t>为0</w:t>
            </w:r>
            <w:r>
              <w:rPr>
                <w:rFonts w:hint="eastAsia" w:ascii="宋体" w:hAnsi="宋体" w:eastAsia="宋体" w:cs="宋体"/>
                <w:bCs/>
                <w:color w:val="000000" w:themeColor="text1"/>
                <w:spacing w:val="0"/>
                <w:kern w:val="2"/>
                <w:sz w:val="24"/>
                <w:szCs w:val="24"/>
                <w:lang w:val="en-US" w:eastAsia="zh-CN" w:bidi="ar"/>
                <w14:textFill>
                  <w14:solidFill>
                    <w14:schemeClr w14:val="tx1"/>
                  </w14:solidFill>
                </w14:textFill>
              </w:rPr>
              <w:t>）导致废气超标排。</w:t>
            </w:r>
            <w:r>
              <w:rPr>
                <w:rFonts w:hint="eastAsia" w:ascii="宋体" w:hAnsi="宋体" w:eastAsia="宋体" w:cs="宋体"/>
                <w:color w:val="000000" w:themeColor="text1"/>
                <w:spacing w:val="0"/>
                <w:kern w:val="2"/>
                <w:sz w:val="24"/>
                <w:szCs w:val="24"/>
                <w:lang w:val="en-US" w:eastAsia="zh-CN" w:bidi="ar"/>
                <w14:textFill>
                  <w14:solidFill>
                    <w14:schemeClr w14:val="tx1"/>
                  </w14:solidFill>
                </w14:textFill>
              </w:rPr>
              <w:t>非正常工况废气污染物产生及排放情况详见表</w:t>
            </w:r>
            <w:r>
              <w:rPr>
                <w:rFonts w:hint="eastAsia" w:cs="Times New Roman"/>
                <w:color w:val="000000" w:themeColor="text1"/>
                <w:spacing w:val="0"/>
                <w:kern w:val="2"/>
                <w:sz w:val="24"/>
                <w:szCs w:val="24"/>
                <w:lang w:val="en-US" w:eastAsia="zh-CN" w:bidi="ar"/>
                <w14:textFill>
                  <w14:solidFill>
                    <w14:schemeClr w14:val="tx1"/>
                  </w14:solidFill>
                </w14:textFill>
              </w:rPr>
              <w:t>4-7</w:t>
            </w:r>
            <w:r>
              <w:rPr>
                <w:rFonts w:hint="eastAsia" w:ascii="宋体" w:hAnsi="宋体" w:eastAsia="宋体" w:cs="宋体"/>
                <w:color w:val="000000" w:themeColor="text1"/>
                <w:spacing w:val="0"/>
                <w:kern w:val="2"/>
                <w:sz w:val="24"/>
                <w:szCs w:val="24"/>
                <w:lang w:val="en-US" w:eastAsia="zh-CN" w:bidi="ar"/>
                <w14:textFill>
                  <w14:solidFill>
                    <w14:schemeClr w14:val="tx1"/>
                  </w14:solidFill>
                </w14:textFill>
              </w:rPr>
              <w:t>。</w:t>
            </w:r>
          </w:p>
          <w:p w14:paraId="62005D86">
            <w:pPr>
              <w:pStyle w:val="37"/>
              <w:keepNext w:val="0"/>
              <w:keepLines/>
              <w:widowControl w:val="0"/>
              <w:suppressLineNumbers w:val="0"/>
              <w:autoSpaceDE w:val="0"/>
              <w:autoSpaceDN/>
              <w:spacing w:before="0" w:beforeLines="0" w:beforeAutospacing="0" w:after="0" w:afterLines="0" w:afterAutospacing="0" w:line="240" w:lineRule="auto"/>
              <w:ind w:left="0" w:right="0" w:firstLine="422" w:firstLineChars="200"/>
              <w:jc w:val="both"/>
              <w:textAlignment w:val="bottom"/>
              <w:outlineLvl w:val="2"/>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w:t>
            </w:r>
            <w:r>
              <w:rPr>
                <w:rFonts w:hint="eastAsia" w:ascii="Times New Roman" w:hAnsi="Times New Roman" w:cs="Times New Roman"/>
                <w:b/>
                <w:bCs/>
                <w:color w:val="000000" w:themeColor="text1"/>
                <w:kern w:val="0"/>
                <w:sz w:val="21"/>
                <w:szCs w:val="21"/>
                <w:lang w:val="en-US" w:eastAsia="zh-CN" w:bidi="ar"/>
                <w14:textFill>
                  <w14:solidFill>
                    <w14:schemeClr w14:val="tx1"/>
                  </w14:solidFill>
                </w14:textFill>
              </w:rPr>
              <w:t xml:space="preserve">4-7             </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非正常工况废气污染物产生及排放情况</w:t>
            </w:r>
          </w:p>
          <w:tbl>
            <w:tblPr>
              <w:tblStyle w:val="42"/>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786"/>
              <w:gridCol w:w="1034"/>
              <w:gridCol w:w="1025"/>
              <w:gridCol w:w="776"/>
              <w:gridCol w:w="1081"/>
              <w:gridCol w:w="858"/>
              <w:gridCol w:w="1393"/>
            </w:tblGrid>
            <w:tr w14:paraId="4C8FE84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PrEx>
              <w:trPr>
                <w:trHeight w:val="397" w:hRule="atLeast"/>
                <w:jc w:val="center"/>
              </w:trPr>
              <w:tc>
                <w:tcPr>
                  <w:tcW w:w="856" w:type="dxa"/>
                  <w:tcBorders>
                    <w:top w:val="single" w:color="auto" w:sz="12" w:space="0"/>
                    <w:left w:val="nil"/>
                    <w:bottom w:val="single" w:color="auto" w:sz="4" w:space="0"/>
                    <w:right w:val="single" w:color="auto" w:sz="4" w:space="0"/>
                  </w:tcBorders>
                  <w:noWrap w:val="0"/>
                  <w:vAlign w:val="center"/>
                </w:tcPr>
                <w:p w14:paraId="2E8644CD">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排放源</w:t>
                  </w:r>
                </w:p>
              </w:tc>
              <w:tc>
                <w:tcPr>
                  <w:tcW w:w="786" w:type="dxa"/>
                  <w:tcBorders>
                    <w:top w:val="single" w:color="auto" w:sz="12" w:space="0"/>
                    <w:left w:val="single" w:color="auto" w:sz="4" w:space="0"/>
                    <w:bottom w:val="single" w:color="auto" w:sz="4" w:space="0"/>
                    <w:right w:val="single" w:color="auto" w:sz="4" w:space="0"/>
                  </w:tcBorders>
                  <w:noWrap w:val="0"/>
                  <w:vAlign w:val="center"/>
                </w:tcPr>
                <w:p w14:paraId="167AF80B">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污染物</w:t>
                  </w:r>
                </w:p>
              </w:tc>
              <w:tc>
                <w:tcPr>
                  <w:tcW w:w="1034" w:type="dxa"/>
                  <w:tcBorders>
                    <w:top w:val="single" w:color="auto" w:sz="12" w:space="0"/>
                    <w:left w:val="single" w:color="auto" w:sz="4" w:space="0"/>
                    <w:bottom w:val="single" w:color="auto" w:sz="4" w:space="0"/>
                    <w:right w:val="single" w:color="auto" w:sz="4" w:space="0"/>
                  </w:tcBorders>
                  <w:noWrap w:val="0"/>
                  <w:vAlign w:val="center"/>
                </w:tcPr>
                <w:p w14:paraId="17A6221B">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排放速率</w:t>
                  </w:r>
                  <w:r>
                    <w:rPr>
                      <w:rFonts w:hint="default"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kg/h</w:t>
                  </w:r>
                </w:p>
              </w:tc>
              <w:tc>
                <w:tcPr>
                  <w:tcW w:w="1025" w:type="dxa"/>
                  <w:tcBorders>
                    <w:top w:val="single" w:color="auto" w:sz="12" w:space="0"/>
                    <w:left w:val="single" w:color="auto" w:sz="4" w:space="0"/>
                    <w:bottom w:val="single" w:color="auto" w:sz="4" w:space="0"/>
                    <w:right w:val="single" w:color="auto" w:sz="4" w:space="0"/>
                  </w:tcBorders>
                  <w:noWrap w:val="0"/>
                  <w:vAlign w:val="center"/>
                </w:tcPr>
                <w:p w14:paraId="1788EB07">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排放浓度</w:t>
                  </w:r>
                </w:p>
                <w:p w14:paraId="149A2321">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mg/m³</w:t>
                  </w:r>
                </w:p>
              </w:tc>
              <w:tc>
                <w:tcPr>
                  <w:tcW w:w="776" w:type="dxa"/>
                  <w:tcBorders>
                    <w:top w:val="single" w:color="auto" w:sz="12" w:space="0"/>
                    <w:left w:val="single" w:color="auto" w:sz="4" w:space="0"/>
                    <w:bottom w:val="single" w:color="auto" w:sz="4" w:space="0"/>
                    <w:right w:val="single" w:color="auto" w:sz="4" w:space="0"/>
                  </w:tcBorders>
                  <w:noWrap w:val="0"/>
                  <w:vAlign w:val="center"/>
                </w:tcPr>
                <w:p w14:paraId="16B332B6">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持续</w:t>
                  </w:r>
                </w:p>
                <w:p w14:paraId="362CCC83">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时间</w:t>
                  </w:r>
                </w:p>
              </w:tc>
              <w:tc>
                <w:tcPr>
                  <w:tcW w:w="1081" w:type="dxa"/>
                  <w:tcBorders>
                    <w:top w:val="single" w:color="auto" w:sz="12" w:space="0"/>
                    <w:left w:val="single" w:color="auto" w:sz="4" w:space="0"/>
                    <w:bottom w:val="single" w:color="auto" w:sz="4" w:space="0"/>
                    <w:right w:val="single" w:color="auto" w:sz="4" w:space="0"/>
                  </w:tcBorders>
                  <w:noWrap w:val="0"/>
                  <w:vAlign w:val="center"/>
                </w:tcPr>
                <w:p w14:paraId="7742E2C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排放量/kg</w:t>
                  </w:r>
                </w:p>
              </w:tc>
              <w:tc>
                <w:tcPr>
                  <w:tcW w:w="858" w:type="dxa"/>
                  <w:tcBorders>
                    <w:top w:val="single" w:color="auto" w:sz="12" w:space="0"/>
                    <w:left w:val="single" w:color="auto" w:sz="4" w:space="0"/>
                    <w:bottom w:val="single" w:color="auto" w:sz="4" w:space="0"/>
                    <w:right w:val="single" w:color="auto" w:sz="4" w:space="0"/>
                  </w:tcBorders>
                  <w:noWrap w:val="0"/>
                  <w:vAlign w:val="center"/>
                </w:tcPr>
                <w:p w14:paraId="604AEF18">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非正常工况</w:t>
                  </w:r>
                </w:p>
              </w:tc>
              <w:tc>
                <w:tcPr>
                  <w:tcW w:w="1393" w:type="dxa"/>
                  <w:tcBorders>
                    <w:top w:val="single" w:color="auto" w:sz="12" w:space="0"/>
                    <w:left w:val="single" w:color="auto" w:sz="4" w:space="0"/>
                    <w:bottom w:val="single" w:color="auto" w:sz="4" w:space="0"/>
                    <w:right w:val="nil"/>
                  </w:tcBorders>
                  <w:noWrap w:val="0"/>
                  <w:vAlign w:val="center"/>
                </w:tcPr>
                <w:p w14:paraId="45E45C38">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bCs/>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14:textFill>
                        <w14:solidFill>
                          <w14:schemeClr w14:val="tx1"/>
                        </w14:solidFill>
                      </w14:textFill>
                    </w:rPr>
                    <w:t>应对措施</w:t>
                  </w:r>
                </w:p>
              </w:tc>
            </w:tr>
            <w:tr w14:paraId="6BEF0A3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tcBorders>
                    <w:top w:val="single" w:color="auto" w:sz="4" w:space="0"/>
                    <w:left w:val="nil"/>
                    <w:bottom w:val="single" w:color="auto" w:sz="4" w:space="0"/>
                    <w:right w:val="single" w:color="auto" w:sz="4" w:space="0"/>
                  </w:tcBorders>
                  <w:noWrap w:val="0"/>
                  <w:vAlign w:val="center"/>
                </w:tcPr>
                <w:p w14:paraId="1F6416E7">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DA001</w:t>
                  </w:r>
                </w:p>
              </w:tc>
              <w:tc>
                <w:tcPr>
                  <w:tcW w:w="786" w:type="dxa"/>
                  <w:tcBorders>
                    <w:top w:val="single" w:color="auto" w:sz="4" w:space="0"/>
                    <w:left w:val="single" w:color="auto" w:sz="4" w:space="0"/>
                    <w:bottom w:val="single" w:color="auto" w:sz="4" w:space="0"/>
                    <w:right w:val="single" w:color="auto" w:sz="4" w:space="0"/>
                  </w:tcBorders>
                  <w:noWrap w:val="0"/>
                  <w:vAlign w:val="center"/>
                </w:tcPr>
                <w:p w14:paraId="2D46F157">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颗粒物</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41583AD">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56.82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6FA971E">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2840.9</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1BA85441">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1h</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20221556">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56.82</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4E9A17BE">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布袋破损</w:t>
                  </w:r>
                </w:p>
              </w:tc>
              <w:tc>
                <w:tcPr>
                  <w:tcW w:w="1393" w:type="dxa"/>
                  <w:tcBorders>
                    <w:top w:val="single" w:color="auto" w:sz="4" w:space="0"/>
                    <w:left w:val="single" w:color="auto" w:sz="4" w:space="0"/>
                    <w:bottom w:val="single" w:color="auto" w:sz="4" w:space="0"/>
                    <w:right w:val="nil"/>
                  </w:tcBorders>
                  <w:noWrap w:val="0"/>
                  <w:vAlign w:val="center"/>
                </w:tcPr>
                <w:p w14:paraId="1B28B8C3">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日常维护</w:t>
                  </w:r>
                  <w:r>
                    <w:rPr>
                      <w:rFonts w:hint="eastAsia" w:ascii="Times New Roman" w:hAnsi="Times New Roman" w:cs="Times New Roman"/>
                      <w:b w:val="0"/>
                      <w:bCs w:val="0"/>
                      <w:color w:val="000000" w:themeColor="text1"/>
                      <w:spacing w:val="0"/>
                      <w:kern w:val="2"/>
                      <w:sz w:val="21"/>
                      <w:szCs w:val="21"/>
                      <w:lang w:val="en-US" w:eastAsia="zh-CN"/>
                      <w14:textFill>
                        <w14:solidFill>
                          <w14:schemeClr w14:val="tx1"/>
                        </w14:solidFill>
                      </w14:textFill>
                    </w:rPr>
                    <w:t>及</w:t>
                  </w: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时检修、定期更换布袋</w:t>
                  </w:r>
                </w:p>
              </w:tc>
            </w:tr>
            <w:tr w14:paraId="5AF20B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tcBorders>
                    <w:top w:val="single" w:color="auto" w:sz="4" w:space="0"/>
                    <w:left w:val="nil"/>
                    <w:bottom w:val="single" w:color="auto" w:sz="4" w:space="0"/>
                    <w:right w:val="single" w:color="auto" w:sz="4" w:space="0"/>
                  </w:tcBorders>
                  <w:noWrap w:val="0"/>
                  <w:vAlign w:val="center"/>
                </w:tcPr>
                <w:p w14:paraId="500B5E5E">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DA002</w:t>
                  </w:r>
                </w:p>
              </w:tc>
              <w:tc>
                <w:tcPr>
                  <w:tcW w:w="786" w:type="dxa"/>
                  <w:tcBorders>
                    <w:top w:val="single" w:color="auto" w:sz="4" w:space="0"/>
                    <w:left w:val="single" w:color="auto" w:sz="4" w:space="0"/>
                    <w:bottom w:val="single" w:color="auto" w:sz="4" w:space="0"/>
                    <w:right w:val="single" w:color="auto" w:sz="4" w:space="0"/>
                  </w:tcBorders>
                  <w:noWrap w:val="0"/>
                  <w:vAlign w:val="center"/>
                </w:tcPr>
                <w:p w14:paraId="41527761">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outlineLvl w:val="2"/>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颗粒物</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66B4AB4">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56.82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1C9D640">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2840.9</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083E5BB9">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1h</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72153F3">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56.82</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5BCECC67">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布袋破损</w:t>
                  </w:r>
                </w:p>
              </w:tc>
              <w:tc>
                <w:tcPr>
                  <w:tcW w:w="1393" w:type="dxa"/>
                  <w:tcBorders>
                    <w:top w:val="single" w:color="auto" w:sz="4" w:space="0"/>
                    <w:left w:val="single" w:color="auto" w:sz="4" w:space="0"/>
                    <w:bottom w:val="single" w:color="auto" w:sz="4" w:space="0"/>
                    <w:right w:val="nil"/>
                  </w:tcBorders>
                  <w:noWrap w:val="0"/>
                  <w:vAlign w:val="center"/>
                </w:tcPr>
                <w:p w14:paraId="186984EC">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outlineLvl w:val="2"/>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日常维护</w:t>
                  </w:r>
                  <w:r>
                    <w:rPr>
                      <w:rFonts w:hint="eastAsia" w:ascii="Times New Roman" w:hAnsi="Times New Roman" w:cs="Times New Roman"/>
                      <w:b w:val="0"/>
                      <w:bCs w:val="0"/>
                      <w:color w:val="000000" w:themeColor="text1"/>
                      <w:spacing w:val="0"/>
                      <w:kern w:val="2"/>
                      <w:sz w:val="21"/>
                      <w:szCs w:val="21"/>
                      <w:lang w:val="en-US" w:eastAsia="zh-CN"/>
                      <w14:textFill>
                        <w14:solidFill>
                          <w14:schemeClr w14:val="tx1"/>
                        </w14:solidFill>
                      </w14:textFill>
                    </w:rPr>
                    <w:t>及</w:t>
                  </w:r>
                  <w:r>
                    <w:rPr>
                      <w:rFonts w:hint="default" w:ascii="Times New Roman" w:hAnsi="Times New Roman" w:eastAsia="宋体" w:cs="Times New Roman"/>
                      <w:b w:val="0"/>
                      <w:bCs w:val="0"/>
                      <w:color w:val="000000" w:themeColor="text1"/>
                      <w:spacing w:val="0"/>
                      <w:kern w:val="2"/>
                      <w:sz w:val="21"/>
                      <w:szCs w:val="21"/>
                      <w:lang w:val="en-US" w:eastAsia="zh-CN"/>
                      <w14:textFill>
                        <w14:solidFill>
                          <w14:schemeClr w14:val="tx1"/>
                        </w14:solidFill>
                      </w14:textFill>
                    </w:rPr>
                    <w:t>时检修、定期更换布袋</w:t>
                  </w:r>
                </w:p>
              </w:tc>
            </w:tr>
          </w:tbl>
          <w:p w14:paraId="6029F0D2">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0" w:firstLineChars="0"/>
              <w:rPr>
                <w:rFonts w:hint="default" w:cs="Times New Roman"/>
                <w:b w:val="0"/>
                <w:bCs w:val="0"/>
                <w:color w:val="000000"/>
                <w:sz w:val="24"/>
                <w:szCs w:val="24"/>
                <w:lang w:val="en-US" w:eastAsia="zh-CN"/>
              </w:rPr>
            </w:pPr>
            <w:r>
              <w:rPr>
                <w:rFonts w:hint="eastAsia" w:cs="Times New Roman"/>
                <w:b/>
                <w:bCs/>
                <w:color w:val="000000"/>
                <w:sz w:val="24"/>
                <w:szCs w:val="24"/>
                <w:lang w:val="en-US" w:eastAsia="zh-CN"/>
              </w:rPr>
              <w:t>4.运营期声环境影响分析</w:t>
            </w:r>
          </w:p>
          <w:p w14:paraId="28C20E3A">
            <w:pPr>
              <w:bidi w:val="0"/>
              <w:rPr>
                <w:rFonts w:hint="default"/>
                <w:lang w:val="en-US" w:eastAsia="zh-CN"/>
              </w:rPr>
            </w:pPr>
            <w:r>
              <w:rPr>
                <w:rFonts w:hint="eastAsia"/>
                <w:lang w:val="en-US" w:eastAsia="zh-CN"/>
              </w:rPr>
              <w:t>（1）设备噪声</w:t>
            </w:r>
          </w:p>
          <w:p w14:paraId="270893A1">
            <w:pPr>
              <w:bidi w:val="0"/>
              <w:rPr>
                <w:rFonts w:hint="default"/>
                <w:lang w:val="en-US" w:eastAsia="zh-CN"/>
              </w:rPr>
            </w:pPr>
            <w:r>
              <w:rPr>
                <w:rFonts w:hint="eastAsia"/>
                <w:lang w:val="en-US" w:eastAsia="zh-CN"/>
              </w:rPr>
              <w:t>运营期噪声源主要是皮带输送机、风机、水泵等设备运行时产生的噪声，项目皮带输送机采用变频调整控制，在正常运行过程中的噪声较小，一般在70dB（A），水泵噪声级在85dB（A），风机噪声级在90dB（A），项目选用低噪声设备，采取基础减振、隔声等措施。采取相应措施后皮带输送机、水泵和风机的噪声级分别为55dB（A）、70dB（A）、75dB（A）</w:t>
            </w:r>
            <w:r>
              <w:rPr>
                <w:rFonts w:hint="default"/>
                <w:lang w:val="en-US" w:eastAsia="zh-CN"/>
              </w:rPr>
              <w:t>。</w:t>
            </w:r>
          </w:p>
          <w:p w14:paraId="4ED38517">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影响分析</w:t>
            </w:r>
          </w:p>
          <w:p w14:paraId="127281CC">
            <w:pPr>
              <w:bidi w:val="0"/>
              <w:rPr>
                <w:rFonts w:hint="eastAsia"/>
              </w:rPr>
            </w:pPr>
            <w:r>
              <w:rPr>
                <w:rFonts w:hint="eastAsia"/>
                <w:lang w:val="en-US" w:eastAsia="zh-CN"/>
              </w:rPr>
              <w:t>在不考虑声传播过程中屏障隔声、空气吸收、地面效应的前提下，利用点声源衰减模式，对噪声影响的范围进行计算，结果见表4-6</w:t>
            </w:r>
            <w:r>
              <w:rPr>
                <w:rFonts w:hint="eastAsia"/>
              </w:rPr>
              <w:t>。</w:t>
            </w:r>
          </w:p>
          <w:p w14:paraId="06E848B9">
            <w:pPr>
              <w:bidi w:val="0"/>
              <w:rPr>
                <w:rFonts w:hint="eastAsia"/>
                <w:lang w:val="en-US" w:eastAsia="zh-CN"/>
              </w:rPr>
            </w:pPr>
            <w:r>
              <w:rPr>
                <w:rFonts w:hint="eastAsia"/>
                <w:lang w:val="en-US" w:eastAsia="zh-CN"/>
              </w:rPr>
              <w:t>计算公式：</w:t>
            </w:r>
          </w:p>
          <w:p w14:paraId="7EFC2093">
            <w:pPr>
              <w:bidi w:val="0"/>
              <w:ind w:left="0" w:leftChars="0" w:firstLine="0" w:firstLineChars="0"/>
              <w:jc w:val="center"/>
              <w:rPr>
                <w:rFonts w:hint="default" w:eastAsia="宋体"/>
                <w:lang w:val="en-US" w:eastAsia="zh-CN"/>
              </w:rPr>
            </w:pPr>
            <w:r>
              <w:drawing>
                <wp:inline distT="0" distB="0" distL="114300" distR="114300">
                  <wp:extent cx="2270760" cy="298450"/>
                  <wp:effectExtent l="0" t="0" r="1524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stretch>
                            <a:fillRect/>
                          </a:stretch>
                        </pic:blipFill>
                        <pic:spPr>
                          <a:xfrm>
                            <a:off x="0" y="0"/>
                            <a:ext cx="2270760" cy="298450"/>
                          </a:xfrm>
                          <a:prstGeom prst="rect">
                            <a:avLst/>
                          </a:prstGeom>
                          <a:noFill/>
                          <a:ln>
                            <a:noFill/>
                          </a:ln>
                        </pic:spPr>
                      </pic:pic>
                    </a:graphicData>
                  </a:graphic>
                </wp:inline>
              </w:drawing>
            </w:r>
          </w:p>
          <w:p w14:paraId="7DA5ACCF">
            <w:pPr>
              <w:bidi w:val="0"/>
              <w:rPr>
                <w:rFonts w:hint="default" w:eastAsia="宋体"/>
                <w:lang w:val="en-US" w:eastAsia="zh-CN"/>
              </w:rPr>
            </w:pPr>
            <w:r>
              <w:rPr>
                <w:rFonts w:hint="eastAsia"/>
                <w:lang w:val="en-US" w:eastAsia="zh-CN"/>
              </w:rPr>
              <w:t>式中：Lp（r）——预测点处声压级，dB；</w:t>
            </w:r>
          </w:p>
          <w:p w14:paraId="27C9FCEB">
            <w:pPr>
              <w:bidi w:val="0"/>
              <w:rPr>
                <w:rFonts w:hint="default" w:eastAsia="宋体"/>
                <w:lang w:val="en-US" w:eastAsia="zh-CN"/>
              </w:rPr>
            </w:pPr>
            <w:r>
              <w:rPr>
                <w:rFonts w:hint="eastAsia"/>
                <w:lang w:val="en-US" w:eastAsia="zh-CN"/>
              </w:rPr>
              <w:t>Lp（r</w:t>
            </w:r>
            <w:r>
              <w:rPr>
                <w:rFonts w:hint="eastAsia"/>
                <w:vertAlign w:val="subscript"/>
                <w:lang w:val="en-US" w:eastAsia="zh-CN"/>
              </w:rPr>
              <w:t>0</w:t>
            </w:r>
            <w:r>
              <w:rPr>
                <w:rFonts w:hint="eastAsia"/>
                <w:lang w:val="en-US" w:eastAsia="zh-CN"/>
              </w:rPr>
              <w:t>）——参考位置r</w:t>
            </w:r>
            <w:r>
              <w:rPr>
                <w:rFonts w:hint="eastAsia"/>
                <w:vertAlign w:val="subscript"/>
                <w:lang w:val="en-US" w:eastAsia="zh-CN"/>
              </w:rPr>
              <w:t>0</w:t>
            </w:r>
            <w:r>
              <w:rPr>
                <w:rFonts w:hint="eastAsia"/>
                <w:lang w:val="en-US" w:eastAsia="zh-CN"/>
              </w:rPr>
              <w:t>处声压级，dB；</w:t>
            </w:r>
          </w:p>
          <w:p w14:paraId="4E74692A">
            <w:pPr>
              <w:bidi w:val="0"/>
              <w:rPr>
                <w:rFonts w:hint="default" w:eastAsia="宋体"/>
                <w:lang w:val="en-US" w:eastAsia="zh-CN"/>
              </w:rPr>
            </w:pPr>
            <w:r>
              <w:rPr>
                <w:rFonts w:hint="eastAsia"/>
                <w:lang w:val="en-US" w:eastAsia="zh-CN"/>
              </w:rPr>
              <w:t>r——预测点距离声源的距离，m；</w:t>
            </w:r>
          </w:p>
          <w:p w14:paraId="6A18DD06">
            <w:pPr>
              <w:bidi w:val="0"/>
              <w:rPr>
                <w:rFonts w:hint="default" w:eastAsia="宋体"/>
                <w:lang w:val="en-US" w:eastAsia="zh-CN"/>
              </w:rPr>
            </w:pPr>
            <w:r>
              <w:rPr>
                <w:rFonts w:hint="eastAsia"/>
                <w:lang w:val="en-US" w:eastAsia="zh-CN"/>
              </w:rPr>
              <w:t>r</w:t>
            </w:r>
            <w:r>
              <w:rPr>
                <w:rFonts w:hint="eastAsia"/>
                <w:vertAlign w:val="subscript"/>
                <w:lang w:val="en-US" w:eastAsia="zh-CN"/>
              </w:rPr>
              <w:t>0</w:t>
            </w:r>
            <w:r>
              <w:rPr>
                <w:rFonts w:hint="eastAsia"/>
                <w:lang w:val="en-US" w:eastAsia="zh-CN"/>
              </w:rPr>
              <w:t>——参考位置距离声源的距离，m。</w:t>
            </w:r>
          </w:p>
          <w:p w14:paraId="56145B10">
            <w:pPr>
              <w:pStyle w:val="13"/>
              <w:bidi w:val="0"/>
              <w:rPr>
                <w:rFonts w:hint="default"/>
                <w:lang w:val="en-US" w:eastAsia="zh-CN"/>
              </w:rPr>
            </w:pPr>
            <w:r>
              <w:rPr>
                <w:rFonts w:hint="default"/>
                <w:lang w:val="en-US" w:eastAsia="zh-CN"/>
              </w:rPr>
              <w:t>表</w:t>
            </w:r>
            <w:r>
              <w:rPr>
                <w:rFonts w:hint="eastAsia"/>
                <w:lang w:val="en-US" w:eastAsia="zh-CN"/>
              </w:rPr>
              <w:t xml:space="preserve">4-8 </w:t>
            </w:r>
            <w:r>
              <w:rPr>
                <w:rFonts w:hint="default"/>
                <w:lang w:val="en-US" w:eastAsia="zh-CN"/>
              </w:rPr>
              <w:t xml:space="preserve">   </w:t>
            </w:r>
            <w:r>
              <w:rPr>
                <w:rFonts w:hint="eastAsia"/>
                <w:lang w:val="en-US" w:eastAsia="zh-CN"/>
              </w:rPr>
              <w:t>设备噪声衰减结果表</w:t>
            </w:r>
          </w:p>
          <w:tbl>
            <w:tblPr>
              <w:tblStyle w:val="42"/>
              <w:tblW w:w="4967"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872"/>
              <w:gridCol w:w="1449"/>
              <w:gridCol w:w="818"/>
              <w:gridCol w:w="980"/>
              <w:gridCol w:w="866"/>
              <w:gridCol w:w="946"/>
              <w:gridCol w:w="817"/>
            </w:tblGrid>
            <w:tr w14:paraId="2DB0117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208" w:type="pct"/>
                  <w:vMerge w:val="restart"/>
                  <w:tcBorders>
                    <w:tl2br w:val="nil"/>
                    <w:tr2bl w:val="nil"/>
                  </w:tcBorders>
                  <w:shd w:val="clear" w:color="auto" w:fill="auto"/>
                  <w:vAlign w:val="center"/>
                </w:tcPr>
                <w:p w14:paraId="654C57EC">
                  <w:pPr>
                    <w:pStyle w:val="5"/>
                    <w:bidi w:val="0"/>
                    <w:rPr>
                      <w:rFonts w:hint="eastAsia" w:eastAsia="宋体"/>
                      <w:b/>
                      <w:bCs w:val="0"/>
                      <w:color w:val="000000"/>
                      <w:lang w:eastAsia="zh-CN"/>
                    </w:rPr>
                  </w:pPr>
                  <w:r>
                    <w:rPr>
                      <w:rFonts w:hint="eastAsia"/>
                      <w:b/>
                      <w:bCs w:val="0"/>
                      <w:color w:val="000000"/>
                      <w:lang w:val="en-US" w:eastAsia="zh-CN"/>
                    </w:rPr>
                    <w:t>设备</w:t>
                  </w:r>
                </w:p>
              </w:tc>
              <w:tc>
                <w:tcPr>
                  <w:tcW w:w="934" w:type="pct"/>
                  <w:vMerge w:val="restart"/>
                  <w:tcBorders>
                    <w:tl2br w:val="nil"/>
                    <w:tr2bl w:val="nil"/>
                  </w:tcBorders>
                  <w:shd w:val="clear" w:color="auto" w:fill="auto"/>
                  <w:vAlign w:val="center"/>
                </w:tcPr>
                <w:p w14:paraId="327B3B83">
                  <w:pPr>
                    <w:pStyle w:val="5"/>
                    <w:bidi w:val="0"/>
                    <w:rPr>
                      <w:rFonts w:hint="default" w:eastAsia="宋体"/>
                      <w:b/>
                      <w:bCs w:val="0"/>
                      <w:color w:val="000000"/>
                      <w:lang w:val="en-US" w:eastAsia="zh-CN"/>
                    </w:rPr>
                  </w:pPr>
                  <w:r>
                    <w:rPr>
                      <w:rFonts w:hint="eastAsia"/>
                      <w:b/>
                      <w:bCs w:val="0"/>
                      <w:color w:val="000000"/>
                      <w:lang w:val="en-US" w:eastAsia="zh-CN"/>
                    </w:rPr>
                    <w:t>声压级</w:t>
                  </w:r>
                </w:p>
              </w:tc>
              <w:tc>
                <w:tcPr>
                  <w:tcW w:w="2856" w:type="pct"/>
                  <w:gridSpan w:val="5"/>
                  <w:tcBorders>
                    <w:tl2br w:val="nil"/>
                    <w:tr2bl w:val="nil"/>
                  </w:tcBorders>
                  <w:shd w:val="clear" w:color="auto" w:fill="auto"/>
                  <w:vAlign w:val="center"/>
                </w:tcPr>
                <w:p w14:paraId="176301EB">
                  <w:pPr>
                    <w:pStyle w:val="5"/>
                    <w:bidi w:val="0"/>
                    <w:rPr>
                      <w:rFonts w:hint="default" w:eastAsia="宋体"/>
                      <w:b/>
                      <w:bCs w:val="0"/>
                      <w:color w:val="000000"/>
                      <w:lang w:val="en-US" w:eastAsia="zh-CN"/>
                    </w:rPr>
                  </w:pPr>
                  <w:r>
                    <w:rPr>
                      <w:rFonts w:hint="eastAsia"/>
                      <w:b/>
                      <w:bCs w:val="0"/>
                      <w:color w:val="000000"/>
                      <w:lang w:val="en-US" w:eastAsia="zh-CN"/>
                    </w:rPr>
                    <w:t>受声点不同距离处噪声衰减值</w:t>
                  </w:r>
                </w:p>
              </w:tc>
            </w:tr>
            <w:tr w14:paraId="4EDBBFD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208" w:type="pct"/>
                  <w:vMerge w:val="continue"/>
                  <w:tcBorders>
                    <w:tl2br w:val="nil"/>
                    <w:tr2bl w:val="nil"/>
                  </w:tcBorders>
                  <w:shd w:val="clear" w:color="auto" w:fill="auto"/>
                  <w:vAlign w:val="center"/>
                </w:tcPr>
                <w:p w14:paraId="3B60A962">
                  <w:pPr>
                    <w:pStyle w:val="5"/>
                    <w:bidi w:val="0"/>
                    <w:rPr>
                      <w:b/>
                      <w:bCs w:val="0"/>
                      <w:color w:val="000000"/>
                    </w:rPr>
                  </w:pPr>
                </w:p>
              </w:tc>
              <w:tc>
                <w:tcPr>
                  <w:tcW w:w="934" w:type="pct"/>
                  <w:vMerge w:val="continue"/>
                  <w:tcBorders>
                    <w:tl2br w:val="nil"/>
                    <w:tr2bl w:val="nil"/>
                  </w:tcBorders>
                  <w:shd w:val="clear" w:color="auto" w:fill="auto"/>
                  <w:vAlign w:val="center"/>
                </w:tcPr>
                <w:p w14:paraId="26DB7A30">
                  <w:pPr>
                    <w:pStyle w:val="5"/>
                    <w:bidi w:val="0"/>
                    <w:rPr>
                      <w:b/>
                      <w:bCs w:val="0"/>
                      <w:color w:val="000000"/>
                    </w:rPr>
                  </w:pPr>
                </w:p>
              </w:tc>
              <w:tc>
                <w:tcPr>
                  <w:tcW w:w="528" w:type="pct"/>
                  <w:tcBorders>
                    <w:tl2br w:val="nil"/>
                    <w:tr2bl w:val="nil"/>
                  </w:tcBorders>
                  <w:shd w:val="clear" w:color="auto" w:fill="auto"/>
                  <w:vAlign w:val="center"/>
                </w:tcPr>
                <w:p w14:paraId="198712B6">
                  <w:pPr>
                    <w:pStyle w:val="5"/>
                    <w:bidi w:val="0"/>
                    <w:rPr>
                      <w:rFonts w:hint="default" w:eastAsia="宋体"/>
                      <w:b/>
                      <w:bCs w:val="0"/>
                      <w:color w:val="000000"/>
                      <w:lang w:val="en-US" w:eastAsia="zh-CN"/>
                    </w:rPr>
                  </w:pPr>
                  <w:r>
                    <w:rPr>
                      <w:rFonts w:hint="eastAsia"/>
                      <w:b/>
                      <w:bCs w:val="0"/>
                      <w:color w:val="000000"/>
                      <w:lang w:val="en-US" w:eastAsia="zh-CN"/>
                    </w:rPr>
                    <w:t>5m</w:t>
                  </w:r>
                </w:p>
              </w:tc>
              <w:tc>
                <w:tcPr>
                  <w:tcW w:w="632" w:type="pct"/>
                  <w:tcBorders>
                    <w:tl2br w:val="nil"/>
                    <w:tr2bl w:val="nil"/>
                  </w:tcBorders>
                  <w:shd w:val="clear" w:color="auto" w:fill="auto"/>
                  <w:vAlign w:val="center"/>
                </w:tcPr>
                <w:p w14:paraId="420D347D">
                  <w:pPr>
                    <w:pStyle w:val="5"/>
                    <w:bidi w:val="0"/>
                    <w:rPr>
                      <w:rFonts w:hint="default" w:eastAsia="宋体"/>
                      <w:b/>
                      <w:bCs w:val="0"/>
                      <w:color w:val="000000"/>
                      <w:lang w:val="en-US" w:eastAsia="zh-CN"/>
                    </w:rPr>
                  </w:pPr>
                  <w:r>
                    <w:rPr>
                      <w:rFonts w:hint="eastAsia"/>
                      <w:b/>
                      <w:bCs w:val="0"/>
                      <w:color w:val="000000"/>
                      <w:lang w:val="en-US" w:eastAsia="zh-CN"/>
                    </w:rPr>
                    <w:t>10m</w:t>
                  </w:r>
                </w:p>
              </w:tc>
              <w:tc>
                <w:tcPr>
                  <w:tcW w:w="559" w:type="pct"/>
                  <w:tcBorders>
                    <w:tl2br w:val="nil"/>
                    <w:tr2bl w:val="nil"/>
                  </w:tcBorders>
                  <w:shd w:val="clear" w:color="auto" w:fill="auto"/>
                  <w:vAlign w:val="center"/>
                </w:tcPr>
                <w:p w14:paraId="0C916ED8">
                  <w:pPr>
                    <w:pStyle w:val="5"/>
                    <w:bidi w:val="0"/>
                    <w:rPr>
                      <w:rFonts w:hint="default" w:eastAsia="宋体"/>
                      <w:b/>
                      <w:bCs w:val="0"/>
                      <w:color w:val="000000"/>
                      <w:lang w:val="en-US" w:eastAsia="zh-CN"/>
                    </w:rPr>
                  </w:pPr>
                  <w:r>
                    <w:rPr>
                      <w:rFonts w:hint="eastAsia"/>
                      <w:b/>
                      <w:bCs w:val="0"/>
                      <w:color w:val="000000"/>
                      <w:lang w:val="en-US" w:eastAsia="zh-CN"/>
                    </w:rPr>
                    <w:t>20m</w:t>
                  </w:r>
                </w:p>
              </w:tc>
              <w:tc>
                <w:tcPr>
                  <w:tcW w:w="610" w:type="pct"/>
                  <w:tcBorders>
                    <w:tl2br w:val="nil"/>
                    <w:tr2bl w:val="nil"/>
                  </w:tcBorders>
                  <w:shd w:val="clear" w:color="auto" w:fill="auto"/>
                  <w:vAlign w:val="center"/>
                </w:tcPr>
                <w:p w14:paraId="51E0A977">
                  <w:pPr>
                    <w:pStyle w:val="5"/>
                    <w:bidi w:val="0"/>
                    <w:rPr>
                      <w:rFonts w:hint="default" w:eastAsia="宋体"/>
                      <w:b/>
                      <w:bCs w:val="0"/>
                      <w:color w:val="000000"/>
                      <w:lang w:val="en-US" w:eastAsia="zh-CN"/>
                    </w:rPr>
                  </w:pPr>
                  <w:r>
                    <w:rPr>
                      <w:rFonts w:hint="eastAsia"/>
                      <w:b/>
                      <w:bCs w:val="0"/>
                      <w:color w:val="000000"/>
                      <w:lang w:val="en-US" w:eastAsia="zh-CN"/>
                    </w:rPr>
                    <w:t>25m</w:t>
                  </w:r>
                </w:p>
              </w:tc>
              <w:tc>
                <w:tcPr>
                  <w:tcW w:w="525" w:type="pct"/>
                  <w:tcBorders>
                    <w:tl2br w:val="nil"/>
                    <w:tr2bl w:val="nil"/>
                  </w:tcBorders>
                  <w:shd w:val="clear" w:color="auto" w:fill="auto"/>
                  <w:vAlign w:val="center"/>
                </w:tcPr>
                <w:p w14:paraId="51E72628">
                  <w:pPr>
                    <w:pStyle w:val="5"/>
                    <w:bidi w:val="0"/>
                    <w:rPr>
                      <w:rFonts w:hint="default" w:eastAsia="宋体"/>
                      <w:b/>
                      <w:bCs w:val="0"/>
                      <w:color w:val="000000"/>
                      <w:lang w:val="en-US" w:eastAsia="zh-CN"/>
                    </w:rPr>
                  </w:pPr>
                  <w:r>
                    <w:rPr>
                      <w:rFonts w:hint="eastAsia"/>
                      <w:b/>
                      <w:bCs w:val="0"/>
                      <w:color w:val="000000"/>
                      <w:lang w:val="en-US" w:eastAsia="zh-CN"/>
                    </w:rPr>
                    <w:t>30m</w:t>
                  </w:r>
                </w:p>
              </w:tc>
            </w:tr>
            <w:tr w14:paraId="62558DD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8" w:type="pct"/>
                  <w:tcBorders>
                    <w:tl2br w:val="nil"/>
                    <w:tr2bl w:val="nil"/>
                  </w:tcBorders>
                  <w:shd w:val="clear" w:color="auto" w:fill="auto"/>
                  <w:vAlign w:val="center"/>
                </w:tcPr>
                <w:p w14:paraId="5BD6EEC2">
                  <w:pPr>
                    <w:pStyle w:val="5"/>
                    <w:bidi w:val="0"/>
                    <w:rPr>
                      <w:rFonts w:hint="eastAsia" w:eastAsia="宋体"/>
                      <w:b w:val="0"/>
                      <w:color w:val="000000"/>
                      <w:lang w:val="en-US" w:eastAsia="zh-CN"/>
                    </w:rPr>
                  </w:pPr>
                  <w:r>
                    <w:rPr>
                      <w:rFonts w:hint="eastAsia"/>
                      <w:b w:val="0"/>
                      <w:color w:val="000000"/>
                      <w:lang w:val="en-US" w:eastAsia="zh-CN"/>
                    </w:rPr>
                    <w:t>输送机</w:t>
                  </w:r>
                </w:p>
              </w:tc>
              <w:tc>
                <w:tcPr>
                  <w:tcW w:w="934" w:type="pct"/>
                  <w:tcBorders>
                    <w:tl2br w:val="nil"/>
                    <w:tr2bl w:val="nil"/>
                  </w:tcBorders>
                  <w:shd w:val="clear" w:color="auto" w:fill="auto"/>
                  <w:vAlign w:val="center"/>
                </w:tcPr>
                <w:p w14:paraId="76860C78">
                  <w:pPr>
                    <w:pStyle w:val="5"/>
                    <w:bidi w:val="0"/>
                    <w:rPr>
                      <w:rFonts w:hint="default"/>
                      <w:lang w:val="en-US" w:eastAsia="zh-CN"/>
                    </w:rPr>
                  </w:pPr>
                  <w:r>
                    <w:rPr>
                      <w:rFonts w:hint="eastAsia"/>
                      <w:lang w:val="en-US" w:eastAsia="zh-CN"/>
                    </w:rPr>
                    <w:t>55</w:t>
                  </w:r>
                </w:p>
              </w:tc>
              <w:tc>
                <w:tcPr>
                  <w:tcW w:w="528" w:type="pct"/>
                  <w:tcBorders>
                    <w:tl2br w:val="nil"/>
                    <w:tr2bl w:val="nil"/>
                  </w:tcBorders>
                  <w:shd w:val="clear" w:color="auto" w:fill="auto"/>
                  <w:vAlign w:val="center"/>
                </w:tcPr>
                <w:p w14:paraId="30045103">
                  <w:pPr>
                    <w:pStyle w:val="5"/>
                    <w:bidi w:val="0"/>
                    <w:rPr>
                      <w:rFonts w:hint="default"/>
                      <w:lang w:val="en-US" w:eastAsia="zh-CN"/>
                    </w:rPr>
                  </w:pPr>
                  <w:r>
                    <w:rPr>
                      <w:rFonts w:hint="eastAsia"/>
                      <w:lang w:val="en-US" w:eastAsia="zh-CN"/>
                    </w:rPr>
                    <w:t>41</w:t>
                  </w:r>
                </w:p>
              </w:tc>
              <w:tc>
                <w:tcPr>
                  <w:tcW w:w="632" w:type="pct"/>
                  <w:tcBorders>
                    <w:tl2br w:val="nil"/>
                    <w:tr2bl w:val="nil"/>
                  </w:tcBorders>
                  <w:shd w:val="clear" w:color="auto" w:fill="auto"/>
                  <w:vAlign w:val="center"/>
                </w:tcPr>
                <w:p w14:paraId="47885365">
                  <w:pPr>
                    <w:pStyle w:val="5"/>
                    <w:bidi w:val="0"/>
                    <w:rPr>
                      <w:rFonts w:hint="default"/>
                      <w:lang w:val="en-US" w:eastAsia="zh-CN"/>
                    </w:rPr>
                  </w:pPr>
                  <w:r>
                    <w:rPr>
                      <w:rFonts w:hint="eastAsia"/>
                      <w:lang w:val="en-US" w:eastAsia="zh-CN"/>
                    </w:rPr>
                    <w:t>35</w:t>
                  </w:r>
                </w:p>
              </w:tc>
              <w:tc>
                <w:tcPr>
                  <w:tcW w:w="559" w:type="pct"/>
                  <w:tcBorders>
                    <w:tl2br w:val="nil"/>
                    <w:tr2bl w:val="nil"/>
                  </w:tcBorders>
                  <w:shd w:val="clear" w:color="auto" w:fill="auto"/>
                  <w:vAlign w:val="center"/>
                </w:tcPr>
                <w:p w14:paraId="628114C9">
                  <w:pPr>
                    <w:pStyle w:val="5"/>
                    <w:bidi w:val="0"/>
                    <w:rPr>
                      <w:rFonts w:hint="default"/>
                      <w:lang w:val="en-US" w:eastAsia="zh-CN"/>
                    </w:rPr>
                  </w:pPr>
                  <w:r>
                    <w:rPr>
                      <w:rFonts w:hint="eastAsia"/>
                      <w:lang w:val="en-US" w:eastAsia="zh-CN"/>
                    </w:rPr>
                    <w:t>29</w:t>
                  </w:r>
                </w:p>
              </w:tc>
              <w:tc>
                <w:tcPr>
                  <w:tcW w:w="610" w:type="pct"/>
                  <w:tcBorders>
                    <w:tl2br w:val="nil"/>
                    <w:tr2bl w:val="nil"/>
                  </w:tcBorders>
                  <w:shd w:val="clear" w:color="auto" w:fill="auto"/>
                  <w:vAlign w:val="center"/>
                </w:tcPr>
                <w:p w14:paraId="0C85B60A">
                  <w:pPr>
                    <w:pStyle w:val="5"/>
                    <w:bidi w:val="0"/>
                    <w:rPr>
                      <w:rFonts w:hint="default"/>
                      <w:lang w:val="en-US" w:eastAsia="zh-CN"/>
                    </w:rPr>
                  </w:pPr>
                  <w:r>
                    <w:rPr>
                      <w:rFonts w:hint="eastAsia"/>
                      <w:lang w:val="en-US" w:eastAsia="zh-CN"/>
                    </w:rPr>
                    <w:t>27</w:t>
                  </w:r>
                </w:p>
              </w:tc>
              <w:tc>
                <w:tcPr>
                  <w:tcW w:w="525" w:type="pct"/>
                  <w:tcBorders>
                    <w:tl2br w:val="nil"/>
                    <w:tr2bl w:val="nil"/>
                  </w:tcBorders>
                  <w:shd w:val="clear" w:color="auto" w:fill="auto"/>
                  <w:vAlign w:val="center"/>
                </w:tcPr>
                <w:p w14:paraId="076512F9">
                  <w:pPr>
                    <w:pStyle w:val="5"/>
                    <w:bidi w:val="0"/>
                    <w:rPr>
                      <w:rFonts w:hint="default"/>
                      <w:lang w:val="en-US" w:eastAsia="zh-CN"/>
                    </w:rPr>
                  </w:pPr>
                  <w:r>
                    <w:rPr>
                      <w:rFonts w:hint="eastAsia"/>
                      <w:lang w:val="en-US" w:eastAsia="zh-CN"/>
                    </w:rPr>
                    <w:t>26</w:t>
                  </w:r>
                </w:p>
              </w:tc>
            </w:tr>
            <w:tr w14:paraId="2455B81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208" w:type="pct"/>
                  <w:tcBorders>
                    <w:tl2br w:val="nil"/>
                    <w:tr2bl w:val="nil"/>
                  </w:tcBorders>
                  <w:shd w:val="clear" w:color="auto" w:fill="auto"/>
                  <w:vAlign w:val="center"/>
                </w:tcPr>
                <w:p w14:paraId="061D8E9C">
                  <w:pPr>
                    <w:pStyle w:val="5"/>
                    <w:bidi w:val="0"/>
                    <w:rPr>
                      <w:rFonts w:hint="eastAsia" w:eastAsia="宋体"/>
                      <w:b w:val="0"/>
                      <w:color w:val="000000"/>
                      <w:lang w:val="en-US" w:eastAsia="zh-CN"/>
                    </w:rPr>
                  </w:pPr>
                  <w:r>
                    <w:rPr>
                      <w:rFonts w:hint="eastAsia"/>
                      <w:b w:val="0"/>
                      <w:color w:val="000000"/>
                      <w:lang w:val="en-US" w:eastAsia="zh-CN"/>
                    </w:rPr>
                    <w:t>水泵</w:t>
                  </w:r>
                </w:p>
              </w:tc>
              <w:tc>
                <w:tcPr>
                  <w:tcW w:w="934" w:type="pct"/>
                  <w:tcBorders>
                    <w:tl2br w:val="nil"/>
                    <w:tr2bl w:val="nil"/>
                  </w:tcBorders>
                  <w:shd w:val="clear" w:color="auto" w:fill="auto"/>
                  <w:vAlign w:val="center"/>
                </w:tcPr>
                <w:p w14:paraId="0884990D">
                  <w:pPr>
                    <w:pStyle w:val="5"/>
                    <w:bidi w:val="0"/>
                    <w:rPr>
                      <w:rFonts w:hint="default"/>
                      <w:lang w:val="en-US" w:eastAsia="zh-CN"/>
                    </w:rPr>
                  </w:pPr>
                  <w:r>
                    <w:rPr>
                      <w:rFonts w:hint="eastAsia"/>
                      <w:lang w:val="en-US" w:eastAsia="zh-CN"/>
                    </w:rPr>
                    <w:t>70</w:t>
                  </w:r>
                </w:p>
              </w:tc>
              <w:tc>
                <w:tcPr>
                  <w:tcW w:w="528" w:type="pct"/>
                  <w:tcBorders>
                    <w:tl2br w:val="nil"/>
                    <w:tr2bl w:val="nil"/>
                  </w:tcBorders>
                  <w:shd w:val="clear" w:color="auto" w:fill="auto"/>
                  <w:vAlign w:val="center"/>
                </w:tcPr>
                <w:p w14:paraId="2D126D28">
                  <w:pPr>
                    <w:pStyle w:val="5"/>
                    <w:bidi w:val="0"/>
                    <w:rPr>
                      <w:rFonts w:hint="default"/>
                      <w:lang w:val="en-US" w:eastAsia="zh-CN"/>
                    </w:rPr>
                  </w:pPr>
                  <w:r>
                    <w:rPr>
                      <w:rFonts w:hint="eastAsia"/>
                      <w:lang w:val="en-US" w:eastAsia="zh-CN"/>
                    </w:rPr>
                    <w:t>56</w:t>
                  </w:r>
                </w:p>
              </w:tc>
              <w:tc>
                <w:tcPr>
                  <w:tcW w:w="632" w:type="pct"/>
                  <w:tcBorders>
                    <w:tl2br w:val="nil"/>
                    <w:tr2bl w:val="nil"/>
                  </w:tcBorders>
                  <w:shd w:val="clear" w:color="auto" w:fill="auto"/>
                  <w:vAlign w:val="center"/>
                </w:tcPr>
                <w:p w14:paraId="6BE99C61">
                  <w:pPr>
                    <w:pStyle w:val="5"/>
                    <w:bidi w:val="0"/>
                    <w:rPr>
                      <w:rFonts w:hint="default"/>
                      <w:lang w:val="en-US" w:eastAsia="zh-CN"/>
                    </w:rPr>
                  </w:pPr>
                  <w:r>
                    <w:rPr>
                      <w:rFonts w:hint="eastAsia"/>
                      <w:lang w:val="en-US" w:eastAsia="zh-CN"/>
                    </w:rPr>
                    <w:t>50</w:t>
                  </w:r>
                </w:p>
              </w:tc>
              <w:tc>
                <w:tcPr>
                  <w:tcW w:w="559" w:type="pct"/>
                  <w:tcBorders>
                    <w:tl2br w:val="nil"/>
                    <w:tr2bl w:val="nil"/>
                  </w:tcBorders>
                  <w:shd w:val="clear" w:color="auto" w:fill="auto"/>
                  <w:vAlign w:val="center"/>
                </w:tcPr>
                <w:p w14:paraId="419D8F1D">
                  <w:pPr>
                    <w:pStyle w:val="5"/>
                    <w:bidi w:val="0"/>
                    <w:rPr>
                      <w:rFonts w:hint="default"/>
                      <w:lang w:val="en-US" w:eastAsia="zh-CN"/>
                    </w:rPr>
                  </w:pPr>
                  <w:r>
                    <w:rPr>
                      <w:rFonts w:hint="eastAsia"/>
                      <w:lang w:val="en-US" w:eastAsia="zh-CN"/>
                    </w:rPr>
                    <w:t>44</w:t>
                  </w:r>
                </w:p>
              </w:tc>
              <w:tc>
                <w:tcPr>
                  <w:tcW w:w="610" w:type="pct"/>
                  <w:tcBorders>
                    <w:tl2br w:val="nil"/>
                    <w:tr2bl w:val="nil"/>
                  </w:tcBorders>
                  <w:shd w:val="clear" w:color="auto" w:fill="auto"/>
                  <w:vAlign w:val="center"/>
                </w:tcPr>
                <w:p w14:paraId="619327E8">
                  <w:pPr>
                    <w:pStyle w:val="5"/>
                    <w:bidi w:val="0"/>
                    <w:rPr>
                      <w:rFonts w:hint="default"/>
                      <w:lang w:val="en-US" w:eastAsia="zh-CN"/>
                    </w:rPr>
                  </w:pPr>
                  <w:r>
                    <w:rPr>
                      <w:rFonts w:hint="eastAsia"/>
                      <w:lang w:val="en-US" w:eastAsia="zh-CN"/>
                    </w:rPr>
                    <w:t>42</w:t>
                  </w:r>
                </w:p>
              </w:tc>
              <w:tc>
                <w:tcPr>
                  <w:tcW w:w="525" w:type="pct"/>
                  <w:tcBorders>
                    <w:tl2br w:val="nil"/>
                    <w:tr2bl w:val="nil"/>
                  </w:tcBorders>
                  <w:shd w:val="clear" w:color="auto" w:fill="auto"/>
                  <w:vAlign w:val="center"/>
                </w:tcPr>
                <w:p w14:paraId="2E9A9CE7">
                  <w:pPr>
                    <w:pStyle w:val="5"/>
                    <w:bidi w:val="0"/>
                    <w:rPr>
                      <w:rFonts w:hint="default"/>
                      <w:lang w:val="en-US" w:eastAsia="zh-CN"/>
                    </w:rPr>
                  </w:pPr>
                  <w:r>
                    <w:rPr>
                      <w:rFonts w:hint="eastAsia"/>
                      <w:lang w:val="en-US" w:eastAsia="zh-CN"/>
                    </w:rPr>
                    <w:t>41</w:t>
                  </w:r>
                </w:p>
              </w:tc>
            </w:tr>
            <w:tr w14:paraId="69F757C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1208" w:type="pct"/>
                  <w:tcBorders>
                    <w:tl2br w:val="nil"/>
                    <w:tr2bl w:val="nil"/>
                  </w:tcBorders>
                  <w:shd w:val="clear" w:color="auto" w:fill="auto"/>
                  <w:vAlign w:val="center"/>
                </w:tcPr>
                <w:p w14:paraId="23FB4AB0">
                  <w:pPr>
                    <w:pStyle w:val="5"/>
                    <w:bidi w:val="0"/>
                    <w:rPr>
                      <w:rFonts w:hint="eastAsia" w:eastAsia="宋体"/>
                      <w:b w:val="0"/>
                      <w:color w:val="000000"/>
                      <w:lang w:val="en-US" w:eastAsia="zh-CN"/>
                    </w:rPr>
                  </w:pPr>
                  <w:r>
                    <w:rPr>
                      <w:rFonts w:hint="eastAsia"/>
                      <w:b w:val="0"/>
                      <w:color w:val="000000"/>
                      <w:lang w:val="en-US" w:eastAsia="zh-CN"/>
                    </w:rPr>
                    <w:t>风机</w:t>
                  </w:r>
                </w:p>
              </w:tc>
              <w:tc>
                <w:tcPr>
                  <w:tcW w:w="934" w:type="pct"/>
                  <w:tcBorders>
                    <w:tl2br w:val="nil"/>
                    <w:tr2bl w:val="nil"/>
                  </w:tcBorders>
                  <w:shd w:val="clear" w:color="auto" w:fill="auto"/>
                  <w:vAlign w:val="center"/>
                </w:tcPr>
                <w:p w14:paraId="637232B7">
                  <w:pPr>
                    <w:pStyle w:val="5"/>
                    <w:bidi w:val="0"/>
                    <w:rPr>
                      <w:rFonts w:hint="default"/>
                      <w:lang w:val="en-US" w:eastAsia="zh-CN"/>
                    </w:rPr>
                  </w:pPr>
                  <w:r>
                    <w:rPr>
                      <w:rFonts w:hint="eastAsia"/>
                      <w:lang w:val="en-US" w:eastAsia="zh-CN"/>
                    </w:rPr>
                    <w:t>75</w:t>
                  </w:r>
                </w:p>
              </w:tc>
              <w:tc>
                <w:tcPr>
                  <w:tcW w:w="528" w:type="pct"/>
                  <w:tcBorders>
                    <w:tl2br w:val="nil"/>
                    <w:tr2bl w:val="nil"/>
                  </w:tcBorders>
                  <w:shd w:val="clear" w:color="auto" w:fill="auto"/>
                  <w:vAlign w:val="center"/>
                </w:tcPr>
                <w:p w14:paraId="07934BC9">
                  <w:pPr>
                    <w:pStyle w:val="5"/>
                    <w:bidi w:val="0"/>
                    <w:rPr>
                      <w:rFonts w:hint="default"/>
                      <w:lang w:val="en-US" w:eastAsia="zh-CN"/>
                    </w:rPr>
                  </w:pPr>
                  <w:r>
                    <w:rPr>
                      <w:rFonts w:hint="eastAsia"/>
                      <w:lang w:val="en-US" w:eastAsia="zh-CN"/>
                    </w:rPr>
                    <w:t>61</w:t>
                  </w:r>
                </w:p>
              </w:tc>
              <w:tc>
                <w:tcPr>
                  <w:tcW w:w="632" w:type="pct"/>
                  <w:tcBorders>
                    <w:tl2br w:val="nil"/>
                    <w:tr2bl w:val="nil"/>
                  </w:tcBorders>
                  <w:shd w:val="clear" w:color="auto" w:fill="auto"/>
                  <w:vAlign w:val="center"/>
                </w:tcPr>
                <w:p w14:paraId="6F8DD3AF">
                  <w:pPr>
                    <w:pStyle w:val="5"/>
                    <w:bidi w:val="0"/>
                    <w:rPr>
                      <w:rFonts w:hint="default"/>
                      <w:lang w:val="en-US" w:eastAsia="zh-CN"/>
                    </w:rPr>
                  </w:pPr>
                  <w:r>
                    <w:rPr>
                      <w:rFonts w:hint="eastAsia"/>
                      <w:lang w:val="en-US" w:eastAsia="zh-CN"/>
                    </w:rPr>
                    <w:t>55</w:t>
                  </w:r>
                </w:p>
              </w:tc>
              <w:tc>
                <w:tcPr>
                  <w:tcW w:w="559" w:type="pct"/>
                  <w:tcBorders>
                    <w:tl2br w:val="nil"/>
                    <w:tr2bl w:val="nil"/>
                  </w:tcBorders>
                  <w:shd w:val="clear" w:color="auto" w:fill="auto"/>
                  <w:vAlign w:val="center"/>
                </w:tcPr>
                <w:p w14:paraId="39856A63">
                  <w:pPr>
                    <w:pStyle w:val="5"/>
                    <w:bidi w:val="0"/>
                    <w:rPr>
                      <w:rFonts w:hint="default"/>
                      <w:lang w:val="en-US" w:eastAsia="zh-CN"/>
                    </w:rPr>
                  </w:pPr>
                  <w:r>
                    <w:rPr>
                      <w:rFonts w:hint="eastAsia"/>
                      <w:lang w:val="en-US" w:eastAsia="zh-CN"/>
                    </w:rPr>
                    <w:t>49</w:t>
                  </w:r>
                </w:p>
              </w:tc>
              <w:tc>
                <w:tcPr>
                  <w:tcW w:w="610" w:type="pct"/>
                  <w:tcBorders>
                    <w:tl2br w:val="nil"/>
                    <w:tr2bl w:val="nil"/>
                  </w:tcBorders>
                  <w:shd w:val="clear" w:color="auto" w:fill="auto"/>
                  <w:vAlign w:val="center"/>
                </w:tcPr>
                <w:p w14:paraId="6E76E241">
                  <w:pPr>
                    <w:pStyle w:val="5"/>
                    <w:bidi w:val="0"/>
                    <w:rPr>
                      <w:rFonts w:hint="default"/>
                      <w:lang w:val="en-US" w:eastAsia="zh-CN"/>
                    </w:rPr>
                  </w:pPr>
                  <w:r>
                    <w:rPr>
                      <w:rFonts w:hint="eastAsia"/>
                      <w:lang w:val="en-US" w:eastAsia="zh-CN"/>
                    </w:rPr>
                    <w:t>47</w:t>
                  </w:r>
                </w:p>
              </w:tc>
              <w:tc>
                <w:tcPr>
                  <w:tcW w:w="525" w:type="pct"/>
                  <w:tcBorders>
                    <w:tl2br w:val="nil"/>
                    <w:tr2bl w:val="nil"/>
                  </w:tcBorders>
                  <w:shd w:val="clear" w:color="auto" w:fill="auto"/>
                  <w:vAlign w:val="center"/>
                </w:tcPr>
                <w:p w14:paraId="7A6DAA1D">
                  <w:pPr>
                    <w:pStyle w:val="5"/>
                    <w:bidi w:val="0"/>
                    <w:rPr>
                      <w:rFonts w:hint="default"/>
                      <w:lang w:val="en-US" w:eastAsia="zh-CN"/>
                    </w:rPr>
                  </w:pPr>
                  <w:r>
                    <w:rPr>
                      <w:rFonts w:hint="eastAsia"/>
                      <w:lang w:val="en-US" w:eastAsia="zh-CN"/>
                    </w:rPr>
                    <w:t>46</w:t>
                  </w:r>
                </w:p>
              </w:tc>
            </w:tr>
            <w:tr w14:paraId="24210D7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143" w:type="pct"/>
                  <w:gridSpan w:val="2"/>
                  <w:tcBorders>
                    <w:tl2br w:val="nil"/>
                    <w:tr2bl w:val="nil"/>
                  </w:tcBorders>
                  <w:shd w:val="clear" w:color="auto" w:fill="auto"/>
                  <w:vAlign w:val="center"/>
                </w:tcPr>
                <w:p w14:paraId="1B4C1AC1">
                  <w:pPr>
                    <w:pStyle w:val="5"/>
                    <w:bidi w:val="0"/>
                    <w:rPr>
                      <w:lang w:val="en-US" w:eastAsia="zh-CN"/>
                    </w:rPr>
                  </w:pPr>
                  <w:r>
                    <w:rPr>
                      <w:rFonts w:hint="eastAsia"/>
                      <w:lang w:val="en-US" w:eastAsia="zh-CN"/>
                    </w:rPr>
                    <w:t>《工业企业厂界环境噪声排放标准》（GB12348-2008）2类区标准</w:t>
                  </w:r>
                </w:p>
              </w:tc>
              <w:tc>
                <w:tcPr>
                  <w:tcW w:w="2856" w:type="pct"/>
                  <w:gridSpan w:val="5"/>
                  <w:tcBorders>
                    <w:tl2br w:val="nil"/>
                    <w:tr2bl w:val="nil"/>
                  </w:tcBorders>
                  <w:shd w:val="clear" w:color="auto" w:fill="auto"/>
                  <w:vAlign w:val="center"/>
                </w:tcPr>
                <w:p w14:paraId="70A154A6">
                  <w:pPr>
                    <w:pStyle w:val="5"/>
                    <w:bidi w:val="0"/>
                    <w:rPr>
                      <w:rFonts w:hint="default"/>
                      <w:lang w:val="en-US" w:eastAsia="zh-CN"/>
                    </w:rPr>
                  </w:pPr>
                  <w:r>
                    <w:rPr>
                      <w:rFonts w:hint="eastAsia"/>
                      <w:lang w:val="en-US" w:eastAsia="zh-CN"/>
                    </w:rPr>
                    <w:t>2类区：昼间60dB（A），夜间50dB（A）</w:t>
                  </w:r>
                </w:p>
              </w:tc>
            </w:tr>
          </w:tbl>
          <w:p w14:paraId="1D14F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b w:val="0"/>
                <w:bCs w:val="0"/>
                <w:color w:val="000000"/>
                <w:sz w:val="24"/>
                <w:szCs w:val="24"/>
                <w:lang w:val="en-US" w:eastAsia="zh-CN"/>
              </w:rPr>
            </w:pPr>
            <w:r>
              <w:rPr>
                <w:rFonts w:hint="default"/>
              </w:rPr>
              <w:t>根据预测结果可知，</w:t>
            </w:r>
            <w:r>
              <w:rPr>
                <w:rFonts w:hint="eastAsia"/>
                <w:lang w:val="en-US" w:eastAsia="zh-CN"/>
              </w:rPr>
              <w:t>在距离生产设备20m处可</w:t>
            </w:r>
            <w:r>
              <w:rPr>
                <w:rFonts w:hint="default"/>
              </w:rPr>
              <w:t>满足《</w:t>
            </w:r>
            <w:r>
              <w:rPr>
                <w:rFonts w:hint="eastAsia"/>
                <w:lang w:eastAsia="zh-CN"/>
              </w:rPr>
              <w:t>工业企业厂界环境噪声排放标准</w:t>
            </w:r>
            <w:r>
              <w:rPr>
                <w:rFonts w:hint="default"/>
              </w:rPr>
              <w:t>》（GB12348-2008）</w:t>
            </w:r>
            <w:r>
              <w:rPr>
                <w:rFonts w:hint="eastAsia"/>
                <w:lang w:val="en-US" w:eastAsia="zh-CN"/>
              </w:rPr>
              <w:t>2</w:t>
            </w:r>
            <w:r>
              <w:rPr>
                <w:rFonts w:hint="default"/>
              </w:rPr>
              <w:t>类</w:t>
            </w:r>
            <w:r>
              <w:rPr>
                <w:rFonts w:hint="eastAsia"/>
                <w:lang w:eastAsia="zh-CN"/>
              </w:rPr>
              <w:t>区</w:t>
            </w:r>
            <w:r>
              <w:rPr>
                <w:rFonts w:hint="default"/>
              </w:rPr>
              <w:t>标准要求</w:t>
            </w:r>
            <w:r>
              <w:rPr>
                <w:rFonts w:hint="eastAsia" w:cs="Times New Roman"/>
                <w:b w:val="0"/>
                <w:bCs w:val="0"/>
                <w:color w:val="000000"/>
                <w:sz w:val="24"/>
                <w:szCs w:val="24"/>
                <w:lang w:val="en-US" w:eastAsia="zh-CN"/>
              </w:rPr>
              <w:t>。</w:t>
            </w:r>
          </w:p>
          <w:p w14:paraId="4C659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5.水污染影响分析</w:t>
            </w:r>
          </w:p>
          <w:p w14:paraId="1588A7D6">
            <w:pPr>
              <w:pStyle w:val="3"/>
              <w:bidi w:val="0"/>
              <w:ind w:firstLine="482" w:firstLineChars="200"/>
              <w:rPr>
                <w:rFonts w:hint="default"/>
                <w:lang w:val="en-US" w:eastAsia="zh-CN"/>
              </w:rPr>
            </w:pPr>
            <w:r>
              <w:rPr>
                <w:rFonts w:hint="eastAsia"/>
                <w:lang w:val="en-US" w:eastAsia="zh-CN"/>
              </w:rPr>
              <w:t>5.1生活污水</w:t>
            </w:r>
          </w:p>
          <w:p w14:paraId="62F6BECA">
            <w:pPr>
              <w:keepNext w:val="0"/>
              <w:keepLines w:val="0"/>
              <w:widowControl/>
              <w:suppressLineNumbers w:val="0"/>
              <w:jc w:val="left"/>
              <w:rPr>
                <w:rFonts w:hint="default"/>
                <w:lang w:val="en-US" w:eastAsia="zh-CN"/>
              </w:rPr>
            </w:pPr>
            <w:r>
              <w:rPr>
                <w:rFonts w:hint="eastAsia"/>
                <w:lang w:val="en-US" w:eastAsia="zh-CN"/>
              </w:rPr>
              <w:t>无新增劳动人员，无新增生活污水产生和排放。</w:t>
            </w:r>
          </w:p>
          <w:p w14:paraId="5145A880">
            <w:pPr>
              <w:pStyle w:val="3"/>
              <w:bidi w:val="0"/>
              <w:ind w:firstLine="482" w:firstLineChars="200"/>
              <w:rPr>
                <w:rFonts w:hint="eastAsia"/>
                <w:lang w:val="en-US" w:eastAsia="zh-CN"/>
              </w:rPr>
            </w:pPr>
            <w:r>
              <w:rPr>
                <w:rFonts w:hint="eastAsia"/>
                <w:lang w:val="en-US" w:eastAsia="zh-CN"/>
              </w:rPr>
              <w:t>5.2生产废水</w:t>
            </w:r>
          </w:p>
          <w:p w14:paraId="09079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lang w:val="en-US" w:eastAsia="zh-CN"/>
              </w:rPr>
              <w:t>运营期</w:t>
            </w:r>
            <w:r>
              <w:rPr>
                <w:rFonts w:hint="eastAsia"/>
                <w:lang w:val="en-US" w:eastAsia="zh-CN"/>
              </w:rPr>
              <w:t>生产</w:t>
            </w:r>
            <w:r>
              <w:rPr>
                <w:rFonts w:hint="default"/>
                <w:lang w:val="en-US" w:eastAsia="zh-CN"/>
              </w:rPr>
              <w:t>用水主要为</w:t>
            </w:r>
            <w:r>
              <w:rPr>
                <w:rFonts w:hint="eastAsia"/>
                <w:lang w:val="en-US" w:eastAsia="zh-CN"/>
              </w:rPr>
              <w:t>输煤廊道喷雾抑尘用水，全部自然蒸发损耗</w:t>
            </w:r>
            <w:r>
              <w:rPr>
                <w:rFonts w:hint="eastAsia" w:ascii="宋体" w:hAnsi="宋体" w:eastAsia="宋体" w:cs="宋体"/>
                <w:color w:val="000000"/>
                <w:kern w:val="0"/>
                <w:sz w:val="24"/>
                <w:szCs w:val="24"/>
                <w:highlight w:val="none"/>
                <w:lang w:val="en-US" w:eastAsia="zh-CN" w:bidi="ar"/>
              </w:rPr>
              <w:t>。</w:t>
            </w:r>
          </w:p>
          <w:p w14:paraId="4B0769CD">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0" w:firstLineChars="0"/>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6.运营期固体废物影响分析</w:t>
            </w:r>
          </w:p>
          <w:p w14:paraId="3E32C5EB">
            <w:pPr>
              <w:pStyle w:val="3"/>
              <w:bidi w:val="0"/>
              <w:ind w:firstLine="482" w:firstLineChars="200"/>
              <w:rPr>
                <w:rFonts w:hint="eastAsia"/>
                <w:lang w:val="en-US" w:eastAsia="zh-CN"/>
              </w:rPr>
            </w:pPr>
            <w:r>
              <w:rPr>
                <w:rFonts w:hint="eastAsia"/>
                <w:lang w:val="en-US" w:eastAsia="zh-CN"/>
              </w:rPr>
              <w:t>6.1生活垃圾</w:t>
            </w:r>
          </w:p>
          <w:p w14:paraId="27D8DC1D">
            <w:pPr>
              <w:bidi w:val="0"/>
              <w:rPr>
                <w:rFonts w:hint="eastAsia"/>
                <w:lang w:val="en-US" w:eastAsia="zh-CN"/>
              </w:rPr>
            </w:pPr>
            <w:r>
              <w:rPr>
                <w:rFonts w:hint="eastAsia"/>
                <w:lang w:val="en-US" w:eastAsia="zh-CN"/>
              </w:rPr>
              <w:t>不新增劳动人员，无新增生活垃圾。</w:t>
            </w:r>
          </w:p>
          <w:p w14:paraId="7C31F4A6">
            <w:pPr>
              <w:pStyle w:val="3"/>
              <w:bidi w:val="0"/>
              <w:ind w:firstLine="482" w:firstLineChars="200"/>
              <w:rPr>
                <w:rFonts w:hint="eastAsia"/>
                <w:lang w:val="en-US" w:eastAsia="zh-CN"/>
              </w:rPr>
            </w:pPr>
            <w:r>
              <w:rPr>
                <w:rFonts w:hint="eastAsia"/>
                <w:lang w:val="en-US" w:eastAsia="zh-CN"/>
              </w:rPr>
              <w:t>6.2一般工业固废</w:t>
            </w:r>
          </w:p>
          <w:p w14:paraId="393B29C4">
            <w:pPr>
              <w:bidi w:val="0"/>
              <w:rPr>
                <w:rFonts w:hint="default"/>
                <w:lang w:val="en-US" w:eastAsia="zh-CN"/>
              </w:rPr>
            </w:pPr>
            <w:r>
              <w:rPr>
                <w:rFonts w:hint="eastAsia"/>
                <w:lang w:val="en-US" w:eastAsia="zh-CN"/>
              </w:rPr>
              <w:t>（1）除尘灰</w:t>
            </w:r>
          </w:p>
          <w:p w14:paraId="5E0E51DE">
            <w:pPr>
              <w:bidi w:val="0"/>
              <w:rPr>
                <w:rFonts w:hint="eastAsia"/>
                <w:lang w:val="en-US" w:eastAsia="zh-CN"/>
              </w:rPr>
            </w:pPr>
            <w:r>
              <w:rPr>
                <w:rFonts w:hint="eastAsia"/>
                <w:lang w:val="en-US" w:eastAsia="zh-CN"/>
              </w:rPr>
              <w:t>中转站采用袋式除尘器对中转粉尘收集治理，根据核算，除尘机收集粉尘年产量为897.3t，根据《固体废物分类与代码目录》，除尘灰一般固体废物代码为900-099-S59，混入原煤中外售。</w:t>
            </w:r>
          </w:p>
          <w:p w14:paraId="6823AC90">
            <w:pPr>
              <w:bidi w:val="0"/>
              <w:rPr>
                <w:rFonts w:hint="default"/>
                <w:lang w:val="en-US" w:eastAsia="zh-CN"/>
              </w:rPr>
            </w:pPr>
            <w:r>
              <w:rPr>
                <w:rFonts w:hint="eastAsia"/>
                <w:lang w:val="en-US" w:eastAsia="zh-CN"/>
              </w:rPr>
              <w:t>（2）废布袋</w:t>
            </w:r>
          </w:p>
          <w:p w14:paraId="0C6B5946">
            <w:pPr>
              <w:bidi w:val="0"/>
              <w:rPr>
                <w:rFonts w:hint="default"/>
                <w:lang w:val="en-US" w:eastAsia="zh-CN"/>
              </w:rPr>
            </w:pPr>
            <w:r>
              <w:rPr>
                <w:rFonts w:hint="eastAsia"/>
                <w:lang w:val="en-US" w:eastAsia="zh-CN"/>
              </w:rPr>
              <w:t>考虑项目年煤炭转运量较大，为保障中转站袋式除尘器除尘效率，对除尘器布袋每半年更换1次，每次更换约0.2t，由设备厂家更换后回收利用。根据《固体废物分类与代码目录》，废滤膜一般固体废物代码为900-009-S59。</w:t>
            </w:r>
          </w:p>
          <w:p w14:paraId="2B544F23">
            <w:pPr>
              <w:pStyle w:val="3"/>
              <w:bidi w:val="0"/>
              <w:ind w:firstLine="482" w:firstLineChars="200"/>
              <w:rPr>
                <w:rFonts w:hint="default"/>
                <w:lang w:val="en-US" w:eastAsia="zh-CN"/>
              </w:rPr>
            </w:pPr>
            <w:r>
              <w:rPr>
                <w:rFonts w:hint="eastAsia"/>
                <w:lang w:val="en-US" w:eastAsia="zh-CN"/>
              </w:rPr>
              <w:t>6.3危险废物</w:t>
            </w:r>
          </w:p>
          <w:p w14:paraId="3C48451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lang w:val="en-US" w:eastAsia="zh-CN"/>
              </w:rPr>
              <w:t>（1）</w:t>
            </w:r>
            <w:r>
              <w:rPr>
                <w:rFonts w:hint="eastAsia" w:ascii="Times New Roman" w:hAnsi="Times New Roman" w:eastAsia="宋体" w:cs="Times New Roman"/>
                <w:color w:val="auto"/>
                <w:kern w:val="0"/>
                <w:sz w:val="24"/>
                <w:szCs w:val="24"/>
                <w:lang w:val="en-US" w:eastAsia="zh-CN" w:bidi="ar"/>
              </w:rPr>
              <w:t>废润滑油</w:t>
            </w:r>
          </w:p>
          <w:p w14:paraId="3C6EA1F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运营期</w:t>
            </w:r>
            <w:r>
              <w:rPr>
                <w:rFonts w:hint="eastAsia" w:ascii="Times New Roman" w:hAnsi="Times New Roman" w:eastAsia="宋体" w:cs="Times New Roman"/>
                <w:color w:val="auto"/>
                <w:kern w:val="0"/>
                <w:sz w:val="24"/>
                <w:szCs w:val="24"/>
                <w:lang w:val="en-US" w:eastAsia="zh-CN" w:bidi="ar"/>
              </w:rPr>
              <w:t>各类机械生产加工设备需要定期维护保养，会产生废润滑油，废润滑油的产生量为</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w:t>
            </w:r>
            <w:r>
              <w:rPr>
                <w:rFonts w:hint="eastAsia" w:ascii="Times New Roman" w:hAnsi="Times New Roman" w:eastAsia="宋体" w:cs="Times New Roman"/>
                <w:color w:val="auto"/>
                <w:kern w:val="0"/>
                <w:sz w:val="24"/>
                <w:szCs w:val="24"/>
                <w:lang w:val="en-US" w:eastAsia="zh-CN" w:bidi="ar"/>
              </w:rPr>
              <w:t>《国家危险废物名录》</w:t>
            </w:r>
            <w:r>
              <w:rPr>
                <w:rFonts w:hint="eastAsia"/>
                <w:lang w:val="en-US" w:eastAsia="zh-CN"/>
              </w:rPr>
              <w:t>（2025年版）</w:t>
            </w:r>
            <w:r>
              <w:rPr>
                <w:rFonts w:hint="eastAsia" w:ascii="Times New Roman" w:hAnsi="Times New Roman" w:eastAsia="宋体" w:cs="Times New Roman"/>
                <w:color w:val="auto"/>
                <w:kern w:val="0"/>
                <w:sz w:val="24"/>
                <w:szCs w:val="24"/>
                <w:lang w:val="en-US" w:eastAsia="zh-CN" w:bidi="ar"/>
              </w:rPr>
              <w:t>，危险废物代码为（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w:t>
            </w:r>
            <w:r>
              <w:rPr>
                <w:rFonts w:hint="eastAsia" w:ascii="Times New Roman" w:hAnsi="Times New Roman" w:eastAsia="宋体" w:cs="Times New Roman"/>
                <w:color w:val="auto"/>
                <w:kern w:val="0"/>
                <w:sz w:val="24"/>
                <w:szCs w:val="24"/>
                <w:lang w:val="en-US" w:eastAsia="zh-CN" w:bidi="ar"/>
              </w:rPr>
              <w:t>217</w:t>
            </w:r>
            <w:r>
              <w:rPr>
                <w:rFonts w:hint="default" w:ascii="Times New Roman" w:hAnsi="Times New Roman" w:eastAsia="宋体" w:cs="Times New Roman"/>
                <w:color w:val="auto"/>
                <w:kern w:val="0"/>
                <w:sz w:val="24"/>
                <w:szCs w:val="24"/>
                <w:lang w:val="en-US" w:eastAsia="zh-CN" w:bidi="ar"/>
              </w:rPr>
              <w:t>-08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东辰煤矿现有危险废物贮存库内</w:t>
            </w:r>
            <w:r>
              <w:rPr>
                <w:rFonts w:hint="eastAsia" w:ascii="Times New Roman" w:hAnsi="Times New Roman" w:eastAsia="宋体" w:cs="Times New Roman"/>
                <w:color w:val="auto"/>
                <w:kern w:val="0"/>
                <w:sz w:val="24"/>
                <w:szCs w:val="24"/>
                <w:lang w:val="en-US" w:eastAsia="zh-CN" w:bidi="ar"/>
              </w:rPr>
              <w:t>，交由有资质的机构处理。</w:t>
            </w:r>
          </w:p>
          <w:p w14:paraId="4B289E2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w:t>
            </w:r>
            <w:r>
              <w:rPr>
                <w:rFonts w:hint="eastAsia" w:cs="Times New Roman"/>
                <w:color w:val="auto"/>
                <w:kern w:val="0"/>
                <w:sz w:val="24"/>
                <w:szCs w:val="24"/>
                <w:lang w:val="en-US" w:eastAsia="zh-CN" w:bidi="ar"/>
              </w:rPr>
              <w:t>废油桶</w:t>
            </w:r>
            <w:r>
              <w:rPr>
                <w:rFonts w:hint="eastAsia" w:ascii="Times New Roman" w:hAnsi="Times New Roman" w:eastAsia="宋体" w:cs="Times New Roman"/>
                <w:color w:val="auto"/>
                <w:kern w:val="0"/>
                <w:sz w:val="24"/>
                <w:szCs w:val="24"/>
                <w:lang w:val="en-US" w:eastAsia="zh-CN" w:bidi="ar"/>
              </w:rPr>
              <w:t xml:space="preserve"> </w:t>
            </w:r>
          </w:p>
          <w:p w14:paraId="0DD6E9E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润滑油时产生的沾染矿物油的废弃包装物约为0.</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，根据《国家危险废物名录》（</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年），沾染矿物油的废弃包装物属于危险废物，危废代码为（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900-249-08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东辰煤矿现有危险废物贮存库内</w:t>
            </w:r>
            <w:r>
              <w:rPr>
                <w:rFonts w:hint="eastAsia" w:ascii="Times New Roman" w:hAnsi="Times New Roman" w:eastAsia="宋体" w:cs="Times New Roman"/>
                <w:color w:val="auto"/>
                <w:kern w:val="0"/>
                <w:sz w:val="24"/>
                <w:szCs w:val="24"/>
                <w:lang w:val="en-US" w:eastAsia="zh-CN" w:bidi="ar"/>
              </w:rPr>
              <w:t>，交由有资质的机构处理。</w:t>
            </w:r>
          </w:p>
          <w:p w14:paraId="7F19B97D">
            <w:pPr>
              <w:keepNext w:val="0"/>
              <w:keepLines w:val="0"/>
              <w:widowControl/>
              <w:suppressLineNumbers w:val="0"/>
              <w:spacing w:before="0" w:beforeAutospacing="0" w:after="0" w:afterAutospacing="0"/>
              <w:ind w:left="0" w:right="0"/>
              <w:jc w:val="left"/>
              <w:rPr>
                <w:rFonts w:hint="eastAsia"/>
                <w:lang w:eastAsia="zh-CN"/>
              </w:rPr>
            </w:pPr>
            <w:r>
              <w:rPr>
                <w:rFonts w:hint="eastAsia"/>
                <w:lang w:eastAsia="zh-CN"/>
              </w:rPr>
              <w:t>（</w:t>
            </w:r>
            <w:r>
              <w:rPr>
                <w:rFonts w:hint="eastAsia"/>
                <w:lang w:val="en-US" w:eastAsia="zh-CN"/>
              </w:rPr>
              <w:t>3</w:t>
            </w:r>
            <w:r>
              <w:rPr>
                <w:rFonts w:hint="eastAsia"/>
                <w:lang w:eastAsia="zh-CN"/>
              </w:rPr>
              <w:t>）含油</w:t>
            </w:r>
            <w:r>
              <w:rPr>
                <w:rFonts w:hint="eastAsia"/>
                <w:lang w:val="en-US" w:eastAsia="zh-CN"/>
              </w:rPr>
              <w:t>手套、抹布</w:t>
            </w:r>
          </w:p>
          <w:p w14:paraId="4522F6D7">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含油手套、抹布维修过程产生含油手套、抹布，</w:t>
            </w:r>
            <w:r>
              <w:rPr>
                <w:rFonts w:hint="eastAsia"/>
                <w:lang w:eastAsia="zh-CN"/>
              </w:rPr>
              <w:t>根据</w:t>
            </w:r>
            <w:r>
              <w:rPr>
                <w:rFonts w:hint="default"/>
              </w:rPr>
              <w:t>《国家危险废物名录</w:t>
            </w:r>
            <w:r>
              <w:rPr>
                <w:rFonts w:hint="eastAsia"/>
                <w:lang w:val="en-US" w:eastAsia="zh-CN"/>
              </w:rPr>
              <w:t>（2025 版）</w:t>
            </w:r>
            <w:r>
              <w:rPr>
                <w:rFonts w:hint="default"/>
              </w:rPr>
              <w:t>》，废物类别为HW49</w:t>
            </w:r>
            <w:r>
              <w:rPr>
                <w:rFonts w:hint="eastAsia"/>
                <w:lang w:val="en-US" w:eastAsia="zh-CN"/>
              </w:rPr>
              <w:t>（废物代码 900-041-49），属于危险废物豁免管理清单，产生量为0.05t/a，</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东辰煤矿现有危险废物贮存库内</w:t>
            </w:r>
            <w:r>
              <w:rPr>
                <w:rFonts w:hint="eastAsia" w:ascii="Times New Roman" w:hAnsi="Times New Roman" w:eastAsia="宋体" w:cs="Times New Roman"/>
                <w:color w:val="auto"/>
                <w:kern w:val="0"/>
                <w:sz w:val="24"/>
                <w:szCs w:val="24"/>
                <w:lang w:val="en-US" w:eastAsia="zh-CN" w:bidi="ar"/>
              </w:rPr>
              <w:t>，交由有资质的机构处理</w:t>
            </w:r>
            <w:r>
              <w:rPr>
                <w:rFonts w:hint="eastAsia"/>
                <w:lang w:val="en-US" w:eastAsia="zh-CN"/>
              </w:rPr>
              <w:t>。</w:t>
            </w:r>
          </w:p>
          <w:p w14:paraId="2FA0FDD6">
            <w:pPr>
              <w:pStyle w:val="3"/>
              <w:suppressLineNumbers w:val="0"/>
              <w:bidi w:val="0"/>
              <w:spacing w:before="0" w:beforeAutospacing="0" w:after="0" w:afterAutospacing="0"/>
              <w:ind w:left="0" w:right="0" w:firstLine="482" w:firstLineChars="200"/>
              <w:rPr>
                <w:rFonts w:hint="default"/>
              </w:rPr>
            </w:pPr>
            <w:r>
              <w:rPr>
                <w:rFonts w:hint="eastAsia"/>
                <w:lang w:val="en-US" w:eastAsia="zh-CN"/>
              </w:rPr>
              <w:t>6</w:t>
            </w:r>
            <w:r>
              <w:rPr>
                <w:rFonts w:hint="default"/>
              </w:rPr>
              <w:t>.</w:t>
            </w:r>
            <w:r>
              <w:rPr>
                <w:rFonts w:hint="eastAsia"/>
                <w:lang w:val="en-US" w:eastAsia="zh-CN"/>
              </w:rPr>
              <w:t>4</w:t>
            </w:r>
            <w:r>
              <w:rPr>
                <w:rFonts w:hint="eastAsia"/>
              </w:rPr>
              <w:t>固体废物汇总</w:t>
            </w:r>
          </w:p>
          <w:p w14:paraId="1B28C2C5">
            <w:pPr>
              <w:keepNext w:val="0"/>
              <w:keepLines w:val="0"/>
              <w:suppressLineNumbers w:val="0"/>
              <w:bidi w:val="0"/>
              <w:spacing w:before="0" w:beforeAutospacing="0" w:after="0" w:afterAutospacing="0"/>
              <w:ind w:left="0" w:right="0"/>
              <w:rPr>
                <w:rFonts w:hint="eastAsia"/>
              </w:rPr>
            </w:pPr>
            <w:r>
              <w:rPr>
                <w:rFonts w:hint="eastAsia"/>
                <w:lang w:val="en-US" w:eastAsia="zh-CN"/>
              </w:rPr>
              <w:t>本项目固体废物产生情况见表4-9。</w:t>
            </w:r>
          </w:p>
          <w:p w14:paraId="79647C9E">
            <w:pPr>
              <w:pStyle w:val="13"/>
              <w:bidi w:val="0"/>
              <w:rPr>
                <w:rFonts w:hint="eastAsia"/>
                <w:lang w:val="en-US" w:eastAsia="zh-CN"/>
              </w:rPr>
            </w:pPr>
            <w:r>
              <w:rPr>
                <w:rFonts w:hint="eastAsia"/>
                <w:lang w:val="en-US" w:eastAsia="zh-CN"/>
              </w:rPr>
              <w:t xml:space="preserve">表4-9  </w:t>
            </w:r>
            <w:r>
              <w:rPr>
                <w:rFonts w:hint="default"/>
                <w:lang w:val="en-US" w:eastAsia="zh-CN"/>
              </w:rPr>
              <w:t xml:space="preserve">  </w:t>
            </w:r>
            <w:r>
              <w:rPr>
                <w:rFonts w:hint="eastAsia"/>
                <w:lang w:val="en-US" w:eastAsia="zh-CN"/>
              </w:rPr>
              <w:t>固体废物分析结果汇总表</w:t>
            </w:r>
          </w:p>
          <w:tbl>
            <w:tblPr>
              <w:tblStyle w:val="42"/>
              <w:tblW w:w="4985"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36"/>
              <w:gridCol w:w="427"/>
              <w:gridCol w:w="776"/>
              <w:gridCol w:w="723"/>
              <w:gridCol w:w="1356"/>
              <w:gridCol w:w="945"/>
              <w:gridCol w:w="613"/>
              <w:gridCol w:w="427"/>
              <w:gridCol w:w="597"/>
              <w:gridCol w:w="427"/>
              <w:gridCol w:w="849"/>
            </w:tblGrid>
            <w:tr w14:paraId="61909DF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7" w:type="pct"/>
                  <w:tcBorders>
                    <w:tl2br w:val="nil"/>
                    <w:tr2bl w:val="nil"/>
                  </w:tcBorders>
                  <w:shd w:val="clear" w:color="auto" w:fill="auto"/>
                  <w:vAlign w:val="center"/>
                </w:tcPr>
                <w:p w14:paraId="0E67DC9B">
                  <w:pPr>
                    <w:pStyle w:val="17"/>
                    <w:bidi w:val="0"/>
                    <w:rPr>
                      <w:b/>
                      <w:bCs/>
                      <w:color w:val="000000"/>
                    </w:rPr>
                  </w:pPr>
                  <w:r>
                    <w:rPr>
                      <w:b/>
                      <w:bCs/>
                      <w:color w:val="000000"/>
                    </w:rPr>
                    <w:t>危险废物名称</w:t>
                  </w:r>
                </w:p>
              </w:tc>
              <w:tc>
                <w:tcPr>
                  <w:tcW w:w="257" w:type="pct"/>
                  <w:tcBorders>
                    <w:tl2br w:val="nil"/>
                    <w:tr2bl w:val="nil"/>
                  </w:tcBorders>
                  <w:shd w:val="clear" w:color="auto" w:fill="auto"/>
                  <w:vAlign w:val="center"/>
                </w:tcPr>
                <w:p w14:paraId="0D3E93E9">
                  <w:pPr>
                    <w:pStyle w:val="17"/>
                    <w:bidi w:val="0"/>
                    <w:rPr>
                      <w:rFonts w:hint="default"/>
                      <w:b/>
                      <w:bCs/>
                      <w:color w:val="000000"/>
                      <w:lang w:val="en-US" w:eastAsia="zh-CN"/>
                    </w:rPr>
                  </w:pPr>
                  <w:r>
                    <w:rPr>
                      <w:rFonts w:hint="eastAsia"/>
                      <w:b/>
                      <w:bCs/>
                      <w:color w:val="000000"/>
                      <w:lang w:val="en-US" w:eastAsia="zh-CN"/>
                    </w:rPr>
                    <w:t>属性</w:t>
                  </w:r>
                </w:p>
              </w:tc>
              <w:tc>
                <w:tcPr>
                  <w:tcW w:w="497" w:type="pct"/>
                  <w:tcBorders>
                    <w:tl2br w:val="nil"/>
                    <w:tr2bl w:val="nil"/>
                  </w:tcBorders>
                  <w:shd w:val="clear" w:color="auto" w:fill="auto"/>
                  <w:vAlign w:val="center"/>
                </w:tcPr>
                <w:p w14:paraId="0B0A567A">
                  <w:pPr>
                    <w:pStyle w:val="17"/>
                    <w:bidi w:val="0"/>
                    <w:rPr>
                      <w:b/>
                      <w:bCs/>
                      <w:color w:val="000000"/>
                    </w:rPr>
                  </w:pPr>
                  <w:r>
                    <w:rPr>
                      <w:b/>
                      <w:bCs/>
                      <w:color w:val="000000"/>
                    </w:rPr>
                    <w:t>废物</w:t>
                  </w:r>
                </w:p>
                <w:p w14:paraId="2E2F4F28">
                  <w:pPr>
                    <w:pStyle w:val="17"/>
                    <w:bidi w:val="0"/>
                    <w:rPr>
                      <w:b/>
                      <w:bCs/>
                      <w:color w:val="000000"/>
                    </w:rPr>
                  </w:pPr>
                  <w:r>
                    <w:rPr>
                      <w:b/>
                      <w:bCs/>
                      <w:color w:val="000000"/>
                    </w:rPr>
                    <w:t>类别</w:t>
                  </w:r>
                </w:p>
              </w:tc>
              <w:tc>
                <w:tcPr>
                  <w:tcW w:w="473" w:type="pct"/>
                  <w:tcBorders>
                    <w:tl2br w:val="nil"/>
                    <w:tr2bl w:val="nil"/>
                  </w:tcBorders>
                  <w:shd w:val="clear" w:color="auto" w:fill="auto"/>
                  <w:vAlign w:val="center"/>
                </w:tcPr>
                <w:p w14:paraId="16D3D391">
                  <w:pPr>
                    <w:pStyle w:val="17"/>
                    <w:bidi w:val="0"/>
                    <w:rPr>
                      <w:rFonts w:hint="default"/>
                      <w:b/>
                      <w:bCs/>
                      <w:color w:val="000000"/>
                      <w:lang w:val="en-US" w:eastAsia="zh-CN"/>
                    </w:rPr>
                  </w:pPr>
                  <w:r>
                    <w:rPr>
                      <w:rFonts w:hint="eastAsia"/>
                      <w:b/>
                      <w:bCs/>
                      <w:color w:val="000000"/>
                      <w:lang w:val="en-US" w:eastAsia="zh-CN"/>
                    </w:rPr>
                    <w:t>主要成分</w:t>
                  </w:r>
                </w:p>
              </w:tc>
              <w:tc>
                <w:tcPr>
                  <w:tcW w:w="879" w:type="pct"/>
                  <w:tcBorders>
                    <w:tl2br w:val="nil"/>
                    <w:tr2bl w:val="nil"/>
                  </w:tcBorders>
                  <w:shd w:val="clear" w:color="auto" w:fill="auto"/>
                  <w:vAlign w:val="center"/>
                </w:tcPr>
                <w:p w14:paraId="0C9361C0">
                  <w:pPr>
                    <w:pStyle w:val="17"/>
                    <w:bidi w:val="0"/>
                    <w:rPr>
                      <w:b/>
                      <w:bCs/>
                      <w:color w:val="000000"/>
                    </w:rPr>
                  </w:pPr>
                  <w:r>
                    <w:rPr>
                      <w:b/>
                      <w:bCs/>
                      <w:color w:val="000000"/>
                    </w:rPr>
                    <w:t>废物</w:t>
                  </w:r>
                </w:p>
                <w:p w14:paraId="19053A46">
                  <w:pPr>
                    <w:pStyle w:val="17"/>
                    <w:bidi w:val="0"/>
                    <w:rPr>
                      <w:b/>
                      <w:bCs/>
                      <w:color w:val="000000"/>
                    </w:rPr>
                  </w:pPr>
                  <w:r>
                    <w:rPr>
                      <w:b/>
                      <w:bCs/>
                      <w:color w:val="000000"/>
                    </w:rPr>
                    <w:t>代码</w:t>
                  </w:r>
                </w:p>
              </w:tc>
              <w:tc>
                <w:tcPr>
                  <w:tcW w:w="615" w:type="pct"/>
                  <w:tcBorders>
                    <w:tl2br w:val="nil"/>
                    <w:tr2bl w:val="nil"/>
                  </w:tcBorders>
                  <w:shd w:val="clear" w:color="auto" w:fill="auto"/>
                  <w:vAlign w:val="center"/>
                </w:tcPr>
                <w:p w14:paraId="61C2CCA0">
                  <w:pPr>
                    <w:pStyle w:val="17"/>
                    <w:bidi w:val="0"/>
                    <w:rPr>
                      <w:b/>
                      <w:bCs/>
                      <w:color w:val="000000"/>
                    </w:rPr>
                  </w:pPr>
                  <w:r>
                    <w:rPr>
                      <w:b/>
                      <w:bCs/>
                      <w:color w:val="000000"/>
                    </w:rPr>
                    <w:t>产生</w:t>
                  </w:r>
                </w:p>
                <w:p w14:paraId="28664C1A">
                  <w:pPr>
                    <w:pStyle w:val="17"/>
                    <w:bidi w:val="0"/>
                    <w:rPr>
                      <w:b/>
                      <w:bCs/>
                      <w:color w:val="000000"/>
                    </w:rPr>
                  </w:pPr>
                  <w:r>
                    <w:rPr>
                      <w:b/>
                      <w:bCs/>
                      <w:color w:val="000000"/>
                    </w:rPr>
                    <w:t>量（t/a）</w:t>
                  </w:r>
                </w:p>
              </w:tc>
              <w:tc>
                <w:tcPr>
                  <w:tcW w:w="402" w:type="pct"/>
                  <w:tcBorders>
                    <w:tl2br w:val="nil"/>
                    <w:tr2bl w:val="nil"/>
                  </w:tcBorders>
                  <w:shd w:val="clear" w:color="auto" w:fill="auto"/>
                  <w:vAlign w:val="center"/>
                </w:tcPr>
                <w:p w14:paraId="18504660">
                  <w:pPr>
                    <w:pStyle w:val="17"/>
                    <w:bidi w:val="0"/>
                    <w:rPr>
                      <w:b/>
                      <w:bCs/>
                      <w:color w:val="000000"/>
                    </w:rPr>
                  </w:pPr>
                  <w:r>
                    <w:rPr>
                      <w:b/>
                      <w:bCs/>
                      <w:color w:val="000000"/>
                    </w:rPr>
                    <w:t>产生</w:t>
                  </w:r>
                </w:p>
                <w:p w14:paraId="42E2A3F1">
                  <w:pPr>
                    <w:pStyle w:val="17"/>
                    <w:bidi w:val="0"/>
                    <w:rPr>
                      <w:b/>
                      <w:bCs/>
                      <w:color w:val="000000"/>
                    </w:rPr>
                  </w:pPr>
                  <w:r>
                    <w:rPr>
                      <w:b/>
                      <w:bCs/>
                      <w:color w:val="000000"/>
                    </w:rPr>
                    <w:t>工序及装置</w:t>
                  </w:r>
                </w:p>
              </w:tc>
              <w:tc>
                <w:tcPr>
                  <w:tcW w:w="273" w:type="pct"/>
                  <w:tcBorders>
                    <w:tl2br w:val="nil"/>
                    <w:tr2bl w:val="nil"/>
                  </w:tcBorders>
                  <w:shd w:val="clear" w:color="auto" w:fill="auto"/>
                  <w:vAlign w:val="center"/>
                </w:tcPr>
                <w:p w14:paraId="7AB0769E">
                  <w:pPr>
                    <w:pStyle w:val="17"/>
                    <w:bidi w:val="0"/>
                    <w:rPr>
                      <w:b/>
                      <w:bCs/>
                      <w:color w:val="000000"/>
                    </w:rPr>
                  </w:pPr>
                  <w:r>
                    <w:rPr>
                      <w:b/>
                      <w:bCs/>
                      <w:color w:val="000000"/>
                    </w:rPr>
                    <w:t>形态</w:t>
                  </w:r>
                </w:p>
              </w:tc>
              <w:tc>
                <w:tcPr>
                  <w:tcW w:w="392" w:type="pct"/>
                  <w:tcBorders>
                    <w:tl2br w:val="nil"/>
                    <w:tr2bl w:val="nil"/>
                  </w:tcBorders>
                  <w:shd w:val="clear" w:color="auto" w:fill="auto"/>
                  <w:vAlign w:val="center"/>
                </w:tcPr>
                <w:p w14:paraId="2CF9D97B">
                  <w:pPr>
                    <w:pStyle w:val="17"/>
                    <w:bidi w:val="0"/>
                    <w:rPr>
                      <w:rFonts w:hint="default"/>
                      <w:b/>
                      <w:bCs/>
                      <w:color w:val="000000"/>
                      <w:lang w:val="en-US" w:eastAsia="zh-CN"/>
                    </w:rPr>
                  </w:pPr>
                  <w:r>
                    <w:rPr>
                      <w:rFonts w:hint="eastAsia"/>
                      <w:b/>
                      <w:bCs/>
                      <w:color w:val="000000"/>
                      <w:lang w:val="en-US" w:eastAsia="zh-CN"/>
                    </w:rPr>
                    <w:t>转运周期</w:t>
                  </w:r>
                </w:p>
              </w:tc>
              <w:tc>
                <w:tcPr>
                  <w:tcW w:w="266" w:type="pct"/>
                  <w:tcBorders>
                    <w:tl2br w:val="nil"/>
                    <w:tr2bl w:val="nil"/>
                  </w:tcBorders>
                  <w:shd w:val="clear" w:color="auto" w:fill="auto"/>
                  <w:vAlign w:val="center"/>
                </w:tcPr>
                <w:p w14:paraId="1DBDCE43">
                  <w:pPr>
                    <w:pStyle w:val="17"/>
                    <w:bidi w:val="0"/>
                    <w:rPr>
                      <w:b/>
                      <w:bCs/>
                      <w:color w:val="000000"/>
                    </w:rPr>
                  </w:pPr>
                  <w:r>
                    <w:rPr>
                      <w:b/>
                      <w:bCs/>
                      <w:color w:val="000000"/>
                    </w:rPr>
                    <w:t>危险</w:t>
                  </w:r>
                </w:p>
                <w:p w14:paraId="6BACF8FE">
                  <w:pPr>
                    <w:pStyle w:val="17"/>
                    <w:bidi w:val="0"/>
                    <w:rPr>
                      <w:b/>
                      <w:bCs/>
                      <w:color w:val="000000"/>
                    </w:rPr>
                  </w:pPr>
                  <w:r>
                    <w:rPr>
                      <w:b/>
                      <w:bCs/>
                      <w:color w:val="000000"/>
                    </w:rPr>
                    <w:t>特性</w:t>
                  </w:r>
                </w:p>
              </w:tc>
              <w:tc>
                <w:tcPr>
                  <w:tcW w:w="553" w:type="pct"/>
                  <w:tcBorders>
                    <w:tl2br w:val="nil"/>
                    <w:tr2bl w:val="nil"/>
                  </w:tcBorders>
                  <w:shd w:val="clear" w:color="auto" w:fill="auto"/>
                  <w:vAlign w:val="center"/>
                </w:tcPr>
                <w:p w14:paraId="2B4D4299">
                  <w:pPr>
                    <w:pStyle w:val="17"/>
                    <w:bidi w:val="0"/>
                    <w:rPr>
                      <w:b/>
                      <w:bCs/>
                      <w:color w:val="000000"/>
                    </w:rPr>
                  </w:pPr>
                  <w:r>
                    <w:rPr>
                      <w:b/>
                      <w:bCs/>
                      <w:color w:val="000000"/>
                    </w:rPr>
                    <w:t>污染防治措施</w:t>
                  </w:r>
                </w:p>
              </w:tc>
            </w:tr>
            <w:tr w14:paraId="034B850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7" w:type="pct"/>
                  <w:tcBorders>
                    <w:tl2br w:val="nil"/>
                    <w:tr2bl w:val="nil"/>
                  </w:tcBorders>
                  <w:shd w:val="clear" w:color="auto" w:fill="auto"/>
                  <w:vAlign w:val="center"/>
                </w:tcPr>
                <w:p w14:paraId="33FD8B70">
                  <w:pPr>
                    <w:pStyle w:val="17"/>
                    <w:bidi w:val="0"/>
                    <w:rPr>
                      <w:rFonts w:hint="default"/>
                      <w:b w:val="0"/>
                      <w:color w:val="000000"/>
                      <w:lang w:val="en-US" w:eastAsia="zh-CN"/>
                    </w:rPr>
                  </w:pPr>
                  <w:r>
                    <w:rPr>
                      <w:rFonts w:hint="eastAsia"/>
                      <w:b w:val="0"/>
                      <w:color w:val="000000"/>
                      <w:lang w:val="en-US" w:eastAsia="zh-CN"/>
                    </w:rPr>
                    <w:t>除尘灰</w:t>
                  </w:r>
                </w:p>
              </w:tc>
              <w:tc>
                <w:tcPr>
                  <w:tcW w:w="257" w:type="pct"/>
                  <w:vMerge w:val="restart"/>
                  <w:tcBorders>
                    <w:tl2br w:val="nil"/>
                    <w:tr2bl w:val="nil"/>
                  </w:tcBorders>
                  <w:shd w:val="clear" w:color="auto" w:fill="auto"/>
                  <w:vAlign w:val="center"/>
                </w:tcPr>
                <w:p w14:paraId="69AE9670">
                  <w:pPr>
                    <w:pStyle w:val="17"/>
                    <w:bidi w:val="0"/>
                    <w:rPr>
                      <w:rFonts w:hint="default"/>
                      <w:b w:val="0"/>
                      <w:color w:val="000000"/>
                      <w:lang w:val="en-US" w:eastAsia="zh-CN"/>
                    </w:rPr>
                  </w:pPr>
                  <w:r>
                    <w:rPr>
                      <w:rFonts w:hint="eastAsia"/>
                      <w:b w:val="0"/>
                      <w:color w:val="000000"/>
                      <w:lang w:val="en-US" w:eastAsia="zh-CN"/>
                    </w:rPr>
                    <w:t>一般工业固废</w:t>
                  </w:r>
                </w:p>
              </w:tc>
              <w:tc>
                <w:tcPr>
                  <w:tcW w:w="497" w:type="pct"/>
                  <w:tcBorders>
                    <w:tl2br w:val="nil"/>
                    <w:tr2bl w:val="nil"/>
                  </w:tcBorders>
                  <w:shd w:val="clear" w:color="auto" w:fill="auto"/>
                  <w:vAlign w:val="center"/>
                </w:tcPr>
                <w:p w14:paraId="4F34B7C9">
                  <w:pPr>
                    <w:pStyle w:val="17"/>
                    <w:bidi w:val="0"/>
                    <w:ind w:left="0" w:leftChars="0" w:right="0" w:rightChars="0" w:firstLine="0" w:firstLineChars="0"/>
                    <w:rPr>
                      <w:rFonts w:hint="default" w:ascii="Times New Roman" w:hAnsi="Times New Roman" w:eastAsia="宋体" w:cs="宋体"/>
                      <w:b w:val="0"/>
                      <w:color w:val="000000"/>
                      <w:sz w:val="21"/>
                      <w:szCs w:val="30"/>
                      <w:lang w:val="en-US" w:eastAsia="zh-CN" w:bidi="ar-SA"/>
                    </w:rPr>
                  </w:pPr>
                  <w:r>
                    <w:rPr>
                      <w:rFonts w:hint="eastAsia"/>
                      <w:b w:val="0"/>
                      <w:color w:val="000000"/>
                      <w:lang w:val="en-US" w:eastAsia="zh-CN"/>
                    </w:rPr>
                    <w:t>SW59</w:t>
                  </w:r>
                </w:p>
              </w:tc>
              <w:tc>
                <w:tcPr>
                  <w:tcW w:w="473" w:type="pct"/>
                  <w:tcBorders>
                    <w:tl2br w:val="nil"/>
                    <w:tr2bl w:val="nil"/>
                  </w:tcBorders>
                  <w:shd w:val="clear" w:color="auto" w:fill="auto"/>
                  <w:vAlign w:val="center"/>
                </w:tcPr>
                <w:p w14:paraId="66651221">
                  <w:pPr>
                    <w:pStyle w:val="17"/>
                    <w:bidi w:val="0"/>
                    <w:ind w:left="0" w:leftChars="0" w:right="0" w:rightChars="0" w:firstLine="0" w:firstLineChars="0"/>
                    <w:rPr>
                      <w:rFonts w:hint="default" w:ascii="Times New Roman" w:hAnsi="Times New Roman" w:eastAsia="宋体" w:cs="宋体"/>
                      <w:b w:val="0"/>
                      <w:color w:val="000000"/>
                      <w:sz w:val="21"/>
                      <w:szCs w:val="30"/>
                      <w:lang w:val="en-US" w:eastAsia="zh-CN" w:bidi="ar-SA"/>
                    </w:rPr>
                  </w:pPr>
                  <w:r>
                    <w:rPr>
                      <w:rFonts w:hint="eastAsia"/>
                      <w:b w:val="0"/>
                      <w:color w:val="000000"/>
                      <w:lang w:val="en-US" w:eastAsia="zh-CN"/>
                    </w:rPr>
                    <w:t>煤粉</w:t>
                  </w:r>
                </w:p>
              </w:tc>
              <w:tc>
                <w:tcPr>
                  <w:tcW w:w="879" w:type="pct"/>
                  <w:tcBorders>
                    <w:tl2br w:val="nil"/>
                    <w:tr2bl w:val="nil"/>
                  </w:tcBorders>
                  <w:shd w:val="clear" w:color="auto" w:fill="auto"/>
                  <w:vAlign w:val="center"/>
                </w:tcPr>
                <w:p w14:paraId="3D18589E">
                  <w:pPr>
                    <w:pStyle w:val="17"/>
                    <w:bidi w:val="0"/>
                    <w:ind w:left="0" w:leftChars="0" w:right="0" w:rightChars="0" w:firstLine="0" w:firstLineChars="0"/>
                    <w:rPr>
                      <w:rFonts w:hint="default" w:ascii="Times New Roman" w:hAnsi="Times New Roman" w:eastAsia="宋体" w:cs="宋体"/>
                      <w:b w:val="0"/>
                      <w:color w:val="000000"/>
                      <w:sz w:val="21"/>
                      <w:szCs w:val="30"/>
                      <w:lang w:val="en-US" w:eastAsia="zh-CN" w:bidi="ar-SA"/>
                    </w:rPr>
                  </w:pPr>
                  <w:r>
                    <w:rPr>
                      <w:rFonts w:hint="eastAsia"/>
                      <w:b w:val="0"/>
                      <w:color w:val="000000"/>
                      <w:lang w:val="en-US" w:eastAsia="zh-CN"/>
                    </w:rPr>
                    <w:t>900-099-S59</w:t>
                  </w:r>
                </w:p>
              </w:tc>
              <w:tc>
                <w:tcPr>
                  <w:tcW w:w="615" w:type="pct"/>
                  <w:tcBorders>
                    <w:tl2br w:val="nil"/>
                    <w:tr2bl w:val="nil"/>
                  </w:tcBorders>
                  <w:shd w:val="clear" w:color="auto" w:fill="auto"/>
                  <w:vAlign w:val="center"/>
                </w:tcPr>
                <w:p w14:paraId="443DA647">
                  <w:pPr>
                    <w:pStyle w:val="17"/>
                    <w:bidi w:val="0"/>
                    <w:rPr>
                      <w:rFonts w:hint="default"/>
                      <w:b w:val="0"/>
                      <w:color w:val="000000"/>
                      <w:lang w:val="en-US" w:eastAsia="zh-CN"/>
                    </w:rPr>
                  </w:pPr>
                  <w:r>
                    <w:rPr>
                      <w:rFonts w:hint="eastAsia"/>
                      <w:b w:val="0"/>
                      <w:color w:val="000000"/>
                      <w:lang w:val="en-US" w:eastAsia="zh-CN"/>
                    </w:rPr>
                    <w:t>897.3</w:t>
                  </w:r>
                </w:p>
              </w:tc>
              <w:tc>
                <w:tcPr>
                  <w:tcW w:w="402" w:type="pct"/>
                  <w:tcBorders>
                    <w:tl2br w:val="nil"/>
                    <w:tr2bl w:val="nil"/>
                  </w:tcBorders>
                  <w:shd w:val="clear" w:color="auto" w:fill="auto"/>
                  <w:vAlign w:val="center"/>
                </w:tcPr>
                <w:p w14:paraId="2DD877AD">
                  <w:pPr>
                    <w:pStyle w:val="17"/>
                    <w:bidi w:val="0"/>
                    <w:rPr>
                      <w:rFonts w:hint="default"/>
                      <w:b w:val="0"/>
                      <w:color w:val="000000"/>
                      <w:lang w:val="en-US" w:eastAsia="zh-CN"/>
                    </w:rPr>
                  </w:pPr>
                  <w:r>
                    <w:rPr>
                      <w:rFonts w:hint="eastAsia"/>
                      <w:b w:val="0"/>
                      <w:color w:val="000000"/>
                      <w:lang w:val="en-US" w:eastAsia="zh-CN"/>
                    </w:rPr>
                    <w:t>中转站</w:t>
                  </w:r>
                </w:p>
              </w:tc>
              <w:tc>
                <w:tcPr>
                  <w:tcW w:w="273" w:type="pct"/>
                  <w:tcBorders>
                    <w:tl2br w:val="nil"/>
                    <w:tr2bl w:val="nil"/>
                  </w:tcBorders>
                  <w:shd w:val="clear" w:color="auto" w:fill="auto"/>
                  <w:vAlign w:val="center"/>
                </w:tcPr>
                <w:p w14:paraId="339E1133">
                  <w:pPr>
                    <w:pStyle w:val="17"/>
                    <w:bidi w:val="0"/>
                    <w:ind w:left="0" w:leftChars="0" w:right="0" w:rightChars="0" w:firstLine="0" w:firstLineChars="0"/>
                    <w:rPr>
                      <w:rFonts w:hint="eastAsia" w:ascii="Times New Roman" w:hAnsi="Times New Roman" w:eastAsia="宋体" w:cs="宋体"/>
                      <w:b w:val="0"/>
                      <w:color w:val="000000"/>
                      <w:sz w:val="21"/>
                      <w:szCs w:val="30"/>
                      <w:lang w:val="en-US" w:eastAsia="zh-CN" w:bidi="ar-SA"/>
                    </w:rPr>
                  </w:pPr>
                  <w:r>
                    <w:rPr>
                      <w:rFonts w:hint="eastAsia"/>
                      <w:b w:val="0"/>
                      <w:color w:val="000000"/>
                      <w:lang w:val="en-US" w:eastAsia="zh-CN"/>
                    </w:rPr>
                    <w:t>固态</w:t>
                  </w:r>
                </w:p>
              </w:tc>
              <w:tc>
                <w:tcPr>
                  <w:tcW w:w="392" w:type="pct"/>
                  <w:tcBorders>
                    <w:tl2br w:val="nil"/>
                    <w:tr2bl w:val="nil"/>
                  </w:tcBorders>
                  <w:shd w:val="clear" w:color="auto" w:fill="auto"/>
                  <w:vAlign w:val="center"/>
                </w:tcPr>
                <w:p w14:paraId="76FA7860">
                  <w:pPr>
                    <w:pStyle w:val="17"/>
                    <w:bidi w:val="0"/>
                    <w:ind w:left="0" w:leftChars="0" w:right="0" w:rightChars="0" w:firstLine="0" w:firstLineChars="0"/>
                    <w:rPr>
                      <w:rFonts w:hint="eastAsia" w:ascii="Times New Roman" w:hAnsi="Times New Roman" w:eastAsia="宋体" w:cs="宋体"/>
                      <w:b w:val="0"/>
                      <w:color w:val="000000"/>
                      <w:sz w:val="21"/>
                      <w:szCs w:val="30"/>
                      <w:lang w:val="en-US" w:eastAsia="zh-CN" w:bidi="ar-SA"/>
                    </w:rPr>
                  </w:pPr>
                  <w:r>
                    <w:rPr>
                      <w:rFonts w:hint="eastAsia"/>
                      <w:b w:val="0"/>
                      <w:color w:val="000000"/>
                      <w:lang w:val="en-US" w:eastAsia="zh-CN"/>
                    </w:rPr>
                    <w:t>一周一次</w:t>
                  </w:r>
                </w:p>
              </w:tc>
              <w:tc>
                <w:tcPr>
                  <w:tcW w:w="266" w:type="pct"/>
                  <w:tcBorders>
                    <w:tl2br w:val="nil"/>
                    <w:tr2bl w:val="nil"/>
                  </w:tcBorders>
                  <w:shd w:val="clear" w:color="auto" w:fill="auto"/>
                  <w:vAlign w:val="center"/>
                </w:tcPr>
                <w:p w14:paraId="55681BB4">
                  <w:pPr>
                    <w:pStyle w:val="17"/>
                    <w:bidi w:val="0"/>
                    <w:ind w:left="0" w:leftChars="0" w:right="0" w:rightChars="0" w:firstLine="0" w:firstLineChars="0"/>
                    <w:rPr>
                      <w:rFonts w:hint="eastAsia" w:ascii="Times New Roman" w:hAnsi="Times New Roman" w:eastAsia="宋体" w:cs="Times New Roman"/>
                      <w:b w:val="0"/>
                      <w:color w:val="000000"/>
                      <w:kern w:val="0"/>
                      <w:sz w:val="21"/>
                      <w:szCs w:val="18"/>
                      <w:lang w:val="en-US" w:eastAsia="zh-CN" w:bidi="ar-SA"/>
                    </w:rPr>
                  </w:pPr>
                  <w:r>
                    <w:rPr>
                      <w:rFonts w:hint="eastAsia"/>
                      <w:b w:val="0"/>
                      <w:color w:val="000000"/>
                      <w:lang w:val="en-US" w:eastAsia="zh-CN"/>
                    </w:rPr>
                    <w:t>/</w:t>
                  </w:r>
                </w:p>
              </w:tc>
              <w:tc>
                <w:tcPr>
                  <w:tcW w:w="553" w:type="pct"/>
                  <w:tcBorders>
                    <w:tl2br w:val="nil"/>
                    <w:tr2bl w:val="nil"/>
                  </w:tcBorders>
                  <w:shd w:val="clear" w:color="auto" w:fill="auto"/>
                  <w:vAlign w:val="center"/>
                </w:tcPr>
                <w:p w14:paraId="338C0098">
                  <w:pPr>
                    <w:pStyle w:val="17"/>
                    <w:bidi w:val="0"/>
                    <w:ind w:left="0" w:leftChars="0" w:right="0" w:rightChars="0" w:firstLine="0" w:firstLineChars="0"/>
                    <w:rPr>
                      <w:rFonts w:hint="default" w:ascii="Times New Roman" w:hAnsi="Times New Roman" w:eastAsia="宋体" w:cs="Times New Roman"/>
                      <w:b w:val="0"/>
                      <w:color w:val="000000"/>
                      <w:kern w:val="0"/>
                      <w:sz w:val="21"/>
                      <w:szCs w:val="18"/>
                      <w:lang w:val="en-US" w:eastAsia="zh-CN" w:bidi="ar-SA"/>
                    </w:rPr>
                  </w:pPr>
                  <w:r>
                    <w:rPr>
                      <w:rFonts w:hint="eastAsia"/>
                      <w:b w:val="0"/>
                      <w:color w:val="000000"/>
                      <w:lang w:val="en-US" w:eastAsia="zh-CN"/>
                    </w:rPr>
                    <w:t>混入原煤外售</w:t>
                  </w:r>
                </w:p>
              </w:tc>
            </w:tr>
            <w:tr w14:paraId="6C1292C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7" w:type="pct"/>
                  <w:tcBorders>
                    <w:tl2br w:val="nil"/>
                    <w:tr2bl w:val="nil"/>
                  </w:tcBorders>
                  <w:shd w:val="clear" w:color="auto" w:fill="auto"/>
                  <w:vAlign w:val="center"/>
                </w:tcPr>
                <w:p w14:paraId="7E8A2BDE">
                  <w:pPr>
                    <w:pStyle w:val="17"/>
                    <w:bidi w:val="0"/>
                    <w:rPr>
                      <w:rFonts w:hint="eastAsia"/>
                      <w:b w:val="0"/>
                      <w:color w:val="000000"/>
                      <w:lang w:val="en-US" w:eastAsia="zh-CN"/>
                    </w:rPr>
                  </w:pPr>
                  <w:r>
                    <w:rPr>
                      <w:rFonts w:hint="eastAsia"/>
                      <w:b w:val="0"/>
                      <w:color w:val="000000"/>
                      <w:lang w:val="en-US" w:eastAsia="zh-CN"/>
                    </w:rPr>
                    <w:t>废布袋</w:t>
                  </w:r>
                </w:p>
              </w:tc>
              <w:tc>
                <w:tcPr>
                  <w:tcW w:w="257" w:type="pct"/>
                  <w:vMerge w:val="continue"/>
                  <w:tcBorders>
                    <w:tl2br w:val="nil"/>
                    <w:tr2bl w:val="nil"/>
                  </w:tcBorders>
                  <w:shd w:val="clear" w:color="auto" w:fill="auto"/>
                  <w:vAlign w:val="center"/>
                </w:tcPr>
                <w:p w14:paraId="080B8EE6">
                  <w:pPr>
                    <w:pStyle w:val="17"/>
                    <w:bidi w:val="0"/>
                    <w:rPr>
                      <w:rFonts w:hint="eastAsia"/>
                      <w:b w:val="0"/>
                      <w:color w:val="000000"/>
                      <w:lang w:val="en-US" w:eastAsia="zh-CN"/>
                    </w:rPr>
                  </w:pPr>
                </w:p>
              </w:tc>
              <w:tc>
                <w:tcPr>
                  <w:tcW w:w="497" w:type="pct"/>
                  <w:tcBorders>
                    <w:tl2br w:val="nil"/>
                    <w:tr2bl w:val="nil"/>
                  </w:tcBorders>
                  <w:shd w:val="clear" w:color="auto" w:fill="auto"/>
                  <w:vAlign w:val="center"/>
                </w:tcPr>
                <w:p w14:paraId="57B606A6">
                  <w:pPr>
                    <w:pStyle w:val="17"/>
                    <w:bidi w:val="0"/>
                    <w:ind w:left="0" w:leftChars="0" w:right="0" w:rightChars="0" w:firstLine="0" w:firstLineChars="0"/>
                    <w:rPr>
                      <w:rFonts w:hint="eastAsia"/>
                      <w:b w:val="0"/>
                      <w:color w:val="000000"/>
                      <w:lang w:val="en-US" w:eastAsia="zh-CN"/>
                    </w:rPr>
                  </w:pPr>
                  <w:r>
                    <w:rPr>
                      <w:rFonts w:hint="eastAsia"/>
                      <w:b w:val="0"/>
                      <w:color w:val="000000"/>
                      <w:lang w:val="en-US" w:eastAsia="zh-CN"/>
                    </w:rPr>
                    <w:t>S59</w:t>
                  </w:r>
                </w:p>
              </w:tc>
              <w:tc>
                <w:tcPr>
                  <w:tcW w:w="473" w:type="pct"/>
                  <w:tcBorders>
                    <w:tl2br w:val="nil"/>
                    <w:tr2bl w:val="nil"/>
                  </w:tcBorders>
                  <w:shd w:val="clear" w:color="auto" w:fill="auto"/>
                  <w:vAlign w:val="center"/>
                </w:tcPr>
                <w:p w14:paraId="5C39DB8D">
                  <w:pPr>
                    <w:pStyle w:val="17"/>
                    <w:bidi w:val="0"/>
                    <w:ind w:left="0" w:leftChars="0" w:right="0" w:rightChars="0" w:firstLine="0" w:firstLineChars="0"/>
                    <w:rPr>
                      <w:rFonts w:hint="default"/>
                      <w:b w:val="0"/>
                      <w:color w:val="000000"/>
                      <w:lang w:val="en-US" w:eastAsia="zh-CN"/>
                    </w:rPr>
                  </w:pPr>
                  <w:r>
                    <w:rPr>
                      <w:rFonts w:hint="eastAsia"/>
                      <w:b w:val="0"/>
                      <w:color w:val="000000"/>
                      <w:lang w:val="en-US" w:eastAsia="zh-CN"/>
                    </w:rPr>
                    <w:t>煤粉</w:t>
                  </w:r>
                </w:p>
              </w:tc>
              <w:tc>
                <w:tcPr>
                  <w:tcW w:w="879" w:type="pct"/>
                  <w:tcBorders>
                    <w:tl2br w:val="nil"/>
                    <w:tr2bl w:val="nil"/>
                  </w:tcBorders>
                  <w:shd w:val="clear" w:color="auto" w:fill="auto"/>
                  <w:vAlign w:val="center"/>
                </w:tcPr>
                <w:p w14:paraId="40E3BD5E">
                  <w:pPr>
                    <w:pStyle w:val="17"/>
                    <w:bidi w:val="0"/>
                    <w:ind w:left="0" w:leftChars="0" w:right="0" w:rightChars="0" w:firstLine="0" w:firstLineChars="0"/>
                    <w:rPr>
                      <w:rFonts w:hint="eastAsia"/>
                      <w:b w:val="0"/>
                      <w:color w:val="000000"/>
                      <w:lang w:val="en-US" w:eastAsia="zh-CN"/>
                    </w:rPr>
                  </w:pPr>
                  <w:r>
                    <w:rPr>
                      <w:rFonts w:hint="eastAsia"/>
                      <w:b w:val="0"/>
                      <w:color w:val="000000"/>
                      <w:lang w:val="en-US" w:eastAsia="zh-CN"/>
                    </w:rPr>
                    <w:t>900-009-S59</w:t>
                  </w:r>
                </w:p>
              </w:tc>
              <w:tc>
                <w:tcPr>
                  <w:tcW w:w="615" w:type="pct"/>
                  <w:tcBorders>
                    <w:tl2br w:val="nil"/>
                    <w:tr2bl w:val="nil"/>
                  </w:tcBorders>
                  <w:shd w:val="clear" w:color="auto" w:fill="auto"/>
                  <w:vAlign w:val="center"/>
                </w:tcPr>
                <w:p w14:paraId="45CAC6A2">
                  <w:pPr>
                    <w:pStyle w:val="17"/>
                    <w:bidi w:val="0"/>
                    <w:rPr>
                      <w:rFonts w:hint="default"/>
                      <w:b w:val="0"/>
                      <w:color w:val="000000"/>
                      <w:lang w:val="en-US" w:eastAsia="zh-CN"/>
                    </w:rPr>
                  </w:pPr>
                  <w:r>
                    <w:rPr>
                      <w:rFonts w:hint="eastAsia"/>
                      <w:b w:val="0"/>
                      <w:color w:val="000000"/>
                      <w:lang w:val="en-US" w:eastAsia="zh-CN"/>
                    </w:rPr>
                    <w:t>0.4t/a</w:t>
                  </w:r>
                </w:p>
              </w:tc>
              <w:tc>
                <w:tcPr>
                  <w:tcW w:w="402" w:type="pct"/>
                  <w:tcBorders>
                    <w:tl2br w:val="nil"/>
                    <w:tr2bl w:val="nil"/>
                  </w:tcBorders>
                  <w:shd w:val="clear" w:color="auto" w:fill="auto"/>
                  <w:vAlign w:val="center"/>
                </w:tcPr>
                <w:p w14:paraId="51EEFF26">
                  <w:pPr>
                    <w:pStyle w:val="17"/>
                    <w:bidi w:val="0"/>
                    <w:rPr>
                      <w:rFonts w:hint="default"/>
                      <w:b w:val="0"/>
                      <w:color w:val="000000"/>
                      <w:lang w:val="en-US" w:eastAsia="zh-CN"/>
                    </w:rPr>
                  </w:pPr>
                  <w:r>
                    <w:rPr>
                      <w:rFonts w:hint="eastAsia"/>
                      <w:b w:val="0"/>
                      <w:color w:val="000000"/>
                      <w:lang w:val="en-US" w:eastAsia="zh-CN"/>
                    </w:rPr>
                    <w:t>软化水设备</w:t>
                  </w:r>
                </w:p>
              </w:tc>
              <w:tc>
                <w:tcPr>
                  <w:tcW w:w="273" w:type="pct"/>
                  <w:tcBorders>
                    <w:tl2br w:val="nil"/>
                    <w:tr2bl w:val="nil"/>
                  </w:tcBorders>
                  <w:shd w:val="clear" w:color="auto" w:fill="auto"/>
                  <w:vAlign w:val="center"/>
                </w:tcPr>
                <w:p w14:paraId="158A6D41">
                  <w:pPr>
                    <w:pStyle w:val="17"/>
                    <w:bidi w:val="0"/>
                    <w:ind w:left="0" w:leftChars="0" w:right="0" w:rightChars="0" w:firstLine="0" w:firstLineChars="0"/>
                    <w:rPr>
                      <w:rFonts w:hint="eastAsia" w:ascii="Times New Roman" w:hAnsi="Times New Roman" w:eastAsia="宋体" w:cs="宋体"/>
                      <w:b w:val="0"/>
                      <w:color w:val="000000"/>
                      <w:kern w:val="2"/>
                      <w:sz w:val="21"/>
                      <w:szCs w:val="30"/>
                      <w:lang w:val="en-US" w:eastAsia="zh-CN" w:bidi="ar-SA"/>
                    </w:rPr>
                  </w:pPr>
                  <w:r>
                    <w:rPr>
                      <w:rFonts w:hint="eastAsia"/>
                      <w:b w:val="0"/>
                      <w:color w:val="000000"/>
                      <w:lang w:val="en-US" w:eastAsia="zh-CN"/>
                    </w:rPr>
                    <w:t>固态</w:t>
                  </w:r>
                </w:p>
              </w:tc>
              <w:tc>
                <w:tcPr>
                  <w:tcW w:w="392" w:type="pct"/>
                  <w:tcBorders>
                    <w:tl2br w:val="nil"/>
                    <w:tr2bl w:val="nil"/>
                  </w:tcBorders>
                  <w:shd w:val="clear" w:color="auto" w:fill="auto"/>
                  <w:vAlign w:val="center"/>
                </w:tcPr>
                <w:p w14:paraId="5A43E760">
                  <w:pPr>
                    <w:pStyle w:val="17"/>
                    <w:bidi w:val="0"/>
                    <w:ind w:left="0" w:leftChars="0" w:right="0" w:rightChars="0" w:firstLine="0" w:firstLineChars="0"/>
                    <w:rPr>
                      <w:rFonts w:hint="eastAsia" w:ascii="Times New Roman" w:hAnsi="Times New Roman" w:eastAsia="宋体" w:cs="宋体"/>
                      <w:b w:val="0"/>
                      <w:color w:val="000000"/>
                      <w:kern w:val="2"/>
                      <w:sz w:val="21"/>
                      <w:szCs w:val="30"/>
                      <w:lang w:val="en-US" w:eastAsia="zh-CN" w:bidi="ar-SA"/>
                    </w:rPr>
                  </w:pPr>
                  <w:r>
                    <w:rPr>
                      <w:rFonts w:hint="eastAsia"/>
                      <w:b w:val="0"/>
                      <w:color w:val="000000"/>
                      <w:lang w:val="en-US" w:eastAsia="zh-CN"/>
                    </w:rPr>
                    <w:t>半年一次</w:t>
                  </w:r>
                </w:p>
              </w:tc>
              <w:tc>
                <w:tcPr>
                  <w:tcW w:w="266" w:type="pct"/>
                  <w:tcBorders>
                    <w:tl2br w:val="nil"/>
                    <w:tr2bl w:val="nil"/>
                  </w:tcBorders>
                  <w:shd w:val="clear" w:color="auto" w:fill="auto"/>
                  <w:vAlign w:val="center"/>
                </w:tcPr>
                <w:p w14:paraId="20A82426">
                  <w:pPr>
                    <w:pStyle w:val="17"/>
                    <w:bidi w:val="0"/>
                    <w:ind w:left="0" w:leftChars="0" w:right="0" w:rightChars="0" w:firstLine="0" w:firstLineChars="0"/>
                    <w:rPr>
                      <w:rFonts w:hint="default"/>
                      <w:b w:val="0"/>
                      <w:color w:val="000000"/>
                      <w:lang w:val="en-US" w:eastAsia="zh-CN"/>
                    </w:rPr>
                  </w:pPr>
                  <w:r>
                    <w:rPr>
                      <w:rFonts w:hint="eastAsia"/>
                      <w:b w:val="0"/>
                      <w:color w:val="000000"/>
                      <w:lang w:val="en-US" w:eastAsia="zh-CN"/>
                    </w:rPr>
                    <w:t>/</w:t>
                  </w:r>
                </w:p>
              </w:tc>
              <w:tc>
                <w:tcPr>
                  <w:tcW w:w="553" w:type="pct"/>
                  <w:tcBorders>
                    <w:tl2br w:val="nil"/>
                    <w:tr2bl w:val="nil"/>
                  </w:tcBorders>
                  <w:shd w:val="clear" w:color="auto" w:fill="auto"/>
                  <w:vAlign w:val="center"/>
                </w:tcPr>
                <w:p w14:paraId="170B8956">
                  <w:pPr>
                    <w:pStyle w:val="17"/>
                    <w:bidi w:val="0"/>
                    <w:ind w:left="0" w:leftChars="0" w:right="0" w:rightChars="0" w:firstLine="0" w:firstLineChars="0"/>
                    <w:rPr>
                      <w:rFonts w:hint="eastAsia"/>
                      <w:b w:val="0"/>
                      <w:color w:val="000000"/>
                      <w:lang w:val="en-US" w:eastAsia="zh-CN"/>
                    </w:rPr>
                  </w:pPr>
                  <w:r>
                    <w:rPr>
                      <w:rFonts w:hint="eastAsia"/>
                      <w:b w:val="0"/>
                      <w:color w:val="000000"/>
                      <w:lang w:val="en-US" w:eastAsia="zh-CN"/>
                    </w:rPr>
                    <w:t>由设备厂家更换后处置</w:t>
                  </w:r>
                </w:p>
              </w:tc>
            </w:tr>
            <w:tr w14:paraId="7A7427B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7" w:type="pct"/>
                  <w:tcBorders>
                    <w:tl2br w:val="nil"/>
                    <w:tr2bl w:val="nil"/>
                  </w:tcBorders>
                  <w:shd w:val="clear" w:color="auto" w:fill="auto"/>
                  <w:vAlign w:val="center"/>
                </w:tcPr>
                <w:p w14:paraId="450709AB">
                  <w:pPr>
                    <w:pStyle w:val="17"/>
                    <w:bidi w:val="0"/>
                    <w:rPr>
                      <w:rFonts w:hint="eastAsia"/>
                      <w:b w:val="0"/>
                      <w:color w:val="000000"/>
                      <w:lang w:val="en-US" w:eastAsia="zh-CN"/>
                    </w:rPr>
                  </w:pPr>
                  <w:r>
                    <w:rPr>
                      <w:rFonts w:hint="eastAsia"/>
                      <w:b w:val="0"/>
                      <w:color w:val="000000"/>
                      <w:lang w:val="en-US" w:eastAsia="zh-CN"/>
                    </w:rPr>
                    <w:t>废润滑油</w:t>
                  </w:r>
                </w:p>
              </w:tc>
              <w:tc>
                <w:tcPr>
                  <w:tcW w:w="257" w:type="pct"/>
                  <w:vMerge w:val="restart"/>
                  <w:tcBorders>
                    <w:tl2br w:val="nil"/>
                    <w:tr2bl w:val="nil"/>
                  </w:tcBorders>
                  <w:shd w:val="clear" w:color="auto" w:fill="auto"/>
                  <w:vAlign w:val="center"/>
                </w:tcPr>
                <w:p w14:paraId="4653B404">
                  <w:pPr>
                    <w:pStyle w:val="17"/>
                    <w:bidi w:val="0"/>
                    <w:rPr>
                      <w:rFonts w:hint="default"/>
                      <w:b w:val="0"/>
                      <w:color w:val="000000"/>
                      <w:lang w:val="en-US" w:eastAsia="zh-CN"/>
                    </w:rPr>
                  </w:pPr>
                  <w:r>
                    <w:rPr>
                      <w:rFonts w:hint="eastAsia"/>
                      <w:b w:val="0"/>
                      <w:color w:val="000000"/>
                      <w:lang w:val="en-US" w:eastAsia="zh-CN"/>
                    </w:rPr>
                    <w:t>危险废物</w:t>
                  </w:r>
                </w:p>
              </w:tc>
              <w:tc>
                <w:tcPr>
                  <w:tcW w:w="497" w:type="pct"/>
                  <w:tcBorders>
                    <w:tl2br w:val="nil"/>
                    <w:tr2bl w:val="nil"/>
                  </w:tcBorders>
                  <w:shd w:val="clear" w:color="auto" w:fill="auto"/>
                  <w:vAlign w:val="center"/>
                </w:tcPr>
                <w:p w14:paraId="44E424CE">
                  <w:pPr>
                    <w:pStyle w:val="17"/>
                    <w:bidi w:val="0"/>
                    <w:rPr>
                      <w:rFonts w:hint="default"/>
                      <w:b w:val="0"/>
                      <w:color w:val="000000"/>
                      <w:lang w:val="en-US" w:eastAsia="zh-CN"/>
                    </w:rPr>
                  </w:pPr>
                  <w:r>
                    <w:rPr>
                      <w:rFonts w:hint="default"/>
                      <w:b w:val="0"/>
                      <w:color w:val="000000"/>
                      <w:lang w:val="en-US" w:eastAsia="zh-CN"/>
                    </w:rPr>
                    <w:t>HW08</w:t>
                  </w:r>
                  <w:r>
                    <w:rPr>
                      <w:rFonts w:hint="eastAsia"/>
                      <w:b w:val="0"/>
                      <w:color w:val="000000"/>
                      <w:lang w:val="en-US" w:eastAsia="zh-CN"/>
                    </w:rPr>
                    <w:t>废矿物油与含矿物油废物</w:t>
                  </w:r>
                </w:p>
              </w:tc>
              <w:tc>
                <w:tcPr>
                  <w:tcW w:w="473" w:type="pct"/>
                  <w:tcBorders>
                    <w:tl2br w:val="nil"/>
                    <w:tr2bl w:val="nil"/>
                  </w:tcBorders>
                  <w:shd w:val="clear" w:color="auto" w:fill="auto"/>
                  <w:vAlign w:val="center"/>
                </w:tcPr>
                <w:p w14:paraId="1BA71E98">
                  <w:pPr>
                    <w:pStyle w:val="17"/>
                    <w:bidi w:val="0"/>
                    <w:rPr>
                      <w:rFonts w:hint="eastAsia"/>
                      <w:b w:val="0"/>
                      <w:color w:val="000000"/>
                      <w:lang w:val="en-US" w:eastAsia="zh-CN"/>
                    </w:rPr>
                  </w:pPr>
                  <w:r>
                    <w:rPr>
                      <w:rFonts w:hint="eastAsia"/>
                      <w:b w:val="0"/>
                      <w:color w:val="000000"/>
                      <w:lang w:val="en-US" w:eastAsia="zh-CN"/>
                    </w:rPr>
                    <w:t>矿物油</w:t>
                  </w:r>
                </w:p>
              </w:tc>
              <w:tc>
                <w:tcPr>
                  <w:tcW w:w="879" w:type="pct"/>
                  <w:tcBorders>
                    <w:tl2br w:val="nil"/>
                    <w:tr2bl w:val="nil"/>
                  </w:tcBorders>
                  <w:shd w:val="clear" w:color="auto" w:fill="auto"/>
                  <w:vAlign w:val="center"/>
                </w:tcPr>
                <w:p w14:paraId="07509CF1">
                  <w:pPr>
                    <w:pStyle w:val="17"/>
                    <w:bidi w:val="0"/>
                    <w:rPr>
                      <w:rFonts w:hint="eastAsia"/>
                      <w:b w:val="0"/>
                      <w:color w:val="000000"/>
                      <w:lang w:val="en-US" w:eastAsia="zh-CN"/>
                    </w:rPr>
                  </w:pPr>
                  <w:r>
                    <w:rPr>
                      <w:rFonts w:hint="default"/>
                      <w:b w:val="0"/>
                      <w:color w:val="000000"/>
                      <w:lang w:val="en-US" w:eastAsia="zh-CN"/>
                    </w:rPr>
                    <w:t>900-</w:t>
                  </w:r>
                  <w:r>
                    <w:rPr>
                      <w:rFonts w:hint="eastAsia"/>
                      <w:b w:val="0"/>
                      <w:color w:val="000000"/>
                      <w:lang w:val="en-US" w:eastAsia="zh-CN"/>
                    </w:rPr>
                    <w:t>217</w:t>
                  </w:r>
                  <w:r>
                    <w:rPr>
                      <w:rFonts w:hint="default"/>
                      <w:b w:val="0"/>
                      <w:color w:val="000000"/>
                      <w:lang w:val="en-US" w:eastAsia="zh-CN"/>
                    </w:rPr>
                    <w:t>-08</w:t>
                  </w:r>
                </w:p>
              </w:tc>
              <w:tc>
                <w:tcPr>
                  <w:tcW w:w="615" w:type="pct"/>
                  <w:tcBorders>
                    <w:tl2br w:val="nil"/>
                    <w:tr2bl w:val="nil"/>
                  </w:tcBorders>
                  <w:shd w:val="clear" w:color="auto" w:fill="auto"/>
                  <w:vAlign w:val="center"/>
                </w:tcPr>
                <w:p w14:paraId="44699C3C">
                  <w:pPr>
                    <w:pStyle w:val="17"/>
                    <w:bidi w:val="0"/>
                    <w:rPr>
                      <w:rFonts w:hint="default"/>
                      <w:b w:val="0"/>
                      <w:color w:val="000000"/>
                      <w:lang w:val="en-US" w:eastAsia="zh-CN"/>
                    </w:rPr>
                  </w:pPr>
                  <w:r>
                    <w:rPr>
                      <w:rFonts w:hint="eastAsia"/>
                      <w:b w:val="0"/>
                      <w:color w:val="000000"/>
                      <w:lang w:val="en-US" w:eastAsia="zh-CN"/>
                    </w:rPr>
                    <w:t>2</w:t>
                  </w:r>
                </w:p>
              </w:tc>
              <w:tc>
                <w:tcPr>
                  <w:tcW w:w="402" w:type="pct"/>
                  <w:tcBorders>
                    <w:tl2br w:val="nil"/>
                    <w:tr2bl w:val="nil"/>
                  </w:tcBorders>
                  <w:shd w:val="clear" w:color="auto" w:fill="auto"/>
                  <w:vAlign w:val="center"/>
                </w:tcPr>
                <w:p w14:paraId="566C1D99">
                  <w:pPr>
                    <w:pStyle w:val="17"/>
                    <w:bidi w:val="0"/>
                    <w:rPr>
                      <w:rFonts w:hint="eastAsia" w:eastAsia="宋体"/>
                      <w:b w:val="0"/>
                      <w:color w:val="000000"/>
                      <w:lang w:val="en-US" w:eastAsia="zh-CN"/>
                    </w:rPr>
                  </w:pPr>
                  <w:r>
                    <w:rPr>
                      <w:rFonts w:hint="eastAsia"/>
                      <w:b w:val="0"/>
                      <w:color w:val="000000"/>
                      <w:sz w:val="21"/>
                      <w:szCs w:val="21"/>
                      <w:lang w:val="en-US" w:eastAsia="zh-CN"/>
                    </w:rPr>
                    <w:t>机械维修</w:t>
                  </w:r>
                </w:p>
              </w:tc>
              <w:tc>
                <w:tcPr>
                  <w:tcW w:w="273" w:type="pct"/>
                  <w:tcBorders>
                    <w:tl2br w:val="nil"/>
                    <w:tr2bl w:val="nil"/>
                  </w:tcBorders>
                  <w:shd w:val="clear" w:color="auto" w:fill="auto"/>
                  <w:vAlign w:val="center"/>
                </w:tcPr>
                <w:p w14:paraId="181C8CBA">
                  <w:pPr>
                    <w:pStyle w:val="17"/>
                    <w:bidi w:val="0"/>
                    <w:rPr>
                      <w:rFonts w:hint="eastAsia"/>
                      <w:b w:val="0"/>
                      <w:color w:val="000000"/>
                      <w:lang w:eastAsia="zh-CN"/>
                    </w:rPr>
                  </w:pPr>
                  <w:r>
                    <w:rPr>
                      <w:rFonts w:hint="eastAsia"/>
                      <w:b w:val="0"/>
                      <w:color w:val="000000"/>
                      <w:lang w:val="en-US" w:eastAsia="zh-CN"/>
                    </w:rPr>
                    <w:t>液体</w:t>
                  </w:r>
                </w:p>
              </w:tc>
              <w:tc>
                <w:tcPr>
                  <w:tcW w:w="392" w:type="pct"/>
                  <w:tcBorders>
                    <w:tl2br w:val="nil"/>
                    <w:tr2bl w:val="nil"/>
                  </w:tcBorders>
                  <w:shd w:val="clear" w:color="auto" w:fill="auto"/>
                  <w:vAlign w:val="center"/>
                </w:tcPr>
                <w:p w14:paraId="2950E518">
                  <w:pPr>
                    <w:pStyle w:val="17"/>
                    <w:bidi w:val="0"/>
                    <w:rPr>
                      <w:rFonts w:hint="default"/>
                      <w:b w:val="0"/>
                      <w:color w:val="000000"/>
                      <w:lang w:val="en-US" w:eastAsia="zh-CN"/>
                    </w:rPr>
                  </w:pPr>
                  <w:r>
                    <w:rPr>
                      <w:rFonts w:hint="eastAsia"/>
                      <w:b w:val="0"/>
                      <w:color w:val="000000"/>
                      <w:lang w:val="en-US" w:eastAsia="zh-CN"/>
                    </w:rPr>
                    <w:t>一年一次</w:t>
                  </w:r>
                </w:p>
              </w:tc>
              <w:tc>
                <w:tcPr>
                  <w:tcW w:w="266" w:type="pct"/>
                  <w:tcBorders>
                    <w:tl2br w:val="nil"/>
                    <w:tr2bl w:val="nil"/>
                  </w:tcBorders>
                  <w:shd w:val="clear" w:color="auto" w:fill="auto"/>
                  <w:vAlign w:val="center"/>
                </w:tcPr>
                <w:p w14:paraId="1444604E">
                  <w:pPr>
                    <w:pStyle w:val="17"/>
                    <w:bidi w:val="0"/>
                    <w:rPr>
                      <w:rFonts w:hint="eastAsia"/>
                      <w:b w:val="0"/>
                      <w:color w:val="000000"/>
                      <w:lang w:val="en-US" w:eastAsia="zh-CN"/>
                    </w:rPr>
                  </w:pPr>
                  <w:r>
                    <w:rPr>
                      <w:rFonts w:hint="eastAsia"/>
                      <w:b w:val="0"/>
                      <w:color w:val="000000"/>
                      <w:lang w:val="en-US" w:eastAsia="zh-CN"/>
                    </w:rPr>
                    <w:t>T, I</w:t>
                  </w:r>
                </w:p>
              </w:tc>
              <w:tc>
                <w:tcPr>
                  <w:tcW w:w="553" w:type="pct"/>
                  <w:tcBorders>
                    <w:tl2br w:val="nil"/>
                    <w:tr2bl w:val="nil"/>
                  </w:tcBorders>
                  <w:shd w:val="clear" w:color="auto" w:fill="auto"/>
                  <w:vAlign w:val="center"/>
                </w:tcPr>
                <w:p w14:paraId="050E57B8">
                  <w:pPr>
                    <w:pStyle w:val="17"/>
                    <w:bidi w:val="0"/>
                    <w:rPr>
                      <w:rFonts w:hint="eastAsia"/>
                      <w:b w:val="0"/>
                      <w:color w:val="000000"/>
                      <w:lang w:eastAsia="zh-CN"/>
                    </w:rPr>
                  </w:pPr>
                  <w:r>
                    <w:rPr>
                      <w:rFonts w:hint="eastAsia"/>
                      <w:b w:val="0"/>
                      <w:color w:val="000000"/>
                      <w:lang w:val="en-US" w:eastAsia="zh-CN"/>
                    </w:rPr>
                    <w:t>委托有处理资质的单位处理</w:t>
                  </w:r>
                </w:p>
              </w:tc>
            </w:tr>
            <w:tr w14:paraId="0046FCD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7" w:type="pct"/>
                  <w:tcBorders>
                    <w:tl2br w:val="nil"/>
                    <w:tr2bl w:val="nil"/>
                  </w:tcBorders>
                  <w:shd w:val="clear" w:color="auto" w:fill="auto"/>
                  <w:vAlign w:val="center"/>
                </w:tcPr>
                <w:p w14:paraId="3BEFFBFD">
                  <w:pPr>
                    <w:pStyle w:val="17"/>
                    <w:bidi w:val="0"/>
                    <w:rPr>
                      <w:rFonts w:hint="eastAsia"/>
                      <w:b w:val="0"/>
                      <w:color w:val="000000"/>
                      <w:lang w:val="en-US" w:eastAsia="zh-CN"/>
                    </w:rPr>
                  </w:pPr>
                  <w:r>
                    <w:rPr>
                      <w:rFonts w:hint="eastAsia"/>
                      <w:b w:val="0"/>
                      <w:color w:val="000000"/>
                      <w:lang w:val="en-US" w:eastAsia="zh-CN"/>
                    </w:rPr>
                    <w:t>废油桶</w:t>
                  </w:r>
                </w:p>
              </w:tc>
              <w:tc>
                <w:tcPr>
                  <w:tcW w:w="257" w:type="pct"/>
                  <w:vMerge w:val="continue"/>
                  <w:tcBorders>
                    <w:tl2br w:val="nil"/>
                    <w:tr2bl w:val="nil"/>
                  </w:tcBorders>
                  <w:shd w:val="clear" w:color="auto" w:fill="auto"/>
                  <w:vAlign w:val="center"/>
                </w:tcPr>
                <w:p w14:paraId="052454FB">
                  <w:pPr>
                    <w:pStyle w:val="17"/>
                    <w:bidi w:val="0"/>
                    <w:rPr>
                      <w:rFonts w:hint="eastAsia"/>
                      <w:b w:val="0"/>
                      <w:color w:val="000000"/>
                      <w:lang w:val="en-US" w:eastAsia="zh-CN"/>
                    </w:rPr>
                  </w:pPr>
                </w:p>
              </w:tc>
              <w:tc>
                <w:tcPr>
                  <w:tcW w:w="497" w:type="pct"/>
                  <w:tcBorders>
                    <w:tl2br w:val="nil"/>
                    <w:tr2bl w:val="nil"/>
                  </w:tcBorders>
                  <w:shd w:val="clear" w:color="auto" w:fill="auto"/>
                  <w:vAlign w:val="center"/>
                </w:tcPr>
                <w:p w14:paraId="729F8B2A">
                  <w:pPr>
                    <w:pStyle w:val="17"/>
                    <w:bidi w:val="0"/>
                    <w:rPr>
                      <w:rFonts w:hint="default"/>
                      <w:b w:val="0"/>
                      <w:color w:val="000000"/>
                      <w:lang w:val="en-US" w:eastAsia="zh-CN"/>
                    </w:rPr>
                  </w:pPr>
                  <w:r>
                    <w:rPr>
                      <w:rFonts w:hint="default"/>
                      <w:b w:val="0"/>
                      <w:color w:val="000000"/>
                      <w:lang w:val="en-US" w:eastAsia="zh-CN"/>
                    </w:rPr>
                    <w:t>HW08</w:t>
                  </w:r>
                  <w:r>
                    <w:rPr>
                      <w:rFonts w:hint="eastAsia"/>
                      <w:b w:val="0"/>
                      <w:color w:val="000000"/>
                      <w:lang w:val="en-US" w:eastAsia="zh-CN"/>
                    </w:rPr>
                    <w:t>废矿物油与含矿物油废物</w:t>
                  </w:r>
                </w:p>
              </w:tc>
              <w:tc>
                <w:tcPr>
                  <w:tcW w:w="473" w:type="pct"/>
                  <w:tcBorders>
                    <w:tl2br w:val="nil"/>
                    <w:tr2bl w:val="nil"/>
                  </w:tcBorders>
                  <w:shd w:val="clear" w:color="auto" w:fill="auto"/>
                  <w:vAlign w:val="center"/>
                </w:tcPr>
                <w:p w14:paraId="6622ABFF">
                  <w:pPr>
                    <w:pStyle w:val="17"/>
                    <w:bidi w:val="0"/>
                    <w:rPr>
                      <w:rFonts w:hint="default"/>
                      <w:b w:val="0"/>
                      <w:color w:val="000000"/>
                      <w:sz w:val="21"/>
                      <w:szCs w:val="21"/>
                      <w:lang w:val="en-US" w:eastAsia="zh-CN"/>
                    </w:rPr>
                  </w:pPr>
                  <w:r>
                    <w:rPr>
                      <w:rFonts w:hint="eastAsia"/>
                      <w:b w:val="0"/>
                      <w:color w:val="000000"/>
                      <w:sz w:val="21"/>
                      <w:szCs w:val="21"/>
                      <w:lang w:val="en-US" w:eastAsia="zh-CN"/>
                    </w:rPr>
                    <w:t>矿物油</w:t>
                  </w:r>
                </w:p>
              </w:tc>
              <w:tc>
                <w:tcPr>
                  <w:tcW w:w="879" w:type="pct"/>
                  <w:tcBorders>
                    <w:tl2br w:val="nil"/>
                    <w:tr2bl w:val="nil"/>
                  </w:tcBorders>
                  <w:shd w:val="clear" w:color="auto" w:fill="auto"/>
                  <w:vAlign w:val="center"/>
                </w:tcPr>
                <w:p w14:paraId="486F2A09">
                  <w:pPr>
                    <w:pStyle w:val="17"/>
                    <w:bidi w:val="0"/>
                    <w:rPr>
                      <w:rFonts w:hint="eastAsia"/>
                      <w:b w:val="0"/>
                      <w:color w:val="000000"/>
                      <w:sz w:val="21"/>
                      <w:szCs w:val="21"/>
                      <w:lang w:val="en-US" w:eastAsia="zh-CN"/>
                    </w:rPr>
                  </w:pPr>
                  <w:r>
                    <w:rPr>
                      <w:rFonts w:hint="default"/>
                      <w:b w:val="0"/>
                      <w:color w:val="000000"/>
                      <w:sz w:val="21"/>
                      <w:szCs w:val="21"/>
                      <w:lang w:val="en-US" w:eastAsia="zh-CN"/>
                    </w:rPr>
                    <w:t>900-249-08</w:t>
                  </w:r>
                </w:p>
              </w:tc>
              <w:tc>
                <w:tcPr>
                  <w:tcW w:w="615" w:type="pct"/>
                  <w:tcBorders>
                    <w:tl2br w:val="nil"/>
                    <w:tr2bl w:val="nil"/>
                  </w:tcBorders>
                  <w:shd w:val="clear" w:color="auto" w:fill="auto"/>
                  <w:vAlign w:val="center"/>
                </w:tcPr>
                <w:p w14:paraId="6948C1B1">
                  <w:pPr>
                    <w:pStyle w:val="17"/>
                    <w:bidi w:val="0"/>
                    <w:rPr>
                      <w:rFonts w:hint="default"/>
                      <w:b w:val="0"/>
                      <w:color w:val="000000"/>
                      <w:sz w:val="21"/>
                      <w:szCs w:val="21"/>
                      <w:lang w:val="en-US" w:eastAsia="zh-CN"/>
                    </w:rPr>
                  </w:pPr>
                  <w:r>
                    <w:rPr>
                      <w:rFonts w:hint="eastAsia"/>
                      <w:b w:val="0"/>
                      <w:color w:val="000000"/>
                      <w:sz w:val="21"/>
                      <w:szCs w:val="21"/>
                      <w:lang w:val="en-US" w:eastAsia="zh-CN"/>
                    </w:rPr>
                    <w:t>0.2</w:t>
                  </w:r>
                </w:p>
              </w:tc>
              <w:tc>
                <w:tcPr>
                  <w:tcW w:w="402" w:type="pct"/>
                  <w:tcBorders>
                    <w:tl2br w:val="nil"/>
                    <w:tr2bl w:val="nil"/>
                  </w:tcBorders>
                  <w:shd w:val="clear" w:color="auto" w:fill="auto"/>
                  <w:vAlign w:val="center"/>
                </w:tcPr>
                <w:p w14:paraId="4CFB06B0">
                  <w:pPr>
                    <w:pStyle w:val="17"/>
                    <w:bidi w:val="0"/>
                    <w:rPr>
                      <w:rFonts w:hint="eastAsia"/>
                      <w:b w:val="0"/>
                      <w:color w:val="000000"/>
                      <w:sz w:val="21"/>
                      <w:szCs w:val="21"/>
                      <w:lang w:val="en-US" w:eastAsia="zh-CN"/>
                    </w:rPr>
                  </w:pPr>
                  <w:r>
                    <w:rPr>
                      <w:rFonts w:hint="eastAsia"/>
                      <w:b w:val="0"/>
                      <w:color w:val="000000"/>
                      <w:sz w:val="21"/>
                      <w:szCs w:val="21"/>
                      <w:lang w:val="en-US" w:eastAsia="zh-CN"/>
                    </w:rPr>
                    <w:t>机械维修</w:t>
                  </w:r>
                </w:p>
              </w:tc>
              <w:tc>
                <w:tcPr>
                  <w:tcW w:w="273" w:type="pct"/>
                  <w:tcBorders>
                    <w:tl2br w:val="nil"/>
                    <w:tr2bl w:val="nil"/>
                  </w:tcBorders>
                  <w:shd w:val="clear" w:color="auto" w:fill="auto"/>
                  <w:vAlign w:val="center"/>
                </w:tcPr>
                <w:p w14:paraId="42E65D85">
                  <w:pPr>
                    <w:pStyle w:val="17"/>
                    <w:bidi w:val="0"/>
                    <w:rPr>
                      <w:rFonts w:hint="default"/>
                      <w:b w:val="0"/>
                      <w:color w:val="000000"/>
                      <w:lang w:val="en-US" w:eastAsia="zh-CN"/>
                    </w:rPr>
                  </w:pPr>
                  <w:r>
                    <w:rPr>
                      <w:rFonts w:hint="eastAsia"/>
                      <w:b w:val="0"/>
                      <w:color w:val="000000"/>
                      <w:lang w:val="en-US" w:eastAsia="zh-CN"/>
                    </w:rPr>
                    <w:t>固体</w:t>
                  </w:r>
                </w:p>
              </w:tc>
              <w:tc>
                <w:tcPr>
                  <w:tcW w:w="392" w:type="pct"/>
                  <w:tcBorders>
                    <w:tl2br w:val="nil"/>
                    <w:tr2bl w:val="nil"/>
                  </w:tcBorders>
                  <w:shd w:val="clear" w:color="auto" w:fill="auto"/>
                  <w:vAlign w:val="center"/>
                </w:tcPr>
                <w:p w14:paraId="3B6AB150">
                  <w:pPr>
                    <w:pStyle w:val="17"/>
                    <w:bidi w:val="0"/>
                    <w:rPr>
                      <w:rFonts w:hint="default"/>
                      <w:b w:val="0"/>
                      <w:color w:val="000000"/>
                      <w:lang w:val="en-US" w:eastAsia="zh-CN"/>
                    </w:rPr>
                  </w:pPr>
                  <w:r>
                    <w:rPr>
                      <w:rFonts w:hint="eastAsia"/>
                      <w:b w:val="0"/>
                      <w:color w:val="000000"/>
                      <w:lang w:val="en-US" w:eastAsia="zh-CN"/>
                    </w:rPr>
                    <w:t>一年一次</w:t>
                  </w:r>
                </w:p>
              </w:tc>
              <w:tc>
                <w:tcPr>
                  <w:tcW w:w="266" w:type="pct"/>
                  <w:tcBorders>
                    <w:tl2br w:val="nil"/>
                    <w:tr2bl w:val="nil"/>
                  </w:tcBorders>
                  <w:shd w:val="clear" w:color="auto" w:fill="auto"/>
                  <w:vAlign w:val="center"/>
                </w:tcPr>
                <w:p w14:paraId="2E5E3CF1">
                  <w:pPr>
                    <w:pStyle w:val="17"/>
                    <w:bidi w:val="0"/>
                    <w:rPr>
                      <w:rFonts w:hint="eastAsia"/>
                      <w:b w:val="0"/>
                      <w:color w:val="000000"/>
                      <w:lang w:val="en-US" w:eastAsia="zh-CN"/>
                    </w:rPr>
                  </w:pPr>
                  <w:r>
                    <w:rPr>
                      <w:rFonts w:hint="eastAsia"/>
                      <w:b w:val="0"/>
                      <w:color w:val="000000"/>
                      <w:lang w:val="en-US" w:eastAsia="zh-CN"/>
                    </w:rPr>
                    <w:t>T, I</w:t>
                  </w:r>
                </w:p>
              </w:tc>
              <w:tc>
                <w:tcPr>
                  <w:tcW w:w="553" w:type="pct"/>
                  <w:tcBorders>
                    <w:tl2br w:val="nil"/>
                    <w:tr2bl w:val="nil"/>
                  </w:tcBorders>
                  <w:shd w:val="clear" w:color="auto" w:fill="auto"/>
                  <w:vAlign w:val="center"/>
                </w:tcPr>
                <w:p w14:paraId="1CA3548A">
                  <w:pPr>
                    <w:pStyle w:val="17"/>
                    <w:bidi w:val="0"/>
                    <w:rPr>
                      <w:rFonts w:hint="eastAsia"/>
                      <w:b w:val="0"/>
                      <w:color w:val="000000"/>
                      <w:lang w:eastAsia="zh-CN"/>
                    </w:rPr>
                  </w:pPr>
                  <w:r>
                    <w:rPr>
                      <w:rFonts w:hint="eastAsia"/>
                      <w:b w:val="0"/>
                      <w:color w:val="000000"/>
                      <w:lang w:val="en-US" w:eastAsia="zh-CN"/>
                    </w:rPr>
                    <w:t>委托有处理资质的单位处理</w:t>
                  </w:r>
                </w:p>
              </w:tc>
            </w:tr>
            <w:tr w14:paraId="70E7339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87" w:type="pct"/>
                  <w:tcBorders>
                    <w:tl2br w:val="nil"/>
                    <w:tr2bl w:val="nil"/>
                  </w:tcBorders>
                  <w:shd w:val="clear" w:color="auto" w:fill="auto"/>
                  <w:vAlign w:val="center"/>
                </w:tcPr>
                <w:p w14:paraId="4D29DC2F">
                  <w:pPr>
                    <w:pStyle w:val="17"/>
                    <w:bidi w:val="0"/>
                    <w:rPr>
                      <w:rFonts w:hint="eastAsia" w:ascii="Times New Roman" w:hAnsi="Times New Roman" w:eastAsia="宋体" w:cs="Times New Roman"/>
                      <w:b w:val="0"/>
                      <w:color w:val="000000"/>
                      <w:kern w:val="0"/>
                      <w:sz w:val="24"/>
                      <w:szCs w:val="24"/>
                      <w:lang w:val="en-US" w:eastAsia="zh-CN" w:bidi="ar"/>
                    </w:rPr>
                  </w:pPr>
                  <w:r>
                    <w:rPr>
                      <w:rFonts w:hint="eastAsia"/>
                      <w:b w:val="0"/>
                      <w:color w:val="000000"/>
                      <w:lang w:eastAsia="zh-CN"/>
                    </w:rPr>
                    <w:t>含油</w:t>
                  </w:r>
                  <w:r>
                    <w:rPr>
                      <w:rFonts w:hint="eastAsia"/>
                      <w:b w:val="0"/>
                      <w:color w:val="000000"/>
                      <w:lang w:val="en-US" w:eastAsia="zh-CN"/>
                    </w:rPr>
                    <w:t>手套、抹布</w:t>
                  </w:r>
                </w:p>
              </w:tc>
              <w:tc>
                <w:tcPr>
                  <w:tcW w:w="257" w:type="pct"/>
                  <w:vMerge w:val="continue"/>
                  <w:tcBorders>
                    <w:tl2br w:val="nil"/>
                    <w:tr2bl w:val="nil"/>
                  </w:tcBorders>
                  <w:shd w:val="clear" w:color="auto" w:fill="auto"/>
                  <w:vAlign w:val="center"/>
                </w:tcPr>
                <w:p w14:paraId="097EB052">
                  <w:pPr>
                    <w:pStyle w:val="17"/>
                    <w:bidi w:val="0"/>
                    <w:rPr>
                      <w:rFonts w:hint="eastAsia"/>
                      <w:b w:val="0"/>
                      <w:color w:val="000000"/>
                      <w:lang w:val="en-US" w:eastAsia="zh-CN"/>
                    </w:rPr>
                  </w:pPr>
                </w:p>
              </w:tc>
              <w:tc>
                <w:tcPr>
                  <w:tcW w:w="497" w:type="pct"/>
                  <w:tcBorders>
                    <w:tl2br w:val="nil"/>
                    <w:tr2bl w:val="nil"/>
                  </w:tcBorders>
                  <w:shd w:val="clear" w:color="auto" w:fill="auto"/>
                  <w:vAlign w:val="center"/>
                </w:tcPr>
                <w:p w14:paraId="74006EE1">
                  <w:pPr>
                    <w:pStyle w:val="17"/>
                    <w:bidi w:val="0"/>
                    <w:rPr>
                      <w:rFonts w:hint="default"/>
                      <w:b w:val="0"/>
                      <w:color w:val="000000"/>
                      <w:lang w:val="en-US" w:eastAsia="zh-CN"/>
                    </w:rPr>
                  </w:pPr>
                  <w:r>
                    <w:rPr>
                      <w:rFonts w:hint="default"/>
                      <w:b w:val="0"/>
                      <w:color w:val="000000"/>
                      <w:lang w:val="en-US" w:eastAsia="zh-CN"/>
                    </w:rPr>
                    <w:t>HW49</w:t>
                  </w:r>
                  <w:r>
                    <w:rPr>
                      <w:rFonts w:hint="eastAsia"/>
                      <w:b w:val="0"/>
                      <w:color w:val="000000"/>
                      <w:lang w:val="en-US" w:eastAsia="zh-CN"/>
                    </w:rPr>
                    <w:t>其他废物</w:t>
                  </w:r>
                </w:p>
              </w:tc>
              <w:tc>
                <w:tcPr>
                  <w:tcW w:w="473" w:type="pct"/>
                  <w:tcBorders>
                    <w:tl2br w:val="nil"/>
                    <w:tr2bl w:val="nil"/>
                  </w:tcBorders>
                  <w:shd w:val="clear" w:color="auto" w:fill="auto"/>
                  <w:vAlign w:val="center"/>
                </w:tcPr>
                <w:p w14:paraId="583969AA">
                  <w:pPr>
                    <w:pStyle w:val="17"/>
                    <w:bidi w:val="0"/>
                    <w:rPr>
                      <w:rFonts w:hint="eastAsia"/>
                      <w:b w:val="0"/>
                      <w:color w:val="000000"/>
                      <w:sz w:val="21"/>
                      <w:szCs w:val="21"/>
                      <w:lang w:val="en-US" w:eastAsia="zh-CN"/>
                    </w:rPr>
                  </w:pPr>
                  <w:r>
                    <w:rPr>
                      <w:rFonts w:hint="eastAsia"/>
                      <w:b w:val="0"/>
                      <w:color w:val="000000"/>
                      <w:sz w:val="21"/>
                      <w:szCs w:val="21"/>
                      <w:lang w:val="en-US" w:eastAsia="zh-CN"/>
                    </w:rPr>
                    <w:t>矿物油</w:t>
                  </w:r>
                </w:p>
              </w:tc>
              <w:tc>
                <w:tcPr>
                  <w:tcW w:w="879" w:type="pct"/>
                  <w:tcBorders>
                    <w:tl2br w:val="nil"/>
                    <w:tr2bl w:val="nil"/>
                  </w:tcBorders>
                  <w:shd w:val="clear" w:color="auto" w:fill="auto"/>
                  <w:vAlign w:val="center"/>
                </w:tcPr>
                <w:p w14:paraId="71CCA333">
                  <w:pPr>
                    <w:pStyle w:val="17"/>
                    <w:bidi w:val="0"/>
                    <w:rPr>
                      <w:rFonts w:hint="eastAsia"/>
                      <w:b w:val="0"/>
                      <w:color w:val="000000"/>
                      <w:sz w:val="21"/>
                      <w:szCs w:val="21"/>
                      <w:lang w:val="en-US" w:eastAsia="zh-CN"/>
                    </w:rPr>
                  </w:pPr>
                  <w:r>
                    <w:rPr>
                      <w:rFonts w:hint="eastAsia"/>
                      <w:b w:val="0"/>
                      <w:color w:val="000000"/>
                      <w:sz w:val="21"/>
                      <w:szCs w:val="21"/>
                      <w:lang w:val="en-US" w:eastAsia="zh-CN"/>
                    </w:rPr>
                    <w:t>900-041-49</w:t>
                  </w:r>
                </w:p>
              </w:tc>
              <w:tc>
                <w:tcPr>
                  <w:tcW w:w="615" w:type="pct"/>
                  <w:tcBorders>
                    <w:tl2br w:val="nil"/>
                    <w:tr2bl w:val="nil"/>
                  </w:tcBorders>
                  <w:shd w:val="clear" w:color="auto" w:fill="auto"/>
                  <w:vAlign w:val="center"/>
                </w:tcPr>
                <w:p w14:paraId="2995EE9A">
                  <w:pPr>
                    <w:pStyle w:val="17"/>
                    <w:bidi w:val="0"/>
                    <w:rPr>
                      <w:rFonts w:hint="default"/>
                      <w:b w:val="0"/>
                      <w:color w:val="000000"/>
                      <w:sz w:val="21"/>
                      <w:szCs w:val="21"/>
                      <w:lang w:val="en-US" w:eastAsia="zh-CN"/>
                    </w:rPr>
                  </w:pPr>
                  <w:r>
                    <w:rPr>
                      <w:rFonts w:hint="eastAsia"/>
                      <w:b w:val="0"/>
                      <w:color w:val="000000"/>
                      <w:sz w:val="21"/>
                      <w:szCs w:val="21"/>
                      <w:lang w:val="en-US" w:eastAsia="zh-CN"/>
                    </w:rPr>
                    <w:t>0.05</w:t>
                  </w:r>
                </w:p>
              </w:tc>
              <w:tc>
                <w:tcPr>
                  <w:tcW w:w="402" w:type="pct"/>
                  <w:tcBorders>
                    <w:tl2br w:val="nil"/>
                    <w:tr2bl w:val="nil"/>
                  </w:tcBorders>
                  <w:shd w:val="clear" w:color="auto" w:fill="auto"/>
                  <w:vAlign w:val="center"/>
                </w:tcPr>
                <w:p w14:paraId="521EB5C3">
                  <w:pPr>
                    <w:pStyle w:val="17"/>
                    <w:bidi w:val="0"/>
                    <w:rPr>
                      <w:rFonts w:hint="eastAsia"/>
                      <w:b w:val="0"/>
                      <w:color w:val="000000"/>
                      <w:sz w:val="21"/>
                      <w:szCs w:val="21"/>
                      <w:lang w:val="en-US" w:eastAsia="zh-CN"/>
                    </w:rPr>
                  </w:pPr>
                  <w:r>
                    <w:rPr>
                      <w:rFonts w:hint="eastAsia"/>
                      <w:b w:val="0"/>
                      <w:color w:val="000000"/>
                      <w:sz w:val="21"/>
                      <w:szCs w:val="21"/>
                      <w:lang w:val="en-US" w:eastAsia="zh-CN"/>
                    </w:rPr>
                    <w:t>机械维修</w:t>
                  </w:r>
                </w:p>
              </w:tc>
              <w:tc>
                <w:tcPr>
                  <w:tcW w:w="273" w:type="pct"/>
                  <w:tcBorders>
                    <w:tl2br w:val="nil"/>
                    <w:tr2bl w:val="nil"/>
                  </w:tcBorders>
                  <w:shd w:val="clear" w:color="auto" w:fill="auto"/>
                  <w:vAlign w:val="center"/>
                </w:tcPr>
                <w:p w14:paraId="28F7156C">
                  <w:pPr>
                    <w:pStyle w:val="17"/>
                    <w:bidi w:val="0"/>
                    <w:rPr>
                      <w:rFonts w:hint="eastAsia"/>
                      <w:b w:val="0"/>
                      <w:color w:val="000000"/>
                      <w:lang w:eastAsia="zh-CN"/>
                    </w:rPr>
                  </w:pPr>
                  <w:r>
                    <w:rPr>
                      <w:rFonts w:hint="eastAsia"/>
                      <w:b w:val="0"/>
                      <w:color w:val="000000"/>
                      <w:lang w:val="en-US" w:eastAsia="zh-CN"/>
                    </w:rPr>
                    <w:t>固体</w:t>
                  </w:r>
                </w:p>
              </w:tc>
              <w:tc>
                <w:tcPr>
                  <w:tcW w:w="392" w:type="pct"/>
                  <w:tcBorders>
                    <w:tl2br w:val="nil"/>
                    <w:tr2bl w:val="nil"/>
                  </w:tcBorders>
                  <w:shd w:val="clear" w:color="auto" w:fill="auto"/>
                  <w:vAlign w:val="center"/>
                </w:tcPr>
                <w:p w14:paraId="4203B4B4">
                  <w:pPr>
                    <w:pStyle w:val="17"/>
                    <w:bidi w:val="0"/>
                    <w:ind w:left="0" w:leftChars="0" w:right="0" w:rightChars="0" w:firstLine="0" w:firstLineChars="0"/>
                    <w:rPr>
                      <w:rFonts w:hint="default" w:ascii="Times New Roman" w:hAnsi="Times New Roman" w:eastAsia="宋体" w:cs="宋体"/>
                      <w:b w:val="0"/>
                      <w:color w:val="000000"/>
                      <w:sz w:val="21"/>
                      <w:szCs w:val="30"/>
                      <w:lang w:val="en-US" w:eastAsia="zh-CN" w:bidi="ar-SA"/>
                    </w:rPr>
                  </w:pPr>
                  <w:r>
                    <w:rPr>
                      <w:rFonts w:hint="eastAsia"/>
                      <w:b w:val="0"/>
                      <w:color w:val="000000"/>
                      <w:lang w:val="en-US" w:eastAsia="zh-CN"/>
                    </w:rPr>
                    <w:t>一年一次</w:t>
                  </w:r>
                </w:p>
              </w:tc>
              <w:tc>
                <w:tcPr>
                  <w:tcW w:w="266" w:type="pct"/>
                  <w:tcBorders>
                    <w:tl2br w:val="nil"/>
                    <w:tr2bl w:val="nil"/>
                  </w:tcBorders>
                  <w:shd w:val="clear" w:color="auto" w:fill="auto"/>
                  <w:vAlign w:val="center"/>
                </w:tcPr>
                <w:p w14:paraId="07B175F1">
                  <w:pPr>
                    <w:pStyle w:val="17"/>
                    <w:bidi w:val="0"/>
                    <w:ind w:left="0" w:leftChars="0" w:right="0" w:rightChars="0" w:firstLine="0" w:firstLineChars="0"/>
                    <w:rPr>
                      <w:rFonts w:hint="default" w:ascii="Times New Roman" w:hAnsi="Times New Roman" w:eastAsia="宋体" w:cs="宋体"/>
                      <w:b w:val="0"/>
                      <w:color w:val="000000"/>
                      <w:sz w:val="21"/>
                      <w:szCs w:val="30"/>
                      <w:lang w:val="en-US" w:eastAsia="zh-CN" w:bidi="ar-SA"/>
                    </w:rPr>
                  </w:pPr>
                  <w:r>
                    <w:rPr>
                      <w:rFonts w:hint="eastAsia"/>
                      <w:b w:val="0"/>
                      <w:color w:val="000000"/>
                      <w:lang w:val="en-US" w:eastAsia="zh-CN"/>
                    </w:rPr>
                    <w:t>T, In</w:t>
                  </w:r>
                </w:p>
              </w:tc>
              <w:tc>
                <w:tcPr>
                  <w:tcW w:w="553" w:type="pct"/>
                  <w:tcBorders>
                    <w:tl2br w:val="nil"/>
                    <w:tr2bl w:val="nil"/>
                  </w:tcBorders>
                  <w:shd w:val="clear" w:color="auto" w:fill="auto"/>
                  <w:vAlign w:val="center"/>
                </w:tcPr>
                <w:p w14:paraId="0CD3847E">
                  <w:pPr>
                    <w:pStyle w:val="17"/>
                    <w:bidi w:val="0"/>
                    <w:rPr>
                      <w:rFonts w:hint="default"/>
                      <w:b w:val="0"/>
                      <w:color w:val="000000"/>
                      <w:lang w:val="en-US" w:eastAsia="zh-CN"/>
                    </w:rPr>
                  </w:pPr>
                  <w:r>
                    <w:rPr>
                      <w:rFonts w:hint="eastAsia"/>
                      <w:b w:val="0"/>
                      <w:color w:val="000000"/>
                      <w:lang w:val="en-US" w:eastAsia="zh-CN"/>
                    </w:rPr>
                    <w:t>委托有处理资质的单位处理</w:t>
                  </w:r>
                </w:p>
              </w:tc>
            </w:tr>
          </w:tbl>
          <w:p w14:paraId="3C6B0B5F">
            <w:pPr>
              <w:pStyle w:val="3"/>
              <w:pageBreakBefore w:val="0"/>
              <w:numPr>
                <w:ilvl w:val="0"/>
                <w:numId w:val="0"/>
              </w:numPr>
              <w:suppressLineNumbers w:val="0"/>
              <w:wordWrap/>
              <w:overflowPunct/>
              <w:topLinePunct w:val="0"/>
              <w:bidi w:val="0"/>
              <w:adjustRightInd/>
              <w:snapToGrid/>
              <w:spacing w:before="0" w:beforeAutospacing="0" w:after="0" w:afterAutospacing="0" w:line="360" w:lineRule="auto"/>
              <w:ind w:left="0" w:leftChars="0" w:right="0" w:rightChars="0" w:firstLine="0" w:firstLineChars="0"/>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7.地下水环境影响分析</w:t>
            </w:r>
          </w:p>
          <w:p w14:paraId="765B0777">
            <w:pPr>
              <w:pStyle w:val="1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color w:val="000000"/>
                <w:spacing w:val="0"/>
                <w:kern w:val="0"/>
                <w:sz w:val="24"/>
                <w:szCs w:val="24"/>
                <w:lang w:val="en-US" w:eastAsia="zh-CN" w:bidi="ar-SA"/>
              </w:rPr>
            </w:pPr>
            <w:r>
              <w:rPr>
                <w:rFonts w:hint="default" w:ascii="Times New Roman" w:hAnsi="Times New Roman" w:eastAsia="宋体" w:cs="Times New Roman"/>
                <w:b w:val="0"/>
                <w:bCs/>
                <w:color w:val="000000"/>
                <w:spacing w:val="0"/>
                <w:kern w:val="0"/>
                <w:sz w:val="24"/>
                <w:szCs w:val="24"/>
                <w:lang w:val="en-US" w:eastAsia="zh-CN" w:bidi="ar-SA"/>
              </w:rPr>
              <w:t>项目</w:t>
            </w:r>
            <w:r>
              <w:rPr>
                <w:rFonts w:hint="eastAsia" w:cs="Times New Roman"/>
                <w:b w:val="0"/>
                <w:bCs/>
                <w:color w:val="000000"/>
                <w:spacing w:val="0"/>
                <w:kern w:val="0"/>
                <w:sz w:val="24"/>
                <w:szCs w:val="24"/>
                <w:lang w:val="en-US" w:eastAsia="zh-CN" w:bidi="ar-SA"/>
              </w:rPr>
              <w:t>不涉及地下水开采使用，无废水外排，无地下水污染途径，因此项目运营期</w:t>
            </w:r>
            <w:r>
              <w:rPr>
                <w:rFonts w:hint="default" w:ascii="Times New Roman" w:hAnsi="Times New Roman" w:eastAsia="宋体" w:cs="Times New Roman"/>
                <w:b w:val="0"/>
                <w:bCs/>
                <w:color w:val="000000"/>
                <w:spacing w:val="0"/>
                <w:kern w:val="0"/>
                <w:sz w:val="24"/>
                <w:szCs w:val="24"/>
                <w:lang w:val="en-US" w:eastAsia="zh-CN" w:bidi="ar-SA"/>
              </w:rPr>
              <w:t>不会对地下水产生</w:t>
            </w:r>
            <w:r>
              <w:rPr>
                <w:rFonts w:hint="eastAsia" w:cs="Times New Roman"/>
                <w:b w:val="0"/>
                <w:bCs/>
                <w:color w:val="000000"/>
                <w:spacing w:val="0"/>
                <w:kern w:val="0"/>
                <w:sz w:val="24"/>
                <w:szCs w:val="24"/>
                <w:lang w:val="en-US" w:eastAsia="zh-CN" w:bidi="ar-SA"/>
              </w:rPr>
              <w:t>污染</w:t>
            </w:r>
            <w:r>
              <w:rPr>
                <w:rFonts w:hint="default" w:ascii="Times New Roman" w:hAnsi="Times New Roman" w:eastAsia="宋体" w:cs="Times New Roman"/>
                <w:b w:val="0"/>
                <w:bCs/>
                <w:color w:val="000000"/>
                <w:spacing w:val="0"/>
                <w:kern w:val="0"/>
                <w:sz w:val="24"/>
                <w:szCs w:val="24"/>
                <w:lang w:val="en-US" w:eastAsia="zh-CN" w:bidi="ar-SA"/>
              </w:rPr>
              <w:t>影响。</w:t>
            </w:r>
          </w:p>
          <w:p w14:paraId="7B1B850B">
            <w:pPr>
              <w:pStyle w:val="3"/>
              <w:pageBreakBefore w:val="0"/>
              <w:numPr>
                <w:ilvl w:val="0"/>
                <w:numId w:val="0"/>
              </w:numPr>
              <w:suppressLineNumbers w:val="0"/>
              <w:wordWrap/>
              <w:overflowPunct/>
              <w:topLinePunct w:val="0"/>
              <w:bidi w:val="0"/>
              <w:adjustRightInd/>
              <w:snapToGrid/>
              <w:spacing w:before="0" w:beforeAutospacing="0" w:after="0" w:afterAutospacing="0" w:line="360" w:lineRule="auto"/>
              <w:ind w:left="0" w:leftChars="0" w:right="0" w:rightChars="0" w:firstLine="0" w:firstLineChars="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8.对土地利用类型的影响分析</w:t>
            </w:r>
          </w:p>
          <w:p w14:paraId="233B19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项目建设对土壤的影响范围较广，包括永久占地以及临时占地的所有区域，主要影响表现在：改变了土地地表覆盖层的类型及性质、土壤的坚实度、通透性和机械物理性质。工程建设期间临时征用的所有土地，主要为临时运输道路等占地，施工结束后简易硬化为矿区进出道路。项目在运营期</w:t>
            </w:r>
            <w:r>
              <w:rPr>
                <w:rFonts w:hint="eastAsia" w:cs="Times New Roman"/>
                <w:color w:val="000000"/>
                <w:kern w:val="2"/>
                <w:sz w:val="24"/>
                <w:szCs w:val="24"/>
                <w:lang w:val="en-US" w:eastAsia="zh-CN" w:bidi="ar-SA"/>
              </w:rPr>
              <w:t>会造成</w:t>
            </w:r>
            <w:r>
              <w:rPr>
                <w:rFonts w:hint="eastAsia" w:ascii="Times New Roman" w:hAnsi="Times New Roman" w:eastAsia="宋体" w:cs="Times New Roman"/>
                <w:color w:val="000000"/>
                <w:kern w:val="2"/>
                <w:sz w:val="24"/>
                <w:szCs w:val="24"/>
                <w:lang w:val="en-US" w:eastAsia="zh-CN" w:bidi="ar-SA"/>
              </w:rPr>
              <w:t>区域土地利用格局发生了变化，闭矿后对项目区进行复垦。因此，项目复垦后能够与之前相协调。</w:t>
            </w:r>
          </w:p>
          <w:p w14:paraId="3AC56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9.运营期环境风险影响分析</w:t>
            </w:r>
          </w:p>
          <w:p w14:paraId="6D9D86B0">
            <w:pPr>
              <w:pStyle w:val="3"/>
              <w:bidi w:val="0"/>
              <w:ind w:firstLine="482" w:firstLineChars="200"/>
              <w:rPr>
                <w:rFonts w:hint="default"/>
                <w:lang w:val="en-US" w:eastAsia="zh-CN"/>
              </w:rPr>
            </w:pPr>
            <w:r>
              <w:rPr>
                <w:rFonts w:hint="eastAsia" w:ascii="Times New Roman" w:hAnsi="Times New Roman" w:eastAsia="宋体" w:cs="Times New Roman"/>
                <w:b/>
                <w:bCs/>
                <w:color w:val="000000"/>
                <w:kern w:val="2"/>
                <w:sz w:val="24"/>
                <w:szCs w:val="24"/>
                <w:lang w:val="en-US" w:eastAsia="zh-CN" w:bidi="ar-SA"/>
              </w:rPr>
              <w:t>9.1环</w:t>
            </w:r>
            <w:r>
              <w:rPr>
                <w:rFonts w:hint="eastAsia"/>
              </w:rPr>
              <w:t>境风险物质识别</w:t>
            </w:r>
          </w:p>
          <w:p w14:paraId="363FF832">
            <w:pPr>
              <w:pStyle w:val="15"/>
              <w:rPr>
                <w:rFonts w:hint="eastAsia"/>
                <w:lang w:val="en-US" w:eastAsia="zh-CN"/>
              </w:rPr>
            </w:pPr>
            <w:r>
              <w:rPr>
                <w:rFonts w:hint="eastAsia"/>
                <w:lang w:val="en-US" w:eastAsia="zh-CN"/>
              </w:rPr>
              <w:t>根据</w:t>
            </w:r>
            <w:r>
              <w:rPr>
                <w:rFonts w:hint="default"/>
                <w:lang w:val="en-US" w:eastAsia="zh-CN"/>
              </w:rPr>
              <w:t>《建设项目环境风险评价技术导则》（HJ169-2018）附录B</w:t>
            </w:r>
            <w:r>
              <w:rPr>
                <w:rFonts w:hint="eastAsia"/>
                <w:lang w:val="en-US" w:eastAsia="zh-CN"/>
              </w:rPr>
              <w:t>判定，本项目的环境风险物质为废润滑油、煤炭，遇明火易引发火灾，从而污染地下水和土壤。考虑废润滑油不在项目区范围内贮存，本次重点考虑运输的煤炭风险。危险物质分布情况如下表4-10。</w:t>
            </w:r>
          </w:p>
          <w:p w14:paraId="0E4B1974">
            <w:pPr>
              <w:pStyle w:val="13"/>
              <w:bidi w:val="0"/>
              <w:rPr>
                <w:rFonts w:hint="default"/>
                <w:lang w:val="en-US" w:eastAsia="zh-CN"/>
              </w:rPr>
            </w:pPr>
            <w:r>
              <w:rPr>
                <w:rFonts w:hint="eastAsia"/>
                <w:lang w:val="en-US" w:eastAsia="zh-CN"/>
              </w:rPr>
              <w:t>表4-10    环境风险物质识别表</w:t>
            </w:r>
          </w:p>
          <w:tbl>
            <w:tblPr>
              <w:tblStyle w:val="42"/>
              <w:tblW w:w="4994" w:type="pct"/>
              <w:tblInd w:w="0"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852"/>
              <w:gridCol w:w="881"/>
              <w:gridCol w:w="1009"/>
              <w:gridCol w:w="719"/>
              <w:gridCol w:w="816"/>
              <w:gridCol w:w="1146"/>
              <w:gridCol w:w="1082"/>
              <w:gridCol w:w="1285"/>
            </w:tblGrid>
            <w:tr w14:paraId="1D146BF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546" w:type="pct"/>
                  <w:tcBorders>
                    <w:tl2br w:val="nil"/>
                    <w:tr2bl w:val="nil"/>
                  </w:tcBorders>
                  <w:shd w:val="clear" w:color="auto" w:fill="auto"/>
                  <w:noWrap w:val="0"/>
                  <w:vAlign w:val="center"/>
                </w:tcPr>
                <w:p w14:paraId="13BAF468">
                  <w:pPr>
                    <w:pStyle w:val="5"/>
                    <w:bidi w:val="0"/>
                    <w:rPr>
                      <w:rFonts w:hint="default"/>
                      <w:b/>
                      <w:bCs w:val="0"/>
                      <w:color w:val="000000"/>
                      <w:lang w:val="en-US" w:eastAsia="zh-CN"/>
                    </w:rPr>
                  </w:pPr>
                  <w:r>
                    <w:rPr>
                      <w:rFonts w:hint="eastAsia"/>
                      <w:b/>
                      <w:bCs w:val="0"/>
                      <w:color w:val="000000"/>
                      <w:lang w:val="en-US" w:eastAsia="zh-CN"/>
                    </w:rPr>
                    <w:t>危险物质</w:t>
                  </w:r>
                </w:p>
              </w:tc>
              <w:tc>
                <w:tcPr>
                  <w:tcW w:w="565" w:type="pct"/>
                  <w:tcBorders>
                    <w:tl2br w:val="nil"/>
                    <w:tr2bl w:val="nil"/>
                  </w:tcBorders>
                  <w:shd w:val="clear" w:color="auto" w:fill="auto"/>
                  <w:noWrap w:val="0"/>
                  <w:vAlign w:val="center"/>
                </w:tcPr>
                <w:p w14:paraId="4EE2CAAE">
                  <w:pPr>
                    <w:pStyle w:val="5"/>
                    <w:bidi w:val="0"/>
                    <w:rPr>
                      <w:rFonts w:hint="default"/>
                      <w:b/>
                      <w:bCs w:val="0"/>
                      <w:color w:val="000000"/>
                      <w:lang w:val="en-US" w:eastAsia="zh-CN"/>
                    </w:rPr>
                  </w:pPr>
                  <w:r>
                    <w:rPr>
                      <w:rFonts w:hint="eastAsia"/>
                      <w:b/>
                      <w:bCs w:val="0"/>
                      <w:color w:val="000000"/>
                      <w:lang w:val="en-US" w:eastAsia="zh-CN"/>
                    </w:rPr>
                    <w:t>使用量（t/a）</w:t>
                  </w:r>
                </w:p>
              </w:tc>
              <w:tc>
                <w:tcPr>
                  <w:tcW w:w="647" w:type="pct"/>
                  <w:tcBorders>
                    <w:tl2br w:val="nil"/>
                    <w:tr2bl w:val="nil"/>
                  </w:tcBorders>
                  <w:shd w:val="clear" w:color="auto" w:fill="auto"/>
                  <w:noWrap w:val="0"/>
                  <w:vAlign w:val="center"/>
                </w:tcPr>
                <w:p w14:paraId="5B850B38">
                  <w:pPr>
                    <w:pStyle w:val="5"/>
                    <w:bidi w:val="0"/>
                    <w:rPr>
                      <w:rFonts w:hint="eastAsia"/>
                      <w:b/>
                      <w:bCs w:val="0"/>
                      <w:color w:val="000000"/>
                      <w:lang w:val="en-US" w:eastAsia="zh-CN"/>
                    </w:rPr>
                  </w:pPr>
                  <w:r>
                    <w:rPr>
                      <w:rFonts w:hint="eastAsia"/>
                      <w:b/>
                      <w:bCs w:val="0"/>
                      <w:color w:val="000000"/>
                      <w:lang w:val="en-US" w:eastAsia="zh-CN"/>
                    </w:rPr>
                    <w:t>最大储存量（t/a）</w:t>
                  </w:r>
                </w:p>
              </w:tc>
              <w:tc>
                <w:tcPr>
                  <w:tcW w:w="461" w:type="pct"/>
                  <w:tcBorders>
                    <w:tl2br w:val="nil"/>
                    <w:tr2bl w:val="nil"/>
                  </w:tcBorders>
                  <w:shd w:val="clear" w:color="auto" w:fill="auto"/>
                  <w:noWrap w:val="0"/>
                  <w:vAlign w:val="center"/>
                </w:tcPr>
                <w:p w14:paraId="4E0E7B22">
                  <w:pPr>
                    <w:pStyle w:val="5"/>
                    <w:bidi w:val="0"/>
                    <w:rPr>
                      <w:rFonts w:hint="eastAsia"/>
                      <w:b/>
                      <w:bCs w:val="0"/>
                      <w:color w:val="000000"/>
                      <w:lang w:val="en-US" w:eastAsia="zh-CN"/>
                    </w:rPr>
                  </w:pPr>
                  <w:r>
                    <w:rPr>
                      <w:rFonts w:hint="eastAsia"/>
                      <w:b/>
                      <w:bCs w:val="0"/>
                      <w:color w:val="000000"/>
                      <w:lang w:val="en-US" w:eastAsia="zh-CN"/>
                    </w:rPr>
                    <w:t>临界量（t）</w:t>
                  </w:r>
                </w:p>
              </w:tc>
              <w:tc>
                <w:tcPr>
                  <w:tcW w:w="523" w:type="pct"/>
                  <w:tcBorders>
                    <w:tl2br w:val="nil"/>
                    <w:tr2bl w:val="nil"/>
                  </w:tcBorders>
                  <w:shd w:val="clear" w:color="auto" w:fill="auto"/>
                  <w:noWrap w:val="0"/>
                  <w:vAlign w:val="center"/>
                </w:tcPr>
                <w:p w14:paraId="4B12E895">
                  <w:pPr>
                    <w:pStyle w:val="5"/>
                    <w:bidi w:val="0"/>
                    <w:rPr>
                      <w:rFonts w:hint="eastAsia"/>
                      <w:b/>
                      <w:bCs w:val="0"/>
                      <w:color w:val="000000"/>
                      <w:lang w:val="en-US" w:eastAsia="zh-CN"/>
                    </w:rPr>
                  </w:pPr>
                  <w:r>
                    <w:rPr>
                      <w:rFonts w:hint="default"/>
                      <w:b/>
                      <w:bCs w:val="0"/>
                      <w:color w:val="000000"/>
                      <w:lang w:val="en-US" w:eastAsia="zh-CN"/>
                    </w:rPr>
                    <w:t>qi/Qi</w:t>
                  </w:r>
                </w:p>
              </w:tc>
              <w:tc>
                <w:tcPr>
                  <w:tcW w:w="735" w:type="pct"/>
                  <w:tcBorders>
                    <w:tl2br w:val="nil"/>
                    <w:tr2bl w:val="nil"/>
                  </w:tcBorders>
                  <w:shd w:val="clear" w:color="auto" w:fill="auto"/>
                  <w:noWrap w:val="0"/>
                  <w:vAlign w:val="center"/>
                </w:tcPr>
                <w:p w14:paraId="5D886AD2">
                  <w:pPr>
                    <w:pStyle w:val="5"/>
                    <w:bidi w:val="0"/>
                    <w:rPr>
                      <w:rFonts w:hint="default"/>
                      <w:b/>
                      <w:bCs w:val="0"/>
                      <w:color w:val="000000"/>
                      <w:lang w:val="en-US" w:eastAsia="zh-CN"/>
                    </w:rPr>
                  </w:pPr>
                  <w:r>
                    <w:rPr>
                      <w:rFonts w:hint="eastAsia"/>
                      <w:b/>
                      <w:bCs w:val="0"/>
                      <w:color w:val="000000"/>
                      <w:lang w:val="en-US" w:eastAsia="zh-CN"/>
                    </w:rPr>
                    <w:t>分布情况</w:t>
                  </w:r>
                </w:p>
              </w:tc>
              <w:tc>
                <w:tcPr>
                  <w:tcW w:w="694" w:type="pct"/>
                  <w:tcBorders>
                    <w:tl2br w:val="nil"/>
                    <w:tr2bl w:val="nil"/>
                  </w:tcBorders>
                  <w:shd w:val="clear" w:color="auto" w:fill="auto"/>
                  <w:noWrap w:val="0"/>
                  <w:vAlign w:val="center"/>
                </w:tcPr>
                <w:p w14:paraId="09722CE6">
                  <w:pPr>
                    <w:pStyle w:val="5"/>
                    <w:bidi w:val="0"/>
                    <w:rPr>
                      <w:rFonts w:hint="default"/>
                      <w:b/>
                      <w:bCs w:val="0"/>
                      <w:color w:val="000000"/>
                      <w:lang w:val="en-US" w:eastAsia="zh-CN"/>
                    </w:rPr>
                  </w:pPr>
                  <w:r>
                    <w:rPr>
                      <w:rFonts w:hint="eastAsia"/>
                      <w:b/>
                      <w:bCs w:val="0"/>
                      <w:color w:val="000000"/>
                      <w:lang w:val="en-US" w:eastAsia="zh-CN"/>
                    </w:rPr>
                    <w:t>风险类型</w:t>
                  </w:r>
                </w:p>
              </w:tc>
              <w:tc>
                <w:tcPr>
                  <w:tcW w:w="824" w:type="pct"/>
                  <w:tcBorders>
                    <w:tl2br w:val="nil"/>
                    <w:tr2bl w:val="nil"/>
                  </w:tcBorders>
                  <w:shd w:val="clear" w:color="auto" w:fill="auto"/>
                  <w:noWrap w:val="0"/>
                  <w:vAlign w:val="center"/>
                </w:tcPr>
                <w:p w14:paraId="78F7CB5D">
                  <w:pPr>
                    <w:pStyle w:val="5"/>
                    <w:bidi w:val="0"/>
                    <w:rPr>
                      <w:rFonts w:hint="default"/>
                      <w:b/>
                      <w:bCs w:val="0"/>
                      <w:color w:val="000000"/>
                      <w:lang w:val="en-US" w:eastAsia="zh-CN"/>
                    </w:rPr>
                  </w:pPr>
                  <w:r>
                    <w:rPr>
                      <w:rFonts w:hint="eastAsia"/>
                      <w:b/>
                      <w:bCs w:val="0"/>
                      <w:color w:val="000000"/>
                      <w:lang w:val="en-US" w:eastAsia="zh-CN"/>
                    </w:rPr>
                    <w:t>环境影响途径</w:t>
                  </w:r>
                </w:p>
              </w:tc>
            </w:tr>
            <w:tr w14:paraId="65FDF59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546" w:type="pct"/>
                  <w:tcBorders>
                    <w:tl2br w:val="nil"/>
                    <w:tr2bl w:val="nil"/>
                  </w:tcBorders>
                  <w:shd w:val="clear" w:color="auto" w:fill="auto"/>
                  <w:vAlign w:val="center"/>
                </w:tcPr>
                <w:p w14:paraId="5E85F4B2">
                  <w:pPr>
                    <w:pStyle w:val="5"/>
                    <w:bidi w:val="0"/>
                    <w:rPr>
                      <w:rFonts w:hint="default"/>
                      <w:b w:val="0"/>
                      <w:color w:val="000000"/>
                      <w:lang w:val="en-US" w:eastAsia="zh-CN"/>
                    </w:rPr>
                  </w:pPr>
                  <w:r>
                    <w:rPr>
                      <w:rFonts w:hint="eastAsia"/>
                      <w:b w:val="0"/>
                      <w:color w:val="000000"/>
                      <w:lang w:val="en-US" w:eastAsia="zh-CN"/>
                    </w:rPr>
                    <w:t>煤炭</w:t>
                  </w:r>
                </w:p>
              </w:tc>
              <w:tc>
                <w:tcPr>
                  <w:tcW w:w="565" w:type="pct"/>
                  <w:tcBorders>
                    <w:tl2br w:val="nil"/>
                    <w:tr2bl w:val="nil"/>
                  </w:tcBorders>
                  <w:shd w:val="clear" w:color="auto" w:fill="auto"/>
                  <w:vAlign w:val="center"/>
                </w:tcPr>
                <w:p w14:paraId="0CD83BE5">
                  <w:pPr>
                    <w:pStyle w:val="5"/>
                    <w:bidi w:val="0"/>
                    <w:rPr>
                      <w:rFonts w:hint="default"/>
                      <w:b w:val="0"/>
                      <w:color w:val="000000"/>
                      <w:lang w:val="en-US" w:eastAsia="zh-CN"/>
                    </w:rPr>
                  </w:pPr>
                  <w:r>
                    <w:rPr>
                      <w:rFonts w:hint="eastAsia"/>
                      <w:b w:val="0"/>
                      <w:color w:val="000000"/>
                      <w:lang w:val="en-US" w:eastAsia="zh-CN"/>
                    </w:rPr>
                    <w:t>500万</w:t>
                  </w:r>
                </w:p>
              </w:tc>
              <w:tc>
                <w:tcPr>
                  <w:tcW w:w="647" w:type="pct"/>
                  <w:tcBorders>
                    <w:tl2br w:val="nil"/>
                    <w:tr2bl w:val="nil"/>
                  </w:tcBorders>
                  <w:shd w:val="clear" w:color="auto" w:fill="auto"/>
                  <w:vAlign w:val="center"/>
                </w:tcPr>
                <w:p w14:paraId="1E1350E9">
                  <w:pPr>
                    <w:pStyle w:val="5"/>
                    <w:bidi w:val="0"/>
                    <w:rPr>
                      <w:rFonts w:hint="default"/>
                      <w:b w:val="0"/>
                      <w:color w:val="000000"/>
                      <w:lang w:val="en-US" w:eastAsia="zh-CN"/>
                    </w:rPr>
                  </w:pPr>
                  <w:r>
                    <w:rPr>
                      <w:rFonts w:hint="eastAsia"/>
                      <w:b w:val="0"/>
                      <w:color w:val="000000"/>
                      <w:lang w:val="en-US" w:eastAsia="zh-CN"/>
                    </w:rPr>
                    <w:t>/</w:t>
                  </w:r>
                </w:p>
              </w:tc>
              <w:tc>
                <w:tcPr>
                  <w:tcW w:w="461" w:type="pct"/>
                  <w:tcBorders>
                    <w:tl2br w:val="nil"/>
                    <w:tr2bl w:val="nil"/>
                  </w:tcBorders>
                  <w:shd w:val="clear" w:color="auto" w:fill="auto"/>
                  <w:vAlign w:val="center"/>
                </w:tcPr>
                <w:p w14:paraId="7069BCA7">
                  <w:pPr>
                    <w:pStyle w:val="5"/>
                    <w:bidi w:val="0"/>
                    <w:rPr>
                      <w:rFonts w:hint="default"/>
                      <w:b w:val="0"/>
                      <w:color w:val="000000"/>
                      <w:lang w:val="en-US" w:eastAsia="zh-CN"/>
                    </w:rPr>
                  </w:pPr>
                  <w:r>
                    <w:rPr>
                      <w:rFonts w:hint="eastAsia"/>
                      <w:b w:val="0"/>
                      <w:color w:val="000000"/>
                      <w:lang w:val="en-US" w:eastAsia="zh-CN"/>
                    </w:rPr>
                    <w:t>/</w:t>
                  </w:r>
                </w:p>
              </w:tc>
              <w:tc>
                <w:tcPr>
                  <w:tcW w:w="523" w:type="pct"/>
                  <w:tcBorders>
                    <w:tl2br w:val="nil"/>
                    <w:tr2bl w:val="nil"/>
                  </w:tcBorders>
                  <w:shd w:val="clear" w:color="auto" w:fill="auto"/>
                  <w:vAlign w:val="center"/>
                </w:tcPr>
                <w:p w14:paraId="2F8BF7D3">
                  <w:pPr>
                    <w:pStyle w:val="5"/>
                    <w:bidi w:val="0"/>
                    <w:rPr>
                      <w:rFonts w:hint="default"/>
                      <w:b w:val="0"/>
                      <w:color w:val="000000"/>
                      <w:lang w:val="en-US" w:eastAsia="zh-CN"/>
                    </w:rPr>
                  </w:pPr>
                  <w:r>
                    <w:rPr>
                      <w:rFonts w:hint="eastAsia"/>
                      <w:b w:val="0"/>
                      <w:color w:val="000000"/>
                      <w:lang w:val="en-US" w:eastAsia="zh-CN"/>
                    </w:rPr>
                    <w:t>/</w:t>
                  </w:r>
                </w:p>
              </w:tc>
              <w:tc>
                <w:tcPr>
                  <w:tcW w:w="735" w:type="pct"/>
                  <w:tcBorders>
                    <w:tl2br w:val="nil"/>
                    <w:tr2bl w:val="nil"/>
                  </w:tcBorders>
                  <w:shd w:val="clear" w:color="auto" w:fill="auto"/>
                  <w:vAlign w:val="center"/>
                </w:tcPr>
                <w:p w14:paraId="5282DAB2">
                  <w:pPr>
                    <w:pStyle w:val="5"/>
                    <w:bidi w:val="0"/>
                    <w:rPr>
                      <w:rFonts w:hint="default"/>
                      <w:b w:val="0"/>
                      <w:color w:val="000000"/>
                      <w:lang w:val="en-US" w:eastAsia="zh-CN"/>
                    </w:rPr>
                  </w:pPr>
                  <w:r>
                    <w:rPr>
                      <w:rFonts w:hint="eastAsia"/>
                      <w:b w:val="0"/>
                      <w:color w:val="000000"/>
                      <w:lang w:val="en-US" w:eastAsia="zh-CN"/>
                    </w:rPr>
                    <w:t>输煤廊道</w:t>
                  </w:r>
                </w:p>
              </w:tc>
              <w:tc>
                <w:tcPr>
                  <w:tcW w:w="694" w:type="pct"/>
                  <w:tcBorders>
                    <w:tl2br w:val="nil"/>
                    <w:tr2bl w:val="nil"/>
                  </w:tcBorders>
                  <w:shd w:val="clear" w:color="auto" w:fill="auto"/>
                  <w:vAlign w:val="center"/>
                </w:tcPr>
                <w:p w14:paraId="1088EB8B">
                  <w:pPr>
                    <w:pStyle w:val="5"/>
                    <w:bidi w:val="0"/>
                    <w:rPr>
                      <w:rFonts w:hint="default"/>
                      <w:b w:val="0"/>
                      <w:color w:val="000000"/>
                      <w:lang w:val="en-US" w:eastAsia="zh-CN"/>
                    </w:rPr>
                  </w:pPr>
                  <w:r>
                    <w:rPr>
                      <w:rFonts w:hint="eastAsia"/>
                      <w:b w:val="0"/>
                      <w:color w:val="000000"/>
                      <w:lang w:val="en-US" w:eastAsia="zh-CN"/>
                    </w:rPr>
                    <w:t>火灾</w:t>
                  </w:r>
                </w:p>
              </w:tc>
              <w:tc>
                <w:tcPr>
                  <w:tcW w:w="824" w:type="pct"/>
                  <w:tcBorders>
                    <w:tl2br w:val="nil"/>
                    <w:tr2bl w:val="nil"/>
                  </w:tcBorders>
                  <w:shd w:val="clear" w:color="auto" w:fill="auto"/>
                  <w:vAlign w:val="center"/>
                </w:tcPr>
                <w:p w14:paraId="77ED3807">
                  <w:pPr>
                    <w:pStyle w:val="5"/>
                    <w:bidi w:val="0"/>
                    <w:rPr>
                      <w:rFonts w:hint="eastAsia"/>
                      <w:b w:val="0"/>
                      <w:color w:val="000000"/>
                      <w:lang w:val="en-US" w:eastAsia="zh-CN"/>
                    </w:rPr>
                  </w:pPr>
                  <w:r>
                    <w:rPr>
                      <w:rFonts w:hint="eastAsia"/>
                      <w:b w:val="0"/>
                      <w:color w:val="000000"/>
                      <w:lang w:val="en-US" w:eastAsia="zh-CN"/>
                    </w:rPr>
                    <w:t>地下水、土壤、大气</w:t>
                  </w:r>
                </w:p>
              </w:tc>
            </w:tr>
          </w:tbl>
          <w:p w14:paraId="23A3B947">
            <w:pPr>
              <w:pStyle w:val="3"/>
              <w:suppressLineNumbers w:val="0"/>
              <w:bidi w:val="0"/>
              <w:spacing w:before="0" w:beforeAutospacing="0" w:after="0" w:afterAutospacing="0"/>
              <w:ind w:left="0" w:right="0" w:firstLine="482" w:firstLineChars="200"/>
              <w:rPr>
                <w:rFonts w:hint="eastAsia"/>
                <w:lang w:val="en-US" w:eastAsia="zh-CN"/>
              </w:rPr>
            </w:pPr>
            <w:r>
              <w:rPr>
                <w:rFonts w:hint="eastAsia"/>
                <w:lang w:val="en-US" w:eastAsia="zh-CN"/>
              </w:rPr>
              <w:t>9.2环境风险分析</w:t>
            </w:r>
          </w:p>
          <w:p w14:paraId="2FABB4BD">
            <w:pPr>
              <w:bidi w:val="0"/>
              <w:rPr>
                <w:rFonts w:hint="eastAsia"/>
                <w:lang w:val="en-US" w:eastAsia="zh-CN"/>
              </w:rPr>
            </w:pPr>
            <w:r>
              <w:rPr>
                <w:rFonts w:hint="eastAsia"/>
                <w:lang w:val="en-US" w:eastAsia="zh-CN"/>
              </w:rPr>
              <w:t>润滑油</w:t>
            </w:r>
            <w:r>
              <w:rPr>
                <w:rFonts w:hint="default"/>
                <w:lang w:val="en-US" w:eastAsia="zh-CN"/>
              </w:rPr>
              <w:t>风险：</w:t>
            </w:r>
            <w:r>
              <w:rPr>
                <w:rFonts w:hint="eastAsia"/>
                <w:lang w:val="en-US" w:eastAsia="zh-CN"/>
              </w:rPr>
              <w:t>润滑油泄漏后渗入土壤，润滑油</w:t>
            </w:r>
            <w:r>
              <w:t>中的重金属（如铅、锌）和多环芳烃</w:t>
            </w:r>
            <w:r>
              <w:rPr>
                <w:rFonts w:hint="eastAsia"/>
                <w:lang w:val="en-US" w:eastAsia="zh-CN"/>
              </w:rPr>
              <w:t>，</w:t>
            </w:r>
            <w:r>
              <w:t>可能长期残留，破坏土壤微生物群落，降低土壤肥力</w:t>
            </w:r>
            <w:r>
              <w:rPr>
                <w:rFonts w:hint="eastAsia"/>
                <w:lang w:eastAsia="zh-CN"/>
              </w:rPr>
              <w:t>，</w:t>
            </w:r>
            <w:r>
              <w:rPr>
                <w:rFonts w:hint="eastAsia"/>
                <w:lang w:val="en-US" w:eastAsia="zh-CN"/>
              </w:rPr>
              <w:t>阻碍土壤透气性和透水性；</w:t>
            </w:r>
            <w:r>
              <w:t>矿物油类物质难降解，可能渗透至地下水层，长期污染饮用水源</w:t>
            </w:r>
            <w:r>
              <w:rPr>
                <w:rFonts w:hint="eastAsia"/>
                <w:lang w:eastAsia="zh-CN"/>
              </w:rPr>
              <w:t>；轻质润滑油组分（如苯、甲苯等VOCs）挥发至空气中，可能形成光化学烟雾（臭氧和PM</w:t>
            </w:r>
            <w:r>
              <w:rPr>
                <w:rFonts w:hint="eastAsia"/>
                <w:vertAlign w:val="subscript"/>
                <w:lang w:val="en-US" w:eastAsia="zh-CN"/>
              </w:rPr>
              <w:t>2.5</w:t>
            </w:r>
            <w:r>
              <w:rPr>
                <w:rFonts w:hint="eastAsia"/>
                <w:lang w:eastAsia="zh-CN"/>
              </w:rPr>
              <w:t>），若润滑油遇明火燃烧，会产生CO、NOx和有毒烟雾。</w:t>
            </w:r>
            <w:r>
              <w:rPr>
                <w:rFonts w:hint="eastAsia"/>
                <w:lang w:val="en-US" w:eastAsia="zh-CN"/>
              </w:rPr>
              <w:t>润滑油</w:t>
            </w:r>
            <w:r>
              <w:rPr>
                <w:rFonts w:hint="default"/>
                <w:lang w:val="en-US" w:eastAsia="zh-CN"/>
              </w:rPr>
              <w:t>泄漏</w:t>
            </w:r>
            <w:r>
              <w:rPr>
                <w:rFonts w:hint="eastAsia"/>
                <w:lang w:val="en-US" w:eastAsia="zh-CN"/>
              </w:rPr>
              <w:t>会造成周围土壤、地下水、大气环境污染。</w:t>
            </w:r>
          </w:p>
          <w:p w14:paraId="420A1CC0">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0" w:firstLineChars="200"/>
              <w:rPr>
                <w:rFonts w:hint="default" w:eastAsia="宋体" w:cs="Times New Roman"/>
                <w:color w:val="000000"/>
                <w:lang w:val="en-US" w:eastAsia="zh-CN"/>
              </w:rPr>
            </w:pPr>
            <w:r>
              <w:rPr>
                <w:rFonts w:hint="eastAsia"/>
                <w:lang w:val="en-US" w:eastAsia="zh-CN"/>
              </w:rPr>
              <w:t>煤炭输送风险：</w:t>
            </w:r>
            <w:r>
              <w:t>煤炭的 “自热</w:t>
            </w:r>
            <w:r>
              <w:rPr>
                <w:rFonts w:hint="eastAsia"/>
                <w:lang w:eastAsia="zh-CN"/>
              </w:rPr>
              <w:t>—</w:t>
            </w:r>
            <w:r>
              <w:t>自燃” 特性是储存过程中的重大风险，不仅会引发火灾，还会加剧污染物释放</w:t>
            </w:r>
            <w:r>
              <w:rPr>
                <w:rFonts w:hint="eastAsia"/>
                <w:lang w:eastAsia="zh-CN"/>
              </w:rPr>
              <w:t>；</w:t>
            </w:r>
            <w:r>
              <w:rPr>
                <w:rFonts w:hint="eastAsia"/>
                <w:lang w:val="en-US" w:eastAsia="zh-CN"/>
              </w:rPr>
              <w:t>输煤廊道内粉尘浓度过高，遇明火可引起粉尘爆炸，释放大量污染物；煤炭的燃烧、爆炸会造成周围土壤、地下水、大气环境污染</w:t>
            </w:r>
            <w:r>
              <w:rPr>
                <w:rFonts w:hint="eastAsia" w:cs="Times New Roman"/>
                <w:color w:val="000000"/>
                <w:lang w:val="en-US" w:eastAsia="zh-CN"/>
              </w:rPr>
              <w:t>。</w:t>
            </w:r>
          </w:p>
          <w:p w14:paraId="06A378CF">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0" w:firstLineChars="200"/>
              <w:rPr>
                <w:rFonts w:hint="eastAsia" w:cs="Times New Roman"/>
                <w:color w:val="000000"/>
                <w:lang w:val="en-US" w:eastAsia="zh-CN"/>
              </w:rPr>
            </w:pPr>
            <w:r>
              <w:rPr>
                <w:rFonts w:hint="eastAsia" w:ascii="宋体" w:hAnsi="宋体" w:cs="宋体"/>
                <w:color w:val="000000"/>
                <w:sz w:val="24"/>
                <w:szCs w:val="24"/>
                <w:lang w:val="en-US" w:eastAsia="zh-CN"/>
              </w:rPr>
              <w:t>运营期间做好废润滑油贮存，做好煤炭喷雾工作，可有效预防</w:t>
            </w:r>
            <w:r>
              <w:rPr>
                <w:rFonts w:hint="eastAsia" w:cs="Times New Roman"/>
                <w:color w:val="000000"/>
                <w:lang w:val="en-US" w:eastAsia="zh-CN"/>
              </w:rPr>
              <w:t>风险事故，避免对周边环境造成污染影响。</w:t>
            </w:r>
          </w:p>
          <w:p w14:paraId="08A8870F">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0" w:firstLineChars="200"/>
              <w:rPr>
                <w:rFonts w:hint="default" w:cs="Times New Roman"/>
                <w:color w:val="000000"/>
                <w:lang w:val="en-US" w:eastAsia="zh-CN"/>
              </w:rPr>
            </w:pPr>
          </w:p>
          <w:p w14:paraId="249DF942">
            <w:pPr>
              <w:keepNext w:val="0"/>
              <w:keepLines w:val="0"/>
              <w:pageBreakBefore w:val="0"/>
              <w:suppressLineNumbers w:val="0"/>
              <w:wordWrap/>
              <w:overflowPunct/>
              <w:topLinePunct w:val="0"/>
              <w:bidi w:val="0"/>
              <w:adjustRightInd/>
              <w:snapToGrid/>
              <w:spacing w:before="0" w:beforeAutospacing="0" w:after="0" w:afterAutospacing="0" w:line="360" w:lineRule="auto"/>
              <w:ind w:left="0" w:leftChars="0" w:right="0" w:rightChars="0" w:firstLine="480" w:firstLineChars="200"/>
              <w:rPr>
                <w:rFonts w:hint="default" w:cs="Times New Roman"/>
                <w:color w:val="000000"/>
                <w:lang w:val="en-US" w:eastAsia="zh-CN"/>
              </w:rPr>
            </w:pPr>
          </w:p>
        </w:tc>
      </w:tr>
      <w:tr w14:paraId="02EB3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2" w:type="pct"/>
            <w:tcBorders>
              <w:tl2br w:val="nil"/>
              <w:tr2bl w:val="nil"/>
            </w:tcBorders>
            <w:noWrap w:val="0"/>
            <w:vAlign w:val="center"/>
          </w:tcPr>
          <w:p w14:paraId="0B757F70">
            <w:pPr>
              <w:pStyle w:val="37"/>
              <w:pageBreakBefore w:val="0"/>
              <w:wordWrap/>
              <w:overflowPunct/>
              <w:topLinePunct w:val="0"/>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bCs/>
                <w:color w:val="000000"/>
                <w:kern w:val="2"/>
                <w:sz w:val="21"/>
                <w:szCs w:val="21"/>
              </w:rPr>
            </w:pPr>
            <w:r>
              <w:rPr>
                <w:rFonts w:hint="eastAsia" w:ascii="宋体" w:hAnsi="宋体" w:eastAsia="宋体" w:cs="宋体"/>
                <w:b/>
                <w:bCs w:val="0"/>
                <w:color w:val="000000"/>
                <w:kern w:val="2"/>
                <w:sz w:val="24"/>
                <w:szCs w:val="24"/>
              </w:rPr>
              <w:t>选址选线环境合理性分析</w:t>
            </w:r>
          </w:p>
        </w:tc>
        <w:tc>
          <w:tcPr>
            <w:tcW w:w="4547" w:type="pct"/>
            <w:tcBorders>
              <w:tl2br w:val="nil"/>
              <w:tr2bl w:val="nil"/>
            </w:tcBorders>
            <w:noWrap w:val="0"/>
            <w:vAlign w:val="top"/>
          </w:tcPr>
          <w:p w14:paraId="006050AD">
            <w:pPr>
              <w:pStyle w:val="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1.选址符合性分析</w:t>
            </w:r>
          </w:p>
          <w:p w14:paraId="0E1AA5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b w:val="0"/>
                <w:color w:val="000000"/>
                <w:kern w:val="2"/>
                <w:sz w:val="24"/>
                <w:szCs w:val="24"/>
                <w:lang w:val="en-US" w:eastAsia="zh-CN" w:bidi="ar-SA"/>
              </w:rPr>
            </w:pPr>
            <w:r>
              <w:rPr>
                <w:rFonts w:hint="eastAsia" w:cs="Times New Roman"/>
                <w:b w:val="0"/>
                <w:color w:val="000000"/>
                <w:kern w:val="2"/>
                <w:sz w:val="24"/>
                <w:szCs w:val="24"/>
                <w:lang w:val="en-US" w:eastAsia="zh-CN" w:bidi="ar-SA"/>
              </w:rPr>
              <w:t>项目选线</w:t>
            </w:r>
            <w:r>
              <w:rPr>
                <w:rFonts w:hint="eastAsia" w:ascii="Times New Roman" w:hAnsi="Times New Roman" w:eastAsia="宋体" w:cs="Times New Roman"/>
                <w:b w:val="0"/>
                <w:color w:val="000000"/>
                <w:kern w:val="2"/>
                <w:sz w:val="24"/>
                <w:szCs w:val="24"/>
                <w:lang w:val="en-US" w:eastAsia="zh-CN" w:bidi="ar-SA"/>
              </w:rPr>
              <w:t>不在《新疆维吾尔自治区环境保护条例》和《新疆生态环境功能区划》中划定的冰川带、终年积雪带、亚高山草甸带及森林带内，不涉及水源涵养区、地表水及地下水水源保护区、水土流失控制区等禁止矿区开采的限制区内，也不涉及国家及自治区级的风景名胜区、世界文化和自然遗产地、森林公园、地质公园、重要湿地、天然林、珍稀濒危野生动植物集中分布区等</w:t>
            </w:r>
            <w:r>
              <w:rPr>
                <w:rFonts w:hint="eastAsia" w:cs="Times New Roman"/>
                <w:b w:val="0"/>
                <w:color w:val="000000"/>
                <w:kern w:val="2"/>
                <w:sz w:val="24"/>
                <w:szCs w:val="24"/>
                <w:lang w:val="en-US" w:eastAsia="zh-CN" w:bidi="ar-SA"/>
              </w:rPr>
              <w:t>，项目沿线及周边以荒漠戈壁为主。</w:t>
            </w:r>
          </w:p>
          <w:p w14:paraId="1157811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color w:val="000000"/>
                <w:kern w:val="2"/>
                <w:sz w:val="24"/>
                <w:szCs w:val="24"/>
                <w:lang w:val="en-US" w:eastAsia="zh-CN" w:bidi="ar-SA"/>
              </w:rPr>
            </w:pPr>
            <w:r>
              <w:rPr>
                <w:rFonts w:hint="eastAsia" w:cs="Times New Roman"/>
                <w:b w:val="0"/>
                <w:color w:val="000000"/>
                <w:kern w:val="2"/>
                <w:sz w:val="24"/>
                <w:szCs w:val="24"/>
                <w:lang w:val="en-US" w:eastAsia="zh-CN" w:bidi="ar-SA"/>
              </w:rPr>
              <w:t>项目选线</w:t>
            </w:r>
            <w:r>
              <w:rPr>
                <w:rFonts w:hint="eastAsia" w:ascii="Times New Roman" w:hAnsi="Times New Roman" w:eastAsia="宋体" w:cs="Times New Roman"/>
                <w:b w:val="0"/>
                <w:color w:val="000000"/>
                <w:kern w:val="2"/>
                <w:sz w:val="24"/>
                <w:szCs w:val="24"/>
                <w:lang w:val="en-US" w:eastAsia="zh-CN" w:bidi="ar-SA"/>
              </w:rPr>
              <w:t>符合《新疆维吾尔自治区重点行业环境准入条件（2024年）》（新疆维吾尔自治区环境保护厅2024年6月）中</w:t>
            </w:r>
            <w:r>
              <w:rPr>
                <w:rFonts w:hint="eastAsia" w:cs="Times New Roman"/>
                <w:b w:val="0"/>
                <w:color w:val="000000"/>
                <w:kern w:val="2"/>
                <w:sz w:val="24"/>
                <w:szCs w:val="24"/>
                <w:lang w:val="en-US" w:eastAsia="zh-CN" w:bidi="ar-SA"/>
              </w:rPr>
              <w:t>煤炭</w:t>
            </w:r>
            <w:r>
              <w:rPr>
                <w:rFonts w:hint="eastAsia" w:ascii="Times New Roman" w:hAnsi="Times New Roman" w:eastAsia="宋体" w:cs="Times New Roman"/>
                <w:b w:val="0"/>
                <w:color w:val="000000"/>
                <w:kern w:val="2"/>
                <w:sz w:val="24"/>
                <w:szCs w:val="24"/>
                <w:lang w:val="en-US" w:eastAsia="zh-CN" w:bidi="ar-SA"/>
              </w:rPr>
              <w:t>采选行业的选址和空间布局</w:t>
            </w:r>
            <w:r>
              <w:rPr>
                <w:rFonts w:hint="eastAsia" w:cs="Times New Roman"/>
                <w:b w:val="0"/>
                <w:color w:val="000000"/>
                <w:kern w:val="2"/>
                <w:sz w:val="24"/>
                <w:szCs w:val="24"/>
                <w:lang w:val="en-US" w:eastAsia="zh-CN" w:bidi="ar-SA"/>
              </w:rPr>
              <w:t>要求：新建及改扩建采煤项目原煤须采用筒仓或封闭式煤场，厂内输送采用封闭式皮带走廊。工业场地无组织排放污染物执行《煤炭工业污染物排放标准》（GB20426）中的浓度限值标准。</w:t>
            </w:r>
          </w:p>
          <w:p w14:paraId="1A09E5A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000000"/>
                <w:sz w:val="24"/>
                <w:szCs w:val="24"/>
                <w:lang w:val="zh-CN" w:eastAsia="zh-CN"/>
              </w:rPr>
            </w:pPr>
            <w:r>
              <w:rPr>
                <w:rFonts w:hint="eastAsia" w:ascii="Times New Roman" w:hAnsi="Times New Roman" w:eastAsia="宋体" w:cs="Times New Roman"/>
                <w:b w:val="0"/>
                <w:color w:val="000000"/>
                <w:kern w:val="2"/>
                <w:sz w:val="24"/>
                <w:szCs w:val="24"/>
                <w:lang w:val="en-US" w:eastAsia="zh-CN" w:bidi="ar-SA"/>
              </w:rPr>
              <w:t>从以上综合分析认为</w:t>
            </w:r>
            <w:r>
              <w:rPr>
                <w:rFonts w:hint="eastAsia" w:cs="Times New Roman"/>
                <w:b w:val="0"/>
                <w:color w:val="000000"/>
                <w:kern w:val="2"/>
                <w:sz w:val="24"/>
                <w:szCs w:val="24"/>
                <w:lang w:val="en-US" w:eastAsia="zh-CN" w:bidi="ar-SA"/>
              </w:rPr>
              <w:t>项目</w:t>
            </w:r>
            <w:r>
              <w:rPr>
                <w:rFonts w:hint="eastAsia" w:ascii="Times New Roman" w:hAnsi="Times New Roman" w:eastAsia="宋体" w:cs="Times New Roman"/>
                <w:b w:val="0"/>
                <w:color w:val="000000"/>
                <w:kern w:val="2"/>
                <w:sz w:val="24"/>
                <w:szCs w:val="24"/>
                <w:lang w:val="en-US" w:eastAsia="zh-CN" w:bidi="ar-SA"/>
              </w:rPr>
              <w:t>选址基本合理。</w:t>
            </w:r>
          </w:p>
          <w:p w14:paraId="4294ABC8">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63FDE50F">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2974E750">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609BF985">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09196B74">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14994EA2">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295A4A69">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6420B0A6">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575D6EC5">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4215DB8C">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3F0D0E81">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2E66129B">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4FDFE799">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585FED0A">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04C72276">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4B42F47D">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p w14:paraId="61F45A42">
            <w:pPr>
              <w:pStyle w:val="37"/>
              <w:keepNext w:val="0"/>
              <w:keepLines w:val="0"/>
              <w:pageBreakBefore w:val="0"/>
              <w:widowControl/>
              <w:suppressLineNumbers w:val="0"/>
              <w:wordWrap/>
              <w:overflowPunct/>
              <w:topLinePunct w:val="0"/>
              <w:bidi w:val="0"/>
              <w:adjustRightInd/>
              <w:snapToGrid/>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color w:val="000000"/>
                <w:sz w:val="24"/>
                <w:szCs w:val="24"/>
                <w:lang w:val="zh-CN" w:eastAsia="zh-CN"/>
              </w:rPr>
            </w:pPr>
          </w:p>
        </w:tc>
      </w:tr>
    </w:tbl>
    <w:p w14:paraId="7A783D9A">
      <w:pPr>
        <w:ind w:left="0" w:leftChars="0" w:firstLine="0" w:firstLineChars="0"/>
        <w:jc w:val="both"/>
        <w:outlineLvl w:val="0"/>
        <w:rPr>
          <w:rFonts w:hint="default" w:ascii="Times New Roman" w:hAnsi="Times New Roman" w:cs="Times New Roman"/>
          <w:b/>
          <w:bCs/>
          <w:sz w:val="30"/>
          <w:szCs w:val="30"/>
        </w:rPr>
        <w:sectPr>
          <w:pgSz w:w="11910" w:h="16850"/>
          <w:pgMar w:top="1701" w:right="1531" w:bottom="1701" w:left="1531" w:header="0" w:footer="817" w:gutter="0"/>
          <w:pgBorders>
            <w:top w:val="none" w:sz="0" w:space="0"/>
            <w:left w:val="none" w:sz="0" w:space="0"/>
            <w:bottom w:val="none" w:sz="0" w:space="0"/>
            <w:right w:val="none" w:sz="0" w:space="0"/>
          </w:pgBorders>
          <w:pgNumType w:fmt="decimal"/>
          <w:cols w:equalWidth="0" w:num="1">
            <w:col w:w="9250"/>
          </w:cols>
        </w:sectPr>
      </w:pPr>
    </w:p>
    <w:p w14:paraId="71301D6F">
      <w:pPr>
        <w:spacing w:line="240" w:lineRule="auto"/>
        <w:ind w:left="0" w:leftChars="0" w:firstLine="0" w:firstLineChars="0"/>
        <w:jc w:val="center"/>
        <w:outlineLvl w:val="0"/>
        <w:rPr>
          <w:rFonts w:hint="default" w:ascii="Times New Roman" w:hAnsi="Times New Roman" w:cs="Times New Roman"/>
          <w:b/>
          <w:bCs/>
          <w:sz w:val="30"/>
          <w:szCs w:val="30"/>
        </w:rPr>
      </w:pPr>
      <w:r>
        <w:rPr>
          <w:rFonts w:hint="eastAsia" w:cs="Times New Roman"/>
          <w:b/>
          <w:bCs/>
          <w:sz w:val="30"/>
          <w:szCs w:val="30"/>
          <w:lang w:val="en-US" w:eastAsia="zh-CN"/>
        </w:rPr>
        <w:t>五</w:t>
      </w:r>
      <w:r>
        <w:rPr>
          <w:rFonts w:hint="default" w:ascii="Times New Roman" w:hAnsi="Times New Roman" w:cs="Times New Roman"/>
          <w:b/>
          <w:bCs/>
          <w:sz w:val="30"/>
          <w:szCs w:val="30"/>
        </w:rPr>
        <w:t>、主要</w:t>
      </w:r>
      <w:r>
        <w:rPr>
          <w:rFonts w:hint="eastAsia" w:cs="Times New Roman"/>
          <w:b/>
          <w:bCs/>
          <w:sz w:val="30"/>
          <w:szCs w:val="30"/>
          <w:lang w:val="en-US" w:eastAsia="zh-CN"/>
        </w:rPr>
        <w:t>生态环境</w:t>
      </w:r>
      <w:r>
        <w:rPr>
          <w:rFonts w:hint="default" w:ascii="Times New Roman" w:hAnsi="Times New Roman" w:cs="Times New Roman"/>
          <w:b/>
          <w:bCs/>
          <w:sz w:val="30"/>
          <w:szCs w:val="30"/>
        </w:rPr>
        <w:t>保护措施</w:t>
      </w:r>
    </w:p>
    <w:tbl>
      <w:tblPr>
        <w:tblStyle w:val="43"/>
        <w:tblW w:w="46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378"/>
      </w:tblGrid>
      <w:tr w14:paraId="76460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tcBorders>
              <w:tl2br w:val="nil"/>
              <w:tr2bl w:val="nil"/>
            </w:tcBorders>
            <w:vAlign w:val="center"/>
          </w:tcPr>
          <w:p w14:paraId="429A8C78">
            <w:pPr>
              <w:pStyle w:val="17"/>
              <w:bidi w:val="0"/>
              <w:jc w:val="center"/>
              <w:rPr>
                <w:rFonts w:hint="default"/>
                <w:lang w:val="en-US"/>
              </w:rPr>
            </w:pPr>
            <w:r>
              <w:rPr>
                <w:rFonts w:hint="eastAsia" w:cs="宋体"/>
                <w:b/>
                <w:bCs/>
                <w:sz w:val="24"/>
                <w:szCs w:val="32"/>
                <w:lang w:val="en-US" w:eastAsia="zh-CN" w:bidi="ar-SA"/>
              </w:rPr>
              <w:t>施工期生态环境保护措施</w:t>
            </w:r>
          </w:p>
        </w:tc>
        <w:tc>
          <w:tcPr>
            <w:tcW w:w="4560" w:type="pct"/>
            <w:tcBorders>
              <w:tl2br w:val="nil"/>
              <w:tr2bl w:val="nil"/>
            </w:tcBorders>
          </w:tcPr>
          <w:p w14:paraId="4BC18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eastAsia="宋体" w:cs="Times New Roman"/>
                <w:b/>
                <w:bCs/>
                <w:color w:val="000000"/>
                <w:sz w:val="28"/>
                <w:szCs w:val="28"/>
                <w:lang w:val="en-US" w:eastAsia="zh-CN"/>
              </w:rPr>
            </w:pPr>
            <w:r>
              <w:rPr>
                <w:rFonts w:hint="eastAsia" w:cs="Times New Roman"/>
                <w:b/>
                <w:bCs/>
                <w:color w:val="000000"/>
                <w:sz w:val="28"/>
                <w:szCs w:val="28"/>
                <w:lang w:val="en-US" w:eastAsia="zh-CN"/>
              </w:rPr>
              <w:t>1</w:t>
            </w:r>
            <w:r>
              <w:rPr>
                <w:rFonts w:hint="default" w:cs="Times New Roman"/>
                <w:b/>
                <w:bCs/>
                <w:color w:val="000000"/>
                <w:sz w:val="28"/>
                <w:szCs w:val="28"/>
              </w:rPr>
              <w:t>施工期</w:t>
            </w:r>
            <w:r>
              <w:rPr>
                <w:rFonts w:hint="eastAsia" w:cs="Times New Roman"/>
                <w:b/>
                <w:bCs/>
                <w:color w:val="000000"/>
                <w:sz w:val="28"/>
                <w:szCs w:val="28"/>
                <w:lang w:val="en-US" w:eastAsia="zh-CN"/>
              </w:rPr>
              <w:t>生态环境保护措施</w:t>
            </w:r>
          </w:p>
          <w:p w14:paraId="2B6C1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s="Times New Roman"/>
                <w:b/>
                <w:bCs/>
                <w:color w:val="000000"/>
                <w:lang w:val="pt-BR"/>
              </w:rPr>
            </w:pPr>
            <w:r>
              <w:rPr>
                <w:rFonts w:hint="default" w:cs="Times New Roman"/>
                <w:b/>
                <w:bCs/>
                <w:color w:val="000000"/>
                <w:lang w:val="pt-BR"/>
              </w:rPr>
              <w:t>1.</w:t>
            </w:r>
            <w:r>
              <w:rPr>
                <w:rFonts w:hint="eastAsia" w:cs="Times New Roman"/>
                <w:b/>
                <w:bCs/>
                <w:color w:val="000000"/>
                <w:lang w:val="en-US" w:eastAsia="zh-CN"/>
              </w:rPr>
              <w:t>1</w:t>
            </w:r>
            <w:r>
              <w:rPr>
                <w:rFonts w:hint="default" w:cs="Times New Roman"/>
                <w:b/>
                <w:bCs/>
                <w:color w:val="000000"/>
                <w:lang w:val="pt-BR"/>
              </w:rPr>
              <w:t>施工期生态环境保护措施</w:t>
            </w:r>
          </w:p>
          <w:p w14:paraId="6C19CCF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2" w:firstLineChars="200"/>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cs="Times New Roman"/>
                <w:b/>
                <w:bCs/>
                <w:kern w:val="2"/>
                <w:sz w:val="24"/>
                <w:szCs w:val="24"/>
                <w:highlight w:val="none"/>
                <w:lang w:val="en-US" w:eastAsia="zh-CN" w:bidi="ar-SA"/>
              </w:rPr>
              <w:t>1.1.1生态环境保护措施</w:t>
            </w:r>
          </w:p>
          <w:p w14:paraId="558793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该区域气候极其干旱，生态恢复与补偿措施主要依靠自然恢复的方式进行。</w:t>
            </w:r>
          </w:p>
          <w:p w14:paraId="2DD1D3C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1"/>
                <w:highlight w:val="none"/>
              </w:rPr>
            </w:pPr>
            <w:r>
              <w:rPr>
                <w:rFonts w:hint="default" w:ascii="Times New Roman" w:hAnsi="Times New Roman" w:eastAsia="宋体" w:cs="Times New Roman"/>
                <w:color w:val="auto"/>
                <w:kern w:val="1"/>
                <w:highlight w:val="none"/>
              </w:rPr>
              <w:t>（1）对土壤采取的保护措施</w:t>
            </w:r>
          </w:p>
          <w:p w14:paraId="2E5C2F8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1"/>
                <w:highlight w:val="none"/>
              </w:rPr>
            </w:pPr>
            <w:r>
              <w:rPr>
                <w:rFonts w:hint="default" w:ascii="Times New Roman" w:hAnsi="Times New Roman" w:eastAsia="宋体" w:cs="Times New Roman"/>
                <w:color w:val="auto"/>
                <w:kern w:val="1"/>
                <w:highlight w:val="none"/>
              </w:rPr>
              <w:t>严格限定施工的工作范围，</w:t>
            </w:r>
            <w:r>
              <w:rPr>
                <w:rFonts w:hint="eastAsia" w:ascii="Times New Roman" w:hAnsi="Times New Roman" w:eastAsia="宋体" w:cs="Times New Roman"/>
                <w:color w:val="auto"/>
                <w:kern w:val="1"/>
                <w:highlight w:val="none"/>
                <w:lang w:val="en-US" w:eastAsia="zh-CN"/>
              </w:rPr>
              <w:t>严禁</w:t>
            </w:r>
            <w:r>
              <w:rPr>
                <w:rFonts w:hint="default" w:ascii="Times New Roman" w:hAnsi="Times New Roman" w:eastAsia="宋体" w:cs="Times New Roman"/>
                <w:color w:val="auto"/>
                <w:kern w:val="1"/>
                <w:highlight w:val="none"/>
              </w:rPr>
              <w:t>自行扩大施工用地范围，合理规划使用永久占地范围内的土地，减少临时占地，设立明显标志指明行车路线，运输车辆不能随意驶离道路，通过严格的管理减少对地表结皮的破坏。</w:t>
            </w:r>
          </w:p>
          <w:p w14:paraId="7038C4E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1"/>
                <w:highlight w:val="none"/>
              </w:rPr>
            </w:pPr>
            <w:r>
              <w:rPr>
                <w:rFonts w:hint="default" w:ascii="Times New Roman" w:hAnsi="Times New Roman" w:eastAsia="宋体" w:cs="Times New Roman"/>
                <w:color w:val="auto"/>
                <w:kern w:val="1"/>
                <w:highlight w:val="none"/>
              </w:rPr>
              <w:t>（2）对植被采取保护措施</w:t>
            </w:r>
          </w:p>
          <w:p w14:paraId="3281560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1"/>
                <w:highlight w:val="none"/>
              </w:rPr>
            </w:pPr>
            <w:r>
              <w:rPr>
                <w:rFonts w:hint="default" w:ascii="Times New Roman" w:hAnsi="Times New Roman" w:eastAsia="宋体" w:cs="Times New Roman"/>
                <w:color w:val="auto"/>
                <w:kern w:val="1"/>
                <w:highlight w:val="none"/>
              </w:rPr>
              <w:t>严格控制临时施工场地与施工道路面积和范围，减少对地表植被的破坏。从管理上对作业人员加强宣传教育，切实提高员工保护矿区生态环境的意识，加</w:t>
            </w:r>
            <w:r>
              <w:rPr>
                <w:rFonts w:hint="eastAsia" w:cs="Times New Roman"/>
                <w:color w:val="auto"/>
                <w:kern w:val="1"/>
                <w:highlight w:val="none"/>
                <w:lang w:eastAsia="zh-CN"/>
              </w:rPr>
              <w:t>强对</w:t>
            </w:r>
            <w:r>
              <w:rPr>
                <w:rFonts w:hint="default" w:ascii="Times New Roman" w:hAnsi="Times New Roman" w:eastAsia="宋体" w:cs="Times New Roman"/>
                <w:color w:val="auto"/>
                <w:kern w:val="1"/>
                <w:highlight w:val="none"/>
              </w:rPr>
              <w:t>施工人员的管理。</w:t>
            </w:r>
          </w:p>
          <w:p w14:paraId="6F26D8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经调查，项目区域绝大部分地段很少或根本无植物生长，地表大面积裸露，景观单调，项目区的植被利用价值低。</w:t>
            </w:r>
          </w:p>
          <w:p w14:paraId="1132DBE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荒漠植物的生态保护要求如下：</w:t>
            </w:r>
          </w:p>
          <w:p w14:paraId="3ABBAB2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①设计选线过程中，尽量避开植被较丰富的区域，避免破坏荒漠植物。</w:t>
            </w:r>
          </w:p>
          <w:p w14:paraId="64EA1C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②强化风险意识，制定切实可行的风险防范与应急预案，最大限度降低风险概率，避免可能发生事故对荒漠野生植物生存环境造成威胁。</w:t>
            </w:r>
          </w:p>
          <w:p w14:paraId="19388E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③加强对施工人员和职工的教育，强化保护野生植物的观念，不得随意踩踏野生植物。</w:t>
            </w:r>
          </w:p>
          <w:p w14:paraId="68CEA6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（3）对野生动物的保护措施</w:t>
            </w:r>
          </w:p>
          <w:p w14:paraId="1EB31352">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①设计选线过程中，尽量避开植被较丰富的区域，最大限度避免破坏野生动物的活动场所和生存环境。</w:t>
            </w:r>
          </w:p>
          <w:p w14:paraId="3177E3E6">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②为了更好</w:t>
            </w:r>
            <w:r>
              <w:rPr>
                <w:rFonts w:hint="eastAsia" w:ascii="Times New Roman" w:hAnsi="Times New Roman" w:eastAsia="宋体"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保护野生动物，建设单位在项目实施过程中要严格规定工作人员的活动范围，使之限于在施工作业带范围内活动，尽量不侵扰野生动物的栖息地。</w:t>
            </w:r>
          </w:p>
          <w:p w14:paraId="6B8151BF">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③对施工人员开展保护野生动物宣传教育工作，强化保护野生动物的观念。</w:t>
            </w:r>
          </w:p>
          <w:p w14:paraId="2C6D393A">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④加强管理，确保各生产设施的正常运行，避免强噪声环境的出现，避免对野生动物的惊扰。</w:t>
            </w:r>
          </w:p>
          <w:p w14:paraId="6A4F2E25">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4）其他保护措施</w:t>
            </w:r>
          </w:p>
          <w:p w14:paraId="01E3E9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Times New Roman" w:hAnsi="Times New Roman" w:eastAsia="宋体" w:cs="Times New Roman"/>
                <w:bCs/>
                <w:color w:val="000000"/>
                <w:spacing w:val="0"/>
                <w:sz w:val="24"/>
                <w:szCs w:val="24"/>
                <w:lang w:val="en-US" w:eastAsia="zh-CN"/>
              </w:rPr>
            </w:pPr>
            <w:r>
              <w:rPr>
                <w:rFonts w:hint="default" w:ascii="Times New Roman" w:hAnsi="Times New Roman" w:eastAsia="宋体" w:cs="Times New Roman"/>
                <w:color w:val="auto"/>
                <w:sz w:val="24"/>
                <w:szCs w:val="24"/>
                <w:highlight w:val="none"/>
              </w:rPr>
              <w:t>科学合理地进行施工组织设计，最大限度</w:t>
            </w:r>
            <w:r>
              <w:rPr>
                <w:rFonts w:hint="eastAsia" w:ascii="Times New Roman" w:hAnsi="Times New Roman" w:eastAsia="宋体" w:cs="Times New Roman"/>
                <w:color w:val="auto"/>
                <w:sz w:val="24"/>
                <w:szCs w:val="24"/>
                <w:highlight w:val="none"/>
                <w:lang w:eastAsia="zh-CN"/>
              </w:rPr>
              <w:t>地保持</w:t>
            </w:r>
            <w:r>
              <w:rPr>
                <w:rFonts w:hint="default" w:ascii="Times New Roman" w:hAnsi="Times New Roman" w:eastAsia="宋体" w:cs="Times New Roman"/>
                <w:color w:val="auto"/>
                <w:sz w:val="24"/>
                <w:szCs w:val="24"/>
                <w:highlight w:val="none"/>
              </w:rPr>
              <w:t>原有地貌，施工结束后尽可能</w:t>
            </w:r>
            <w:r>
              <w:rPr>
                <w:rFonts w:hint="eastAsia" w:ascii="Times New Roman" w:hAnsi="Times New Roman" w:eastAsia="宋体"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恢复施工迹地，对施工迹地和弃方进行合理平整、利用、清运，减少水土流失，将施工期对生态环境的影响降低到最低程度</w:t>
            </w:r>
            <w:r>
              <w:rPr>
                <w:rFonts w:hint="eastAsia" w:ascii="Times New Roman" w:hAnsi="Times New Roman" w:eastAsia="宋体" w:cs="Times New Roman"/>
                <w:bCs/>
                <w:color w:val="000000"/>
                <w:spacing w:val="0"/>
                <w:sz w:val="24"/>
                <w:szCs w:val="24"/>
                <w:lang w:val="en-US" w:eastAsia="zh-CN"/>
              </w:rPr>
              <w:t>。</w:t>
            </w:r>
          </w:p>
          <w:p w14:paraId="3534ADD9">
            <w:pPr>
              <w:pStyle w:val="53"/>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cs="Times New Roman"/>
                <w:b/>
                <w:bCs/>
                <w:kern w:val="2"/>
                <w:sz w:val="24"/>
                <w:szCs w:val="24"/>
                <w:lang w:val="en-US" w:eastAsia="zh-CN" w:bidi="ar-SA"/>
              </w:rPr>
              <w:t>1.1</w:t>
            </w:r>
            <w:r>
              <w:rPr>
                <w:rFonts w:hint="eastAsia" w:ascii="Times New Roman" w:hAnsi="Times New Roman" w:eastAsia="宋体" w:cs="Times New Roman"/>
                <w:b/>
                <w:bCs/>
                <w:kern w:val="2"/>
                <w:sz w:val="24"/>
                <w:szCs w:val="24"/>
                <w:lang w:val="en-US" w:eastAsia="zh-CN" w:bidi="ar-SA"/>
              </w:rPr>
              <w:t>.2水土流失保护措施</w:t>
            </w:r>
          </w:p>
          <w:p w14:paraId="168B11C4">
            <w:pPr>
              <w:pStyle w:val="17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1）场地平整：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14:paraId="17203DA6">
            <w:pPr>
              <w:pStyle w:val="17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2）洒水降尘：</w:t>
            </w:r>
            <w:r>
              <w:rPr>
                <w:rFonts w:hint="eastAsia" w:ascii="Times New Roman" w:hAnsi="Times New Roman" w:cs="Times New Roman"/>
                <w:b w:val="0"/>
                <w:bCs/>
                <w:kern w:val="2"/>
                <w:sz w:val="24"/>
                <w:szCs w:val="24"/>
                <w:lang w:val="en-US" w:eastAsia="zh-CN" w:bidi="ar-SA"/>
              </w:rPr>
              <w:t>项目所在地区</w:t>
            </w:r>
            <w:r>
              <w:rPr>
                <w:rFonts w:hint="default" w:ascii="Times New Roman" w:hAnsi="Times New Roman" w:eastAsia="宋体" w:cs="Times New Roman"/>
                <w:b w:val="0"/>
                <w:bCs/>
                <w:kern w:val="2"/>
                <w:sz w:val="24"/>
                <w:szCs w:val="24"/>
                <w:lang w:val="en-US" w:eastAsia="zh-CN" w:bidi="ar-SA"/>
              </w:rPr>
              <w:t>降水量极少，蒸发量却很大，工程区施工扰动区易产生扬尘对周边环境产生影响，产生一定的水土流失。</w:t>
            </w:r>
            <w:r>
              <w:rPr>
                <w:rFonts w:hint="eastAsia" w:ascii="Times New Roman" w:hAnsi="Times New Roman" w:cs="Times New Roman"/>
                <w:b w:val="0"/>
                <w:bCs/>
                <w:kern w:val="2"/>
                <w:sz w:val="24"/>
                <w:szCs w:val="24"/>
                <w:lang w:val="en-US" w:eastAsia="zh-CN" w:bidi="ar-SA"/>
              </w:rPr>
              <w:t>对</w:t>
            </w:r>
            <w:r>
              <w:rPr>
                <w:rFonts w:hint="default" w:ascii="Times New Roman" w:hAnsi="Times New Roman" w:eastAsia="宋体" w:cs="Times New Roman"/>
                <w:b w:val="0"/>
                <w:bCs/>
                <w:kern w:val="2"/>
                <w:sz w:val="24"/>
                <w:szCs w:val="24"/>
                <w:lang w:val="en-US" w:eastAsia="zh-CN" w:bidi="ar-SA"/>
              </w:rPr>
              <w:t>防治区进行定时洒水，减少施工过程中因风蚀造成的水土流失，在风季施工期内，增加洒水防护措施。</w:t>
            </w:r>
          </w:p>
          <w:p w14:paraId="430D683A">
            <w:pPr>
              <w:pStyle w:val="17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3）限行彩条旗：为严格控制和管理施工期间车辆行驶的范围，减轻对周边区域的扰动，在施工区四周拉彩条旗以示明车辆行驶的边界，以避免增加对地表的扰动和破坏。</w:t>
            </w:r>
          </w:p>
          <w:p w14:paraId="597EF471">
            <w:pPr>
              <w:pStyle w:val="17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4）水土保持宣传牌：在</w:t>
            </w:r>
            <w:r>
              <w:rPr>
                <w:rFonts w:hint="eastAsia" w:ascii="Times New Roman" w:hAnsi="Times New Roman" w:cs="Times New Roman"/>
                <w:b w:val="0"/>
                <w:bCs/>
                <w:kern w:val="2"/>
                <w:sz w:val="24"/>
                <w:szCs w:val="24"/>
                <w:lang w:val="en-US" w:eastAsia="zh-CN" w:bidi="ar-SA"/>
              </w:rPr>
              <w:t>施工</w:t>
            </w:r>
            <w:r>
              <w:rPr>
                <w:rFonts w:hint="default" w:ascii="Times New Roman" w:hAnsi="Times New Roman" w:eastAsia="宋体" w:cs="Times New Roman"/>
                <w:b w:val="0"/>
                <w:bCs/>
                <w:kern w:val="2"/>
                <w:sz w:val="24"/>
                <w:szCs w:val="24"/>
                <w:lang w:val="en-US" w:eastAsia="zh-CN" w:bidi="ar-SA"/>
              </w:rPr>
              <w:t>区设置水土保持宣传警示牌，从管理上对施工作业人员加强宣传教育，切实</w:t>
            </w:r>
            <w:r>
              <w:rPr>
                <w:rFonts w:hint="eastAsia" w:ascii="Times New Roman" w:hAnsi="Times New Roman" w:cs="Times New Roman"/>
                <w:b w:val="0"/>
                <w:bCs/>
                <w:kern w:val="2"/>
                <w:sz w:val="24"/>
                <w:szCs w:val="24"/>
                <w:lang w:val="en-US" w:eastAsia="zh-CN" w:bidi="ar-SA"/>
              </w:rPr>
              <w:t>增强</w:t>
            </w:r>
            <w:r>
              <w:rPr>
                <w:rFonts w:hint="default" w:ascii="Times New Roman" w:hAnsi="Times New Roman" w:eastAsia="宋体" w:cs="Times New Roman"/>
                <w:b w:val="0"/>
                <w:bCs/>
                <w:kern w:val="2"/>
                <w:sz w:val="24"/>
                <w:szCs w:val="24"/>
                <w:lang w:val="en-US" w:eastAsia="zh-CN" w:bidi="ar-SA"/>
              </w:rPr>
              <w:t>保护生态环境的意识。</w:t>
            </w:r>
          </w:p>
          <w:p w14:paraId="1AD1B52C">
            <w:pPr>
              <w:pStyle w:val="3"/>
              <w:suppressLineNumbers w:val="0"/>
              <w:bidi w:val="0"/>
              <w:spacing w:before="0" w:beforeAutospacing="0" w:after="0" w:afterAutospacing="0"/>
              <w:ind w:left="0" w:right="0" w:firstLine="482" w:firstLineChars="200"/>
              <w:rPr>
                <w:rFonts w:hint="eastAsia"/>
                <w:color w:val="auto"/>
                <w:lang w:val="en-US" w:eastAsia="zh-CN"/>
              </w:rPr>
            </w:pPr>
            <w:r>
              <w:rPr>
                <w:rFonts w:hint="eastAsia"/>
                <w:color w:val="auto"/>
                <w:lang w:val="en-US" w:eastAsia="zh-CN"/>
              </w:rPr>
              <w:t>1.1.3</w:t>
            </w:r>
            <w:r>
              <w:rPr>
                <w:rFonts w:hint="eastAsia"/>
                <w:color w:val="auto"/>
                <w:lang w:eastAsia="zh-CN"/>
              </w:rPr>
              <w:t>建设项目水土保持的措施</w:t>
            </w:r>
          </w:p>
          <w:p w14:paraId="288C4BC7">
            <w:pPr>
              <w:keepNext w:val="0"/>
              <w:keepLines w:val="0"/>
              <w:suppressLineNumbers w:val="0"/>
              <w:bidi w:val="0"/>
              <w:spacing w:before="0" w:beforeAutospacing="0" w:after="0" w:afterAutospacing="0"/>
              <w:ind w:left="0" w:right="0"/>
              <w:rPr>
                <w:rFonts w:hint="eastAsia"/>
                <w:color w:val="auto"/>
              </w:rPr>
            </w:pPr>
            <w:r>
              <w:rPr>
                <w:rFonts w:hint="eastAsia"/>
                <w:color w:val="auto"/>
                <w:lang w:eastAsia="zh-CN"/>
              </w:rPr>
              <w:t>①</w:t>
            </w:r>
            <w:r>
              <w:rPr>
                <w:rFonts w:hint="eastAsia"/>
                <w:color w:val="auto"/>
              </w:rPr>
              <w:t>施工过程中建（构）筑物基础开挖，用于场地平整的土石料，应随时运往需要平整的场地，防止碾压；</w:t>
            </w:r>
          </w:p>
          <w:p w14:paraId="26D8D012">
            <w:pPr>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②</w:t>
            </w:r>
            <w:r>
              <w:rPr>
                <w:rFonts w:hint="eastAsia"/>
                <w:color w:val="auto"/>
              </w:rPr>
              <w:t>用于回填的土料需根据项目区建（构）筑物的布设位置和</w:t>
            </w:r>
            <w:r>
              <w:rPr>
                <w:rFonts w:hint="eastAsia"/>
                <w:color w:val="auto"/>
                <w:lang w:eastAsia="zh-CN"/>
              </w:rPr>
              <w:t>厂区</w:t>
            </w:r>
            <w:r>
              <w:rPr>
                <w:rFonts w:hint="eastAsia"/>
                <w:color w:val="auto"/>
              </w:rPr>
              <w:t>道路布设情况，集中堆放，临时堆土场人工拍实，堆放高度不得超过3.0m，采取纤维布苫盖临时挡护措施，待基础浇筑完成后及时回填，及时将堆土场平整清理，设计纤维布幅宽2.0m，每隔5.0m布设一立杆，并用铁丝绑牢固</w:t>
            </w:r>
            <w:r>
              <w:rPr>
                <w:rFonts w:hint="eastAsia"/>
                <w:color w:val="auto"/>
                <w:lang w:eastAsia="zh-CN"/>
              </w:rPr>
              <w:t>。</w:t>
            </w:r>
          </w:p>
          <w:p w14:paraId="30DE725A">
            <w:pPr>
              <w:keepNext w:val="0"/>
              <w:keepLines w:val="0"/>
              <w:suppressLineNumbers w:val="0"/>
              <w:bidi w:val="0"/>
              <w:spacing w:before="0" w:beforeAutospacing="0" w:after="0" w:afterAutospacing="0"/>
              <w:ind w:left="0" w:right="0"/>
              <w:rPr>
                <w:rFonts w:hint="eastAsia"/>
                <w:color w:val="auto"/>
              </w:rPr>
            </w:pPr>
            <w:r>
              <w:rPr>
                <w:rFonts w:hint="eastAsia"/>
                <w:color w:val="auto"/>
                <w:lang w:eastAsia="zh-CN"/>
              </w:rPr>
              <w:t>③</w:t>
            </w:r>
            <w:r>
              <w:rPr>
                <w:rFonts w:hint="eastAsia"/>
                <w:color w:val="auto"/>
              </w:rPr>
              <w:t>项目</w:t>
            </w:r>
            <w:r>
              <w:rPr>
                <w:rFonts w:hint="eastAsia"/>
                <w:color w:val="auto"/>
                <w:lang w:eastAsia="zh-CN"/>
              </w:rPr>
              <w:t>部分</w:t>
            </w:r>
            <w:r>
              <w:rPr>
                <w:rFonts w:hint="eastAsia"/>
                <w:color w:val="auto"/>
              </w:rPr>
              <w:t>开挖，开挖土料集中堆放在临时堆土区人工拍实，并在顶部设置纤维布苫盖措施，外侧边坡采用纤维土袋临时挡护措施，设计纤维土袋挡土墙高1m，宽0.5m，外坡比1</w:t>
            </w:r>
            <w:r>
              <w:rPr>
                <w:rFonts w:hint="eastAsia"/>
                <w:color w:val="auto"/>
                <w:lang w:eastAsia="zh-CN"/>
              </w:rPr>
              <w:t>:</w:t>
            </w:r>
            <w:r>
              <w:rPr>
                <w:rFonts w:hint="eastAsia"/>
                <w:color w:val="auto"/>
              </w:rPr>
              <w:t>0.5。</w:t>
            </w:r>
          </w:p>
          <w:p w14:paraId="52DA96E0">
            <w:pPr>
              <w:keepNext w:val="0"/>
              <w:keepLines w:val="0"/>
              <w:suppressLineNumbers w:val="0"/>
              <w:bidi w:val="0"/>
              <w:spacing w:before="0" w:beforeAutospacing="0" w:after="0" w:afterAutospacing="0"/>
              <w:ind w:left="0" w:right="0"/>
              <w:rPr>
                <w:rFonts w:hint="eastAsia"/>
                <w:color w:val="auto"/>
              </w:rPr>
            </w:pPr>
            <w:r>
              <w:rPr>
                <w:rFonts w:hint="eastAsia"/>
                <w:color w:val="auto"/>
                <w:lang w:eastAsia="zh-CN"/>
              </w:rPr>
              <w:t>④</w:t>
            </w:r>
            <w:r>
              <w:rPr>
                <w:rFonts w:hint="eastAsia"/>
                <w:color w:val="auto"/>
              </w:rPr>
              <w:t>施工过程中</w:t>
            </w:r>
            <w:r>
              <w:rPr>
                <w:rFonts w:hint="eastAsia"/>
                <w:color w:val="auto"/>
                <w:lang w:val="en-US" w:eastAsia="zh-CN"/>
              </w:rPr>
              <w:t>修建临时排水设施，</w:t>
            </w:r>
            <w:r>
              <w:rPr>
                <w:rFonts w:hint="eastAsia"/>
                <w:color w:val="auto"/>
              </w:rPr>
              <w:t>随时保持施工现场排水设施的畅通。</w:t>
            </w:r>
          </w:p>
          <w:p w14:paraId="6EAAFCA7">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⑤</w:t>
            </w:r>
            <w:r>
              <w:rPr>
                <w:rFonts w:hint="eastAsia"/>
                <w:color w:val="auto"/>
              </w:rPr>
              <w:t>当暴雨来临时应使用一些防护物，如使用草席等覆盖。</w:t>
            </w:r>
          </w:p>
          <w:p w14:paraId="0362CFBA">
            <w:pPr>
              <w:pStyle w:val="35"/>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rPr>
            </w:pPr>
            <w:r>
              <w:rPr>
                <w:rFonts w:hint="eastAsia"/>
                <w:color w:val="auto"/>
                <w:lang w:val="en-US" w:eastAsia="zh-CN"/>
              </w:rPr>
              <w:t>⑥</w:t>
            </w:r>
            <w:r>
              <w:rPr>
                <w:rFonts w:hint="eastAsia"/>
                <w:color w:val="auto"/>
              </w:rPr>
              <w:t>合理布置施工时间，避开雨季及大风天气进行施工。</w:t>
            </w:r>
          </w:p>
          <w:p w14:paraId="4099A6DC">
            <w:pPr>
              <w:pStyle w:val="17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1.1.3防风治沙措施</w:t>
            </w:r>
          </w:p>
          <w:p w14:paraId="3540C41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为认真贯彻落实党的十八大精神，根据《中华人民共和国防沙治沙法</w:t>
            </w:r>
            <w:r>
              <w:rPr>
                <w:rFonts w:hint="eastAsia" w:cs="Times New Roman"/>
                <w:b w:val="0"/>
                <w:bCs/>
                <w:kern w:val="2"/>
                <w:sz w:val="24"/>
                <w:szCs w:val="24"/>
                <w:lang w:val="en-US" w:eastAsia="zh-CN" w:bidi="ar-SA"/>
              </w:rPr>
              <w:t>》和</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国务院关于进一步加强防沙治沙工作的决定》等有关规定，切实保护和改善沙区生态，要求建设单位按相关规定开展防沙治沙工作。坚持科学治沙，注重实效的原则，坚</w:t>
            </w:r>
            <w:r>
              <w:rPr>
                <w:rFonts w:hint="eastAsia" w:ascii="Times New Roman" w:hAnsi="Times New Roman" w:eastAsia="宋体" w:cs="Times New Roman"/>
                <w:b w:val="0"/>
                <w:bCs/>
                <w:kern w:val="2"/>
                <w:sz w:val="24"/>
                <w:szCs w:val="24"/>
                <w:lang w:val="en-US" w:eastAsia="zh-CN" w:bidi="ar-SA"/>
              </w:rPr>
              <w:t>持“因地制宜、因害设防、保护优先、综合治理”</w:t>
            </w:r>
            <w:r>
              <w:rPr>
                <w:rFonts w:hint="default" w:ascii="Times New Roman" w:hAnsi="Times New Roman" w:eastAsia="宋体" w:cs="Times New Roman"/>
                <w:b w:val="0"/>
                <w:bCs/>
                <w:kern w:val="2"/>
                <w:sz w:val="24"/>
                <w:szCs w:val="24"/>
                <w:lang w:val="en-US" w:eastAsia="zh-CN" w:bidi="ar-SA"/>
              </w:rPr>
              <w:t>的原则，在保护现有植被及防沙治沙措施的基础上，对项目建设过程中扰动的沙化土地进行恢复，采取防沙治沙措施避免因项目</w:t>
            </w:r>
            <w:r>
              <w:rPr>
                <w:rFonts w:hint="eastAsia" w:cs="Times New Roman"/>
                <w:b w:val="0"/>
                <w:bCs/>
                <w:kern w:val="2"/>
                <w:sz w:val="24"/>
                <w:szCs w:val="24"/>
                <w:lang w:val="en-US" w:eastAsia="zh-CN" w:bidi="ar-SA"/>
              </w:rPr>
              <w:t>建设加剧</w:t>
            </w:r>
            <w:r>
              <w:rPr>
                <w:rFonts w:hint="default" w:ascii="Times New Roman" w:hAnsi="Times New Roman" w:eastAsia="宋体" w:cs="Times New Roman"/>
                <w:b w:val="0"/>
                <w:bCs/>
                <w:kern w:val="2"/>
                <w:sz w:val="24"/>
                <w:szCs w:val="24"/>
                <w:lang w:val="en-US" w:eastAsia="zh-CN" w:bidi="ar-SA"/>
              </w:rPr>
              <w:t>土地沙化的不利影响。</w:t>
            </w:r>
          </w:p>
          <w:p w14:paraId="5636E4B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施工过程中采取以下</w:t>
            </w:r>
            <w:r>
              <w:rPr>
                <w:rFonts w:hint="eastAsia" w:cs="Times New Roman"/>
                <w:b w:val="0"/>
                <w:bCs/>
                <w:kern w:val="2"/>
                <w:sz w:val="24"/>
                <w:szCs w:val="24"/>
                <w:lang w:val="en-US" w:eastAsia="zh-CN" w:bidi="ar-SA"/>
              </w:rPr>
              <w:t>防风治沙</w:t>
            </w:r>
            <w:r>
              <w:rPr>
                <w:rFonts w:hint="default" w:ascii="Times New Roman" w:hAnsi="Times New Roman" w:eastAsia="宋体" w:cs="Times New Roman"/>
                <w:b w:val="0"/>
                <w:bCs/>
                <w:kern w:val="2"/>
                <w:sz w:val="24"/>
                <w:szCs w:val="24"/>
                <w:lang w:val="en-US" w:eastAsia="zh-CN" w:bidi="ar-SA"/>
              </w:rPr>
              <w:t>措施：</w:t>
            </w:r>
          </w:p>
          <w:p w14:paraId="7D2CAB0D">
            <w:pPr>
              <w:pStyle w:val="3"/>
              <w:bidi w:val="0"/>
              <w:ind w:firstLine="480" w:firstLineChars="200"/>
              <w:rPr>
                <w:rFonts w:hint="eastAsia"/>
                <w:lang w:val="en-US" w:eastAsia="zh-CN"/>
              </w:rPr>
            </w:pPr>
            <w:r>
              <w:rPr>
                <w:rFonts w:hint="default" w:ascii="Times New Roman" w:hAnsi="Times New Roman" w:eastAsia="宋体" w:cs="Times New Roman"/>
                <w:b w:val="0"/>
                <w:bCs/>
                <w:kern w:val="2"/>
                <w:sz w:val="24"/>
                <w:szCs w:val="24"/>
                <w:lang w:val="en-US" w:eastAsia="zh-CN" w:bidi="ar-SA"/>
              </w:rPr>
              <w:t>要求施工过程中在扰动区域进行洒水抑尘，减少风力侵蚀的影响，同时在土方开挖过程中弃土及时</w:t>
            </w:r>
            <w:r>
              <w:rPr>
                <w:rFonts w:hint="eastAsia" w:cs="Times New Roman"/>
                <w:b w:val="0"/>
                <w:bCs/>
                <w:kern w:val="2"/>
                <w:sz w:val="24"/>
                <w:szCs w:val="24"/>
                <w:lang w:val="en-US" w:eastAsia="zh-CN" w:bidi="ar-SA"/>
              </w:rPr>
              <w:t>转运</w:t>
            </w:r>
            <w:r>
              <w:rPr>
                <w:rFonts w:hint="default" w:ascii="Times New Roman" w:hAnsi="Times New Roman" w:eastAsia="宋体" w:cs="Times New Roman"/>
                <w:b w:val="0"/>
                <w:bCs/>
                <w:kern w:val="2"/>
                <w:sz w:val="24"/>
                <w:szCs w:val="24"/>
                <w:lang w:val="en-US" w:eastAsia="zh-CN" w:bidi="ar-SA"/>
              </w:rPr>
              <w:t>，施工后在扰动区域进行多次洒水，促进地表层结皮，有利于地面的恢复，将土壤受风蚀的影响降至</w:t>
            </w:r>
            <w:r>
              <w:rPr>
                <w:rFonts w:hint="eastAsia" w:ascii="Times New Roman" w:hAnsi="Times New Roman" w:eastAsia="宋体" w:cs="Times New Roman"/>
                <w:b w:val="0"/>
                <w:bCs/>
                <w:kern w:val="2"/>
                <w:sz w:val="24"/>
                <w:szCs w:val="24"/>
                <w:lang w:val="en-US" w:eastAsia="zh-CN" w:bidi="ar-SA"/>
              </w:rPr>
              <w:t>最低程度</w:t>
            </w:r>
            <w:r>
              <w:rPr>
                <w:rFonts w:hint="default" w:ascii="Times New Roman" w:hAnsi="Times New Roman" w:eastAsia="宋体" w:cs="Times New Roman"/>
                <w:b w:val="0"/>
                <w:bCs/>
                <w:kern w:val="2"/>
                <w:sz w:val="24"/>
                <w:szCs w:val="24"/>
                <w:lang w:val="en-US" w:eastAsia="zh-CN" w:bidi="ar-SA"/>
              </w:rPr>
              <w:t>；进出施工场所的物料、</w:t>
            </w:r>
            <w:r>
              <w:rPr>
                <w:rFonts w:hint="eastAsia" w:cs="Times New Roman"/>
                <w:b w:val="0"/>
                <w:bCs/>
                <w:kern w:val="2"/>
                <w:sz w:val="24"/>
                <w:szCs w:val="24"/>
                <w:lang w:val="en-US" w:eastAsia="zh-CN" w:bidi="ar-SA"/>
              </w:rPr>
              <w:t>弃土</w:t>
            </w:r>
            <w:r>
              <w:rPr>
                <w:rFonts w:hint="default" w:ascii="Times New Roman" w:hAnsi="Times New Roman" w:eastAsia="宋体" w:cs="Times New Roman"/>
                <w:b w:val="0"/>
                <w:bCs/>
                <w:kern w:val="2"/>
                <w:sz w:val="24"/>
                <w:szCs w:val="24"/>
                <w:lang w:val="en-US" w:eastAsia="zh-CN" w:bidi="ar-SA"/>
              </w:rPr>
              <w:t>运输车辆，应尽可能采用密闭车斗，并保证物料不遗撒外漏，若无密闭车斗，物料、垃圾、</w:t>
            </w:r>
            <w:r>
              <w:rPr>
                <w:rFonts w:hint="eastAsia" w:cs="Times New Roman"/>
                <w:b w:val="0"/>
                <w:bCs/>
                <w:kern w:val="2"/>
                <w:sz w:val="24"/>
                <w:szCs w:val="24"/>
                <w:lang w:val="en-US" w:eastAsia="zh-CN" w:bidi="ar-SA"/>
              </w:rPr>
              <w:t>弃土</w:t>
            </w:r>
            <w:r>
              <w:rPr>
                <w:rFonts w:hint="default" w:ascii="Times New Roman" w:hAnsi="Times New Roman" w:eastAsia="宋体" w:cs="Times New Roman"/>
                <w:b w:val="0"/>
                <w:bCs/>
                <w:kern w:val="2"/>
                <w:sz w:val="24"/>
                <w:szCs w:val="24"/>
                <w:lang w:val="en-US" w:eastAsia="zh-CN" w:bidi="ar-SA"/>
              </w:rPr>
              <w:t>的装载高度不得超过车辆槽帮上沿，车斗应用苫布遮盖严实；强化施工管理，加强施工人员</w:t>
            </w:r>
            <w:r>
              <w:rPr>
                <w:rFonts w:hint="eastAsia" w:cs="Times New Roman"/>
                <w:b w:val="0"/>
                <w:bCs/>
                <w:kern w:val="2"/>
                <w:sz w:val="24"/>
                <w:szCs w:val="24"/>
                <w:lang w:val="en-US" w:eastAsia="zh-CN" w:bidi="ar-SA"/>
              </w:rPr>
              <w:t>防风</w:t>
            </w:r>
            <w:r>
              <w:rPr>
                <w:rFonts w:hint="default" w:ascii="Times New Roman" w:hAnsi="Times New Roman" w:eastAsia="宋体" w:cs="Times New Roman"/>
                <w:b w:val="0"/>
                <w:bCs/>
                <w:kern w:val="2"/>
                <w:sz w:val="24"/>
                <w:szCs w:val="24"/>
                <w:lang w:val="en-US" w:eastAsia="zh-CN" w:bidi="ar-SA"/>
              </w:rPr>
              <w:t>固沙的环境保护意识和知识，杜绝因对施工人员的流动管理</w:t>
            </w:r>
            <w:r>
              <w:rPr>
                <w:rFonts w:hint="eastAsia" w:cs="Times New Roman"/>
                <w:b w:val="0"/>
                <w:bCs/>
                <w:kern w:val="2"/>
                <w:sz w:val="24"/>
                <w:szCs w:val="24"/>
                <w:lang w:val="en-US" w:eastAsia="zh-CN" w:bidi="ar-SA"/>
              </w:rPr>
              <w:t>不完</w:t>
            </w:r>
            <w:r>
              <w:rPr>
                <w:rFonts w:hint="default" w:ascii="Times New Roman" w:hAnsi="Times New Roman" w:eastAsia="宋体" w:cs="Times New Roman"/>
                <w:b w:val="0"/>
                <w:bCs/>
                <w:kern w:val="2"/>
                <w:sz w:val="24"/>
                <w:szCs w:val="24"/>
                <w:lang w:val="en-US" w:eastAsia="zh-CN" w:bidi="ar-SA"/>
              </w:rPr>
              <w:t>善及作业方式不合理而产生对区域土地环境的</w:t>
            </w:r>
            <w:r>
              <w:rPr>
                <w:rFonts w:hint="eastAsia" w:ascii="Times New Roman" w:hAnsi="Times New Roman" w:eastAsia="宋体" w:cs="Times New Roman"/>
                <w:b w:val="0"/>
                <w:bCs/>
                <w:kern w:val="2"/>
                <w:sz w:val="24"/>
                <w:szCs w:val="24"/>
                <w:lang w:val="en-US" w:eastAsia="zh-CN" w:bidi="ar-SA"/>
              </w:rPr>
              <w:t>人为</w:t>
            </w:r>
            <w:r>
              <w:rPr>
                <w:rFonts w:hint="default" w:ascii="Times New Roman" w:hAnsi="Times New Roman" w:eastAsia="宋体" w:cs="Times New Roman"/>
                <w:b w:val="0"/>
                <w:bCs/>
                <w:kern w:val="2"/>
                <w:sz w:val="24"/>
                <w:szCs w:val="24"/>
                <w:lang w:val="en-US" w:eastAsia="zh-CN" w:bidi="ar-SA"/>
              </w:rPr>
              <w:t>影响和破坏</w:t>
            </w:r>
            <w:r>
              <w:rPr>
                <w:rFonts w:hint="eastAsia" w:cs="Times New Roman"/>
                <w:b w:val="0"/>
                <w:bCs/>
                <w:kern w:val="2"/>
                <w:sz w:val="24"/>
                <w:szCs w:val="24"/>
                <w:lang w:val="en-US" w:eastAsia="zh-CN" w:bidi="ar-SA"/>
              </w:rPr>
              <w:t>。</w:t>
            </w:r>
          </w:p>
          <w:p w14:paraId="55CC6EAE">
            <w:pPr>
              <w:pStyle w:val="3"/>
              <w:bidi w:val="0"/>
              <w:ind w:firstLine="482" w:firstLineChars="200"/>
              <w:rPr>
                <w:rFonts w:hint="default"/>
                <w:lang w:val="en-US" w:eastAsia="zh-CN"/>
              </w:rPr>
            </w:pPr>
            <w:r>
              <w:rPr>
                <w:rFonts w:hint="eastAsia"/>
                <w:lang w:val="en-US" w:eastAsia="zh-CN"/>
              </w:rPr>
              <w:t>1.2</w:t>
            </w:r>
            <w:r>
              <w:rPr>
                <w:rFonts w:hint="default"/>
                <w:lang w:val="en-US" w:eastAsia="zh-CN"/>
              </w:rPr>
              <w:t>施工期大气污染防治措施</w:t>
            </w:r>
          </w:p>
          <w:p w14:paraId="20C8DCD4">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施工现场实行围挡、围护，全封闭施工，根据调研分析，有围挡的施工现场，其扬尘污染相对无围挡的有明显改善，当风速为0.5m/s时，围挡施工可使被污染地区的TSP浓度减少四分之一左右，围挡高度一般不低于1.8m，不高于2.2m。推广使用新型轻质围挡材料。</w:t>
            </w:r>
          </w:p>
          <w:p w14:paraId="4EAA0624">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禁止混凝土现场搅拌，使用商品混凝土；在施工场地安排员工定期对施工场地洒水以减少扬尘量，洒水次数根据天气状况而定，一般每天洒水1～2次；若遇到大风或干燥天气可适当增加洒水次数。场地洒水后，扬尘量将减低28%～75%，大大减少周</w:t>
            </w:r>
            <w:r>
              <w:rPr>
                <w:rFonts w:hint="eastAsia"/>
                <w:color w:val="auto"/>
                <w:sz w:val="24"/>
                <w:highlight w:val="none"/>
                <w:lang w:val="en-US" w:eastAsia="zh-CN"/>
              </w:rPr>
              <w:t>边</w:t>
            </w:r>
            <w:r>
              <w:rPr>
                <w:rFonts w:hint="eastAsia"/>
                <w:color w:val="auto"/>
                <w:sz w:val="24"/>
                <w:highlight w:val="none"/>
                <w:lang w:eastAsia="zh-CN"/>
              </w:rPr>
              <w:t>环境的影响。</w:t>
            </w:r>
          </w:p>
          <w:p w14:paraId="46FFD508">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）运输车辆必须根据核定的载重量装载，由于弃土易产生扬尘物质，对于在运输过程中可能产生扬尘的装载物在运输过程中应加以覆盖，不得沿途飞扬、撒漏和带泥上路；注意建筑材料的堆放，尤其是</w:t>
            </w:r>
            <w:r>
              <w:rPr>
                <w:rFonts w:hint="eastAsia"/>
                <w:color w:val="auto"/>
                <w:sz w:val="24"/>
                <w:highlight w:val="none"/>
                <w:lang w:val="en-US" w:eastAsia="zh-CN"/>
              </w:rPr>
              <w:t>砂石料</w:t>
            </w:r>
            <w:r>
              <w:rPr>
                <w:rFonts w:hint="eastAsia"/>
                <w:color w:val="auto"/>
                <w:sz w:val="24"/>
                <w:highlight w:val="none"/>
                <w:lang w:eastAsia="zh-CN"/>
              </w:rPr>
              <w:t>、石灰等易产生扬尘的材料，应把易产生扬尘的材料</w:t>
            </w:r>
            <w:r>
              <w:rPr>
                <w:rFonts w:hint="eastAsia"/>
                <w:color w:val="auto"/>
                <w:sz w:val="24"/>
                <w:highlight w:val="none"/>
                <w:lang w:val="en-US" w:eastAsia="zh-CN"/>
              </w:rPr>
              <w:t>集中堆存并采取围挡遮盖措施</w:t>
            </w:r>
            <w:r>
              <w:rPr>
                <w:rFonts w:hint="eastAsia"/>
                <w:color w:val="auto"/>
                <w:sz w:val="24"/>
                <w:highlight w:val="none"/>
                <w:lang w:eastAsia="zh-CN"/>
              </w:rPr>
              <w:t>。</w:t>
            </w:r>
          </w:p>
          <w:p w14:paraId="5ABA3D46">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）加强行政管理，严格遵守国家和当地有关建筑施工管理的有关规定，当风力超过4级的天气，停止易产生扬尘的施工作业。</w:t>
            </w:r>
          </w:p>
          <w:p w14:paraId="63240DB2">
            <w:pPr>
              <w:keepNext w:val="0"/>
              <w:keepLines w:val="0"/>
              <w:suppressLineNumbers w:val="0"/>
              <w:spacing w:before="0" w:beforeAutospacing="0" w:after="0" w:afterAutospacing="0" w:line="360" w:lineRule="auto"/>
              <w:ind w:left="0" w:right="0" w:firstLine="456" w:firstLineChars="200"/>
              <w:rPr>
                <w:rFonts w:hint="eastAsia"/>
                <w:color w:val="auto"/>
                <w:spacing w:val="-6"/>
                <w:sz w:val="24"/>
                <w:highlight w:val="none"/>
                <w:lang w:eastAsia="zh-CN"/>
              </w:rPr>
            </w:pPr>
            <w:r>
              <w:rPr>
                <w:rFonts w:hint="eastAsia"/>
                <w:color w:val="auto"/>
                <w:spacing w:val="-6"/>
                <w:sz w:val="24"/>
                <w:highlight w:val="none"/>
                <w:lang w:eastAsia="zh-CN"/>
              </w:rPr>
              <w:t>（</w:t>
            </w:r>
            <w:r>
              <w:rPr>
                <w:rFonts w:hint="eastAsia"/>
                <w:color w:val="auto"/>
                <w:spacing w:val="-6"/>
                <w:sz w:val="24"/>
                <w:highlight w:val="none"/>
                <w:lang w:val="en-US" w:eastAsia="zh-CN"/>
              </w:rPr>
              <w:t>5</w:t>
            </w:r>
            <w:r>
              <w:rPr>
                <w:rFonts w:hint="eastAsia"/>
                <w:color w:val="auto"/>
                <w:spacing w:val="-6"/>
                <w:sz w:val="24"/>
                <w:highlight w:val="none"/>
                <w:lang w:eastAsia="zh-CN"/>
              </w:rPr>
              <w:t>）在施工场地上设置专人负责弃土、建筑垃圾、建筑材料的处置、清运和堆放，对建筑垃圾及弃土应及时填埋，以减少占地，堆放场地避开居民区的上风向，必要时加盖篷布或洒水，防止扬尘污染，改善施工场地的环境。</w:t>
            </w:r>
          </w:p>
          <w:p w14:paraId="6BE1F404">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）严格施工扬尘管理，各类工地在施工前，必须按照文明施工要求，制定控制扬尘污染方案，经主管部门审批后方可办理施工许可证。</w:t>
            </w:r>
          </w:p>
          <w:p w14:paraId="0E42E10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rFonts w:hint="eastAsia" w:ascii="Times New Roman" w:hAnsi="Times New Roman" w:cs="Times New Roman"/>
                <w:color w:val="auto"/>
                <w:sz w:val="24"/>
                <w:highlight w:val="none"/>
                <w:lang w:val="en-US" w:eastAsia="zh-CN"/>
              </w:rPr>
              <w:t>施工机械设备</w:t>
            </w:r>
            <w:r>
              <w:rPr>
                <w:rFonts w:hint="default" w:ascii="Times New Roman" w:hAnsi="Times New Roman" w:cs="Times New Roman"/>
                <w:color w:val="auto"/>
                <w:sz w:val="24"/>
                <w:highlight w:val="none"/>
                <w:lang w:val="en-US" w:eastAsia="zh-CN"/>
              </w:rPr>
              <w:t>选用低能耗、高效率的燃油设备，加强日常检修及维护保养、管理，</w:t>
            </w:r>
            <w:r>
              <w:rPr>
                <w:rFonts w:hint="eastAsia" w:ascii="Times New Roman" w:hAnsi="Times New Roman" w:cs="Times New Roman"/>
                <w:color w:val="auto"/>
                <w:sz w:val="24"/>
                <w:highlight w:val="none"/>
                <w:lang w:val="en-US" w:eastAsia="zh-CN"/>
              </w:rPr>
              <w:t>最大程度减少</w:t>
            </w:r>
            <w:r>
              <w:rPr>
                <w:rFonts w:hint="default" w:ascii="Times New Roman" w:hAnsi="Times New Roman" w:cs="Times New Roman"/>
                <w:color w:val="auto"/>
                <w:sz w:val="24"/>
                <w:highlight w:val="none"/>
                <w:lang w:val="en-US" w:eastAsia="zh-CN"/>
              </w:rPr>
              <w:t>燃油废气对周围空气环境质量</w:t>
            </w:r>
            <w:r>
              <w:rPr>
                <w:rFonts w:hint="eastAsia"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lang w:val="en-US" w:eastAsia="zh-CN"/>
              </w:rPr>
              <w:t>影响</w:t>
            </w:r>
            <w:r>
              <w:rPr>
                <w:rFonts w:hint="eastAsia" w:cs="Times New Roman"/>
                <w:color w:val="auto"/>
                <w:sz w:val="24"/>
                <w:highlight w:val="none"/>
                <w:lang w:val="en-US" w:eastAsia="zh-CN"/>
              </w:rPr>
              <w:t>。</w:t>
            </w:r>
          </w:p>
          <w:p w14:paraId="4187A6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8</w:t>
            </w:r>
            <w:r>
              <w:rPr>
                <w:rFonts w:hint="eastAsia" w:ascii="Times New Roman" w:hAnsi="Times New Roman" w:cs="Times New Roman"/>
                <w:color w:val="auto"/>
                <w:sz w:val="24"/>
                <w:highlight w:val="none"/>
                <w:lang w:eastAsia="zh-CN"/>
              </w:rPr>
              <w:t>）</w:t>
            </w:r>
            <w:r>
              <w:rPr>
                <w:rFonts w:hint="eastAsia"/>
                <w:color w:val="auto"/>
                <w:sz w:val="24"/>
                <w:highlight w:val="none"/>
                <w:lang w:eastAsia="zh-CN"/>
              </w:rPr>
              <w:t>环评要求在采取有效的抑尘措施的同时，并对车辆进行清洗，对场地进行洒水抑尘，减轻对项目区大气环境的影响。</w:t>
            </w:r>
          </w:p>
          <w:p w14:paraId="212CB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1.3</w:t>
            </w:r>
            <w:r>
              <w:rPr>
                <w:rFonts w:hint="default" w:ascii="Times New Roman" w:hAnsi="Times New Roman" w:eastAsia="宋体" w:cs="Times New Roman"/>
                <w:b/>
                <w:bCs w:val="0"/>
                <w:color w:val="auto"/>
                <w:spacing w:val="0"/>
                <w:sz w:val="24"/>
                <w:szCs w:val="24"/>
                <w:highlight w:val="none"/>
                <w:lang w:val="en-US" w:eastAsia="zh-CN"/>
              </w:rPr>
              <w:t>施工期废水污染防治措施</w:t>
            </w:r>
          </w:p>
          <w:p w14:paraId="2353F0E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（1）</w:t>
            </w:r>
            <w:r>
              <w:rPr>
                <w:rFonts w:hint="default" w:ascii="Times New Roman" w:hAnsi="Times New Roman" w:eastAsia="宋体" w:cs="Times New Roman"/>
                <w:bCs/>
                <w:color w:val="auto"/>
                <w:spacing w:val="0"/>
                <w:sz w:val="24"/>
                <w:szCs w:val="24"/>
                <w:highlight w:val="none"/>
                <w:lang w:val="en-US" w:eastAsia="zh-CN"/>
              </w:rPr>
              <w:t>工程废水</w:t>
            </w:r>
          </w:p>
          <w:p w14:paraId="071D63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施工废水主要为混凝土养护废水和设备、工具清洗废水，产生量较小，主要污染物为悬浮物</w:t>
            </w:r>
            <w:r>
              <w:rPr>
                <w:rFonts w:hint="eastAsia" w:cs="Times New Roman"/>
                <w:bCs/>
                <w:color w:val="auto"/>
                <w:spacing w:val="0"/>
                <w:sz w:val="24"/>
                <w:szCs w:val="24"/>
                <w:highlight w:val="none"/>
                <w:lang w:val="en-US" w:eastAsia="zh-CN"/>
              </w:rPr>
              <w:t>。由于本项目属于线性施工，施工设备、工具等清洗均在指定地点内进行</w:t>
            </w:r>
            <w:r>
              <w:rPr>
                <w:rFonts w:hint="default" w:ascii="Times New Roman" w:hAnsi="Times New Roman" w:eastAsia="宋体" w:cs="Times New Roman"/>
                <w:bCs/>
                <w:color w:val="auto"/>
                <w:spacing w:val="0"/>
                <w:sz w:val="24"/>
                <w:szCs w:val="24"/>
                <w:highlight w:val="none"/>
                <w:lang w:val="en-US" w:eastAsia="zh-CN"/>
              </w:rPr>
              <w:t>，施工废水不直接排放，</w:t>
            </w:r>
            <w:r>
              <w:rPr>
                <w:rFonts w:hint="eastAsia" w:cs="Times New Roman"/>
                <w:bCs/>
                <w:color w:val="auto"/>
                <w:spacing w:val="0"/>
                <w:sz w:val="24"/>
                <w:szCs w:val="24"/>
                <w:highlight w:val="none"/>
                <w:lang w:val="en-US" w:eastAsia="zh-CN"/>
              </w:rPr>
              <w:t>依托矿区和仓储加工基地等现有沉淀池</w:t>
            </w:r>
            <w:r>
              <w:rPr>
                <w:rFonts w:hint="default" w:ascii="Times New Roman" w:hAnsi="Times New Roman" w:eastAsia="宋体" w:cs="Times New Roman"/>
                <w:bCs/>
                <w:color w:val="auto"/>
                <w:spacing w:val="0"/>
                <w:sz w:val="24"/>
                <w:szCs w:val="24"/>
                <w:highlight w:val="none"/>
                <w:lang w:val="en-US" w:eastAsia="zh-CN"/>
              </w:rPr>
              <w:t>集中收集，经过沉淀池沉淀后，用于</w:t>
            </w:r>
            <w:r>
              <w:rPr>
                <w:rFonts w:hint="eastAsia" w:cs="Times New Roman"/>
                <w:bCs/>
                <w:color w:val="auto"/>
                <w:spacing w:val="0"/>
                <w:sz w:val="24"/>
                <w:szCs w:val="24"/>
                <w:highlight w:val="none"/>
                <w:lang w:val="en-US" w:eastAsia="zh-CN"/>
              </w:rPr>
              <w:t>周边</w:t>
            </w:r>
            <w:r>
              <w:rPr>
                <w:rFonts w:hint="default" w:ascii="Times New Roman" w:hAnsi="Times New Roman" w:eastAsia="宋体" w:cs="Times New Roman"/>
                <w:bCs/>
                <w:color w:val="auto"/>
                <w:spacing w:val="0"/>
                <w:sz w:val="24"/>
                <w:szCs w:val="24"/>
                <w:highlight w:val="none"/>
                <w:lang w:val="en-US" w:eastAsia="zh-CN"/>
              </w:rPr>
              <w:t>洒水抑尘。</w:t>
            </w:r>
          </w:p>
          <w:p w14:paraId="7B6D771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（2）</w:t>
            </w:r>
            <w:r>
              <w:rPr>
                <w:rFonts w:hint="default" w:ascii="Times New Roman" w:hAnsi="Times New Roman" w:eastAsia="宋体" w:cs="Times New Roman"/>
                <w:bCs/>
                <w:color w:val="auto"/>
                <w:spacing w:val="0"/>
                <w:sz w:val="24"/>
                <w:szCs w:val="24"/>
                <w:highlight w:val="none"/>
                <w:lang w:val="en-US" w:eastAsia="zh-CN"/>
              </w:rPr>
              <w:t>生活</w:t>
            </w:r>
            <w:r>
              <w:rPr>
                <w:rFonts w:hint="eastAsia" w:cs="Times New Roman"/>
                <w:bCs/>
                <w:color w:val="auto"/>
                <w:spacing w:val="0"/>
                <w:sz w:val="24"/>
                <w:szCs w:val="24"/>
                <w:highlight w:val="none"/>
                <w:lang w:val="en-US" w:eastAsia="zh-CN"/>
              </w:rPr>
              <w:t>污</w:t>
            </w:r>
            <w:r>
              <w:rPr>
                <w:rFonts w:hint="default" w:ascii="Times New Roman" w:hAnsi="Times New Roman" w:eastAsia="宋体" w:cs="Times New Roman"/>
                <w:bCs/>
                <w:color w:val="auto"/>
                <w:spacing w:val="0"/>
                <w:sz w:val="24"/>
                <w:szCs w:val="24"/>
                <w:highlight w:val="none"/>
                <w:lang w:val="en-US" w:eastAsia="zh-CN"/>
              </w:rPr>
              <w:t>水</w:t>
            </w:r>
          </w:p>
          <w:p w14:paraId="72E830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项目施工期施工人员约</w:t>
            </w:r>
            <w:r>
              <w:rPr>
                <w:rFonts w:hint="eastAsia" w:cs="Times New Roman"/>
                <w:color w:val="auto"/>
                <w:sz w:val="24"/>
                <w:szCs w:val="24"/>
                <w:highlight w:val="none"/>
                <w:lang w:val="en-US" w:eastAsia="zh-CN"/>
              </w:rPr>
              <w:t>130</w:t>
            </w:r>
            <w:r>
              <w:rPr>
                <w:rFonts w:hint="default" w:ascii="Times New Roman" w:hAnsi="Times New Roman" w:eastAsia="宋体" w:cs="Times New Roman"/>
                <w:color w:val="auto"/>
                <w:sz w:val="24"/>
                <w:szCs w:val="24"/>
                <w:highlight w:val="none"/>
              </w:rPr>
              <w:t>人，</w:t>
            </w:r>
            <w:r>
              <w:rPr>
                <w:rFonts w:hint="eastAsia" w:cs="Times New Roman"/>
                <w:color w:val="auto"/>
                <w:sz w:val="24"/>
                <w:szCs w:val="24"/>
                <w:highlight w:val="none"/>
                <w:lang w:val="en-US" w:eastAsia="zh-CN"/>
              </w:rPr>
              <w:t>项目区不设置施工营地，</w:t>
            </w:r>
            <w:r>
              <w:rPr>
                <w:rFonts w:hint="eastAsia" w:ascii="Times New Roman" w:hAnsi="Times New Roman" w:eastAsia="宋体" w:cs="Times New Roman"/>
                <w:color w:val="auto"/>
                <w:sz w:val="24"/>
                <w:szCs w:val="24"/>
                <w:highlight w:val="none"/>
                <w:lang w:eastAsia="zh-CN"/>
              </w:rPr>
              <w:t>施工人员均不在项目区食宿</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依托东辰煤矿和煤炭仓储加工基地现有施工营地，生活污水经依托区域现有防渗化粪池收集处置后定期拉运</w:t>
            </w:r>
            <w:r>
              <w:rPr>
                <w:rFonts w:hint="default" w:ascii="Times New Roman" w:hAnsi="Times New Roman" w:eastAsia="宋体" w:cs="Times New Roman"/>
                <w:color w:val="auto"/>
                <w:sz w:val="24"/>
                <w:szCs w:val="24"/>
                <w:highlight w:val="none"/>
                <w:lang w:eastAsia="zh-CN"/>
              </w:rPr>
              <w:t>。</w:t>
            </w:r>
          </w:p>
          <w:p w14:paraId="7FAE8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lang w:val="en-US" w:eastAsia="zh-CN"/>
              </w:rPr>
              <w:t>施工期噪声防治措施</w:t>
            </w:r>
          </w:p>
          <w:p w14:paraId="13D7595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（1）合理安排施工时间，应尽可能避免大量高噪声设备同时施工，</w:t>
            </w:r>
            <w:r>
              <w:rPr>
                <w:rFonts w:hint="eastAsia" w:cs="Times New Roman"/>
                <w:bCs/>
                <w:color w:val="auto"/>
                <w:spacing w:val="0"/>
                <w:sz w:val="24"/>
                <w:szCs w:val="24"/>
                <w:highlight w:val="none"/>
                <w:lang w:val="en-US" w:eastAsia="zh-CN"/>
              </w:rPr>
              <w:t>除</w:t>
            </w:r>
            <w:r>
              <w:rPr>
                <w:rFonts w:hint="default" w:ascii="Times New Roman" w:hAnsi="Times New Roman" w:eastAsia="宋体" w:cs="Times New Roman"/>
                <w:bCs/>
                <w:color w:val="auto"/>
                <w:spacing w:val="0"/>
                <w:sz w:val="24"/>
                <w:szCs w:val="24"/>
                <w:highlight w:val="none"/>
                <w:lang w:val="en-US" w:eastAsia="zh-CN"/>
              </w:rPr>
              <w:t>此之外，使用高噪声设备的施工阶段应尽量安排在白天，减少夜间的施工量；若因工程进度要求或抢险需要连续施工作业时，须提前5天向当地</w:t>
            </w:r>
            <w:r>
              <w:rPr>
                <w:rFonts w:hint="eastAsia" w:cs="Times New Roman"/>
                <w:bCs/>
                <w:color w:val="auto"/>
                <w:spacing w:val="0"/>
                <w:sz w:val="24"/>
                <w:szCs w:val="24"/>
                <w:highlight w:val="none"/>
                <w:lang w:val="en-US" w:eastAsia="zh-CN"/>
              </w:rPr>
              <w:t>环保部门</w:t>
            </w:r>
            <w:r>
              <w:rPr>
                <w:rFonts w:hint="default" w:ascii="Times New Roman" w:hAnsi="Times New Roman" w:eastAsia="宋体" w:cs="Times New Roman"/>
                <w:bCs/>
                <w:color w:val="auto"/>
                <w:spacing w:val="0"/>
                <w:sz w:val="24"/>
                <w:szCs w:val="24"/>
                <w:highlight w:val="none"/>
                <w:lang w:val="en-US" w:eastAsia="zh-CN"/>
              </w:rPr>
              <w:t>申报，未经许可夜间不得施工，并设立施工公告牌。</w:t>
            </w:r>
          </w:p>
          <w:p w14:paraId="08CA387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（2）合理布置施工现场，应避免在施工现场的同一地点安排大量的高噪声设备，造成局部声级过高。</w:t>
            </w:r>
          </w:p>
          <w:p w14:paraId="0A9A4C8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（3）施工设备选型时尽量采用低噪声设备，使用商品混凝土，避免混凝土搅拌机等噪声的影响。</w:t>
            </w:r>
          </w:p>
          <w:p w14:paraId="7F4D39E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（4）对动力机械设备定期进行维修和养护，避免因松动部件振动或消声器损坏而加大设备工作时的声级</w:t>
            </w:r>
            <w:r>
              <w:rPr>
                <w:rFonts w:hint="eastAsia" w:cs="Times New Roman"/>
                <w:bCs/>
                <w:color w:val="auto"/>
                <w:spacing w:val="0"/>
                <w:sz w:val="24"/>
                <w:szCs w:val="24"/>
                <w:highlight w:val="none"/>
                <w:lang w:val="en-US" w:eastAsia="zh-CN"/>
              </w:rPr>
              <w:t>。</w:t>
            </w:r>
          </w:p>
          <w:p w14:paraId="5CAFCE7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（5）对施工材料、施工生活垃圾等的运输尽量安排在</w:t>
            </w:r>
            <w:r>
              <w:rPr>
                <w:rFonts w:hint="eastAsia" w:cs="Times New Roman"/>
                <w:bCs/>
                <w:color w:val="auto"/>
                <w:spacing w:val="0"/>
                <w:sz w:val="24"/>
                <w:szCs w:val="24"/>
                <w:highlight w:val="none"/>
                <w:lang w:val="en-US" w:eastAsia="zh-CN"/>
              </w:rPr>
              <w:t>白天</w:t>
            </w:r>
            <w:r>
              <w:rPr>
                <w:rFonts w:hint="default" w:ascii="Times New Roman" w:hAnsi="Times New Roman" w:eastAsia="宋体" w:cs="Times New Roman"/>
                <w:bCs/>
                <w:color w:val="auto"/>
                <w:spacing w:val="0"/>
                <w:sz w:val="24"/>
                <w:szCs w:val="24"/>
                <w:highlight w:val="none"/>
                <w:lang w:val="en-US" w:eastAsia="zh-CN"/>
              </w:rPr>
              <w:t>进行，以</w:t>
            </w:r>
            <w:r>
              <w:rPr>
                <w:rFonts w:hint="eastAsia" w:cs="Times New Roman"/>
                <w:bCs/>
                <w:color w:val="auto"/>
                <w:spacing w:val="0"/>
                <w:sz w:val="24"/>
                <w:szCs w:val="24"/>
                <w:highlight w:val="none"/>
                <w:lang w:val="en-US" w:eastAsia="zh-CN"/>
              </w:rPr>
              <w:t>减少</w:t>
            </w:r>
            <w:r>
              <w:rPr>
                <w:rFonts w:hint="default" w:ascii="Times New Roman" w:hAnsi="Times New Roman" w:eastAsia="宋体" w:cs="Times New Roman"/>
                <w:bCs/>
                <w:color w:val="auto"/>
                <w:spacing w:val="0"/>
                <w:sz w:val="24"/>
                <w:szCs w:val="24"/>
                <w:highlight w:val="none"/>
                <w:lang w:val="en-US" w:eastAsia="zh-CN"/>
              </w:rPr>
              <w:t>载重汽车噪声对环境的影响。</w:t>
            </w:r>
          </w:p>
          <w:p w14:paraId="7E6E0B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（6）尽量减少运输车辆夜间的运输量，运输车辆在进入施工区附近区域后，要适当降低车速，避免或杜绝鸣笛。</w:t>
            </w:r>
          </w:p>
          <w:p w14:paraId="508828B2">
            <w:pPr>
              <w:pStyle w:val="3"/>
              <w:suppressLineNumbers w:val="0"/>
              <w:spacing w:before="0" w:beforeAutospacing="0" w:after="0" w:afterAutospacing="0"/>
              <w:ind w:left="0" w:right="0"/>
              <w:rPr>
                <w:rFonts w:hint="default"/>
                <w:color w:val="auto"/>
                <w:highlight w:val="none"/>
                <w:lang w:val="en-US" w:eastAsia="zh-CN"/>
              </w:rPr>
            </w:pPr>
            <w:r>
              <w:rPr>
                <w:rFonts w:hint="eastAsia" w:cs="Times New Roman"/>
                <w:bCs/>
                <w:color w:val="auto"/>
                <w:spacing w:val="0"/>
                <w:sz w:val="24"/>
                <w:szCs w:val="24"/>
                <w:highlight w:val="none"/>
                <w:lang w:val="en-US" w:eastAsia="zh-CN"/>
              </w:rPr>
              <w:t xml:space="preserve"> </w:t>
            </w:r>
            <w:r>
              <w:rPr>
                <w:rFonts w:hint="eastAsia" w:cs="Times New Roman"/>
                <w:b w:val="0"/>
                <w:bCs w:val="0"/>
                <w:color w:val="auto"/>
                <w:spacing w:val="0"/>
                <w:sz w:val="24"/>
                <w:szCs w:val="24"/>
                <w:highlight w:val="none"/>
                <w:lang w:val="en-US" w:eastAsia="zh-CN"/>
              </w:rPr>
              <w:t xml:space="preserve">   （7）建设管理部门应加强对施工场地的噪声管理，施工企业也应对施工噪声进行自律，文明施工。</w:t>
            </w:r>
          </w:p>
          <w:p w14:paraId="04968E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1.5</w:t>
            </w:r>
            <w:r>
              <w:rPr>
                <w:rFonts w:hint="default" w:ascii="Times New Roman" w:hAnsi="Times New Roman" w:eastAsia="宋体" w:cs="Times New Roman"/>
                <w:b/>
                <w:bCs w:val="0"/>
                <w:color w:val="auto"/>
                <w:spacing w:val="0"/>
                <w:sz w:val="24"/>
                <w:szCs w:val="24"/>
                <w:highlight w:val="none"/>
                <w:lang w:val="en-US" w:eastAsia="zh-CN"/>
              </w:rPr>
              <w:t>施工期固废污染防治措施</w:t>
            </w:r>
          </w:p>
          <w:p w14:paraId="31A291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建设期固体废弃物主要来源于施工弃方及废建筑材料。</w:t>
            </w:r>
          </w:p>
          <w:p w14:paraId="3F0EA2D8">
            <w:pPr>
              <w:bidi w:val="0"/>
              <w:rPr>
                <w:rFonts w:hint="default"/>
                <w:lang w:val="en-US" w:eastAsia="zh-CN"/>
              </w:rPr>
            </w:pPr>
            <w:r>
              <w:rPr>
                <w:rFonts w:hint="default"/>
              </w:rPr>
              <w:t>本项目</w:t>
            </w:r>
            <w:r>
              <w:rPr>
                <w:rFonts w:hint="default"/>
                <w:lang w:val="en-US" w:eastAsia="zh-CN"/>
              </w:rPr>
              <w:t>基础工程挖土方量与回填土方量工程在</w:t>
            </w:r>
            <w:r>
              <w:rPr>
                <w:rFonts w:hint="eastAsia"/>
                <w:lang w:val="en-US" w:eastAsia="zh-CN"/>
              </w:rPr>
              <w:t>项目区沿线</w:t>
            </w:r>
            <w:r>
              <w:rPr>
                <w:rFonts w:hint="default"/>
                <w:lang w:val="en-US" w:eastAsia="zh-CN"/>
              </w:rPr>
              <w:t>周转，就地平衡。建筑垃圾主要包括石块、碎砖</w:t>
            </w:r>
            <w:r>
              <w:rPr>
                <w:rFonts w:hint="eastAsia"/>
                <w:lang w:val="en-US" w:eastAsia="zh-CN"/>
              </w:rPr>
              <w:t>、混凝土块</w:t>
            </w:r>
            <w:r>
              <w:rPr>
                <w:rFonts w:hint="default"/>
                <w:lang w:val="en-US" w:eastAsia="zh-CN"/>
              </w:rPr>
              <w:t>等，收集后堆放于指定地点，由施工方统一清运至当地建筑垃圾填埋场统一处理。</w:t>
            </w:r>
          </w:p>
          <w:p w14:paraId="25F0C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施工期固体废物处置及管理措施：</w:t>
            </w:r>
          </w:p>
          <w:p w14:paraId="6C1B7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（1）施工单位应按照国家和当地有关建筑垃圾和工程渣土处置管理的规定，认真执行《中华人民共和国固体废物污染环境防治法》；</w:t>
            </w:r>
          </w:p>
          <w:p w14:paraId="5E29C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（2）渣土尽量在场内周转，除就地平衡</w:t>
            </w:r>
            <w:r>
              <w:rPr>
                <w:rFonts w:hint="eastAsia" w:cs="Times New Roman"/>
                <w:bCs/>
                <w:color w:val="auto"/>
                <w:spacing w:val="0"/>
                <w:sz w:val="24"/>
                <w:szCs w:val="24"/>
                <w:highlight w:val="none"/>
                <w:lang w:val="en-US" w:eastAsia="zh-CN"/>
              </w:rPr>
              <w:t>外</w:t>
            </w:r>
            <w:r>
              <w:rPr>
                <w:rFonts w:hint="default" w:ascii="Times New Roman" w:hAnsi="Times New Roman" w:eastAsia="宋体" w:cs="Times New Roman"/>
                <w:bCs/>
                <w:color w:val="auto"/>
                <w:spacing w:val="0"/>
                <w:sz w:val="24"/>
                <w:szCs w:val="24"/>
                <w:highlight w:val="none"/>
                <w:lang w:val="en-US" w:eastAsia="zh-CN"/>
              </w:rPr>
              <w:t>，必须外运的弃土以及建筑废料运至</w:t>
            </w:r>
            <w:r>
              <w:rPr>
                <w:rFonts w:hint="eastAsia" w:cs="Times New Roman"/>
                <w:bCs/>
                <w:color w:val="auto"/>
                <w:spacing w:val="0"/>
                <w:sz w:val="24"/>
                <w:szCs w:val="24"/>
                <w:highlight w:val="none"/>
                <w:lang w:val="en-US" w:eastAsia="zh-CN"/>
              </w:rPr>
              <w:t>就近的</w:t>
            </w:r>
            <w:r>
              <w:rPr>
                <w:rFonts w:hint="default" w:ascii="Times New Roman" w:hAnsi="Times New Roman" w:eastAsia="宋体" w:cs="Times New Roman"/>
                <w:bCs/>
                <w:color w:val="auto"/>
                <w:spacing w:val="0"/>
                <w:sz w:val="24"/>
                <w:szCs w:val="24"/>
                <w:highlight w:val="none"/>
                <w:lang w:val="en-US" w:eastAsia="zh-CN"/>
              </w:rPr>
              <w:t>建筑垃圾堆放场</w:t>
            </w:r>
            <w:r>
              <w:rPr>
                <w:rFonts w:hint="eastAsia" w:cs="Times New Roman"/>
                <w:bCs/>
                <w:color w:val="auto"/>
                <w:spacing w:val="0"/>
                <w:sz w:val="24"/>
                <w:szCs w:val="24"/>
                <w:highlight w:val="none"/>
                <w:lang w:val="en-US" w:eastAsia="zh-CN"/>
              </w:rPr>
              <w:t>，严禁随意</w:t>
            </w:r>
            <w:r>
              <w:rPr>
                <w:rFonts w:hint="eastAsia"/>
                <w:lang w:val="en-US" w:eastAsia="zh-CN"/>
              </w:rPr>
              <w:t>倾倒</w:t>
            </w:r>
            <w:r>
              <w:rPr>
                <w:rFonts w:hint="default" w:ascii="Times New Roman" w:hAnsi="Times New Roman" w:eastAsia="宋体" w:cs="Times New Roman"/>
                <w:bCs/>
                <w:color w:val="auto"/>
                <w:spacing w:val="0"/>
                <w:sz w:val="24"/>
                <w:szCs w:val="24"/>
                <w:highlight w:val="none"/>
                <w:lang w:val="en-US" w:eastAsia="zh-CN"/>
              </w:rPr>
              <w:t>；</w:t>
            </w:r>
          </w:p>
          <w:p w14:paraId="2D381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lang w:val="en-US" w:eastAsia="zh-CN"/>
              </w:rPr>
            </w:pPr>
            <w:r>
              <w:rPr>
                <w:rFonts w:hint="default" w:ascii="Times New Roman" w:hAnsi="Times New Roman" w:eastAsia="宋体" w:cs="Times New Roman"/>
                <w:bCs/>
                <w:color w:val="auto"/>
                <w:spacing w:val="0"/>
                <w:sz w:val="24"/>
                <w:szCs w:val="24"/>
                <w:highlight w:val="none"/>
                <w:lang w:val="en-US" w:eastAsia="zh-CN"/>
              </w:rPr>
              <w:t>（3）在工程竣工以后，施工单位应拆除各种临时施工设施，并负责将工地的剩余建筑垃圾、工程渣土处理干净，做到</w:t>
            </w:r>
            <w:r>
              <w:rPr>
                <w:rFonts w:hint="eastAsia" w:eastAsia="宋体" w:cs="Times New Roman"/>
                <w:bCs/>
                <w:color w:val="auto"/>
                <w:spacing w:val="0"/>
                <w:sz w:val="24"/>
                <w:szCs w:val="24"/>
                <w:highlight w:val="none"/>
                <w:lang w:val="en-US" w:eastAsia="zh-CN"/>
              </w:rPr>
              <w:t>“</w:t>
            </w:r>
            <w:r>
              <w:rPr>
                <w:rFonts w:hint="default" w:ascii="Times New Roman" w:hAnsi="Times New Roman" w:eastAsia="宋体" w:cs="Times New Roman"/>
                <w:bCs/>
                <w:color w:val="auto"/>
                <w:spacing w:val="0"/>
                <w:sz w:val="24"/>
                <w:szCs w:val="24"/>
                <w:highlight w:val="none"/>
                <w:lang w:val="en-US" w:eastAsia="zh-CN"/>
              </w:rPr>
              <w:t>工完、料尽、场地清</w:t>
            </w:r>
            <w:r>
              <w:rPr>
                <w:rFonts w:hint="eastAsia" w:eastAsia="宋体" w:cs="Times New Roman"/>
                <w:bCs/>
                <w:color w:val="auto"/>
                <w:spacing w:val="0"/>
                <w:sz w:val="24"/>
                <w:szCs w:val="24"/>
                <w:highlight w:val="none"/>
                <w:lang w:val="en-US" w:eastAsia="zh-CN"/>
              </w:rPr>
              <w:t>”</w:t>
            </w:r>
            <w:r>
              <w:rPr>
                <w:rFonts w:hint="default" w:ascii="Times New Roman" w:hAnsi="Times New Roman" w:eastAsia="宋体" w:cs="Times New Roman"/>
                <w:bCs/>
                <w:color w:val="auto"/>
                <w:spacing w:val="0"/>
                <w:sz w:val="24"/>
                <w:szCs w:val="24"/>
                <w:highlight w:val="none"/>
                <w:lang w:val="en-US" w:eastAsia="zh-CN"/>
              </w:rPr>
              <w:t>，建设单位应负责督促施工单位的固体废物处置清理工作。只要加强管理，及时清运，随着施工期的结束，施工固体废物对环境的影响将随之消失，不会对环境产生长期影响</w:t>
            </w:r>
            <w:r>
              <w:rPr>
                <w:rFonts w:hint="eastAsia" w:cs="Times New Roman"/>
                <w:bCs/>
                <w:color w:val="auto"/>
                <w:spacing w:val="0"/>
                <w:sz w:val="24"/>
                <w:szCs w:val="24"/>
                <w:highlight w:val="none"/>
                <w:lang w:val="en-US" w:eastAsia="zh-CN"/>
              </w:rPr>
              <w:t>。</w:t>
            </w:r>
          </w:p>
        </w:tc>
      </w:tr>
      <w:tr w14:paraId="52233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tcBorders>
              <w:tl2br w:val="nil"/>
              <w:tr2bl w:val="nil"/>
            </w:tcBorders>
            <w:vAlign w:val="center"/>
          </w:tcPr>
          <w:p w14:paraId="5E5F34C1">
            <w:pPr>
              <w:pStyle w:val="17"/>
              <w:bidi w:val="0"/>
              <w:jc w:val="center"/>
              <w:rPr>
                <w:rFonts w:hint="default" w:cs="宋体"/>
                <w:b/>
                <w:bCs/>
                <w:sz w:val="24"/>
                <w:szCs w:val="32"/>
                <w:lang w:val="en-US" w:eastAsia="zh-CN" w:bidi="ar-SA"/>
              </w:rPr>
            </w:pPr>
            <w:r>
              <w:rPr>
                <w:rFonts w:hint="eastAsia" w:cs="宋体"/>
                <w:b/>
                <w:bCs/>
                <w:sz w:val="24"/>
                <w:szCs w:val="32"/>
                <w:lang w:val="en-US" w:eastAsia="zh-CN" w:bidi="ar-SA"/>
              </w:rPr>
              <w:t>运营期生态环境保护措施</w:t>
            </w:r>
          </w:p>
        </w:tc>
        <w:tc>
          <w:tcPr>
            <w:tcW w:w="4560" w:type="pct"/>
            <w:tcBorders>
              <w:tl2br w:val="nil"/>
              <w:tr2bl w:val="nil"/>
            </w:tcBorders>
          </w:tcPr>
          <w:p w14:paraId="5181F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cs="Times New Roman"/>
                <w:b/>
                <w:bCs/>
                <w:color w:val="000000"/>
                <w:sz w:val="28"/>
                <w:szCs w:val="28"/>
              </w:rPr>
            </w:pPr>
            <w:r>
              <w:rPr>
                <w:rFonts w:hint="default" w:cs="Times New Roman"/>
                <w:b/>
                <w:bCs/>
                <w:color w:val="000000"/>
                <w:sz w:val="28"/>
                <w:szCs w:val="28"/>
              </w:rPr>
              <w:t>2运营期生态环境保护措施</w:t>
            </w:r>
          </w:p>
          <w:p w14:paraId="09A82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s="Times New Roman"/>
                <w:b/>
                <w:bCs/>
                <w:color w:val="000000"/>
              </w:rPr>
            </w:pPr>
            <w:r>
              <w:rPr>
                <w:rFonts w:hint="default" w:cs="Times New Roman"/>
                <w:b/>
                <w:bCs/>
                <w:color w:val="000000"/>
              </w:rPr>
              <w:t>2.</w:t>
            </w:r>
            <w:r>
              <w:rPr>
                <w:rFonts w:hint="eastAsia" w:cs="Times New Roman"/>
                <w:b/>
                <w:bCs/>
                <w:color w:val="000000"/>
                <w:lang w:val="en-US" w:eastAsia="zh-CN"/>
              </w:rPr>
              <w:t>1运营期</w:t>
            </w:r>
            <w:r>
              <w:rPr>
                <w:rFonts w:hint="default" w:cs="Times New Roman"/>
                <w:b/>
                <w:bCs/>
                <w:color w:val="000000"/>
              </w:rPr>
              <w:t>生态环境保护措施分析</w:t>
            </w:r>
          </w:p>
          <w:p w14:paraId="5295F606">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520" w:firstLineChars="200"/>
              <w:jc w:val="both"/>
              <w:textAlignment w:val="auto"/>
              <w:rPr>
                <w:rFonts w:hint="default" w:ascii="Times New Roman" w:hAnsi="Times New Roman" w:cs="Times New Roman"/>
                <w:b w:val="0"/>
                <w:bCs/>
                <w:spacing w:val="10"/>
                <w:sz w:val="24"/>
                <w:szCs w:val="24"/>
                <w:lang w:val="en-US" w:eastAsia="zh-CN"/>
              </w:rPr>
            </w:pPr>
            <w:r>
              <w:rPr>
                <w:rFonts w:hint="eastAsia" w:ascii="Times New Roman" w:hAnsi="Times New Roman" w:cs="Times New Roman"/>
                <w:b w:val="0"/>
                <w:bCs/>
                <w:spacing w:val="10"/>
                <w:sz w:val="24"/>
                <w:szCs w:val="24"/>
                <w:lang w:val="en-US" w:eastAsia="zh-CN"/>
              </w:rPr>
              <w:t>按照“谁破坏、谁恢复治理”“预防为主，防治结合”“在保护中开发，在开发中保护”“依靠科技进步，发展循环经济，建立绿色矿山”的原则将项目周围环境影响降至最低。</w:t>
            </w:r>
            <w:r>
              <w:rPr>
                <w:rFonts w:hint="eastAsia" w:cs="Times New Roman"/>
                <w:b w:val="0"/>
                <w:bCs/>
                <w:spacing w:val="10"/>
                <w:sz w:val="24"/>
                <w:szCs w:val="24"/>
                <w:lang w:val="en-US" w:eastAsia="zh-CN"/>
              </w:rPr>
              <w:t>运营期以煤矿运维单位为责任主体，负责做好输煤廊道运行期间相关生态环境保护工作。</w:t>
            </w:r>
          </w:p>
          <w:p w14:paraId="4556B5B8">
            <w:pPr>
              <w:pStyle w:val="3"/>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2.1.</w:t>
            </w:r>
            <w:r>
              <w:rPr>
                <w:rFonts w:hint="eastAsia" w:cs="Times New Roman"/>
                <w:b/>
                <w:bCs/>
                <w:color w:val="000000"/>
                <w:kern w:val="2"/>
                <w:sz w:val="24"/>
                <w:szCs w:val="24"/>
                <w:lang w:val="en-US" w:eastAsia="zh-CN" w:bidi="ar-SA"/>
              </w:rPr>
              <w:t>1</w:t>
            </w:r>
            <w:r>
              <w:rPr>
                <w:rFonts w:hint="eastAsia" w:ascii="Times New Roman" w:hAnsi="Times New Roman" w:eastAsia="宋体" w:cs="Times New Roman"/>
                <w:b/>
                <w:bCs/>
                <w:color w:val="000000"/>
                <w:kern w:val="2"/>
                <w:sz w:val="24"/>
                <w:szCs w:val="24"/>
                <w:lang w:val="en-US" w:eastAsia="zh-CN" w:bidi="ar-SA"/>
              </w:rPr>
              <w:t>植被保护措施</w:t>
            </w:r>
          </w:p>
          <w:p w14:paraId="689E0F3F">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根据</w:t>
            </w:r>
            <w:r>
              <w:rPr>
                <w:rFonts w:hint="eastAsia" w:cs="Times New Roman"/>
                <w:b w:val="0"/>
                <w:bCs w:val="0"/>
                <w:color w:val="000000"/>
                <w:kern w:val="2"/>
                <w:sz w:val="24"/>
                <w:szCs w:val="24"/>
                <w:lang w:val="en-US" w:eastAsia="zh-CN" w:bidi="ar-SA"/>
              </w:rPr>
              <w:t>现场勘查</w:t>
            </w:r>
            <w:r>
              <w:rPr>
                <w:rFonts w:hint="eastAsia" w:ascii="Times New Roman" w:hAnsi="Times New Roman" w:eastAsia="宋体" w:cs="Times New Roman"/>
                <w:b w:val="0"/>
                <w:bCs w:val="0"/>
                <w:color w:val="000000"/>
                <w:kern w:val="2"/>
                <w:sz w:val="24"/>
                <w:szCs w:val="24"/>
                <w:lang w:val="en-US" w:eastAsia="zh-CN" w:bidi="ar-SA"/>
              </w:rPr>
              <w:t>，本项目所在区域植被</w:t>
            </w:r>
            <w:r>
              <w:rPr>
                <w:rFonts w:hint="eastAsia" w:cs="Times New Roman"/>
                <w:b w:val="0"/>
                <w:bCs w:val="0"/>
                <w:color w:val="000000"/>
                <w:kern w:val="2"/>
                <w:sz w:val="24"/>
                <w:szCs w:val="24"/>
                <w:lang w:val="en-US" w:eastAsia="zh-CN" w:bidi="ar-SA"/>
              </w:rPr>
              <w:t>包含腹果</w:t>
            </w:r>
            <w:r>
              <w:rPr>
                <w:rFonts w:hint="eastAsia" w:ascii="Times New Roman" w:hAnsi="Times New Roman" w:eastAsia="宋体" w:cs="Times New Roman"/>
                <w:b w:val="0"/>
                <w:bCs w:val="0"/>
                <w:color w:val="000000"/>
                <w:kern w:val="2"/>
                <w:sz w:val="24"/>
                <w:szCs w:val="24"/>
                <w:lang w:val="en-US" w:eastAsia="zh-CN" w:bidi="ar-SA"/>
              </w:rPr>
              <w:t>麻黄</w:t>
            </w:r>
            <w:r>
              <w:rPr>
                <w:rFonts w:hint="eastAsia" w:cs="Times New Roman"/>
                <w:b w:val="0"/>
                <w:bCs w:val="0"/>
                <w:color w:val="000000"/>
                <w:kern w:val="2"/>
                <w:sz w:val="24"/>
                <w:szCs w:val="24"/>
                <w:lang w:val="en-US" w:eastAsia="zh-CN" w:bidi="ar-SA"/>
              </w:rPr>
              <w:t>、盐生草、黑果枸杞等</w:t>
            </w:r>
            <w:r>
              <w:rPr>
                <w:rFonts w:hint="eastAsia" w:ascii="Times New Roman" w:hAnsi="Times New Roman" w:eastAsia="宋体" w:cs="Times New Roman"/>
                <w:b w:val="0"/>
                <w:bCs w:val="0"/>
                <w:color w:val="000000"/>
                <w:kern w:val="2"/>
                <w:sz w:val="24"/>
                <w:szCs w:val="24"/>
                <w:lang w:val="en-US" w:eastAsia="zh-CN" w:bidi="ar-SA"/>
              </w:rPr>
              <w:t>，分布相对松散，覆盖度低，运营期主要采取以下保护措施：</w:t>
            </w:r>
          </w:p>
          <w:p w14:paraId="674D3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（1）对拟</w:t>
            </w:r>
            <w:r>
              <w:rPr>
                <w:rFonts w:hint="eastAsia" w:cs="Times New Roman"/>
                <w:b w:val="0"/>
                <w:bCs w:val="0"/>
                <w:color w:val="000000"/>
                <w:kern w:val="2"/>
                <w:sz w:val="24"/>
                <w:szCs w:val="24"/>
                <w:lang w:val="en-US" w:eastAsia="zh-CN" w:bidi="ar-SA"/>
              </w:rPr>
              <w:t>施工沿线主要</w:t>
            </w:r>
            <w:r>
              <w:rPr>
                <w:rFonts w:hint="eastAsia" w:ascii="Times New Roman" w:hAnsi="Times New Roman" w:eastAsia="宋体" w:cs="Times New Roman"/>
                <w:b w:val="0"/>
                <w:bCs w:val="0"/>
                <w:color w:val="000000"/>
                <w:kern w:val="2"/>
                <w:sz w:val="24"/>
                <w:szCs w:val="24"/>
                <w:lang w:val="en-US" w:eastAsia="zh-CN" w:bidi="ar-SA"/>
              </w:rPr>
              <w:t>植被进行移栽，尽可能保护</w:t>
            </w:r>
            <w:r>
              <w:rPr>
                <w:rFonts w:hint="eastAsia" w:cs="Times New Roman"/>
                <w:b w:val="0"/>
                <w:bCs w:val="0"/>
                <w:color w:val="000000"/>
                <w:kern w:val="2"/>
                <w:sz w:val="24"/>
                <w:szCs w:val="24"/>
                <w:lang w:val="en-US" w:eastAsia="zh-CN" w:bidi="ar-SA"/>
              </w:rPr>
              <w:t>施工沿线区</w:t>
            </w:r>
            <w:r>
              <w:rPr>
                <w:rFonts w:hint="eastAsia" w:ascii="Times New Roman" w:hAnsi="Times New Roman" w:eastAsia="宋体" w:cs="Times New Roman"/>
                <w:b w:val="0"/>
                <w:bCs w:val="0"/>
                <w:color w:val="000000"/>
                <w:kern w:val="2"/>
                <w:sz w:val="24"/>
                <w:szCs w:val="24"/>
                <w:lang w:val="en-US" w:eastAsia="zh-CN" w:bidi="ar-SA"/>
              </w:rPr>
              <w:t>域范围内的植被；</w:t>
            </w:r>
          </w:p>
          <w:p w14:paraId="7A5278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（2）加强植被保护意识培训，严禁工作人员随意</w:t>
            </w:r>
            <w:r>
              <w:rPr>
                <w:rFonts w:hint="eastAsia" w:cs="Times New Roman"/>
                <w:b w:val="0"/>
                <w:bCs w:val="0"/>
                <w:color w:val="000000"/>
                <w:kern w:val="2"/>
                <w:sz w:val="24"/>
                <w:szCs w:val="24"/>
                <w:lang w:val="en-US" w:eastAsia="zh-CN" w:bidi="ar-SA"/>
              </w:rPr>
              <w:t>踩踏</w:t>
            </w:r>
            <w:r>
              <w:rPr>
                <w:rFonts w:hint="eastAsia" w:ascii="Times New Roman" w:hAnsi="Times New Roman" w:eastAsia="宋体" w:cs="Times New Roman"/>
                <w:b w:val="0"/>
                <w:bCs w:val="0"/>
                <w:color w:val="000000"/>
                <w:kern w:val="2"/>
                <w:sz w:val="24"/>
                <w:szCs w:val="24"/>
                <w:lang w:val="en-US" w:eastAsia="zh-CN" w:bidi="ar-SA"/>
              </w:rPr>
              <w:t>项目</w:t>
            </w:r>
            <w:r>
              <w:rPr>
                <w:rFonts w:hint="eastAsia" w:cs="Times New Roman"/>
                <w:b w:val="0"/>
                <w:bCs w:val="0"/>
                <w:color w:val="000000"/>
                <w:kern w:val="2"/>
                <w:sz w:val="24"/>
                <w:szCs w:val="24"/>
                <w:lang w:val="en-US" w:eastAsia="zh-CN" w:bidi="ar-SA"/>
              </w:rPr>
              <w:t>沿线</w:t>
            </w:r>
            <w:r>
              <w:rPr>
                <w:rFonts w:hint="eastAsia" w:ascii="Times New Roman" w:hAnsi="Times New Roman" w:eastAsia="宋体" w:cs="Times New Roman"/>
                <w:b w:val="0"/>
                <w:bCs w:val="0"/>
                <w:color w:val="000000"/>
                <w:kern w:val="2"/>
                <w:sz w:val="24"/>
                <w:szCs w:val="24"/>
                <w:lang w:val="en-US" w:eastAsia="zh-CN" w:bidi="ar-SA"/>
              </w:rPr>
              <w:t>及周边自然植被；</w:t>
            </w:r>
          </w:p>
          <w:p w14:paraId="118186D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（3）做好</w:t>
            </w:r>
            <w:r>
              <w:rPr>
                <w:rFonts w:hint="eastAsia" w:cs="Times New Roman"/>
                <w:b w:val="0"/>
                <w:bCs w:val="0"/>
                <w:color w:val="000000"/>
                <w:kern w:val="2"/>
                <w:sz w:val="24"/>
                <w:szCs w:val="24"/>
                <w:lang w:val="en-US" w:eastAsia="zh-CN" w:bidi="ar-SA"/>
              </w:rPr>
              <w:t>施工沿线</w:t>
            </w:r>
            <w:r>
              <w:rPr>
                <w:rFonts w:hint="eastAsia" w:ascii="Times New Roman" w:hAnsi="Times New Roman" w:eastAsia="宋体" w:cs="Times New Roman"/>
                <w:b w:val="0"/>
                <w:bCs w:val="0"/>
                <w:color w:val="000000"/>
                <w:kern w:val="2"/>
                <w:sz w:val="24"/>
                <w:szCs w:val="24"/>
                <w:lang w:val="en-US" w:eastAsia="zh-CN" w:bidi="ar-SA"/>
              </w:rPr>
              <w:t>植被恢复工作，</w:t>
            </w:r>
            <w:r>
              <w:rPr>
                <w:rFonts w:hint="eastAsia" w:cs="Times New Roman"/>
                <w:b w:val="0"/>
                <w:bCs w:val="0"/>
                <w:color w:val="000000"/>
                <w:kern w:val="2"/>
                <w:sz w:val="24"/>
                <w:szCs w:val="24"/>
                <w:lang w:val="en-US" w:eastAsia="zh-CN" w:bidi="ar-SA"/>
              </w:rPr>
              <w:t>施工结束后对沿线及时进行表土覆盖，</w:t>
            </w:r>
            <w:r>
              <w:rPr>
                <w:rFonts w:hint="eastAsia" w:ascii="Times New Roman" w:hAnsi="Times New Roman" w:eastAsia="宋体" w:cs="Times New Roman"/>
                <w:b w:val="0"/>
                <w:bCs w:val="0"/>
                <w:color w:val="000000"/>
                <w:kern w:val="2"/>
                <w:sz w:val="24"/>
                <w:szCs w:val="24"/>
                <w:lang w:val="en-US" w:eastAsia="zh-CN" w:bidi="ar-SA"/>
              </w:rPr>
              <w:t>播撒适宜本地生长</w:t>
            </w:r>
            <w:r>
              <w:rPr>
                <w:rFonts w:hint="eastAsia" w:cs="Times New Roman"/>
                <w:b w:val="0"/>
                <w:bCs w:val="0"/>
                <w:color w:val="000000"/>
                <w:kern w:val="2"/>
                <w:sz w:val="24"/>
                <w:szCs w:val="24"/>
                <w:lang w:val="en-US" w:eastAsia="zh-CN" w:bidi="ar-SA"/>
              </w:rPr>
              <w:t>的麻黄属</w:t>
            </w:r>
            <w:r>
              <w:rPr>
                <w:rFonts w:hint="eastAsia" w:ascii="Times New Roman" w:hAnsi="Times New Roman" w:eastAsia="宋体" w:cs="Times New Roman"/>
                <w:b w:val="0"/>
                <w:bCs w:val="0"/>
                <w:color w:val="000000"/>
                <w:kern w:val="2"/>
                <w:sz w:val="24"/>
                <w:szCs w:val="24"/>
                <w:lang w:val="en-US" w:eastAsia="zh-CN" w:bidi="ar-SA"/>
              </w:rPr>
              <w:t>植被。</w:t>
            </w:r>
          </w:p>
          <w:p w14:paraId="0487AF1D">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2.1.</w:t>
            </w:r>
            <w:r>
              <w:rPr>
                <w:rFonts w:hint="eastAsia" w:cs="Times New Roman"/>
                <w:b/>
                <w:bCs/>
                <w:color w:val="000000"/>
                <w:kern w:val="2"/>
                <w:sz w:val="24"/>
                <w:szCs w:val="24"/>
                <w:lang w:val="en-US" w:eastAsia="zh-CN" w:bidi="ar-SA"/>
              </w:rPr>
              <w:t>2</w:t>
            </w:r>
            <w:r>
              <w:rPr>
                <w:rFonts w:hint="eastAsia" w:ascii="Times New Roman" w:hAnsi="Times New Roman" w:eastAsia="宋体" w:cs="Times New Roman"/>
                <w:b/>
                <w:bCs/>
                <w:color w:val="000000"/>
                <w:kern w:val="2"/>
                <w:sz w:val="24"/>
                <w:szCs w:val="24"/>
                <w:lang w:val="en-US" w:eastAsia="zh-CN" w:bidi="ar-SA"/>
              </w:rPr>
              <w:t>对动物的保护措施</w:t>
            </w:r>
          </w:p>
          <w:p w14:paraId="7215F56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（1）加强野生动物保护工作培训，严禁工作人员随意捕杀野生动物；</w:t>
            </w:r>
          </w:p>
          <w:p w14:paraId="4A83C13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（2）做好施工现场维护，主要产噪设备加强基础减振、围挡等，减少噪声对周围动物的影响；</w:t>
            </w:r>
          </w:p>
          <w:p w14:paraId="6A56CA1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（3）做好生产时间安排，夜间及中午等特殊时段严禁高噪声设施运行。</w:t>
            </w:r>
          </w:p>
          <w:p w14:paraId="1714B033">
            <w:pPr>
              <w:pStyle w:val="3"/>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2.1.</w:t>
            </w:r>
            <w:r>
              <w:rPr>
                <w:rFonts w:hint="eastAsia" w:cs="Times New Roman"/>
                <w:b/>
                <w:bCs/>
                <w:color w:val="000000"/>
                <w:kern w:val="2"/>
                <w:sz w:val="24"/>
                <w:szCs w:val="24"/>
                <w:lang w:val="en-US" w:eastAsia="zh-CN" w:bidi="ar-SA"/>
              </w:rPr>
              <w:t>3</w:t>
            </w:r>
            <w:r>
              <w:rPr>
                <w:rFonts w:hint="eastAsia" w:ascii="Times New Roman" w:hAnsi="Times New Roman" w:eastAsia="宋体" w:cs="Times New Roman"/>
                <w:b/>
                <w:bCs/>
                <w:color w:val="000000"/>
                <w:kern w:val="2"/>
                <w:sz w:val="24"/>
                <w:szCs w:val="24"/>
                <w:lang w:val="en-US" w:eastAsia="zh-CN" w:bidi="ar-SA"/>
              </w:rPr>
              <w:t>对土壤的保护措施</w:t>
            </w:r>
          </w:p>
          <w:p w14:paraId="6126E8B7">
            <w:pPr>
              <w:pStyle w:val="3"/>
              <w:bidi w:val="0"/>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（1）做好施工设备维护，防止设备用油发生跑冒滴漏污染土壤；</w:t>
            </w:r>
          </w:p>
          <w:p w14:paraId="7FF03CF5">
            <w:pPr>
              <w:pStyle w:val="3"/>
              <w:bidi w:val="0"/>
              <w:ind w:firstLine="480" w:firstLineChars="200"/>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（2）</w:t>
            </w:r>
            <w:r>
              <w:rPr>
                <w:rFonts w:hint="eastAsia" w:cs="Times New Roman"/>
                <w:b w:val="0"/>
                <w:bCs w:val="0"/>
                <w:color w:val="000000"/>
                <w:kern w:val="2"/>
                <w:sz w:val="24"/>
                <w:szCs w:val="24"/>
                <w:lang w:val="en-US" w:eastAsia="zh-CN" w:bidi="ar-SA"/>
              </w:rPr>
              <w:t>做好输煤廊道封闭工作，防止煤炭溢撒污染土壤。</w:t>
            </w:r>
          </w:p>
          <w:p w14:paraId="17E9C62B">
            <w:pPr>
              <w:pStyle w:val="3"/>
              <w:bidi w:val="0"/>
              <w:ind w:firstLine="482" w:firstLineChars="200"/>
              <w:rPr>
                <w:rFonts w:hint="eastAsia" w:ascii="Times New Roman" w:hAnsi="Times New Roman" w:eastAsia="宋体" w:cs="Times New Roman"/>
                <w:b/>
                <w:bCs/>
                <w:color w:val="000000"/>
                <w:kern w:val="2"/>
                <w:sz w:val="24"/>
                <w:szCs w:val="24"/>
                <w:highlight w:val="none"/>
                <w:lang w:val="en-US" w:eastAsia="zh-CN" w:bidi="ar-SA"/>
              </w:rPr>
            </w:pPr>
            <w:r>
              <w:rPr>
                <w:rFonts w:hint="eastAsia" w:ascii="Times New Roman" w:hAnsi="Times New Roman" w:eastAsia="宋体" w:cs="Times New Roman"/>
                <w:b/>
                <w:bCs/>
                <w:color w:val="000000"/>
                <w:kern w:val="2"/>
                <w:sz w:val="24"/>
                <w:szCs w:val="24"/>
                <w:highlight w:val="none"/>
                <w:lang w:val="en-US" w:eastAsia="zh-CN" w:bidi="ar-SA"/>
              </w:rPr>
              <w:t>2.1.</w:t>
            </w:r>
            <w:r>
              <w:rPr>
                <w:rFonts w:hint="eastAsia" w:cs="Times New Roman"/>
                <w:b/>
                <w:bCs/>
                <w:color w:val="000000"/>
                <w:kern w:val="2"/>
                <w:sz w:val="24"/>
                <w:szCs w:val="24"/>
                <w:highlight w:val="none"/>
                <w:lang w:val="en-US" w:eastAsia="zh-CN" w:bidi="ar-SA"/>
              </w:rPr>
              <w:t>4防风固沙</w:t>
            </w:r>
            <w:r>
              <w:rPr>
                <w:rFonts w:hint="eastAsia" w:ascii="Times New Roman" w:hAnsi="Times New Roman" w:eastAsia="宋体" w:cs="Times New Roman"/>
                <w:b/>
                <w:bCs/>
                <w:color w:val="000000"/>
                <w:kern w:val="2"/>
                <w:sz w:val="24"/>
                <w:szCs w:val="24"/>
                <w:highlight w:val="none"/>
                <w:lang w:val="en-US" w:eastAsia="zh-CN" w:bidi="ar-SA"/>
              </w:rPr>
              <w:t>措施</w:t>
            </w:r>
          </w:p>
          <w:p w14:paraId="736B4AAB">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520" w:firstLineChars="200"/>
              <w:jc w:val="both"/>
              <w:textAlignment w:val="auto"/>
              <w:rPr>
                <w:rFonts w:hint="default" w:ascii="Times New Roman" w:hAnsi="Times New Roman" w:eastAsia="宋体" w:cs="Times New Roman"/>
                <w:b w:val="0"/>
                <w:bCs/>
                <w:spacing w:val="10"/>
                <w:sz w:val="24"/>
                <w:szCs w:val="24"/>
                <w:highlight w:val="none"/>
                <w:lang w:val="en-US" w:eastAsia="zh-CN"/>
              </w:rPr>
            </w:pPr>
            <w:r>
              <w:rPr>
                <w:rFonts w:hint="eastAsia" w:ascii="Times New Roman" w:hAnsi="Times New Roman" w:eastAsia="宋体" w:cs="Times New Roman"/>
                <w:b w:val="0"/>
                <w:bCs/>
                <w:spacing w:val="10"/>
                <w:sz w:val="24"/>
                <w:szCs w:val="24"/>
                <w:highlight w:val="none"/>
                <w:lang w:val="en-US" w:eastAsia="zh-CN"/>
              </w:rPr>
              <w:t>（1）本项目</w:t>
            </w:r>
            <w:r>
              <w:rPr>
                <w:rFonts w:hint="default" w:ascii="Times New Roman" w:hAnsi="Times New Roman" w:eastAsia="宋体" w:cs="Times New Roman"/>
                <w:b w:val="0"/>
                <w:bCs/>
                <w:spacing w:val="10"/>
                <w:sz w:val="24"/>
                <w:szCs w:val="24"/>
                <w:highlight w:val="none"/>
                <w:lang w:val="en-US" w:eastAsia="zh-CN"/>
              </w:rPr>
              <w:t>不具备人工绿化的条件</w:t>
            </w:r>
            <w:r>
              <w:rPr>
                <w:rFonts w:hint="eastAsia" w:ascii="Times New Roman" w:hAnsi="Times New Roman" w:eastAsia="宋体" w:cs="Times New Roman"/>
                <w:b w:val="0"/>
                <w:bCs/>
                <w:spacing w:val="10"/>
                <w:sz w:val="24"/>
                <w:szCs w:val="24"/>
                <w:highlight w:val="none"/>
                <w:lang w:val="en-US" w:eastAsia="zh-CN"/>
              </w:rPr>
              <w:t>，根据</w:t>
            </w:r>
            <w:r>
              <w:rPr>
                <w:rFonts w:hint="eastAsia" w:cs="Times New Roman"/>
                <w:b w:val="0"/>
                <w:bCs/>
                <w:spacing w:val="10"/>
                <w:sz w:val="24"/>
                <w:szCs w:val="24"/>
                <w:highlight w:val="none"/>
                <w:lang w:val="en-US" w:eastAsia="zh-CN"/>
              </w:rPr>
              <w:t>生产运营需要做好输煤廊道沿线洒水抑尘工作</w:t>
            </w:r>
            <w:r>
              <w:rPr>
                <w:rFonts w:hint="eastAsia" w:ascii="Times New Roman" w:hAnsi="Times New Roman" w:eastAsia="宋体" w:cs="Times New Roman"/>
                <w:b w:val="0"/>
                <w:bCs/>
                <w:spacing w:val="10"/>
                <w:sz w:val="24"/>
                <w:szCs w:val="24"/>
                <w:highlight w:val="none"/>
                <w:lang w:val="en-US" w:eastAsia="zh-CN"/>
              </w:rPr>
              <w:t>，减少风</w:t>
            </w:r>
            <w:r>
              <w:rPr>
                <w:rFonts w:hint="default" w:ascii="Times New Roman" w:hAnsi="Times New Roman" w:eastAsia="宋体" w:cs="Times New Roman"/>
                <w:b w:val="0"/>
                <w:bCs/>
                <w:spacing w:val="10"/>
                <w:sz w:val="24"/>
                <w:szCs w:val="24"/>
                <w:highlight w:val="none"/>
                <w:lang w:val="en-US" w:eastAsia="zh-CN"/>
              </w:rPr>
              <w:t>蚀扬尘</w:t>
            </w:r>
            <w:r>
              <w:rPr>
                <w:rFonts w:hint="eastAsia" w:cs="Times New Roman"/>
                <w:b w:val="0"/>
                <w:bCs/>
                <w:spacing w:val="10"/>
                <w:sz w:val="24"/>
                <w:szCs w:val="24"/>
                <w:highlight w:val="none"/>
                <w:lang w:val="en-US" w:eastAsia="zh-CN"/>
              </w:rPr>
              <w:t>。</w:t>
            </w:r>
          </w:p>
          <w:p w14:paraId="3D10EAB2">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520" w:firstLineChars="200"/>
              <w:jc w:val="both"/>
              <w:textAlignment w:val="auto"/>
              <w:rPr>
                <w:rFonts w:hint="eastAsia" w:cs="Times New Roman"/>
                <w:b w:val="0"/>
                <w:bCs/>
                <w:spacing w:val="10"/>
                <w:sz w:val="24"/>
                <w:szCs w:val="24"/>
                <w:highlight w:val="none"/>
                <w:lang w:val="en-US" w:eastAsia="zh-CN"/>
              </w:rPr>
            </w:pPr>
            <w:r>
              <w:rPr>
                <w:rFonts w:hint="eastAsia" w:ascii="Times New Roman" w:hAnsi="Times New Roman" w:eastAsia="宋体" w:cs="Times New Roman"/>
                <w:b w:val="0"/>
                <w:bCs/>
                <w:spacing w:val="10"/>
                <w:sz w:val="24"/>
                <w:szCs w:val="24"/>
                <w:highlight w:val="none"/>
                <w:lang w:val="en-US" w:eastAsia="zh-CN"/>
              </w:rPr>
              <w:t>（2）</w:t>
            </w:r>
            <w:r>
              <w:rPr>
                <w:rFonts w:hint="eastAsia" w:cs="Times New Roman"/>
                <w:b w:val="0"/>
                <w:bCs/>
                <w:spacing w:val="10"/>
                <w:sz w:val="24"/>
                <w:szCs w:val="24"/>
                <w:highlight w:val="none"/>
                <w:lang w:val="en-US" w:eastAsia="zh-CN"/>
              </w:rPr>
              <w:t>输煤廊道沿线严禁随意施工，禁止开展土石方开挖、堆存等施工活动。</w:t>
            </w:r>
          </w:p>
          <w:p w14:paraId="56B9612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520" w:firstLineChars="200"/>
              <w:jc w:val="both"/>
              <w:textAlignment w:val="auto"/>
              <w:rPr>
                <w:rFonts w:hint="eastAsia" w:cs="Times New Roman"/>
                <w:b w:val="0"/>
                <w:bCs/>
                <w:spacing w:val="10"/>
                <w:sz w:val="24"/>
                <w:szCs w:val="24"/>
                <w:highlight w:val="none"/>
                <w:lang w:val="en-US" w:eastAsia="zh-CN"/>
              </w:rPr>
            </w:pPr>
            <w:r>
              <w:rPr>
                <w:rFonts w:hint="eastAsia" w:cs="Times New Roman"/>
                <w:b w:val="0"/>
                <w:bCs/>
                <w:spacing w:val="10"/>
                <w:sz w:val="24"/>
                <w:szCs w:val="24"/>
                <w:highlight w:val="none"/>
                <w:lang w:val="en-US" w:eastAsia="zh-CN"/>
              </w:rPr>
              <w:t>（3）运营期严格控制巡护路线，禁止随意开辟新的道路。</w:t>
            </w:r>
          </w:p>
          <w:p w14:paraId="7DF537C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520" w:firstLineChars="200"/>
              <w:jc w:val="both"/>
              <w:textAlignment w:val="auto"/>
              <w:rPr>
                <w:rFonts w:hint="default" w:cs="Times New Roman"/>
                <w:b w:val="0"/>
                <w:bCs/>
                <w:spacing w:val="10"/>
                <w:sz w:val="24"/>
                <w:szCs w:val="24"/>
                <w:highlight w:val="none"/>
                <w:lang w:val="en-US" w:eastAsia="zh-CN"/>
              </w:rPr>
            </w:pPr>
            <w:r>
              <w:rPr>
                <w:rFonts w:hint="eastAsia" w:cs="Times New Roman"/>
                <w:b w:val="0"/>
                <w:bCs/>
                <w:spacing w:val="10"/>
                <w:sz w:val="24"/>
                <w:szCs w:val="24"/>
                <w:highlight w:val="none"/>
                <w:lang w:val="en-US" w:eastAsia="zh-CN"/>
              </w:rPr>
              <w:t>（4）输煤廊道沿线陡坡地段采取播撒草种等措施加强防护。</w:t>
            </w:r>
          </w:p>
          <w:p w14:paraId="1BC3189E">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520" w:firstLineChars="200"/>
              <w:jc w:val="both"/>
              <w:textAlignment w:val="auto"/>
              <w:rPr>
                <w:rFonts w:hint="eastAsia" w:ascii="Times New Roman" w:hAnsi="Times New Roman" w:eastAsia="宋体" w:cs="Times New Roman"/>
                <w:b w:val="0"/>
                <w:bCs/>
                <w:spacing w:val="10"/>
                <w:sz w:val="24"/>
                <w:szCs w:val="24"/>
                <w:highlight w:val="none"/>
                <w:lang w:val="en-US" w:eastAsia="zh-CN"/>
              </w:rPr>
            </w:pPr>
            <w:r>
              <w:rPr>
                <w:rFonts w:hint="eastAsia" w:cs="Times New Roman"/>
                <w:b w:val="0"/>
                <w:bCs/>
                <w:spacing w:val="10"/>
                <w:sz w:val="24"/>
                <w:szCs w:val="24"/>
                <w:highlight w:val="none"/>
                <w:lang w:val="en-US" w:eastAsia="zh-CN"/>
              </w:rPr>
              <w:t>（5）</w:t>
            </w:r>
            <w:r>
              <w:rPr>
                <w:rFonts w:hint="default" w:ascii="Times New Roman" w:hAnsi="Times New Roman" w:eastAsia="宋体" w:cs="Times New Roman"/>
                <w:b w:val="0"/>
                <w:bCs/>
                <w:spacing w:val="10"/>
                <w:sz w:val="24"/>
                <w:szCs w:val="24"/>
                <w:highlight w:val="none"/>
                <w:lang w:val="en-US" w:eastAsia="zh-CN"/>
              </w:rPr>
              <w:t>强化</w:t>
            </w:r>
            <w:r>
              <w:rPr>
                <w:rFonts w:hint="eastAsia" w:ascii="Times New Roman" w:hAnsi="Times New Roman" w:eastAsia="宋体" w:cs="Times New Roman"/>
                <w:b w:val="0"/>
                <w:bCs/>
                <w:spacing w:val="10"/>
                <w:sz w:val="24"/>
                <w:szCs w:val="24"/>
                <w:highlight w:val="none"/>
                <w:lang w:val="en-US" w:eastAsia="zh-CN"/>
              </w:rPr>
              <w:t>开</w:t>
            </w:r>
            <w:r>
              <w:rPr>
                <w:rFonts w:hint="eastAsia" w:cs="Times New Roman"/>
                <w:b w:val="0"/>
                <w:bCs/>
                <w:spacing w:val="10"/>
                <w:sz w:val="24"/>
                <w:szCs w:val="24"/>
                <w:highlight w:val="none"/>
                <w:lang w:val="en-US" w:eastAsia="zh-CN"/>
              </w:rPr>
              <w:t>运维</w:t>
            </w:r>
            <w:r>
              <w:rPr>
                <w:rFonts w:hint="default" w:ascii="Times New Roman" w:hAnsi="Times New Roman" w:eastAsia="宋体" w:cs="Times New Roman"/>
                <w:b w:val="0"/>
                <w:bCs/>
                <w:spacing w:val="10"/>
                <w:sz w:val="24"/>
                <w:szCs w:val="24"/>
                <w:highlight w:val="none"/>
                <w:lang w:val="en-US" w:eastAsia="zh-CN"/>
              </w:rPr>
              <w:t>管理，</w:t>
            </w:r>
            <w:r>
              <w:rPr>
                <w:rFonts w:hint="eastAsia" w:cs="Times New Roman"/>
                <w:b w:val="0"/>
                <w:bCs/>
                <w:spacing w:val="10"/>
                <w:sz w:val="24"/>
                <w:szCs w:val="24"/>
                <w:highlight w:val="none"/>
                <w:lang w:val="en-US" w:eastAsia="zh-CN"/>
              </w:rPr>
              <w:t>严格控制巡护范围</w:t>
            </w:r>
            <w:r>
              <w:rPr>
                <w:rFonts w:hint="eastAsia" w:ascii="Times New Roman" w:hAnsi="Times New Roman" w:eastAsia="宋体" w:cs="Times New Roman"/>
                <w:b w:val="0"/>
                <w:bCs/>
                <w:spacing w:val="10"/>
                <w:sz w:val="24"/>
                <w:szCs w:val="24"/>
                <w:highlight w:val="none"/>
                <w:lang w:val="en-US" w:eastAsia="zh-CN"/>
              </w:rPr>
              <w:t>，</w:t>
            </w:r>
            <w:r>
              <w:rPr>
                <w:rFonts w:hint="default" w:ascii="Times New Roman" w:hAnsi="Times New Roman" w:eastAsia="宋体" w:cs="Times New Roman"/>
                <w:b w:val="0"/>
                <w:bCs/>
                <w:spacing w:val="10"/>
                <w:sz w:val="24"/>
                <w:szCs w:val="24"/>
                <w:highlight w:val="none"/>
                <w:lang w:val="en-US" w:eastAsia="zh-CN"/>
              </w:rPr>
              <w:t>加强</w:t>
            </w:r>
            <w:r>
              <w:rPr>
                <w:rFonts w:hint="eastAsia" w:cs="Times New Roman"/>
                <w:b w:val="0"/>
                <w:bCs/>
                <w:spacing w:val="10"/>
                <w:sz w:val="24"/>
                <w:szCs w:val="24"/>
                <w:highlight w:val="none"/>
                <w:lang w:val="en-US" w:eastAsia="zh-CN"/>
              </w:rPr>
              <w:t>日常巡护</w:t>
            </w:r>
            <w:r>
              <w:rPr>
                <w:rFonts w:hint="default" w:ascii="Times New Roman" w:hAnsi="Times New Roman" w:eastAsia="宋体" w:cs="Times New Roman"/>
                <w:b w:val="0"/>
                <w:bCs/>
                <w:spacing w:val="10"/>
                <w:sz w:val="24"/>
                <w:szCs w:val="24"/>
                <w:highlight w:val="none"/>
                <w:lang w:val="en-US" w:eastAsia="zh-CN"/>
              </w:rPr>
              <w:t>人员</w:t>
            </w:r>
            <w:r>
              <w:rPr>
                <w:rFonts w:hint="eastAsia" w:ascii="Times New Roman" w:hAnsi="Times New Roman" w:eastAsia="宋体" w:cs="Times New Roman"/>
                <w:b w:val="0"/>
                <w:bCs/>
                <w:spacing w:val="10"/>
                <w:sz w:val="24"/>
                <w:szCs w:val="24"/>
                <w:highlight w:val="none"/>
                <w:lang w:val="en-US" w:eastAsia="zh-CN"/>
              </w:rPr>
              <w:t>防沙固沙</w:t>
            </w:r>
            <w:r>
              <w:rPr>
                <w:rFonts w:hint="default" w:ascii="Times New Roman" w:hAnsi="Times New Roman" w:eastAsia="宋体" w:cs="Times New Roman"/>
                <w:b w:val="0"/>
                <w:bCs/>
                <w:spacing w:val="10"/>
                <w:sz w:val="24"/>
                <w:szCs w:val="24"/>
                <w:highlight w:val="none"/>
                <w:lang w:val="en-US" w:eastAsia="zh-CN"/>
              </w:rPr>
              <w:t>的环境保护意识和知识，杜绝因对人员的流动管理</w:t>
            </w:r>
            <w:r>
              <w:rPr>
                <w:rFonts w:hint="eastAsia" w:cs="Times New Roman"/>
                <w:b w:val="0"/>
                <w:bCs/>
                <w:spacing w:val="10"/>
                <w:sz w:val="24"/>
                <w:szCs w:val="24"/>
                <w:highlight w:val="none"/>
                <w:lang w:val="en-US" w:eastAsia="zh-CN"/>
              </w:rPr>
              <w:t>不完</w:t>
            </w:r>
            <w:r>
              <w:rPr>
                <w:rFonts w:hint="default" w:ascii="Times New Roman" w:hAnsi="Times New Roman" w:eastAsia="宋体" w:cs="Times New Roman"/>
                <w:b w:val="0"/>
                <w:bCs/>
                <w:spacing w:val="10"/>
                <w:sz w:val="24"/>
                <w:szCs w:val="24"/>
                <w:highlight w:val="none"/>
                <w:lang w:val="en-US" w:eastAsia="zh-CN"/>
              </w:rPr>
              <w:t>善及作业方式不合理而产生对区域土地环境的</w:t>
            </w:r>
            <w:r>
              <w:rPr>
                <w:rFonts w:hint="eastAsia" w:ascii="Times New Roman" w:hAnsi="Times New Roman" w:eastAsia="宋体" w:cs="Times New Roman"/>
                <w:b w:val="0"/>
                <w:bCs/>
                <w:spacing w:val="10"/>
                <w:sz w:val="24"/>
                <w:szCs w:val="24"/>
                <w:highlight w:val="none"/>
                <w:lang w:val="en-US" w:eastAsia="zh-CN"/>
              </w:rPr>
              <w:t>人为</w:t>
            </w:r>
            <w:r>
              <w:rPr>
                <w:rFonts w:hint="default" w:ascii="Times New Roman" w:hAnsi="Times New Roman" w:eastAsia="宋体" w:cs="Times New Roman"/>
                <w:b w:val="0"/>
                <w:bCs/>
                <w:spacing w:val="10"/>
                <w:sz w:val="24"/>
                <w:szCs w:val="24"/>
                <w:highlight w:val="none"/>
                <w:lang w:val="en-US" w:eastAsia="zh-CN"/>
              </w:rPr>
              <w:t>影响和破坏</w:t>
            </w:r>
            <w:r>
              <w:rPr>
                <w:rFonts w:hint="eastAsia" w:ascii="Times New Roman" w:hAnsi="Times New Roman" w:eastAsia="宋体" w:cs="Times New Roman"/>
                <w:b w:val="0"/>
                <w:bCs/>
                <w:spacing w:val="10"/>
                <w:sz w:val="24"/>
                <w:szCs w:val="24"/>
                <w:highlight w:val="none"/>
                <w:lang w:val="en-US" w:eastAsia="zh-CN"/>
              </w:rPr>
              <w:t>。</w:t>
            </w:r>
          </w:p>
          <w:p w14:paraId="07FD6ECC">
            <w:pPr>
              <w:bidi w:val="0"/>
              <w:rPr>
                <w:rFonts w:hint="default"/>
                <w:b/>
                <w:bCs/>
                <w:lang w:val="en-US" w:eastAsia="zh-CN"/>
              </w:rPr>
            </w:pPr>
            <w:r>
              <w:rPr>
                <w:rFonts w:hint="eastAsia"/>
                <w:b/>
                <w:bCs/>
                <w:lang w:val="en-US" w:eastAsia="zh-CN"/>
              </w:rPr>
              <w:t>2.2运营期大气环境保护措施</w:t>
            </w:r>
          </w:p>
          <w:p w14:paraId="15A2F071">
            <w:pPr>
              <w:bidi w:val="0"/>
              <w:ind w:left="0" w:leftChars="0" w:firstLine="482" w:firstLineChars="200"/>
              <w:rPr>
                <w:rFonts w:hint="default"/>
                <w:b/>
                <w:bCs/>
                <w:lang w:val="en-US" w:eastAsia="zh-CN"/>
              </w:rPr>
            </w:pPr>
            <w:r>
              <w:rPr>
                <w:rFonts w:hint="eastAsia"/>
                <w:b/>
                <w:bCs/>
                <w:lang w:val="en-US" w:eastAsia="zh-CN"/>
              </w:rPr>
              <w:t>2.2.1有组织废气</w:t>
            </w:r>
          </w:p>
          <w:p w14:paraId="520DBCD4">
            <w:pPr>
              <w:bidi w:val="0"/>
              <w:ind w:left="0" w:leftChars="0" w:firstLine="480" w:firstLineChars="200"/>
              <w:rPr>
                <w:rFonts w:hint="default"/>
                <w:lang w:val="en-US" w:eastAsia="zh-CN"/>
              </w:rPr>
            </w:pPr>
            <w:r>
              <w:rPr>
                <w:rFonts w:hint="eastAsia"/>
                <w:lang w:val="en-US" w:eastAsia="zh-CN"/>
              </w:rPr>
              <w:t>项目设置装运站2处，分别为煤炭仓储加工基地的T2转运站和阳霞发运站的T4转运站，采用袋式除尘器收集治理煤炭转运过程中产生的煤尘。</w:t>
            </w:r>
          </w:p>
          <w:p w14:paraId="7C0D129F">
            <w:pPr>
              <w:bidi w:val="0"/>
              <w:ind w:left="0" w:leftChars="0" w:firstLine="482" w:firstLineChars="200"/>
              <w:rPr>
                <w:rFonts w:hint="default"/>
                <w:b/>
                <w:bCs/>
                <w:lang w:val="en-US" w:eastAsia="zh-CN"/>
              </w:rPr>
            </w:pPr>
            <w:r>
              <w:rPr>
                <w:rFonts w:hint="eastAsia"/>
                <w:b/>
                <w:bCs/>
                <w:lang w:val="en-US" w:eastAsia="zh-CN"/>
              </w:rPr>
              <w:t>2.2.2无组织废气</w:t>
            </w:r>
          </w:p>
          <w:p w14:paraId="5608C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①</w:t>
            </w:r>
            <w:r>
              <w:rPr>
                <w:rFonts w:hint="eastAsia" w:cs="Times New Roman"/>
                <w:color w:val="000000"/>
                <w:highlight w:val="none"/>
                <w:lang w:val="en-US" w:eastAsia="zh-CN"/>
              </w:rPr>
              <w:t>采用全封闭输煤廊道运输煤炭，并配套喷雾装置；</w:t>
            </w:r>
          </w:p>
          <w:p w14:paraId="4897B1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②</w:t>
            </w:r>
            <w:r>
              <w:rPr>
                <w:rFonts w:hint="eastAsia" w:cs="Times New Roman"/>
                <w:color w:val="000000"/>
                <w:highlight w:val="none"/>
                <w:lang w:val="en-US" w:eastAsia="zh-CN"/>
              </w:rPr>
              <w:t>输煤廊道沿线定期洒水抑尘</w:t>
            </w:r>
            <w:r>
              <w:rPr>
                <w:rFonts w:hint="default" w:ascii="Times New Roman" w:hAnsi="Times New Roman" w:eastAsia="宋体" w:cs="Times New Roman"/>
                <w:color w:val="000000"/>
                <w:highlight w:val="none"/>
                <w:lang w:val="en-US" w:eastAsia="zh-CN"/>
              </w:rPr>
              <w:t>；</w:t>
            </w:r>
          </w:p>
          <w:p w14:paraId="5819B7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③</w:t>
            </w:r>
            <w:r>
              <w:rPr>
                <w:rFonts w:hint="eastAsia" w:cs="Times New Roman"/>
                <w:color w:val="000000"/>
                <w:highlight w:val="none"/>
                <w:lang w:val="en-US" w:eastAsia="zh-CN"/>
              </w:rPr>
              <w:t>输煤廊道及转运站均全封闭</w:t>
            </w:r>
            <w:r>
              <w:rPr>
                <w:rFonts w:hint="eastAsia" w:ascii="Times New Roman" w:hAnsi="Times New Roman" w:eastAsia="宋体" w:cs="Times New Roman"/>
                <w:color w:val="000000"/>
                <w:highlight w:val="none"/>
                <w:lang w:val="en-US" w:eastAsia="zh-CN"/>
              </w:rPr>
              <w:t>；</w:t>
            </w:r>
          </w:p>
          <w:p w14:paraId="77A1BC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通过采取</w:t>
            </w:r>
            <w:r>
              <w:rPr>
                <w:rFonts w:hint="eastAsia" w:cs="Times New Roman"/>
                <w:color w:val="000000"/>
                <w:highlight w:val="none"/>
                <w:lang w:val="en-US" w:eastAsia="zh-CN"/>
              </w:rPr>
              <w:t>相应</w:t>
            </w:r>
            <w:r>
              <w:rPr>
                <w:rFonts w:hint="default" w:ascii="Times New Roman" w:hAnsi="Times New Roman" w:eastAsia="宋体" w:cs="Times New Roman"/>
                <w:color w:val="000000"/>
                <w:highlight w:val="none"/>
                <w:lang w:val="en-US" w:eastAsia="zh-CN"/>
              </w:rPr>
              <w:t>抑尘措施，本项目运营期产生的颗粒物得到有效控制，颗粒物可满足</w:t>
            </w:r>
            <w:r>
              <w:rPr>
                <w:rFonts w:hint="default"/>
              </w:rPr>
              <w:t>《煤炭工业污染物排放标准》</w:t>
            </w:r>
            <w:r>
              <w:rPr>
                <w:rFonts w:hint="eastAsia"/>
                <w:lang w:eastAsia="zh-CN"/>
              </w:rPr>
              <w:t>（</w:t>
            </w:r>
            <w:r>
              <w:rPr>
                <w:rFonts w:hint="default"/>
              </w:rPr>
              <w:t>GB 20426-2006</w:t>
            </w:r>
            <w:r>
              <w:rPr>
                <w:rFonts w:hint="eastAsia"/>
                <w:lang w:eastAsia="zh-CN"/>
              </w:rPr>
              <w:t>）</w:t>
            </w:r>
            <w:r>
              <w:rPr>
                <w:rFonts w:hint="default" w:ascii="Times New Roman" w:hAnsi="Times New Roman" w:eastAsia="宋体" w:cs="Times New Roman"/>
                <w:color w:val="000000"/>
                <w:highlight w:val="none"/>
                <w:lang w:val="en-US" w:eastAsia="zh-CN"/>
              </w:rPr>
              <w:t>中</w:t>
            </w:r>
            <w:r>
              <w:rPr>
                <w:rFonts w:hint="eastAsia" w:cs="Times New Roman"/>
                <w:color w:val="000000"/>
                <w:highlight w:val="none"/>
                <w:lang w:val="en-US" w:eastAsia="zh-CN"/>
              </w:rPr>
              <w:t>相关</w:t>
            </w:r>
            <w:r>
              <w:rPr>
                <w:rFonts w:hint="default" w:ascii="Times New Roman" w:hAnsi="Times New Roman" w:eastAsia="宋体" w:cs="Times New Roman"/>
                <w:color w:val="000000"/>
                <w:highlight w:val="none"/>
                <w:lang w:val="en-US" w:eastAsia="zh-CN"/>
              </w:rPr>
              <w:t>排放限值要求，</w:t>
            </w:r>
            <w:r>
              <w:rPr>
                <w:rFonts w:hint="eastAsia" w:ascii="Times New Roman" w:hAnsi="Times New Roman" w:eastAsia="宋体" w:cs="Times New Roman"/>
                <w:color w:val="000000"/>
                <w:highlight w:val="none"/>
                <w:lang w:val="en-US" w:eastAsia="zh-CN"/>
              </w:rPr>
              <w:t>可有效减少对</w:t>
            </w:r>
            <w:r>
              <w:rPr>
                <w:rFonts w:hint="default" w:ascii="Times New Roman" w:hAnsi="Times New Roman" w:eastAsia="宋体" w:cs="Times New Roman"/>
                <w:color w:val="000000"/>
                <w:highlight w:val="none"/>
                <w:lang w:val="en-US" w:eastAsia="zh-CN"/>
              </w:rPr>
              <w:t>周围环境</w:t>
            </w:r>
            <w:r>
              <w:rPr>
                <w:rFonts w:hint="eastAsia" w:ascii="Times New Roman" w:hAnsi="Times New Roman" w:eastAsia="宋体" w:cs="Times New Roman"/>
                <w:color w:val="000000"/>
                <w:highlight w:val="none"/>
                <w:lang w:val="en-US" w:eastAsia="zh-CN"/>
              </w:rPr>
              <w:t>的</w:t>
            </w:r>
            <w:r>
              <w:rPr>
                <w:rFonts w:hint="default" w:ascii="Times New Roman" w:hAnsi="Times New Roman" w:eastAsia="宋体" w:cs="Times New Roman"/>
                <w:color w:val="000000"/>
                <w:highlight w:val="none"/>
                <w:lang w:val="en-US" w:eastAsia="zh-CN"/>
              </w:rPr>
              <w:t>影响。</w:t>
            </w:r>
          </w:p>
          <w:p w14:paraId="2E80D4FC">
            <w:pPr>
              <w:bidi w:val="0"/>
              <w:ind w:left="0" w:leftChars="0" w:firstLine="482" w:firstLineChars="200"/>
              <w:rPr>
                <w:rFonts w:hint="default"/>
                <w:b/>
                <w:bCs/>
                <w:lang w:val="en-US" w:eastAsia="zh-CN"/>
              </w:rPr>
            </w:pPr>
            <w:r>
              <w:rPr>
                <w:rFonts w:hint="eastAsia"/>
                <w:b/>
                <w:bCs/>
                <w:lang w:val="en-US" w:eastAsia="zh-CN"/>
              </w:rPr>
              <w:t>2.2.3废气治理措施可行性分析</w:t>
            </w:r>
          </w:p>
          <w:p w14:paraId="53CD2F1B">
            <w:pPr>
              <w:bidi w:val="0"/>
            </w:pPr>
            <w:r>
              <w:rPr>
                <w:rFonts w:hint="eastAsia"/>
                <w:lang w:val="en-US" w:eastAsia="zh-CN"/>
              </w:rPr>
              <w:t>（1）输送粉尘</w:t>
            </w:r>
          </w:p>
          <w:p w14:paraId="4A1B4D12">
            <w:pPr>
              <w:keepNext w:val="0"/>
              <w:keepLines w:val="0"/>
              <w:widowControl/>
              <w:suppressLineNumbers w:val="0"/>
              <w:jc w:val="left"/>
            </w:pPr>
            <w:r>
              <w:rPr>
                <w:rFonts w:hint="eastAsia"/>
                <w:lang w:val="en-US" w:eastAsia="zh-CN"/>
              </w:rPr>
              <w:t>本项目为输煤廊道建设，煤炭采用全封闭输煤廊道输送，并配套安装喷雾装置，确保输送过程无组织排放的粉尘周界外浓度可控制在《煤炭工业污染物排放标准》（</w:t>
            </w:r>
            <w:r>
              <w:rPr>
                <w:rFonts w:hint="default"/>
                <w:lang w:val="en-US" w:eastAsia="zh-CN"/>
              </w:rPr>
              <w:t>GB20426-2006</w:t>
            </w:r>
            <w:r>
              <w:rPr>
                <w:rFonts w:hint="eastAsia"/>
                <w:lang w:val="en-US" w:eastAsia="zh-CN"/>
              </w:rPr>
              <w:t>）无组织排放限值即</w:t>
            </w:r>
            <w:r>
              <w:rPr>
                <w:rFonts w:hint="default"/>
                <w:lang w:val="en-US" w:eastAsia="zh-CN"/>
              </w:rPr>
              <w:t>1.0mg/m</w:t>
            </w:r>
            <w:r>
              <w:rPr>
                <w:rFonts w:hint="eastAsia"/>
                <w:vertAlign w:val="superscript"/>
                <w:lang w:val="en-US" w:eastAsia="zh-CN"/>
              </w:rPr>
              <w:t>3</w:t>
            </w:r>
            <w:r>
              <w:rPr>
                <w:rFonts w:hint="eastAsia"/>
                <w:lang w:val="en-US" w:eastAsia="zh-CN"/>
              </w:rPr>
              <w:t>。</w:t>
            </w:r>
            <w:r>
              <w:rPr>
                <w:rFonts w:hint="eastAsia" w:ascii="宋体" w:hAnsi="宋体" w:eastAsia="宋体" w:cs="宋体"/>
                <w:color w:val="000000"/>
                <w:kern w:val="0"/>
                <w:sz w:val="24"/>
                <w:szCs w:val="24"/>
                <w:lang w:val="en-US" w:eastAsia="zh-CN" w:bidi="ar"/>
              </w:rPr>
              <w:t>根据《中华人民共和国大气污染防治法》，第七十二条贮存煤炭、煤矸石、煤渣、煤灰、水泥、石灰、石膏、砂土等易产生扬尘的物料应当密闭；不能密闭的，应当设置不低于堆放物高度的严密围挡，并采取有效覆盖措施防治扬尘污染的要求，</w:t>
            </w:r>
            <w:r>
              <w:rPr>
                <w:rFonts w:hint="eastAsia" w:ascii="宋体" w:hAnsi="宋体" w:cs="宋体"/>
                <w:color w:val="000000"/>
                <w:kern w:val="0"/>
                <w:sz w:val="24"/>
                <w:szCs w:val="24"/>
                <w:lang w:val="en-US" w:eastAsia="zh-CN" w:bidi="ar"/>
              </w:rPr>
              <w:t>本项目全封闭输煤廊道属于可行</w:t>
            </w:r>
            <w:r>
              <w:rPr>
                <w:rFonts w:hint="eastAsia"/>
                <w:lang w:val="en-US" w:eastAsia="zh-CN"/>
              </w:rPr>
              <w:t>措施。</w:t>
            </w:r>
          </w:p>
          <w:p w14:paraId="524ADC74">
            <w:pPr>
              <w:bidi w:val="0"/>
            </w:pPr>
            <w:r>
              <w:rPr>
                <w:rFonts w:hint="eastAsia"/>
                <w:lang w:val="en-US" w:eastAsia="zh-CN"/>
              </w:rPr>
              <w:t>（2）转运粉尘</w:t>
            </w:r>
          </w:p>
          <w:p w14:paraId="2D4F9822">
            <w:pPr>
              <w:bidi w:val="0"/>
            </w:pPr>
            <w:r>
              <w:rPr>
                <w:rFonts w:hint="eastAsia"/>
                <w:lang w:val="en-US" w:eastAsia="zh-CN"/>
              </w:rPr>
              <w:t>煤炭通过全封闭输煤廊道输送有效减少了粉尘的逸散，各输煤系统落煤点处设有喷雾抑尘设施，转运站设置为全封闭，并配套安装袋式除尘器收集治理转运过程粉尘，除尘效率可达99.7</w:t>
            </w:r>
            <w:r>
              <w:rPr>
                <w:rFonts w:hint="default"/>
                <w:lang w:val="en-US" w:eastAsia="zh-CN"/>
              </w:rPr>
              <w:t>%</w:t>
            </w:r>
            <w:r>
              <w:rPr>
                <w:rFonts w:hint="eastAsia"/>
                <w:lang w:val="en-US" w:eastAsia="zh-CN"/>
              </w:rPr>
              <w:t>。有组织排放浓度可满足《煤炭工业污染物排放标准》（</w:t>
            </w:r>
            <w:r>
              <w:rPr>
                <w:rFonts w:hint="default"/>
                <w:lang w:val="en-US" w:eastAsia="zh-CN"/>
              </w:rPr>
              <w:t>GB20426-2006</w:t>
            </w:r>
            <w:r>
              <w:rPr>
                <w:rFonts w:hint="eastAsia"/>
                <w:lang w:val="en-US" w:eastAsia="zh-CN"/>
              </w:rPr>
              <w:t>）排放限值要求。</w:t>
            </w:r>
          </w:p>
          <w:p w14:paraId="1D99C1B2">
            <w:pPr>
              <w:bidi w:val="0"/>
              <w:rPr>
                <w:rFonts w:hint="eastAsia"/>
                <w:lang w:val="en-US" w:eastAsia="zh-CN"/>
              </w:rPr>
            </w:pPr>
            <w:r>
              <w:rPr>
                <w:rFonts w:hint="eastAsia"/>
                <w:lang w:val="en-US" w:eastAsia="zh-CN"/>
              </w:rPr>
              <w:t>综上所述，项目建成运营时，粉尘经喷雾抑尘、全封闭输煤廊道、全封闭转运站、袋式除尘器等措施处理后，不会对周围环境空气质量产生明显污染影响，符合</w:t>
            </w:r>
            <w:r>
              <w:rPr>
                <w:rFonts w:hint="eastAsia" w:ascii="宋体" w:hAnsi="宋体" w:eastAsia="宋体" w:cs="宋体"/>
                <w:color w:val="000000"/>
                <w:kern w:val="0"/>
                <w:sz w:val="24"/>
                <w:szCs w:val="24"/>
                <w:lang w:val="en-US" w:eastAsia="zh-CN" w:bidi="ar"/>
              </w:rPr>
              <w:t>《中华人民共和国大气污染防治法》中的要求</w:t>
            </w:r>
            <w:r>
              <w:rPr>
                <w:rFonts w:hint="eastAsia"/>
                <w:lang w:val="en-US" w:eastAsia="zh-CN"/>
              </w:rPr>
              <w:t>。</w:t>
            </w:r>
          </w:p>
          <w:p w14:paraId="20693F8A">
            <w:pPr>
              <w:bidi w:val="0"/>
              <w:ind w:left="0" w:leftChars="0" w:firstLine="482" w:firstLineChars="200"/>
              <w:rPr>
                <w:rFonts w:hint="default"/>
                <w:b/>
                <w:bCs/>
                <w:lang w:val="en-US" w:eastAsia="zh-CN"/>
              </w:rPr>
            </w:pPr>
            <w:r>
              <w:rPr>
                <w:rFonts w:hint="eastAsia"/>
                <w:b/>
                <w:bCs/>
                <w:lang w:val="en-US" w:eastAsia="zh-CN"/>
              </w:rPr>
              <w:t>2.2.4监测计划</w:t>
            </w:r>
          </w:p>
          <w:p w14:paraId="4F06E678">
            <w:pPr>
              <w:bidi w:val="0"/>
              <w:rPr>
                <w:rFonts w:hint="default"/>
                <w:lang w:val="en-US" w:eastAsia="zh-CN"/>
              </w:rPr>
            </w:pPr>
            <w:r>
              <w:rPr>
                <w:rFonts w:hint="default"/>
                <w:lang w:val="en-US" w:eastAsia="zh-CN"/>
              </w:rPr>
              <w:t>本项目按照《</w:t>
            </w:r>
            <w:r>
              <w:rPr>
                <w:rFonts w:hint="eastAsia"/>
                <w:lang w:val="en-US" w:eastAsia="zh-CN"/>
              </w:rPr>
              <w:t>排污单位自行监测技术指南 总则</w:t>
            </w:r>
            <w:r>
              <w:rPr>
                <w:rFonts w:hint="default"/>
                <w:lang w:val="en-US" w:eastAsia="zh-CN"/>
              </w:rPr>
              <w:t xml:space="preserve">》（HJ </w:t>
            </w:r>
            <w:r>
              <w:rPr>
                <w:rFonts w:hint="eastAsia"/>
                <w:lang w:val="en-US" w:eastAsia="zh-CN"/>
              </w:rPr>
              <w:t>819</w:t>
            </w:r>
            <w:r>
              <w:rPr>
                <w:rFonts w:hint="default"/>
                <w:lang w:val="en-US" w:eastAsia="zh-CN"/>
              </w:rPr>
              <w:t>—20</w:t>
            </w:r>
            <w:r>
              <w:rPr>
                <w:rFonts w:hint="eastAsia"/>
                <w:lang w:val="en-US" w:eastAsia="zh-CN"/>
              </w:rPr>
              <w:t>17）要求制定自行监测计划</w:t>
            </w:r>
            <w:r>
              <w:rPr>
                <w:rFonts w:hint="default"/>
                <w:lang w:val="en-US" w:eastAsia="zh-CN"/>
              </w:rPr>
              <w:t>，监测计划见表</w:t>
            </w:r>
            <w:r>
              <w:rPr>
                <w:rFonts w:hint="eastAsia"/>
                <w:lang w:val="en-US" w:eastAsia="zh-CN"/>
              </w:rPr>
              <w:t>5-1</w:t>
            </w:r>
            <w:r>
              <w:rPr>
                <w:rFonts w:hint="default"/>
                <w:lang w:val="en-US" w:eastAsia="zh-CN"/>
              </w:rPr>
              <w:t>。</w:t>
            </w:r>
          </w:p>
          <w:p w14:paraId="192E3D67">
            <w:pPr>
              <w:pStyle w:val="13"/>
              <w:bidi w:val="0"/>
              <w:rPr>
                <w:rFonts w:hint="default"/>
                <w:lang w:val="en-US" w:eastAsia="zh-CN"/>
              </w:rPr>
            </w:pPr>
            <w:r>
              <w:rPr>
                <w:rFonts w:hint="eastAsia"/>
                <w:lang w:eastAsia="zh-CN"/>
              </w:rPr>
              <w:t>表</w:t>
            </w:r>
            <w:r>
              <w:rPr>
                <w:rFonts w:hint="eastAsia"/>
                <w:lang w:val="en-US" w:eastAsia="zh-CN"/>
              </w:rPr>
              <w:t>5-1    废气监测计划</w:t>
            </w:r>
          </w:p>
          <w:tbl>
            <w:tblPr>
              <w:tblStyle w:val="42"/>
              <w:tblW w:w="4998" w:type="pct"/>
              <w:tblInd w:w="-5"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43"/>
              <w:gridCol w:w="1746"/>
              <w:gridCol w:w="1528"/>
              <w:gridCol w:w="884"/>
              <w:gridCol w:w="3248"/>
            </w:tblGrid>
            <w:tr w14:paraId="5AAA9D5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5" w:hRule="atLeast"/>
              </w:trPr>
              <w:tc>
                <w:tcPr>
                  <w:tcW w:w="456" w:type="pct"/>
                  <w:tcBorders>
                    <w:tl2br w:val="nil"/>
                    <w:tr2bl w:val="nil"/>
                  </w:tcBorders>
                  <w:shd w:val="clear" w:color="auto" w:fill="auto"/>
                  <w:noWrap w:val="0"/>
                  <w:vAlign w:val="center"/>
                </w:tcPr>
                <w:p w14:paraId="428642AB">
                  <w:pPr>
                    <w:pStyle w:val="5"/>
                    <w:bidi w:val="0"/>
                    <w:rPr>
                      <w:rFonts w:hint="eastAsia"/>
                      <w:b w:val="0"/>
                      <w:color w:val="000000"/>
                      <w:lang w:val="en-US" w:eastAsia="zh-CN"/>
                    </w:rPr>
                  </w:pPr>
                  <w:r>
                    <w:rPr>
                      <w:rFonts w:hint="eastAsia"/>
                      <w:b w:val="0"/>
                      <w:color w:val="000000"/>
                      <w:lang w:val="en-US" w:eastAsia="zh-CN"/>
                    </w:rPr>
                    <w:t>类别</w:t>
                  </w:r>
                </w:p>
              </w:tc>
              <w:tc>
                <w:tcPr>
                  <w:tcW w:w="1071" w:type="pct"/>
                  <w:tcBorders>
                    <w:tl2br w:val="nil"/>
                    <w:tr2bl w:val="nil"/>
                  </w:tcBorders>
                  <w:shd w:val="clear" w:color="auto" w:fill="auto"/>
                  <w:noWrap w:val="0"/>
                  <w:vAlign w:val="center"/>
                </w:tcPr>
                <w:p w14:paraId="3F62F828">
                  <w:pPr>
                    <w:pStyle w:val="5"/>
                    <w:bidi w:val="0"/>
                    <w:rPr>
                      <w:rFonts w:hint="eastAsia"/>
                      <w:b w:val="0"/>
                      <w:color w:val="000000"/>
                      <w:lang w:val="en-US" w:eastAsia="zh-CN"/>
                    </w:rPr>
                  </w:pPr>
                  <w:r>
                    <w:rPr>
                      <w:rFonts w:hint="eastAsia"/>
                      <w:b w:val="0"/>
                      <w:color w:val="000000"/>
                      <w:lang w:val="en-US" w:eastAsia="zh-CN"/>
                    </w:rPr>
                    <w:t>监测位置</w:t>
                  </w:r>
                </w:p>
              </w:tc>
              <w:tc>
                <w:tcPr>
                  <w:tcW w:w="937" w:type="pct"/>
                  <w:tcBorders>
                    <w:tl2br w:val="nil"/>
                    <w:tr2bl w:val="nil"/>
                  </w:tcBorders>
                  <w:shd w:val="clear" w:color="auto" w:fill="auto"/>
                  <w:noWrap w:val="0"/>
                  <w:vAlign w:val="center"/>
                </w:tcPr>
                <w:p w14:paraId="65FE4DDC">
                  <w:pPr>
                    <w:pStyle w:val="5"/>
                    <w:bidi w:val="0"/>
                    <w:rPr>
                      <w:rFonts w:hint="eastAsia"/>
                      <w:b w:val="0"/>
                      <w:color w:val="000000"/>
                      <w:lang w:val="en-US" w:eastAsia="zh-CN"/>
                    </w:rPr>
                  </w:pPr>
                  <w:r>
                    <w:rPr>
                      <w:rFonts w:hint="eastAsia"/>
                      <w:b w:val="0"/>
                      <w:color w:val="000000"/>
                      <w:lang w:val="en-US" w:eastAsia="zh-CN"/>
                    </w:rPr>
                    <w:t>监测项目</w:t>
                  </w:r>
                </w:p>
              </w:tc>
              <w:tc>
                <w:tcPr>
                  <w:tcW w:w="542" w:type="pct"/>
                  <w:tcBorders>
                    <w:tl2br w:val="nil"/>
                    <w:tr2bl w:val="nil"/>
                  </w:tcBorders>
                  <w:shd w:val="clear" w:color="auto" w:fill="auto"/>
                  <w:noWrap w:val="0"/>
                  <w:vAlign w:val="center"/>
                </w:tcPr>
                <w:p w14:paraId="22C69008">
                  <w:pPr>
                    <w:pStyle w:val="5"/>
                    <w:bidi w:val="0"/>
                    <w:rPr>
                      <w:rFonts w:hint="eastAsia"/>
                      <w:b w:val="0"/>
                      <w:color w:val="000000"/>
                      <w:lang w:val="en-US" w:eastAsia="zh-CN"/>
                    </w:rPr>
                  </w:pPr>
                  <w:r>
                    <w:rPr>
                      <w:rFonts w:hint="eastAsia"/>
                      <w:b w:val="0"/>
                      <w:color w:val="000000"/>
                      <w:lang w:val="en-US" w:eastAsia="zh-CN"/>
                    </w:rPr>
                    <w:t>监测频次</w:t>
                  </w:r>
                </w:p>
              </w:tc>
              <w:tc>
                <w:tcPr>
                  <w:tcW w:w="1992" w:type="pct"/>
                  <w:tcBorders>
                    <w:tl2br w:val="nil"/>
                    <w:tr2bl w:val="nil"/>
                  </w:tcBorders>
                  <w:shd w:val="clear" w:color="auto" w:fill="auto"/>
                  <w:noWrap w:val="0"/>
                  <w:vAlign w:val="center"/>
                </w:tcPr>
                <w:p w14:paraId="6C8C72B7">
                  <w:pPr>
                    <w:pStyle w:val="5"/>
                    <w:bidi w:val="0"/>
                    <w:rPr>
                      <w:rFonts w:hint="eastAsia"/>
                      <w:b w:val="0"/>
                      <w:color w:val="000000"/>
                      <w:lang w:val="en-US" w:eastAsia="zh-CN"/>
                    </w:rPr>
                  </w:pPr>
                  <w:r>
                    <w:rPr>
                      <w:rFonts w:hint="eastAsia"/>
                      <w:b w:val="0"/>
                      <w:color w:val="000000"/>
                      <w:lang w:val="en-US" w:eastAsia="zh-CN"/>
                    </w:rPr>
                    <w:t>执行标准</w:t>
                  </w:r>
                </w:p>
              </w:tc>
            </w:tr>
            <w:tr w14:paraId="78A741E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5" w:hRule="atLeast"/>
              </w:trPr>
              <w:tc>
                <w:tcPr>
                  <w:tcW w:w="456" w:type="pct"/>
                  <w:vMerge w:val="restart"/>
                  <w:tcBorders>
                    <w:tl2br w:val="nil"/>
                    <w:tr2bl w:val="nil"/>
                  </w:tcBorders>
                  <w:shd w:val="clear" w:color="auto" w:fill="auto"/>
                  <w:noWrap w:val="0"/>
                  <w:vAlign w:val="center"/>
                </w:tcPr>
                <w:p w14:paraId="0F88CFF6">
                  <w:pPr>
                    <w:pStyle w:val="5"/>
                    <w:bidi w:val="0"/>
                    <w:rPr>
                      <w:rFonts w:hint="default"/>
                      <w:b w:val="0"/>
                      <w:color w:val="000000"/>
                      <w:lang w:val="en-US" w:eastAsia="zh-CN"/>
                    </w:rPr>
                  </w:pPr>
                  <w:r>
                    <w:rPr>
                      <w:rFonts w:hint="eastAsia"/>
                      <w:b w:val="0"/>
                      <w:color w:val="000000"/>
                      <w:lang w:val="en-US" w:eastAsia="zh-CN"/>
                    </w:rPr>
                    <w:t>有组织废气</w:t>
                  </w:r>
                </w:p>
              </w:tc>
              <w:tc>
                <w:tcPr>
                  <w:tcW w:w="1071" w:type="pct"/>
                  <w:tcBorders>
                    <w:tl2br w:val="nil"/>
                    <w:tr2bl w:val="nil"/>
                  </w:tcBorders>
                  <w:shd w:val="clear" w:color="auto" w:fill="auto"/>
                  <w:noWrap w:val="0"/>
                  <w:vAlign w:val="center"/>
                </w:tcPr>
                <w:p w14:paraId="7FAE6BC6">
                  <w:pPr>
                    <w:pStyle w:val="5"/>
                    <w:bidi w:val="0"/>
                    <w:rPr>
                      <w:rFonts w:hint="default"/>
                      <w:b w:val="0"/>
                      <w:color w:val="000000"/>
                      <w:lang w:val="en-US" w:eastAsia="zh-CN"/>
                    </w:rPr>
                  </w:pPr>
                  <w:r>
                    <w:rPr>
                      <w:rFonts w:hint="eastAsia"/>
                      <w:b w:val="0"/>
                      <w:color w:val="000000"/>
                      <w:lang w:val="en-US" w:eastAsia="zh-CN"/>
                    </w:rPr>
                    <w:t>DA001</w:t>
                  </w:r>
                </w:p>
              </w:tc>
              <w:tc>
                <w:tcPr>
                  <w:tcW w:w="937" w:type="pct"/>
                  <w:tcBorders>
                    <w:tl2br w:val="nil"/>
                    <w:tr2bl w:val="nil"/>
                  </w:tcBorders>
                  <w:shd w:val="clear" w:color="auto" w:fill="auto"/>
                  <w:noWrap w:val="0"/>
                  <w:vAlign w:val="center"/>
                </w:tcPr>
                <w:p w14:paraId="1BCFA7FB">
                  <w:pPr>
                    <w:pStyle w:val="5"/>
                    <w:bidi w:val="0"/>
                    <w:rPr>
                      <w:rFonts w:hint="default"/>
                      <w:b w:val="0"/>
                      <w:color w:val="000000"/>
                      <w:lang w:val="en-US" w:eastAsia="zh-CN"/>
                    </w:rPr>
                  </w:pPr>
                  <w:r>
                    <w:rPr>
                      <w:rFonts w:hint="eastAsia"/>
                      <w:b w:val="0"/>
                      <w:color w:val="000000"/>
                      <w:lang w:val="en-US" w:eastAsia="zh-CN"/>
                    </w:rPr>
                    <w:t>颗粒物</w:t>
                  </w:r>
                </w:p>
              </w:tc>
              <w:tc>
                <w:tcPr>
                  <w:tcW w:w="542" w:type="pct"/>
                  <w:tcBorders>
                    <w:tl2br w:val="nil"/>
                    <w:tr2bl w:val="nil"/>
                  </w:tcBorders>
                  <w:shd w:val="clear" w:color="auto" w:fill="auto"/>
                  <w:noWrap w:val="0"/>
                  <w:vAlign w:val="center"/>
                </w:tcPr>
                <w:p w14:paraId="3F963D82">
                  <w:pPr>
                    <w:pStyle w:val="5"/>
                    <w:bidi w:val="0"/>
                    <w:rPr>
                      <w:rFonts w:hint="eastAsia"/>
                      <w:b w:val="0"/>
                      <w:color w:val="000000"/>
                      <w:lang w:val="en-US" w:eastAsia="zh-CN"/>
                    </w:rPr>
                  </w:pPr>
                  <w:r>
                    <w:rPr>
                      <w:rFonts w:hint="default" w:ascii="Times New Roman" w:hAnsi="Times New Roman" w:eastAsia="宋体" w:cs="Times New Roman"/>
                      <w:b w:val="0"/>
                      <w:color w:val="000000"/>
                      <w:lang w:val="en-US" w:eastAsia="zh-CN"/>
                    </w:rPr>
                    <w:t>1</w:t>
                  </w:r>
                  <w:r>
                    <w:rPr>
                      <w:rFonts w:hint="eastAsia" w:ascii="Times New Roman" w:hAnsi="Times New Roman" w:eastAsia="宋体" w:cs="Times New Roman"/>
                      <w:b w:val="0"/>
                      <w:color w:val="000000"/>
                      <w:lang w:val="en-US" w:eastAsia="zh-CN"/>
                    </w:rPr>
                    <w:t>次</w:t>
                  </w:r>
                  <w:r>
                    <w:rPr>
                      <w:rFonts w:hint="default" w:ascii="Times New Roman" w:hAnsi="Times New Roman" w:eastAsia="宋体" w:cs="Times New Roman"/>
                      <w:b w:val="0"/>
                      <w:color w:val="000000"/>
                      <w:lang w:val="en-US" w:eastAsia="zh-CN"/>
                    </w:rPr>
                    <w:t>/</w:t>
                  </w:r>
                  <w:r>
                    <w:rPr>
                      <w:rFonts w:hint="eastAsia" w:ascii="Times New Roman" w:hAnsi="Times New Roman" w:eastAsia="宋体" w:cs="Times New Roman"/>
                      <w:b w:val="0"/>
                      <w:color w:val="000000"/>
                      <w:lang w:val="en-US" w:eastAsia="zh-CN"/>
                    </w:rPr>
                    <w:t>年</w:t>
                  </w:r>
                </w:p>
              </w:tc>
              <w:tc>
                <w:tcPr>
                  <w:tcW w:w="1992" w:type="pct"/>
                  <w:vMerge w:val="restart"/>
                  <w:tcBorders>
                    <w:tl2br w:val="nil"/>
                    <w:tr2bl w:val="nil"/>
                  </w:tcBorders>
                  <w:shd w:val="clear" w:color="auto" w:fill="auto"/>
                  <w:noWrap w:val="0"/>
                  <w:vAlign w:val="center"/>
                </w:tcPr>
                <w:p w14:paraId="26A43226">
                  <w:pPr>
                    <w:pStyle w:val="5"/>
                    <w:bidi w:val="0"/>
                    <w:rPr>
                      <w:rFonts w:hint="default"/>
                      <w:b w:val="0"/>
                      <w:color w:val="000000"/>
                      <w:lang w:val="en-US" w:eastAsia="zh-CN"/>
                    </w:rPr>
                  </w:pPr>
                  <w:r>
                    <w:rPr>
                      <w:rFonts w:hint="default" w:ascii="Times New Roman" w:hAnsi="Times New Roman" w:eastAsia="宋体" w:cs="Times New Roman"/>
                      <w:b w:val="0"/>
                      <w:color w:val="000000"/>
                      <w:lang w:val="en-US" w:eastAsia="zh-CN"/>
                    </w:rPr>
                    <w:t>《煤炭工业污染物排放标准》（GB20426-2006）表</w:t>
                  </w:r>
                  <w:r>
                    <w:rPr>
                      <w:rFonts w:hint="eastAsia" w:cs="Times New Roman"/>
                      <w:b w:val="0"/>
                      <w:color w:val="000000"/>
                      <w:lang w:val="en-US" w:eastAsia="zh-CN"/>
                    </w:rPr>
                    <w:t>4转载点除尘设备排放限值</w:t>
                  </w:r>
                </w:p>
              </w:tc>
            </w:tr>
            <w:tr w14:paraId="2F7439A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456" w:type="pct"/>
                  <w:vMerge w:val="continue"/>
                  <w:tcBorders>
                    <w:tl2br w:val="nil"/>
                    <w:tr2bl w:val="nil"/>
                  </w:tcBorders>
                  <w:shd w:val="clear" w:color="auto" w:fill="auto"/>
                  <w:noWrap w:val="0"/>
                  <w:vAlign w:val="center"/>
                </w:tcPr>
                <w:p w14:paraId="65030867">
                  <w:pPr>
                    <w:pStyle w:val="5"/>
                    <w:bidi w:val="0"/>
                    <w:rPr>
                      <w:rFonts w:hint="eastAsia"/>
                      <w:b w:val="0"/>
                      <w:color w:val="000000"/>
                      <w:lang w:val="en-US" w:eastAsia="zh-CN"/>
                    </w:rPr>
                  </w:pPr>
                </w:p>
              </w:tc>
              <w:tc>
                <w:tcPr>
                  <w:tcW w:w="1071" w:type="pct"/>
                  <w:tcBorders>
                    <w:tl2br w:val="nil"/>
                    <w:tr2bl w:val="nil"/>
                  </w:tcBorders>
                  <w:shd w:val="clear" w:color="auto" w:fill="auto"/>
                  <w:noWrap w:val="0"/>
                  <w:vAlign w:val="center"/>
                </w:tcPr>
                <w:p w14:paraId="105B2DF6">
                  <w:pPr>
                    <w:pStyle w:val="5"/>
                    <w:bidi w:val="0"/>
                    <w:rPr>
                      <w:rFonts w:hint="default"/>
                      <w:b w:val="0"/>
                      <w:color w:val="000000"/>
                      <w:lang w:val="en-US" w:eastAsia="zh-CN"/>
                    </w:rPr>
                  </w:pPr>
                  <w:r>
                    <w:rPr>
                      <w:rFonts w:hint="eastAsia"/>
                      <w:b w:val="0"/>
                      <w:color w:val="000000"/>
                      <w:lang w:val="en-US" w:eastAsia="zh-CN"/>
                    </w:rPr>
                    <w:t>DA002</w:t>
                  </w:r>
                </w:p>
              </w:tc>
              <w:tc>
                <w:tcPr>
                  <w:tcW w:w="937" w:type="pct"/>
                  <w:tcBorders>
                    <w:tl2br w:val="nil"/>
                    <w:tr2bl w:val="nil"/>
                  </w:tcBorders>
                  <w:shd w:val="clear" w:color="auto" w:fill="auto"/>
                  <w:noWrap w:val="0"/>
                  <w:vAlign w:val="center"/>
                </w:tcPr>
                <w:p w14:paraId="5D599CBF">
                  <w:pPr>
                    <w:pStyle w:val="5"/>
                    <w:bidi w:val="0"/>
                    <w:rPr>
                      <w:rFonts w:hint="default"/>
                      <w:b w:val="0"/>
                      <w:color w:val="000000"/>
                      <w:lang w:val="en-US" w:eastAsia="zh-CN"/>
                    </w:rPr>
                  </w:pPr>
                  <w:r>
                    <w:rPr>
                      <w:rFonts w:hint="eastAsia"/>
                      <w:b w:val="0"/>
                      <w:color w:val="000000"/>
                      <w:lang w:val="en-US" w:eastAsia="zh-CN"/>
                    </w:rPr>
                    <w:t>颗粒物</w:t>
                  </w:r>
                </w:p>
              </w:tc>
              <w:tc>
                <w:tcPr>
                  <w:tcW w:w="542" w:type="pct"/>
                  <w:tcBorders>
                    <w:tl2br w:val="nil"/>
                    <w:tr2bl w:val="nil"/>
                  </w:tcBorders>
                  <w:shd w:val="clear" w:color="auto" w:fill="auto"/>
                  <w:noWrap w:val="0"/>
                  <w:vAlign w:val="center"/>
                </w:tcPr>
                <w:p w14:paraId="7A39F4BA">
                  <w:pPr>
                    <w:pStyle w:val="5"/>
                    <w:bidi w:val="0"/>
                    <w:rPr>
                      <w:rFonts w:hint="eastAsia"/>
                      <w:b w:val="0"/>
                      <w:color w:val="000000"/>
                      <w:lang w:val="en-US" w:eastAsia="zh-CN"/>
                    </w:rPr>
                  </w:pPr>
                  <w:r>
                    <w:rPr>
                      <w:rFonts w:hint="default" w:ascii="Times New Roman" w:hAnsi="Times New Roman" w:eastAsia="宋体" w:cs="Times New Roman"/>
                      <w:b w:val="0"/>
                      <w:color w:val="000000"/>
                      <w:lang w:val="en-US" w:eastAsia="zh-CN"/>
                    </w:rPr>
                    <w:t>1</w:t>
                  </w:r>
                  <w:r>
                    <w:rPr>
                      <w:rFonts w:hint="eastAsia" w:ascii="Times New Roman" w:hAnsi="Times New Roman" w:eastAsia="宋体" w:cs="Times New Roman"/>
                      <w:b w:val="0"/>
                      <w:color w:val="000000"/>
                      <w:lang w:val="en-US" w:eastAsia="zh-CN"/>
                    </w:rPr>
                    <w:t>次</w:t>
                  </w:r>
                  <w:r>
                    <w:rPr>
                      <w:rFonts w:hint="default" w:ascii="Times New Roman" w:hAnsi="Times New Roman" w:eastAsia="宋体" w:cs="Times New Roman"/>
                      <w:b w:val="0"/>
                      <w:color w:val="000000"/>
                      <w:lang w:val="en-US" w:eastAsia="zh-CN"/>
                    </w:rPr>
                    <w:t>/</w:t>
                  </w:r>
                  <w:r>
                    <w:rPr>
                      <w:rFonts w:hint="eastAsia" w:ascii="Times New Roman" w:hAnsi="Times New Roman" w:eastAsia="宋体" w:cs="Times New Roman"/>
                      <w:b w:val="0"/>
                      <w:color w:val="000000"/>
                      <w:lang w:val="en-US" w:eastAsia="zh-CN"/>
                    </w:rPr>
                    <w:t>年</w:t>
                  </w:r>
                </w:p>
              </w:tc>
              <w:tc>
                <w:tcPr>
                  <w:tcW w:w="1992" w:type="pct"/>
                  <w:vMerge w:val="continue"/>
                  <w:tcBorders>
                    <w:tl2br w:val="nil"/>
                    <w:tr2bl w:val="nil"/>
                  </w:tcBorders>
                  <w:shd w:val="clear" w:color="auto" w:fill="auto"/>
                  <w:noWrap w:val="0"/>
                  <w:vAlign w:val="center"/>
                </w:tcPr>
                <w:p w14:paraId="2A04E5D7">
                  <w:pPr>
                    <w:pStyle w:val="5"/>
                    <w:bidi w:val="0"/>
                    <w:rPr>
                      <w:rFonts w:hint="eastAsia"/>
                      <w:b w:val="0"/>
                      <w:color w:val="000000"/>
                      <w:lang w:val="en-US" w:eastAsia="zh-CN"/>
                    </w:rPr>
                  </w:pPr>
                </w:p>
              </w:tc>
            </w:tr>
            <w:tr w14:paraId="5984329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PrEx>
              <w:trPr>
                <w:trHeight w:val="0" w:hRule="atLeast"/>
              </w:trPr>
              <w:tc>
                <w:tcPr>
                  <w:tcW w:w="456" w:type="pct"/>
                  <w:tcBorders>
                    <w:tl2br w:val="nil"/>
                    <w:tr2bl w:val="nil"/>
                  </w:tcBorders>
                  <w:shd w:val="clear" w:color="auto" w:fill="auto"/>
                  <w:noWrap w:val="0"/>
                  <w:vAlign w:val="center"/>
                </w:tcPr>
                <w:p w14:paraId="1F80A3DD">
                  <w:pPr>
                    <w:pStyle w:val="5"/>
                    <w:bidi w:val="0"/>
                    <w:rPr>
                      <w:rFonts w:hint="eastAsia"/>
                      <w:b w:val="0"/>
                      <w:color w:val="000000"/>
                      <w:lang w:val="en-US" w:eastAsia="zh-CN"/>
                    </w:rPr>
                  </w:pPr>
                  <w:r>
                    <w:rPr>
                      <w:rFonts w:hint="eastAsia"/>
                      <w:b w:val="0"/>
                      <w:color w:val="000000"/>
                      <w:lang w:val="en-US" w:eastAsia="zh-CN"/>
                    </w:rPr>
                    <w:t>无组织废气</w:t>
                  </w:r>
                </w:p>
              </w:tc>
              <w:tc>
                <w:tcPr>
                  <w:tcW w:w="1071" w:type="pct"/>
                  <w:tcBorders>
                    <w:tl2br w:val="nil"/>
                    <w:tr2bl w:val="nil"/>
                  </w:tcBorders>
                  <w:shd w:val="clear" w:color="auto" w:fill="auto"/>
                  <w:noWrap w:val="0"/>
                  <w:vAlign w:val="center"/>
                </w:tcPr>
                <w:p w14:paraId="06EEF333">
                  <w:pPr>
                    <w:pStyle w:val="5"/>
                    <w:bidi w:val="0"/>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上风向1个对照点，下风向2个控制点</w:t>
                  </w:r>
                </w:p>
              </w:tc>
              <w:tc>
                <w:tcPr>
                  <w:tcW w:w="937" w:type="pct"/>
                  <w:tcBorders>
                    <w:tl2br w:val="nil"/>
                    <w:tr2bl w:val="nil"/>
                  </w:tcBorders>
                  <w:shd w:val="clear" w:color="auto" w:fill="auto"/>
                  <w:noWrap w:val="0"/>
                  <w:vAlign w:val="center"/>
                </w:tcPr>
                <w:p w14:paraId="16E16DB2">
                  <w:pPr>
                    <w:pStyle w:val="5"/>
                    <w:bidi w:val="0"/>
                    <w:rPr>
                      <w:rFonts w:hint="default" w:ascii="Times New Roman" w:hAnsi="Times New Roman" w:eastAsia="宋体" w:cs="Times New Roman"/>
                      <w:b w:val="0"/>
                      <w:color w:val="000000"/>
                      <w:lang w:val="en-US" w:eastAsia="zh-CN"/>
                    </w:rPr>
                  </w:pPr>
                  <w:r>
                    <w:rPr>
                      <w:rFonts w:hint="eastAsia" w:ascii="Times New Roman" w:hAnsi="Times New Roman" w:eastAsia="宋体" w:cs="Times New Roman"/>
                      <w:b w:val="0"/>
                      <w:color w:val="000000"/>
                      <w:lang w:val="en-US" w:eastAsia="zh-CN"/>
                    </w:rPr>
                    <w:t>颗粒物</w:t>
                  </w:r>
                </w:p>
              </w:tc>
              <w:tc>
                <w:tcPr>
                  <w:tcW w:w="542" w:type="pct"/>
                  <w:tcBorders>
                    <w:tl2br w:val="nil"/>
                    <w:tr2bl w:val="nil"/>
                  </w:tcBorders>
                  <w:shd w:val="clear" w:color="auto" w:fill="auto"/>
                  <w:noWrap w:val="0"/>
                  <w:vAlign w:val="center"/>
                </w:tcPr>
                <w:p w14:paraId="1CF28856">
                  <w:pPr>
                    <w:pStyle w:val="5"/>
                    <w:bidi w:val="0"/>
                    <w:rPr>
                      <w:rFonts w:hint="eastAsia"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1</w:t>
                  </w:r>
                  <w:r>
                    <w:rPr>
                      <w:rFonts w:hint="eastAsia" w:ascii="Times New Roman" w:hAnsi="Times New Roman" w:eastAsia="宋体" w:cs="Times New Roman"/>
                      <w:b w:val="0"/>
                      <w:color w:val="000000"/>
                      <w:lang w:val="en-US" w:eastAsia="zh-CN"/>
                    </w:rPr>
                    <w:t>次</w:t>
                  </w:r>
                  <w:r>
                    <w:rPr>
                      <w:rFonts w:hint="default" w:ascii="Times New Roman" w:hAnsi="Times New Roman" w:eastAsia="宋体" w:cs="Times New Roman"/>
                      <w:b w:val="0"/>
                      <w:color w:val="000000"/>
                      <w:lang w:val="en-US" w:eastAsia="zh-CN"/>
                    </w:rPr>
                    <w:t>/</w:t>
                  </w:r>
                  <w:r>
                    <w:rPr>
                      <w:rFonts w:hint="eastAsia" w:ascii="Times New Roman" w:hAnsi="Times New Roman" w:eastAsia="宋体" w:cs="Times New Roman"/>
                      <w:b w:val="0"/>
                      <w:color w:val="000000"/>
                      <w:lang w:val="en-US" w:eastAsia="zh-CN"/>
                    </w:rPr>
                    <w:t>年</w:t>
                  </w:r>
                </w:p>
              </w:tc>
              <w:tc>
                <w:tcPr>
                  <w:tcW w:w="1992" w:type="pct"/>
                  <w:tcBorders>
                    <w:tl2br w:val="nil"/>
                    <w:tr2bl w:val="nil"/>
                  </w:tcBorders>
                  <w:shd w:val="clear" w:color="auto" w:fill="auto"/>
                  <w:noWrap w:val="0"/>
                  <w:vAlign w:val="center"/>
                </w:tcPr>
                <w:p w14:paraId="1B016C65">
                  <w:pPr>
                    <w:pStyle w:val="5"/>
                    <w:bidi w:val="0"/>
                    <w:rPr>
                      <w:rFonts w:hint="eastAsia"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《煤炭工业污染物排放标准》（GB20426-2006）表5煤炭工业无组织排放限值</w:t>
                  </w:r>
                </w:p>
              </w:tc>
            </w:tr>
          </w:tbl>
          <w:p w14:paraId="6AD1A4AC">
            <w:pPr>
              <w:bidi w:val="0"/>
              <w:ind w:left="0" w:leftChars="0" w:firstLine="482" w:firstLineChars="200"/>
              <w:rPr>
                <w:rFonts w:hint="default"/>
                <w:b/>
                <w:bCs/>
                <w:lang w:val="en-US" w:eastAsia="zh-CN"/>
              </w:rPr>
            </w:pPr>
            <w:r>
              <w:rPr>
                <w:rFonts w:hint="eastAsia"/>
                <w:b/>
                <w:bCs/>
                <w:lang w:val="en-US" w:eastAsia="zh-CN"/>
              </w:rPr>
              <w:t>2.3运营期水环境保护措施</w:t>
            </w:r>
          </w:p>
          <w:p w14:paraId="064B0F90">
            <w:pPr>
              <w:bidi w:val="0"/>
              <w:ind w:left="0" w:leftChars="0" w:firstLine="482" w:firstLineChars="200"/>
              <w:rPr>
                <w:rFonts w:hint="default"/>
                <w:b/>
                <w:bCs/>
                <w:lang w:val="en-US" w:eastAsia="zh-CN"/>
              </w:rPr>
            </w:pPr>
            <w:r>
              <w:rPr>
                <w:rFonts w:hint="eastAsia"/>
                <w:b/>
                <w:bCs/>
                <w:lang w:val="en-US" w:eastAsia="zh-CN"/>
              </w:rPr>
              <w:t>2.3.1废水产生及处置情况</w:t>
            </w:r>
          </w:p>
          <w:p w14:paraId="24CEAFF0">
            <w:pPr>
              <w:bidi w:val="0"/>
              <w:ind w:left="0" w:leftChars="0" w:firstLine="480" w:firstLineChars="200"/>
              <w:rPr>
                <w:rFonts w:hint="eastAsia"/>
                <w:lang w:val="en-US" w:eastAsia="zh-CN"/>
              </w:rPr>
            </w:pPr>
            <w:r>
              <w:rPr>
                <w:rFonts w:hint="eastAsia"/>
                <w:lang w:val="en-US" w:eastAsia="zh-CN"/>
              </w:rPr>
              <w:t>本项目运营期无新增劳动人员，无新增生活污水产生和排放，生产</w:t>
            </w:r>
            <w:r>
              <w:rPr>
                <w:rFonts w:hint="default"/>
                <w:lang w:val="en-US" w:eastAsia="zh-CN"/>
              </w:rPr>
              <w:t>用水主要为</w:t>
            </w:r>
            <w:r>
              <w:rPr>
                <w:rFonts w:hint="eastAsia"/>
                <w:lang w:val="en-US" w:eastAsia="zh-CN"/>
              </w:rPr>
              <w:t>输煤廊道喷雾抑尘用水，全部自然蒸发损耗。</w:t>
            </w:r>
          </w:p>
          <w:p w14:paraId="13A2B885">
            <w:pPr>
              <w:bidi w:val="0"/>
              <w:ind w:left="0" w:leftChars="0" w:firstLine="482" w:firstLineChars="200"/>
              <w:rPr>
                <w:rFonts w:hint="default"/>
                <w:b/>
                <w:bCs/>
                <w:lang w:val="en-US" w:eastAsia="zh-CN"/>
              </w:rPr>
            </w:pPr>
            <w:r>
              <w:rPr>
                <w:rFonts w:hint="eastAsia"/>
                <w:b/>
                <w:bCs/>
                <w:lang w:val="en-US" w:eastAsia="zh-CN"/>
              </w:rPr>
              <w:t>2.3.2用水来源可行性分析</w:t>
            </w:r>
          </w:p>
          <w:p w14:paraId="1AEBBADA">
            <w:pPr>
              <w:bidi w:val="0"/>
              <w:ind w:left="0" w:leftChars="0" w:firstLine="480" w:firstLineChars="200"/>
              <w:rPr>
                <w:rFonts w:hint="default"/>
                <w:lang w:val="en-US" w:eastAsia="zh-CN"/>
              </w:rPr>
            </w:pPr>
            <w:r>
              <w:rPr>
                <w:rFonts w:hint="eastAsia"/>
                <w:lang w:val="en-US" w:eastAsia="zh-CN"/>
              </w:rPr>
              <w:t>本项目运营期抑尘用水来源为东辰煤矿矿井水处理系统处置后的矿井水，根据《新疆轮台阳霞矿区塔里克区二号矿井（轮台卫东煤矿）一期工程环境影响报告书》设计方案，东辰煤矿风井厂内设计建设1座矿井水处理系统，处理规模为24000m3/d，采用“混凝+沉淀+过滤+吸附+消毒”处理工艺，处理后水质达到、《煤炭工业给水排水设计规范》（GB50810-2012）中洒水除尘用水水质标准，水质较为干净可回用于生产和抑尘，不会产生二次污染。</w:t>
            </w:r>
          </w:p>
          <w:p w14:paraId="16534167">
            <w:pPr>
              <w:bidi w:val="0"/>
              <w:ind w:left="0" w:leftChars="0" w:firstLine="482" w:firstLineChars="200"/>
              <w:rPr>
                <w:rFonts w:hint="default"/>
                <w:b/>
                <w:bCs/>
                <w:lang w:val="en-US" w:eastAsia="zh-CN"/>
              </w:rPr>
            </w:pPr>
            <w:r>
              <w:rPr>
                <w:rFonts w:hint="eastAsia"/>
                <w:b/>
                <w:bCs/>
                <w:lang w:val="en-US" w:eastAsia="zh-CN"/>
              </w:rPr>
              <w:t>2.4运营期声环境保护措施</w:t>
            </w:r>
          </w:p>
          <w:p w14:paraId="4935F7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highlight w:val="none"/>
                <w:lang w:val="en-US" w:eastAsia="zh-CN"/>
              </w:rPr>
            </w:pPr>
            <w:r>
              <w:rPr>
                <w:rFonts w:hint="eastAsia" w:ascii="Times New Roman" w:hAnsi="Times New Roman" w:eastAsia="宋体" w:cs="Times New Roman"/>
                <w:b/>
                <w:bCs/>
                <w:color w:val="000000"/>
                <w:highlight w:val="none"/>
                <w:lang w:val="en-US" w:eastAsia="zh-CN"/>
              </w:rPr>
              <w:t>2.4.1降噪措施</w:t>
            </w:r>
          </w:p>
          <w:p w14:paraId="17C25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highlight w:val="none"/>
                <w:lang w:val="en-US" w:eastAsia="zh-CN"/>
              </w:rPr>
            </w:pPr>
            <w:r>
              <w:rPr>
                <w:rFonts w:hint="default" w:ascii="Times New Roman" w:hAnsi="Times New Roman" w:eastAsia="宋体" w:cs="Times New Roman"/>
                <w:b w:val="0"/>
                <w:bCs w:val="0"/>
                <w:color w:val="000000"/>
                <w:highlight w:val="none"/>
                <w:lang w:val="en-US" w:eastAsia="zh-CN"/>
              </w:rPr>
              <w:t>为了减少机械噪声对厂界噪声的贡献值</w:t>
            </w:r>
            <w:r>
              <w:rPr>
                <w:rFonts w:hint="eastAsia" w:cs="Times New Roman"/>
                <w:b w:val="0"/>
                <w:bCs w:val="0"/>
                <w:color w:val="000000"/>
                <w:highlight w:val="none"/>
                <w:lang w:val="en-US" w:eastAsia="zh-CN"/>
              </w:rPr>
              <w:t>以及</w:t>
            </w:r>
            <w:r>
              <w:rPr>
                <w:rFonts w:hint="default" w:ascii="Times New Roman" w:hAnsi="Times New Roman" w:eastAsia="宋体" w:cs="Times New Roman"/>
                <w:b w:val="0"/>
                <w:bCs w:val="0"/>
                <w:color w:val="000000"/>
                <w:highlight w:val="none"/>
                <w:lang w:val="en-US" w:eastAsia="zh-CN"/>
              </w:rPr>
              <w:t>减小噪声对矿区工人的影响，本环评提出以下防治措施：</w:t>
            </w:r>
          </w:p>
          <w:p w14:paraId="27624BA0">
            <w:pPr>
              <w:bidi w:val="0"/>
              <w:rPr>
                <w:rFonts w:hint="default"/>
                <w:lang w:val="en-US" w:eastAsia="zh-CN"/>
              </w:rPr>
            </w:pPr>
            <w:r>
              <w:rPr>
                <w:rFonts w:hint="eastAsia"/>
                <w:lang w:val="en-US" w:eastAsia="zh-CN"/>
              </w:rPr>
              <w:t>（1）</w:t>
            </w:r>
            <w:r>
              <w:rPr>
                <w:rFonts w:hint="default"/>
                <w:lang w:val="en-US" w:eastAsia="zh-CN"/>
              </w:rPr>
              <w:t>对噪声的防治采用综合治理方法，首先从声源上加以控制，选用低噪声设备，采用必要的隔声、消声、吸声及隔振等措施，将环境噪声控制在规定的标准内；</w:t>
            </w:r>
          </w:p>
          <w:p w14:paraId="7594510E">
            <w:pPr>
              <w:bidi w:val="0"/>
              <w:rPr>
                <w:rFonts w:hint="default"/>
                <w:lang w:val="en-US" w:eastAsia="zh-CN"/>
              </w:rPr>
            </w:pPr>
            <w:r>
              <w:rPr>
                <w:rFonts w:hint="default"/>
                <w:lang w:val="en-US" w:eastAsia="zh-CN"/>
              </w:rPr>
              <w:t>（</w:t>
            </w:r>
            <w:r>
              <w:rPr>
                <w:rFonts w:hint="eastAsia"/>
                <w:lang w:val="en-US" w:eastAsia="zh-CN"/>
              </w:rPr>
              <w:t>2</w:t>
            </w:r>
            <w:r>
              <w:rPr>
                <w:rFonts w:hint="default"/>
                <w:lang w:val="en-US" w:eastAsia="zh-CN"/>
              </w:rPr>
              <w:t>）加强设备的日常维护、更新，确保所有设备尤其是噪声污染防治设备处于正常工况；</w:t>
            </w:r>
          </w:p>
          <w:p w14:paraId="191C930B">
            <w:pPr>
              <w:bidi w:val="0"/>
              <w:rPr>
                <w:rFonts w:hint="default"/>
                <w:lang w:val="en-US" w:eastAsia="zh-CN"/>
              </w:rPr>
            </w:pPr>
            <w:r>
              <w:rPr>
                <w:rFonts w:hint="default"/>
                <w:lang w:val="en-US" w:eastAsia="zh-CN"/>
              </w:rPr>
              <w:t>（3）加强对工作人员的个人防护和保护，如采用隔声耳罩等；</w:t>
            </w:r>
          </w:p>
          <w:p w14:paraId="764C13AE">
            <w:pPr>
              <w:bidi w:val="0"/>
              <w:rPr>
                <w:rFonts w:hint="eastAsia" w:cs="Times New Roman"/>
                <w:color w:val="auto"/>
                <w:highlight w:val="none"/>
                <w:lang w:eastAsia="zh-CN"/>
              </w:rPr>
            </w:pPr>
            <w:r>
              <w:rPr>
                <w:rFonts w:hint="default"/>
                <w:lang w:val="en-US" w:eastAsia="zh-CN"/>
              </w:rPr>
              <w:t>（4）定期对设备噪声进行检查，掌握其变化规律</w:t>
            </w:r>
            <w:r>
              <w:rPr>
                <w:rFonts w:hint="eastAsia" w:cs="Times New Roman"/>
                <w:color w:val="auto"/>
                <w:highlight w:val="none"/>
                <w:lang w:eastAsia="zh-CN"/>
              </w:rPr>
              <w:t>。</w:t>
            </w:r>
          </w:p>
          <w:p w14:paraId="585E6006">
            <w:pPr>
              <w:bidi w:val="0"/>
              <w:rPr>
                <w:rFonts w:hint="eastAsia" w:cs="Times New Roman"/>
                <w:b/>
                <w:bCs/>
                <w:color w:val="auto"/>
                <w:highlight w:val="none"/>
                <w:lang w:val="en-US" w:eastAsia="zh-CN"/>
              </w:rPr>
            </w:pPr>
            <w:r>
              <w:rPr>
                <w:rFonts w:hint="eastAsia" w:cs="Times New Roman"/>
                <w:b/>
                <w:bCs/>
                <w:color w:val="auto"/>
                <w:highlight w:val="none"/>
                <w:lang w:val="en-US" w:eastAsia="zh-CN"/>
              </w:rPr>
              <w:t>2.4.2监测计划</w:t>
            </w:r>
          </w:p>
          <w:p w14:paraId="719501F2">
            <w:pPr>
              <w:autoSpaceDE w:val="0"/>
              <w:autoSpaceDN w:val="0"/>
              <w:adjustRightInd w:val="0"/>
              <w:snapToGrid w:val="0"/>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本项目运营后监测计划如下表</w:t>
            </w:r>
            <w:r>
              <w:rPr>
                <w:rFonts w:hint="eastAsia" w:ascii="Times New Roman" w:hAnsi="Times New Roman" w:eastAsia="宋体" w:cs="Times New Roman"/>
                <w:color w:val="000000"/>
                <w:spacing w:val="0"/>
                <w:kern w:val="0"/>
                <w:sz w:val="24"/>
                <w:lang w:val="en-US" w:eastAsia="zh-CN"/>
              </w:rPr>
              <w:t>5-2</w:t>
            </w:r>
            <w:r>
              <w:rPr>
                <w:rFonts w:hint="eastAsia" w:ascii="Times New Roman" w:hAnsi="Times New Roman" w:eastAsia="宋体" w:cs="Times New Roman"/>
                <w:color w:val="000000"/>
                <w:spacing w:val="0"/>
                <w:kern w:val="0"/>
                <w:sz w:val="24"/>
              </w:rPr>
              <w:t>：</w:t>
            </w:r>
          </w:p>
          <w:p w14:paraId="57B46E3A">
            <w:pPr>
              <w:widowControl w:val="0"/>
              <w:adjustRightInd w:val="0"/>
              <w:snapToGrid w:val="0"/>
              <w:spacing w:line="240" w:lineRule="auto"/>
              <w:jc w:val="center"/>
              <w:outlineLvl w:val="3"/>
              <w:rPr>
                <w:rFonts w:ascii="Times New Roman" w:hAnsi="Times New Roman" w:eastAsia="宋体" w:cs="Times New Roman"/>
                <w:b/>
                <w:bCs/>
                <w:color w:val="000000"/>
                <w:spacing w:val="0"/>
                <w:kern w:val="0"/>
                <w:sz w:val="21"/>
                <w:szCs w:val="21"/>
                <w:lang w:val="en-US" w:eastAsia="zh-CN" w:bidi="ar-SA"/>
              </w:rPr>
            </w:pPr>
            <w:r>
              <w:rPr>
                <w:rFonts w:hint="eastAsia" w:ascii="Times New Roman" w:hAnsi="Times New Roman" w:eastAsia="宋体" w:cs="Times New Roman"/>
                <w:b/>
                <w:bCs/>
                <w:color w:val="000000"/>
                <w:spacing w:val="0"/>
                <w:kern w:val="0"/>
                <w:sz w:val="21"/>
                <w:szCs w:val="21"/>
                <w:lang w:val="en-US" w:eastAsia="zh-CN" w:bidi="ar-SA"/>
              </w:rPr>
              <w:t>表</w:t>
            </w:r>
            <w:r>
              <w:rPr>
                <w:rFonts w:hint="eastAsia" w:cs="Times New Roman"/>
                <w:b/>
                <w:bCs/>
                <w:color w:val="000000"/>
                <w:spacing w:val="0"/>
                <w:kern w:val="0"/>
                <w:sz w:val="21"/>
                <w:szCs w:val="21"/>
                <w:lang w:val="en-US" w:eastAsia="zh-CN" w:bidi="ar-SA"/>
              </w:rPr>
              <w:t>5-2</w:t>
            </w:r>
            <w:r>
              <w:rPr>
                <w:rFonts w:ascii="Times New Roman" w:hAnsi="Times New Roman" w:eastAsia="宋体" w:cs="Times New Roman"/>
                <w:b/>
                <w:bCs/>
                <w:color w:val="000000"/>
                <w:spacing w:val="0"/>
                <w:kern w:val="0"/>
                <w:sz w:val="21"/>
                <w:szCs w:val="21"/>
                <w:lang w:val="en-US" w:eastAsia="zh-CN" w:bidi="ar-SA"/>
              </w:rPr>
              <w:t xml:space="preserve">     </w:t>
            </w:r>
            <w:r>
              <w:rPr>
                <w:rFonts w:hint="eastAsia" w:ascii="Times New Roman" w:hAnsi="Times New Roman" w:eastAsia="宋体" w:cs="Times New Roman"/>
                <w:b/>
                <w:bCs/>
                <w:color w:val="000000"/>
                <w:spacing w:val="0"/>
                <w:kern w:val="0"/>
                <w:sz w:val="21"/>
                <w:szCs w:val="21"/>
                <w:lang w:val="en-US" w:eastAsia="zh-CN" w:bidi="ar-SA"/>
              </w:rPr>
              <w:t>声环境监测计划</w:t>
            </w:r>
          </w:p>
          <w:tbl>
            <w:tblPr>
              <w:tblStyle w:val="42"/>
              <w:tblW w:w="4998" w:type="pct"/>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0" w:type="dxa"/>
                <w:bottom w:w="0" w:type="dxa"/>
                <w:right w:w="0" w:type="dxa"/>
              </w:tblCellMar>
            </w:tblPr>
            <w:tblGrid>
              <w:gridCol w:w="857"/>
              <w:gridCol w:w="1262"/>
              <w:gridCol w:w="1652"/>
              <w:gridCol w:w="1022"/>
              <w:gridCol w:w="3366"/>
            </w:tblGrid>
            <w:tr w14:paraId="77C575F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c>
                <w:tcPr>
                  <w:tcW w:w="525" w:type="pct"/>
                  <w:tcBorders>
                    <w:top w:val="single" w:color="000000" w:sz="12" w:space="0"/>
                    <w:left w:val="nil"/>
                    <w:bottom w:val="single" w:color="000000" w:sz="4" w:space="0"/>
                    <w:right w:val="single" w:color="000000" w:sz="4" w:space="0"/>
                  </w:tcBorders>
                  <w:noWrap w:val="0"/>
                  <w:vAlign w:val="center"/>
                </w:tcPr>
                <w:p w14:paraId="33122950">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项目</w:t>
                  </w:r>
                </w:p>
              </w:tc>
              <w:tc>
                <w:tcPr>
                  <w:tcW w:w="773" w:type="pct"/>
                  <w:tcBorders>
                    <w:top w:val="single" w:color="000000" w:sz="12" w:space="0"/>
                    <w:left w:val="single" w:color="000000" w:sz="4" w:space="0"/>
                    <w:bottom w:val="single" w:color="000000" w:sz="4" w:space="0"/>
                    <w:right w:val="single" w:color="000000" w:sz="4" w:space="0"/>
                  </w:tcBorders>
                  <w:noWrap w:val="0"/>
                  <w:vAlign w:val="center"/>
                </w:tcPr>
                <w:p w14:paraId="373B1F1C">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监测点位</w:t>
                  </w:r>
                </w:p>
              </w:tc>
              <w:tc>
                <w:tcPr>
                  <w:tcW w:w="1012" w:type="pct"/>
                  <w:tcBorders>
                    <w:top w:val="single" w:color="000000" w:sz="12" w:space="0"/>
                    <w:left w:val="single" w:color="000000" w:sz="4" w:space="0"/>
                    <w:bottom w:val="single" w:color="000000" w:sz="4" w:space="0"/>
                    <w:right w:val="single" w:color="000000" w:sz="4" w:space="0"/>
                  </w:tcBorders>
                  <w:noWrap w:val="0"/>
                  <w:vAlign w:val="center"/>
                </w:tcPr>
                <w:p w14:paraId="038ADCFF">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监测项目</w:t>
                  </w:r>
                </w:p>
              </w:tc>
              <w:tc>
                <w:tcPr>
                  <w:tcW w:w="626" w:type="pct"/>
                  <w:tcBorders>
                    <w:top w:val="single" w:color="000000" w:sz="12" w:space="0"/>
                    <w:left w:val="single" w:color="000000" w:sz="4" w:space="0"/>
                    <w:bottom w:val="single" w:color="000000" w:sz="4" w:space="0"/>
                    <w:right w:val="single" w:color="000000" w:sz="4" w:space="0"/>
                  </w:tcBorders>
                  <w:noWrap w:val="0"/>
                  <w:vAlign w:val="center"/>
                </w:tcPr>
                <w:p w14:paraId="12FBE4BD">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监测频率</w:t>
                  </w:r>
                </w:p>
              </w:tc>
              <w:tc>
                <w:tcPr>
                  <w:tcW w:w="2062" w:type="pct"/>
                  <w:tcBorders>
                    <w:top w:val="single" w:color="000000" w:sz="12" w:space="0"/>
                    <w:left w:val="single" w:color="000000" w:sz="4" w:space="0"/>
                    <w:bottom w:val="single" w:color="000000" w:sz="4" w:space="0"/>
                    <w:right w:val="nil"/>
                  </w:tcBorders>
                  <w:noWrap w:val="0"/>
                  <w:vAlign w:val="center"/>
                </w:tcPr>
                <w:p w14:paraId="539FE0F5">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排放标准</w:t>
                  </w:r>
                </w:p>
              </w:tc>
            </w:tr>
            <w:tr w14:paraId="559AA0D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c>
                <w:tcPr>
                  <w:tcW w:w="525" w:type="pct"/>
                  <w:tcBorders>
                    <w:top w:val="single" w:color="000000" w:sz="4" w:space="0"/>
                    <w:left w:val="nil"/>
                    <w:bottom w:val="single" w:color="000000" w:sz="12" w:space="0"/>
                    <w:right w:val="single" w:color="000000" w:sz="4" w:space="0"/>
                  </w:tcBorders>
                  <w:noWrap w:val="0"/>
                  <w:vAlign w:val="center"/>
                </w:tcPr>
                <w:p w14:paraId="0A6E842E">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噪声</w:t>
                  </w:r>
                </w:p>
              </w:tc>
              <w:tc>
                <w:tcPr>
                  <w:tcW w:w="773" w:type="pct"/>
                  <w:tcBorders>
                    <w:top w:val="single" w:color="000000" w:sz="4" w:space="0"/>
                    <w:left w:val="single" w:color="000000" w:sz="4" w:space="0"/>
                    <w:bottom w:val="single" w:color="000000" w:sz="12" w:space="0"/>
                    <w:right w:val="single" w:color="000000" w:sz="4" w:space="0"/>
                  </w:tcBorders>
                  <w:noWrap w:val="0"/>
                  <w:vAlign w:val="center"/>
                </w:tcPr>
                <w:p w14:paraId="613790FA">
                  <w:pPr>
                    <w:widowControl w:val="0"/>
                    <w:adjustRightInd w:val="0"/>
                    <w:snapToGrid w:val="0"/>
                    <w:spacing w:line="240" w:lineRule="auto"/>
                    <w:ind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输煤廊道</w:t>
                  </w:r>
                </w:p>
              </w:tc>
              <w:tc>
                <w:tcPr>
                  <w:tcW w:w="1012" w:type="pct"/>
                  <w:tcBorders>
                    <w:top w:val="single" w:color="000000" w:sz="4" w:space="0"/>
                    <w:left w:val="single" w:color="000000" w:sz="4" w:space="0"/>
                    <w:bottom w:val="single" w:color="000000" w:sz="12" w:space="0"/>
                    <w:right w:val="single" w:color="000000" w:sz="4" w:space="0"/>
                  </w:tcBorders>
                  <w:noWrap w:val="0"/>
                  <w:vAlign w:val="center"/>
                </w:tcPr>
                <w:p w14:paraId="40CE448A">
                  <w:pPr>
                    <w:widowControl w:val="0"/>
                    <w:adjustRightInd w:val="0"/>
                    <w:snapToGrid w:val="0"/>
                    <w:spacing w:line="240" w:lineRule="auto"/>
                    <w:ind w:firstLine="0" w:firstLineChars="0"/>
                    <w:jc w:val="center"/>
                    <w:rPr>
                      <w:rFonts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等效连续</w:t>
                  </w:r>
                  <w:r>
                    <w:rPr>
                      <w:rFonts w:ascii="Times New Roman" w:hAnsi="Times New Roman" w:eastAsia="宋体" w:cs="Times New Roman"/>
                      <w:color w:val="000000"/>
                      <w:spacing w:val="0"/>
                      <w:kern w:val="0"/>
                      <w:sz w:val="21"/>
                      <w:szCs w:val="21"/>
                      <w:lang w:val="en-US" w:eastAsia="zh-CN" w:bidi="ar-SA"/>
                    </w:rPr>
                    <w:t>A</w:t>
                  </w:r>
                  <w:r>
                    <w:rPr>
                      <w:rFonts w:hint="eastAsia" w:ascii="Times New Roman" w:hAnsi="Times New Roman" w:eastAsia="宋体" w:cs="Times New Roman"/>
                      <w:color w:val="000000"/>
                      <w:spacing w:val="0"/>
                      <w:kern w:val="0"/>
                      <w:sz w:val="21"/>
                      <w:szCs w:val="21"/>
                      <w:lang w:val="en-US" w:eastAsia="zh-CN" w:bidi="ar-SA"/>
                    </w:rPr>
                    <w:t>声级</w:t>
                  </w:r>
                </w:p>
              </w:tc>
              <w:tc>
                <w:tcPr>
                  <w:tcW w:w="626" w:type="pct"/>
                  <w:tcBorders>
                    <w:top w:val="single" w:color="000000" w:sz="4" w:space="0"/>
                    <w:left w:val="single" w:color="000000" w:sz="4" w:space="0"/>
                    <w:bottom w:val="single" w:color="000000" w:sz="12" w:space="0"/>
                    <w:right w:val="single" w:color="000000" w:sz="4" w:space="0"/>
                  </w:tcBorders>
                  <w:noWrap w:val="0"/>
                  <w:vAlign w:val="center"/>
                </w:tcPr>
                <w:p w14:paraId="504C8959">
                  <w:pPr>
                    <w:widowControl w:val="0"/>
                    <w:adjustRightInd w:val="0"/>
                    <w:snapToGrid w:val="0"/>
                    <w:spacing w:line="240" w:lineRule="auto"/>
                    <w:ind w:firstLine="0" w:firstLineChars="0"/>
                    <w:jc w:val="center"/>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季度</w:t>
                  </w:r>
                </w:p>
              </w:tc>
              <w:tc>
                <w:tcPr>
                  <w:tcW w:w="2062" w:type="pct"/>
                  <w:tcBorders>
                    <w:top w:val="single" w:color="000000" w:sz="4" w:space="0"/>
                    <w:left w:val="single" w:color="000000" w:sz="4" w:space="0"/>
                    <w:bottom w:val="single" w:color="000000" w:sz="12" w:space="0"/>
                    <w:right w:val="nil"/>
                  </w:tcBorders>
                  <w:noWrap w:val="0"/>
                  <w:vAlign w:val="center"/>
                </w:tcPr>
                <w:p w14:paraId="20A4E44D">
                  <w:pPr>
                    <w:widowControl w:val="0"/>
                    <w:adjustRightInd w:val="0"/>
                    <w:snapToGrid w:val="0"/>
                    <w:spacing w:line="240" w:lineRule="auto"/>
                    <w:ind w:firstLine="0" w:firstLineChars="0"/>
                    <w:jc w:val="center"/>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bidi="ar-SA"/>
                    </w:rPr>
                    <w:t>《工业企业厂界环境噪声排放标准》（</w:t>
                  </w:r>
                  <w:r>
                    <w:rPr>
                      <w:rFonts w:ascii="Times New Roman" w:hAnsi="Times New Roman" w:eastAsia="宋体" w:cs="Times New Roman"/>
                      <w:color w:val="000000"/>
                      <w:spacing w:val="0"/>
                      <w:kern w:val="0"/>
                      <w:sz w:val="21"/>
                      <w:szCs w:val="21"/>
                      <w:lang w:val="en-US" w:eastAsia="zh-CN" w:bidi="ar-SA"/>
                    </w:rPr>
                    <w:t>GB12348-2008</w:t>
                  </w:r>
                  <w:r>
                    <w:rPr>
                      <w:rFonts w:hint="eastAsia" w:ascii="Times New Roman" w:hAnsi="Times New Roman" w:eastAsia="宋体" w:cs="Times New Roman"/>
                      <w:color w:val="000000"/>
                      <w:spacing w:val="0"/>
                      <w:kern w:val="0"/>
                      <w:sz w:val="21"/>
                      <w:szCs w:val="21"/>
                      <w:lang w:val="en-US" w:eastAsia="zh-CN" w:bidi="ar-SA"/>
                    </w:rPr>
                    <w:t>）</w:t>
                  </w:r>
                  <w:r>
                    <w:rPr>
                      <w:rFonts w:ascii="Times New Roman" w:hAnsi="Times New Roman" w:eastAsia="宋体" w:cs="Times New Roman"/>
                      <w:color w:val="000000"/>
                      <w:spacing w:val="0"/>
                      <w:kern w:val="0"/>
                      <w:sz w:val="21"/>
                      <w:szCs w:val="21"/>
                      <w:lang w:val="en-US" w:eastAsia="zh-CN" w:bidi="ar-SA"/>
                    </w:rPr>
                    <w:t>3</w:t>
                  </w:r>
                  <w:r>
                    <w:rPr>
                      <w:rFonts w:hint="eastAsia" w:ascii="Times New Roman" w:hAnsi="Times New Roman" w:eastAsia="宋体" w:cs="Times New Roman"/>
                      <w:color w:val="000000"/>
                      <w:spacing w:val="0"/>
                      <w:kern w:val="0"/>
                      <w:sz w:val="21"/>
                      <w:szCs w:val="21"/>
                      <w:lang w:val="en-US" w:eastAsia="zh-CN" w:bidi="ar-SA"/>
                    </w:rPr>
                    <w:t>类区排放标准</w:t>
                  </w:r>
                </w:p>
              </w:tc>
            </w:tr>
          </w:tbl>
          <w:p w14:paraId="6E09019C">
            <w:pPr>
              <w:bidi w:val="0"/>
              <w:ind w:left="0" w:leftChars="0" w:firstLine="482" w:firstLineChars="200"/>
              <w:rPr>
                <w:rFonts w:hint="default"/>
                <w:b/>
                <w:bCs/>
                <w:lang w:val="en-US" w:eastAsia="zh-CN"/>
              </w:rPr>
            </w:pPr>
            <w:r>
              <w:rPr>
                <w:rFonts w:hint="eastAsia"/>
                <w:b/>
                <w:bCs/>
                <w:lang w:val="en-US" w:eastAsia="zh-CN"/>
              </w:rPr>
              <w:t>2.5运营期固体废物处置措施</w:t>
            </w:r>
          </w:p>
          <w:p w14:paraId="182991F4">
            <w:pPr>
              <w:bidi w:val="0"/>
              <w:ind w:left="0" w:leftChars="0" w:firstLine="482" w:firstLineChars="200"/>
              <w:rPr>
                <w:rFonts w:hint="default"/>
                <w:b/>
                <w:bCs/>
                <w:lang w:val="en-US" w:eastAsia="zh-CN"/>
              </w:rPr>
            </w:pPr>
            <w:r>
              <w:rPr>
                <w:rFonts w:hint="eastAsia"/>
                <w:b/>
                <w:bCs/>
                <w:lang w:val="en-US" w:eastAsia="zh-CN"/>
              </w:rPr>
              <w:t>2.5.1生产固废</w:t>
            </w:r>
          </w:p>
          <w:p w14:paraId="07C0F2A7">
            <w:pPr>
              <w:bidi w:val="0"/>
              <w:ind w:left="0" w:leftChars="0" w:firstLine="482" w:firstLineChars="200"/>
              <w:rPr>
                <w:rFonts w:hint="default"/>
                <w:lang w:val="en-US" w:eastAsia="zh-CN"/>
              </w:rPr>
            </w:pPr>
            <w:r>
              <w:rPr>
                <w:rFonts w:hint="eastAsia"/>
                <w:b/>
                <w:bCs/>
                <w:lang w:val="en-US" w:eastAsia="zh-CN"/>
              </w:rPr>
              <w:t>一般固废</w:t>
            </w:r>
            <w:r>
              <w:rPr>
                <w:rFonts w:hint="eastAsia"/>
                <w:lang w:val="en-US" w:eastAsia="zh-CN"/>
              </w:rPr>
              <w:t>：中转站袋式除尘器收集的粉尘集中收集后混入原煤外售；除尘器废布袋由厂家定期更换后回收利用。</w:t>
            </w:r>
          </w:p>
          <w:p w14:paraId="4FB495B8">
            <w:pPr>
              <w:bidi w:val="0"/>
              <w:ind w:left="0" w:leftChars="0" w:firstLine="482" w:firstLineChars="200"/>
              <w:rPr>
                <w:rFonts w:hint="default"/>
                <w:lang w:val="en-US" w:eastAsia="zh-CN"/>
              </w:rPr>
            </w:pPr>
            <w:r>
              <w:rPr>
                <w:rFonts w:hint="eastAsia"/>
                <w:b/>
                <w:bCs/>
                <w:lang w:val="en-US" w:eastAsia="zh-CN"/>
              </w:rPr>
              <w:t>危险废物</w:t>
            </w:r>
            <w:r>
              <w:rPr>
                <w:rFonts w:hint="eastAsia"/>
                <w:lang w:val="en-US" w:eastAsia="zh-CN"/>
              </w:rPr>
              <w:t>：运营期设备维护产生的废润滑油、废润滑油桶和含油抹布等集中分类收集贮存至东辰煤矿现有危险废物贮存库内，委托有资质单位定期清运处置。</w:t>
            </w:r>
          </w:p>
          <w:p w14:paraId="5392DA18">
            <w:pPr>
              <w:spacing w:line="360" w:lineRule="auto"/>
              <w:ind w:firstLine="482" w:firstLineChars="200"/>
              <w:rPr>
                <w:rFonts w:hint="default" w:ascii="Times New Roman" w:hAnsi="Times New Roman" w:eastAsia="宋体" w:cs="Times New Roman"/>
                <w:b/>
                <w:bCs/>
                <w:color w:val="000000"/>
                <w:spacing w:val="0"/>
                <w:kern w:val="0"/>
                <w:sz w:val="24"/>
                <w:lang w:val="en-US" w:eastAsia="zh-CN"/>
              </w:rPr>
            </w:pPr>
            <w:r>
              <w:rPr>
                <w:rFonts w:hint="eastAsia" w:cs="Times New Roman"/>
                <w:b/>
                <w:bCs/>
                <w:color w:val="000000"/>
                <w:spacing w:val="0"/>
                <w:kern w:val="0"/>
                <w:sz w:val="24"/>
                <w:lang w:val="en-US" w:eastAsia="zh-CN"/>
              </w:rPr>
              <w:t>2.5.2危险废物贮存库依托可行性分析</w:t>
            </w:r>
          </w:p>
          <w:p w14:paraId="42E6AEC9">
            <w:pPr>
              <w:spacing w:line="360" w:lineRule="auto"/>
              <w:ind w:firstLine="480" w:firstLineChars="200"/>
              <w:rPr>
                <w:rFonts w:hint="eastAsia" w:ascii="Times New Roman" w:hAnsi="Times New Roman" w:eastAsia="宋体" w:cs="Times New Roman"/>
                <w:b/>
                <w:bCs/>
                <w:color w:val="000000"/>
                <w:spacing w:val="0"/>
                <w:kern w:val="0"/>
                <w:sz w:val="24"/>
                <w:lang w:eastAsia="zh-CN"/>
              </w:rPr>
            </w:pPr>
            <w:r>
              <w:rPr>
                <w:rFonts w:hint="eastAsia" w:cs="Times New Roman"/>
                <w:b w:val="0"/>
                <w:bCs w:val="0"/>
                <w:color w:val="000000"/>
                <w:spacing w:val="0"/>
                <w:kern w:val="0"/>
                <w:sz w:val="24"/>
                <w:lang w:val="en-US" w:eastAsia="zh-CN"/>
              </w:rPr>
              <w:t>项目运营期产生的废润滑油、废油桶等危险废物集中收集后贮存至东辰煤矿危险废物贮存库内，东辰煤矿危险废物贮存库占地面积50m</w:t>
            </w:r>
            <w:r>
              <w:rPr>
                <w:rFonts w:hint="eastAsia" w:cs="Times New Roman"/>
                <w:b w:val="0"/>
                <w:bCs w:val="0"/>
                <w:color w:val="000000"/>
                <w:spacing w:val="0"/>
                <w:kern w:val="0"/>
                <w:sz w:val="24"/>
                <w:vertAlign w:val="superscript"/>
                <w:lang w:val="en-US" w:eastAsia="zh-CN"/>
              </w:rPr>
              <w:t>2</w:t>
            </w:r>
            <w:r>
              <w:rPr>
                <w:rFonts w:hint="eastAsia" w:cs="Times New Roman"/>
                <w:b w:val="0"/>
                <w:bCs w:val="0"/>
                <w:color w:val="000000"/>
                <w:spacing w:val="0"/>
                <w:kern w:val="0"/>
                <w:sz w:val="24"/>
                <w:lang w:val="en-US" w:eastAsia="zh-CN"/>
              </w:rPr>
              <w:t>，设计最大贮存能力为15t/a，目前矿区年贮存危险废物约3t/a，剩余空间可满足本项目运营期产生的危险废物贮存要求。该危险废物贮存库采取了基础防渗，防渗层为1m厚粘土层（渗透系数≤10</w:t>
            </w:r>
            <w:r>
              <w:rPr>
                <w:rFonts w:hint="eastAsia" w:cs="Times New Roman"/>
                <w:b w:val="0"/>
                <w:bCs w:val="0"/>
                <w:color w:val="000000"/>
                <w:spacing w:val="0"/>
                <w:kern w:val="0"/>
                <w:sz w:val="24"/>
                <w:vertAlign w:val="superscript"/>
                <w:lang w:val="en-US" w:eastAsia="zh-CN"/>
              </w:rPr>
              <w:t>-8</w:t>
            </w:r>
            <w:r>
              <w:rPr>
                <w:rFonts w:hint="eastAsia" w:cs="Times New Roman"/>
                <w:b w:val="0"/>
                <w:bCs w:val="0"/>
                <w:color w:val="000000"/>
                <w:spacing w:val="0"/>
                <w:kern w:val="0"/>
                <w:sz w:val="24"/>
                <w:lang w:val="en-US" w:eastAsia="zh-CN"/>
              </w:rPr>
              <w:t>cm/s），2mm厚高密度聚乙烯，渗透系数≤10</w:t>
            </w:r>
            <w:r>
              <w:rPr>
                <w:rFonts w:hint="eastAsia" w:cs="Times New Roman"/>
                <w:b w:val="0"/>
                <w:bCs w:val="0"/>
                <w:color w:val="000000"/>
                <w:spacing w:val="0"/>
                <w:kern w:val="0"/>
                <w:sz w:val="24"/>
                <w:vertAlign w:val="superscript"/>
                <w:lang w:val="en-US" w:eastAsia="zh-CN"/>
              </w:rPr>
              <w:t>-10</w:t>
            </w:r>
            <w:r>
              <w:rPr>
                <w:rFonts w:hint="eastAsia" w:cs="Times New Roman"/>
                <w:b w:val="0"/>
                <w:bCs w:val="0"/>
                <w:color w:val="000000"/>
                <w:spacing w:val="0"/>
                <w:kern w:val="0"/>
                <w:sz w:val="24"/>
                <w:lang w:val="en-US" w:eastAsia="zh-CN"/>
              </w:rPr>
              <w:t>cm/s，建造径流疏导系统，设置防围堰，配备干粉灭火器和警示标志。因此判断，该危险废物贮存库从建设要求和贮存能力上均能够满足本项目危险废物贮存要求，故判断危险废物贮存依托可行。</w:t>
            </w:r>
          </w:p>
          <w:p w14:paraId="219B4F97">
            <w:pPr>
              <w:spacing w:line="360" w:lineRule="auto"/>
              <w:ind w:firstLine="482" w:firstLineChars="200"/>
              <w:rPr>
                <w:rFonts w:ascii="Times New Roman" w:hAnsi="Times New Roman" w:eastAsia="宋体" w:cs="Times New Roman"/>
                <w:color w:val="000000"/>
                <w:spacing w:val="0"/>
                <w:kern w:val="0"/>
                <w:sz w:val="24"/>
              </w:rPr>
            </w:pPr>
            <w:r>
              <w:rPr>
                <w:rFonts w:hint="eastAsia" w:cs="Times New Roman"/>
                <w:b/>
                <w:bCs/>
                <w:color w:val="000000"/>
                <w:spacing w:val="0"/>
                <w:kern w:val="0"/>
                <w:sz w:val="24"/>
                <w:lang w:val="en-US" w:eastAsia="zh-CN"/>
              </w:rPr>
              <w:t>2.5.3</w:t>
            </w:r>
            <w:r>
              <w:rPr>
                <w:rFonts w:hint="eastAsia" w:ascii="Times New Roman" w:hAnsi="Times New Roman" w:eastAsia="宋体" w:cs="Times New Roman"/>
                <w:b/>
                <w:bCs/>
                <w:color w:val="000000"/>
                <w:spacing w:val="0"/>
                <w:kern w:val="0"/>
                <w:sz w:val="24"/>
                <w:lang w:eastAsia="zh-CN"/>
              </w:rPr>
              <w:t>危险废物</w:t>
            </w:r>
            <w:r>
              <w:rPr>
                <w:rFonts w:hint="eastAsia" w:ascii="Times New Roman" w:hAnsi="Times New Roman" w:eastAsia="宋体" w:cs="Times New Roman"/>
                <w:b/>
                <w:bCs/>
                <w:color w:val="000000"/>
                <w:spacing w:val="0"/>
                <w:kern w:val="0"/>
                <w:sz w:val="24"/>
                <w:lang w:val="en-US" w:eastAsia="zh-CN"/>
              </w:rPr>
              <w:t>收集、贮存、转移管理</w:t>
            </w:r>
            <w:r>
              <w:rPr>
                <w:rFonts w:ascii="Times New Roman" w:hAnsi="Times New Roman" w:eastAsia="宋体" w:cs="Times New Roman"/>
                <w:b/>
                <w:bCs/>
                <w:color w:val="000000"/>
                <w:spacing w:val="0"/>
                <w:kern w:val="0"/>
                <w:sz w:val="24"/>
              </w:rPr>
              <w:t>要求：</w:t>
            </w:r>
          </w:p>
          <w:p w14:paraId="1C2F429F">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（1）危险废物收集</w:t>
            </w:r>
          </w:p>
          <w:p w14:paraId="12D9BDE2">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①危险废物的收集应制定详细的操作规程，包括适用范围、操作程序和方法、专用设备和工具、转移和交接、安全保障和应急防护等；</w:t>
            </w:r>
          </w:p>
          <w:p w14:paraId="3671D37E">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②危险废物收集和转运作业人员应根据工作需要配备必要的个人防护装备，如手套、防护镜、防护服、防毒面具或口罩等；</w:t>
            </w:r>
          </w:p>
          <w:p w14:paraId="1920EA26">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③在危险废物的收集和转运过程中，应采取相应的安全防护和污染防治措施，包括防爆、防火、防中毒、防感染、防泄漏、防飞扬、防雨或其他防止污染环境的措施；</w:t>
            </w:r>
          </w:p>
          <w:p w14:paraId="042FB1D5">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④危险废物收集时应根据危险废物的种类、数量、危险特性、物理形态、运输要求等因素确定包装形式，具体包装应符合如下要求：</w:t>
            </w:r>
          </w:p>
          <w:p w14:paraId="0E0E55CC">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包装材质要与危险废物相容，可根据废物特性选择钢、</w:t>
            </w:r>
            <w:r>
              <w:rPr>
                <w:rFonts w:hint="eastAsia" w:ascii="Times New Roman" w:hAnsi="Times New Roman" w:eastAsia="宋体" w:cs="Times New Roman"/>
                <w:color w:val="000000"/>
                <w:spacing w:val="0"/>
                <w:kern w:val="0"/>
                <w:sz w:val="24"/>
                <w:lang w:val="en-US" w:eastAsia="zh-CN"/>
              </w:rPr>
              <w:t>塑料</w:t>
            </w:r>
            <w:r>
              <w:rPr>
                <w:rFonts w:hint="eastAsia" w:ascii="Times New Roman" w:hAnsi="Times New Roman" w:eastAsia="宋体" w:cs="Times New Roman"/>
                <w:color w:val="000000"/>
                <w:spacing w:val="0"/>
                <w:kern w:val="0"/>
                <w:sz w:val="24"/>
              </w:rPr>
              <w:t>等材质；性质类似的废物可收集到同一容器中，性质不相容的危险废物不应混合包装；危险废物包装应能有效隔断危险废物迁移扩散途径，并达到防渗、防漏要求；包装好的危险废物应设置相应的标签，标签信息应填写完整；盛装过危险废物的包装袋或包装容器破损后应按危险废物进行管理和处置；危险废物还应根据《危险货物运输包装通用技术条件》（GB12463-2009）的有关要求进行运输包装。</w:t>
            </w:r>
          </w:p>
          <w:p w14:paraId="1C946BC9">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（2）危险废物的贮存</w:t>
            </w:r>
          </w:p>
          <w:p w14:paraId="3CCD31F3">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①根据《建设项目危险废物环境影响评价指南》，项目</w:t>
            </w:r>
            <w:r>
              <w:rPr>
                <w:rFonts w:hint="eastAsia" w:eastAsia="宋体" w:cs="Times New Roman"/>
                <w:color w:val="000000"/>
                <w:spacing w:val="0"/>
                <w:kern w:val="0"/>
                <w:sz w:val="24"/>
                <w:lang w:val="en-US" w:eastAsia="zh-CN"/>
              </w:rPr>
              <w:t>依托的</w:t>
            </w:r>
            <w:r>
              <w:rPr>
                <w:rFonts w:hint="eastAsia" w:ascii="Times New Roman" w:hAnsi="Times New Roman" w:eastAsia="宋体" w:cs="Times New Roman"/>
                <w:color w:val="000000"/>
                <w:spacing w:val="0"/>
                <w:kern w:val="0"/>
                <w:sz w:val="24"/>
                <w:lang w:val="en-US" w:eastAsia="zh-CN"/>
              </w:rPr>
              <w:t>危险废物贮存库</w:t>
            </w:r>
            <w:r>
              <w:rPr>
                <w:rFonts w:hint="eastAsia" w:ascii="Times New Roman" w:hAnsi="Times New Roman" w:eastAsia="宋体" w:cs="Times New Roman"/>
                <w:color w:val="000000"/>
                <w:spacing w:val="0"/>
                <w:kern w:val="0"/>
                <w:sz w:val="24"/>
              </w:rPr>
              <w:t>采取“六防”措施：防风、防雨、防晒、防渗、防漏、防腐</w:t>
            </w:r>
            <w:r>
              <w:rPr>
                <w:rFonts w:hint="eastAsia" w:ascii="Times New Roman" w:hAnsi="Times New Roman" w:eastAsia="宋体" w:cs="Times New Roman"/>
                <w:color w:val="000000"/>
                <w:spacing w:val="0"/>
                <w:kern w:val="0"/>
                <w:sz w:val="24"/>
                <w:lang w:eastAsia="zh-CN"/>
              </w:rPr>
              <w:t>；</w:t>
            </w:r>
            <w:r>
              <w:rPr>
                <w:rFonts w:hint="eastAsia" w:ascii="Times New Roman" w:hAnsi="Times New Roman" w:eastAsia="宋体" w:cs="Times New Roman"/>
                <w:color w:val="000000"/>
                <w:spacing w:val="0"/>
                <w:kern w:val="0"/>
                <w:sz w:val="24"/>
              </w:rPr>
              <w:t>采取全封闭，每种危险废物单独隔开贮存；</w:t>
            </w:r>
            <w:r>
              <w:rPr>
                <w:rFonts w:hint="eastAsia" w:ascii="Times New Roman" w:hAnsi="Times New Roman" w:eastAsia="宋体" w:cs="Times New Roman"/>
                <w:color w:val="000000"/>
                <w:spacing w:val="0"/>
                <w:kern w:val="0"/>
                <w:sz w:val="24"/>
                <w:lang w:val="en-US" w:eastAsia="zh-CN"/>
              </w:rPr>
              <w:t>危险废物贮存库内</w:t>
            </w:r>
            <w:r>
              <w:rPr>
                <w:rFonts w:hint="eastAsia" w:ascii="Times New Roman" w:hAnsi="Times New Roman" w:eastAsia="宋体" w:cs="Times New Roman"/>
                <w:color w:val="000000"/>
                <w:spacing w:val="0"/>
                <w:kern w:val="0"/>
                <w:sz w:val="24"/>
              </w:rPr>
              <w:t>全面做</w:t>
            </w:r>
            <w:r>
              <w:rPr>
                <w:rFonts w:hint="eastAsia" w:ascii="Times New Roman" w:hAnsi="Times New Roman" w:eastAsia="宋体" w:cs="Times New Roman"/>
                <w:color w:val="000000"/>
                <w:spacing w:val="0"/>
                <w:kern w:val="0"/>
                <w:sz w:val="24"/>
                <w:lang w:val="en-US" w:eastAsia="zh-CN"/>
              </w:rPr>
              <w:t>好</w:t>
            </w:r>
            <w:r>
              <w:rPr>
                <w:rFonts w:hint="eastAsia" w:ascii="Times New Roman" w:hAnsi="Times New Roman" w:eastAsia="宋体" w:cs="Times New Roman"/>
                <w:color w:val="000000"/>
                <w:spacing w:val="0"/>
                <w:kern w:val="0"/>
                <w:sz w:val="24"/>
              </w:rPr>
              <w:t>防渗处理，确保防渗性能与6.0m厚黏土层（渗透系数K≤1×10</w:t>
            </w:r>
            <w:r>
              <w:rPr>
                <w:rFonts w:hint="eastAsia" w:ascii="Times New Roman" w:hAnsi="Times New Roman" w:eastAsia="宋体" w:cs="Times New Roman"/>
                <w:color w:val="000000"/>
                <w:spacing w:val="0"/>
                <w:kern w:val="0"/>
                <w:sz w:val="24"/>
                <w:vertAlign w:val="superscript"/>
              </w:rPr>
              <w:t>-7</w:t>
            </w:r>
            <w:r>
              <w:rPr>
                <w:rFonts w:hint="eastAsia" w:ascii="Times New Roman" w:hAnsi="Times New Roman" w:eastAsia="宋体" w:cs="Times New Roman"/>
                <w:color w:val="000000"/>
                <w:spacing w:val="0"/>
                <w:kern w:val="0"/>
                <w:sz w:val="24"/>
              </w:rPr>
              <w:t xml:space="preserve"> cm/s）等效，设置围堰，围堰高度</w:t>
            </w:r>
            <w:r>
              <w:rPr>
                <w:rFonts w:hint="eastAsia" w:ascii="Times New Roman" w:hAnsi="Times New Roman" w:eastAsia="宋体" w:cs="Times New Roman"/>
                <w:color w:val="000000"/>
                <w:spacing w:val="0"/>
                <w:kern w:val="0"/>
                <w:sz w:val="24"/>
                <w:lang w:val="en-US" w:eastAsia="zh-CN"/>
              </w:rPr>
              <w:t>不低于10</w:t>
            </w:r>
            <w:r>
              <w:rPr>
                <w:rFonts w:hint="eastAsia" w:ascii="Times New Roman" w:hAnsi="Times New Roman" w:eastAsia="宋体" w:cs="Times New Roman"/>
                <w:color w:val="000000"/>
                <w:spacing w:val="0"/>
                <w:kern w:val="0"/>
                <w:sz w:val="24"/>
              </w:rPr>
              <w:t>cm。</w:t>
            </w:r>
          </w:p>
          <w:p w14:paraId="585BD504">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②危险废物贮存设施配备消防设施，如干粉灭火器、</w:t>
            </w:r>
            <w:r>
              <w:rPr>
                <w:rFonts w:hint="eastAsia" w:ascii="Times New Roman" w:hAnsi="Times New Roman" w:eastAsia="宋体" w:cs="Times New Roman"/>
                <w:color w:val="000000"/>
                <w:spacing w:val="0"/>
                <w:kern w:val="0"/>
                <w:sz w:val="24"/>
                <w:lang w:eastAsia="zh-CN"/>
              </w:rPr>
              <w:t>消防砂</w:t>
            </w:r>
            <w:r>
              <w:rPr>
                <w:rFonts w:hint="eastAsia" w:ascii="Times New Roman" w:hAnsi="Times New Roman" w:eastAsia="宋体" w:cs="Times New Roman"/>
                <w:color w:val="000000"/>
                <w:spacing w:val="0"/>
                <w:kern w:val="0"/>
                <w:sz w:val="24"/>
              </w:rPr>
              <w:t>、防护服等；</w:t>
            </w:r>
          </w:p>
          <w:p w14:paraId="1B9978C7">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③对危险废物的容器和包装物以及收集、贮存、运输、利用、处置危险废物的设施、场所，应当按照规定设置危险废物识别标志。设有明显的危险废物警示标识。</w:t>
            </w:r>
          </w:p>
          <w:p w14:paraId="5F0BC390">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④危险废物贮存期限应符合《自治区强化危险废物监管和利用处置能力改革工作方案》（新政办发﹝2021﹞95号）的有关规定，危险废物产生企业危险废物贮存超过一年的，企业应制定危险废物转移处置计划，限期安全妥善处置；</w:t>
            </w:r>
          </w:p>
          <w:p w14:paraId="76B9FAD1">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⑤建立危险废物管理台账，如实记录有关信息，并通过国家危险废物信息管理系统向所在地生态环境主管部门申报危险废物的种类、产生量、流向、贮存、处置等有关资料。</w:t>
            </w:r>
          </w:p>
          <w:p w14:paraId="2E170DC6">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（3）危险废物管理要求</w:t>
            </w:r>
          </w:p>
          <w:p w14:paraId="25B998D2">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项目运营</w:t>
            </w:r>
            <w:r>
              <w:rPr>
                <w:rFonts w:hint="eastAsia" w:eastAsia="宋体" w:cs="Times New Roman"/>
                <w:color w:val="000000"/>
                <w:spacing w:val="0"/>
                <w:kern w:val="0"/>
                <w:sz w:val="24"/>
                <w:lang w:eastAsia="zh-CN"/>
              </w:rPr>
              <w:t>期间</w:t>
            </w:r>
            <w:r>
              <w:rPr>
                <w:rFonts w:hint="eastAsia" w:ascii="Times New Roman" w:hAnsi="Times New Roman" w:eastAsia="宋体" w:cs="Times New Roman"/>
                <w:color w:val="000000"/>
                <w:spacing w:val="0"/>
                <w:kern w:val="0"/>
                <w:sz w:val="24"/>
              </w:rPr>
              <w:t>建立健全</w:t>
            </w:r>
            <w:r>
              <w:rPr>
                <w:rFonts w:hint="eastAsia" w:ascii="Times New Roman" w:hAnsi="Times New Roman" w:eastAsia="宋体" w:cs="Times New Roman"/>
                <w:color w:val="000000"/>
                <w:spacing w:val="0"/>
                <w:kern w:val="0"/>
                <w:sz w:val="24"/>
                <w:lang w:val="en-US" w:eastAsia="zh-CN"/>
              </w:rPr>
              <w:t>相关</w:t>
            </w:r>
            <w:r>
              <w:rPr>
                <w:rFonts w:hint="eastAsia" w:ascii="Times New Roman" w:hAnsi="Times New Roman" w:eastAsia="宋体" w:cs="Times New Roman"/>
                <w:color w:val="000000"/>
                <w:spacing w:val="0"/>
                <w:kern w:val="0"/>
                <w:sz w:val="24"/>
              </w:rPr>
              <w:t>环保档案，监督检查本项目环保设施运行效果，环境管理具体内容如下：</w:t>
            </w:r>
          </w:p>
          <w:p w14:paraId="1C38A1F0">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①建设单位应严格遵守危险废物环境保护管理制度，及时委托有处置资质的单位处置对暂存的危险废物进行委托处置，最长暂存时间不得超过一年；</w:t>
            </w:r>
          </w:p>
          <w:p w14:paraId="4C936CC0">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②制定危险废物管理台账，评价要求台账应详细记录库存量、出入库记录和转运记录，并长期保存，以供随时查阅；</w:t>
            </w:r>
          </w:p>
          <w:p w14:paraId="5892E5C8">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③危险废物分区储存</w:t>
            </w:r>
            <w:r>
              <w:rPr>
                <w:rFonts w:hint="eastAsia" w:eastAsia="宋体" w:cs="Times New Roman"/>
                <w:color w:val="000000"/>
                <w:spacing w:val="0"/>
                <w:kern w:val="0"/>
                <w:sz w:val="24"/>
                <w:lang w:eastAsia="zh-CN"/>
              </w:rPr>
              <w:t>，</w:t>
            </w:r>
            <w:r>
              <w:rPr>
                <w:rFonts w:hint="eastAsia" w:eastAsia="宋体" w:cs="Times New Roman"/>
                <w:color w:val="000000"/>
                <w:spacing w:val="0"/>
                <w:kern w:val="0"/>
                <w:sz w:val="24"/>
                <w:lang w:val="en-US" w:eastAsia="zh-CN"/>
              </w:rPr>
              <w:t>在</w:t>
            </w:r>
            <w:r>
              <w:rPr>
                <w:rFonts w:hint="eastAsia" w:ascii="Times New Roman" w:hAnsi="Times New Roman" w:eastAsia="宋体" w:cs="Times New Roman"/>
                <w:color w:val="000000"/>
                <w:spacing w:val="0"/>
                <w:kern w:val="0"/>
                <w:sz w:val="24"/>
                <w:lang w:val="en-US" w:eastAsia="zh-CN"/>
              </w:rPr>
              <w:t>危险废物贮存库</w:t>
            </w:r>
            <w:r>
              <w:rPr>
                <w:rFonts w:hint="eastAsia" w:ascii="Times New Roman" w:hAnsi="Times New Roman" w:eastAsia="宋体" w:cs="Times New Roman"/>
                <w:color w:val="000000"/>
                <w:spacing w:val="0"/>
                <w:kern w:val="0"/>
                <w:sz w:val="24"/>
              </w:rPr>
              <w:t>设置危险废物警示标志</w:t>
            </w:r>
            <w:r>
              <w:rPr>
                <w:rFonts w:hint="eastAsia" w:cs="Times New Roman"/>
                <w:color w:val="000000"/>
                <w:spacing w:val="0"/>
                <w:kern w:val="0"/>
                <w:sz w:val="24"/>
                <w:lang w:eastAsia="zh-CN"/>
              </w:rPr>
              <w:t>，在</w:t>
            </w:r>
            <w:r>
              <w:rPr>
                <w:rFonts w:hint="eastAsia" w:ascii="Times New Roman" w:hAnsi="Times New Roman" w:eastAsia="宋体" w:cs="Times New Roman"/>
                <w:color w:val="000000"/>
                <w:spacing w:val="0"/>
                <w:kern w:val="0"/>
                <w:sz w:val="24"/>
              </w:rPr>
              <w:t>危险废物容器和包装物上</w:t>
            </w:r>
            <w:r>
              <w:rPr>
                <w:rFonts w:hint="eastAsia" w:eastAsia="宋体" w:cs="Times New Roman"/>
                <w:color w:val="000000"/>
                <w:spacing w:val="0"/>
                <w:kern w:val="0"/>
                <w:sz w:val="24"/>
                <w:lang w:val="en-US" w:eastAsia="zh-CN"/>
              </w:rPr>
              <w:t>张贴</w:t>
            </w:r>
            <w:r>
              <w:rPr>
                <w:rFonts w:hint="eastAsia" w:ascii="Times New Roman" w:hAnsi="Times New Roman" w:eastAsia="宋体" w:cs="Times New Roman"/>
                <w:color w:val="000000"/>
                <w:spacing w:val="0"/>
                <w:kern w:val="0"/>
                <w:sz w:val="24"/>
              </w:rPr>
              <w:t>危险废物识别标签；</w:t>
            </w:r>
          </w:p>
          <w:p w14:paraId="70AF67BF">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④制定危险废物环境保护管理制度，定期检查，危险废物在收集、转运、暂存过程中若发现容器破损，并采取措施清理更换新的包装；</w:t>
            </w:r>
          </w:p>
          <w:p w14:paraId="47B6C00F">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 xml:space="preserve">⑤危险废物的运输应委托具有危险品运输资质的单位进行运输。运输车辆应当保持功能齐备、完好和车身整洁。运输车辆应密闭，采取铺设土工膜等方式防止洒漏，并不得超载。运输时不得沿途泄漏、遗撒和倾倒； </w:t>
            </w:r>
          </w:p>
          <w:p w14:paraId="4ED5DC76">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⑥配备足够数量的应急物资，建立应急救援小组，定期进行突发环境事件应急演练；</w:t>
            </w:r>
          </w:p>
          <w:p w14:paraId="5113E950">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⑦按照相关职能部门的要求，</w:t>
            </w:r>
            <w:r>
              <w:rPr>
                <w:rFonts w:hint="eastAsia" w:ascii="Times New Roman" w:hAnsi="Times New Roman" w:eastAsia="宋体" w:cs="Times New Roman"/>
                <w:color w:val="000000"/>
                <w:spacing w:val="0"/>
                <w:kern w:val="0"/>
                <w:sz w:val="24"/>
                <w:lang w:val="en-US" w:eastAsia="zh-CN"/>
              </w:rPr>
              <w:t>制定</w:t>
            </w:r>
            <w:r>
              <w:rPr>
                <w:rFonts w:hint="eastAsia" w:ascii="Times New Roman" w:hAnsi="Times New Roman" w:eastAsia="宋体" w:cs="Times New Roman"/>
                <w:color w:val="000000"/>
                <w:spacing w:val="0"/>
                <w:kern w:val="0"/>
                <w:sz w:val="24"/>
              </w:rPr>
              <w:t>危险废物</w:t>
            </w:r>
            <w:r>
              <w:rPr>
                <w:rFonts w:hint="eastAsia" w:ascii="Times New Roman" w:hAnsi="Times New Roman" w:eastAsia="宋体" w:cs="Times New Roman"/>
                <w:color w:val="000000"/>
                <w:spacing w:val="0"/>
                <w:kern w:val="0"/>
                <w:sz w:val="24"/>
                <w:lang w:val="en-US" w:eastAsia="zh-CN"/>
              </w:rPr>
              <w:t>贮存</w:t>
            </w:r>
            <w:r>
              <w:rPr>
                <w:rFonts w:hint="eastAsia" w:ascii="Times New Roman" w:hAnsi="Times New Roman" w:eastAsia="宋体" w:cs="Times New Roman"/>
                <w:color w:val="000000"/>
                <w:spacing w:val="0"/>
                <w:kern w:val="0"/>
                <w:sz w:val="24"/>
              </w:rPr>
              <w:t>的监管制度、台账制度，实施信息化监控；</w:t>
            </w:r>
          </w:p>
          <w:p w14:paraId="16F5FC68">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⑧加强上岗培训工作。管理和操作人员必须在上岗前进行专业技能培训，实行持证上岗。严格执行培训考核制度，不合格人员不允许上岗操作。</w:t>
            </w:r>
          </w:p>
          <w:p w14:paraId="75DE1C51">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w:t>
            </w:r>
            <w:r>
              <w:rPr>
                <w:rFonts w:hint="eastAsia" w:ascii="Times New Roman" w:hAnsi="Times New Roman" w:eastAsia="宋体" w:cs="Times New Roman"/>
                <w:color w:val="000000"/>
                <w:spacing w:val="0"/>
                <w:kern w:val="0"/>
                <w:sz w:val="24"/>
                <w:lang w:val="en-US" w:eastAsia="zh-CN"/>
              </w:rPr>
              <w:t>4</w:t>
            </w:r>
            <w:r>
              <w:rPr>
                <w:rFonts w:hint="eastAsia" w:ascii="Times New Roman" w:hAnsi="Times New Roman" w:eastAsia="宋体" w:cs="Times New Roman"/>
                <w:color w:val="000000"/>
                <w:spacing w:val="0"/>
                <w:kern w:val="0"/>
                <w:sz w:val="24"/>
              </w:rPr>
              <w:t>）危险废物的运输</w:t>
            </w:r>
          </w:p>
          <w:p w14:paraId="751E06BB">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①运输车辆配备必要的事故急救设备和器材，如灭火器、急救箱等。</w:t>
            </w:r>
          </w:p>
          <w:p w14:paraId="3DD68D7F">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②加强对车辆的管理，加强车检工作，保证上路车辆状况良好；根据国务院发布的《危险化学品安全管理条例》（2011年修订）</w:t>
            </w:r>
            <w:r>
              <w:rPr>
                <w:rFonts w:hint="eastAsia" w:cs="Times New Roman"/>
                <w:color w:val="000000"/>
                <w:spacing w:val="0"/>
                <w:kern w:val="0"/>
                <w:sz w:val="24"/>
                <w:lang w:val="en-US" w:eastAsia="zh-CN"/>
              </w:rPr>
              <w:t>中的</w:t>
            </w:r>
            <w:r>
              <w:rPr>
                <w:rFonts w:hint="eastAsia" w:ascii="Times New Roman" w:hAnsi="Times New Roman" w:eastAsia="宋体" w:cs="Times New Roman"/>
                <w:color w:val="000000"/>
                <w:spacing w:val="0"/>
                <w:kern w:val="0"/>
                <w:sz w:val="24"/>
              </w:rPr>
              <w:t>有关要求，运输危险品时，必须持有部门颁发的运输许可证、驾驶员执照及保安员证书；在车前醒目位置悬挂黄底黑字“危险品”字样，严格禁止车辆超速、超载。</w:t>
            </w:r>
          </w:p>
          <w:p w14:paraId="4C780228">
            <w:pPr>
              <w:spacing w:line="360" w:lineRule="auto"/>
              <w:ind w:firstLine="480" w:firstLineChars="200"/>
              <w:rPr>
                <w:rFonts w:hint="eastAsia" w:ascii="Times New Roman" w:hAnsi="Times New Roman" w:eastAsia="宋体" w:cs="Times New Roman"/>
                <w:color w:val="000000"/>
                <w:spacing w:val="0"/>
                <w:kern w:val="0"/>
                <w:sz w:val="24"/>
              </w:rPr>
            </w:pPr>
            <w:r>
              <w:rPr>
                <w:rFonts w:hint="eastAsia" w:ascii="Times New Roman" w:hAnsi="Times New Roman" w:eastAsia="宋体" w:cs="Times New Roman"/>
                <w:color w:val="000000"/>
                <w:spacing w:val="0"/>
                <w:kern w:val="0"/>
                <w:sz w:val="24"/>
              </w:rPr>
              <w:t>③运输过程要防渗漏、防溢出、防扩散。备有发生抛锚、撞车、翻车事故的应急措施。运输工具表面按标准设立危险货物标识。</w:t>
            </w:r>
          </w:p>
          <w:p w14:paraId="3D456BE6">
            <w:pPr>
              <w:bidi w:val="0"/>
              <w:ind w:left="0" w:leftChars="0" w:firstLine="0" w:firstLineChars="0"/>
              <w:rPr>
                <w:color w:val="auto"/>
              </w:rPr>
            </w:pPr>
            <w:r>
              <w:rPr>
                <w:rFonts w:hint="eastAsia" w:ascii="Times New Roman" w:hAnsi="Times New Roman" w:eastAsia="宋体" w:cs="Times New Roman"/>
                <w:color w:val="000000"/>
                <w:spacing w:val="0"/>
                <w:kern w:val="0"/>
                <w:sz w:val="24"/>
              </w:rPr>
              <w:t>④在运输过程中，一旦发生意外事故，驾驶员和押运员采取应急处理的同时，迅速报告公安机关和环保等有关部门。疏散群众，防止事态进一步扩大，并积极协助公安机关和消防人员抢救伤者和物资，使损失</w:t>
            </w:r>
            <w:r>
              <w:rPr>
                <w:rFonts w:hint="eastAsia" w:cs="Times New Roman"/>
                <w:color w:val="000000"/>
                <w:spacing w:val="0"/>
                <w:kern w:val="0"/>
                <w:sz w:val="24"/>
                <w:lang w:eastAsia="zh-CN"/>
              </w:rPr>
              <w:t>减少</w:t>
            </w:r>
            <w:r>
              <w:rPr>
                <w:rFonts w:hint="eastAsia" w:ascii="Times New Roman" w:hAnsi="Times New Roman" w:eastAsia="宋体" w:cs="Times New Roman"/>
                <w:color w:val="000000"/>
                <w:spacing w:val="0"/>
                <w:kern w:val="0"/>
                <w:sz w:val="24"/>
              </w:rPr>
              <w:t>至最小范围</w:t>
            </w:r>
            <w:r>
              <w:rPr>
                <w:color w:val="auto"/>
              </w:rPr>
              <w:t>。</w:t>
            </w:r>
          </w:p>
          <w:p w14:paraId="70EE2E93">
            <w:pPr>
              <w:spacing w:line="360" w:lineRule="auto"/>
              <w:rPr>
                <w:rFonts w:hint="default" w:ascii="Times New Roman" w:hAnsi="Times New Roman" w:eastAsia="宋体" w:cs="Times New Roman"/>
                <w:b/>
                <w:bCs w:val="0"/>
                <w:color w:val="000000"/>
                <w:spacing w:val="0"/>
                <w:kern w:val="0"/>
                <w:sz w:val="24"/>
                <w:szCs w:val="24"/>
                <w:highlight w:val="none"/>
                <w:lang w:val="en-US" w:eastAsia="zh-CN"/>
              </w:rPr>
            </w:pPr>
            <w:r>
              <w:rPr>
                <w:rFonts w:hint="eastAsia" w:cs="Times New Roman"/>
                <w:b/>
                <w:bCs w:val="0"/>
                <w:color w:val="000000"/>
                <w:spacing w:val="0"/>
                <w:kern w:val="0"/>
                <w:sz w:val="24"/>
                <w:szCs w:val="24"/>
                <w:highlight w:val="none"/>
                <w:lang w:val="en-US" w:eastAsia="zh-CN"/>
              </w:rPr>
              <w:t>2.6</w:t>
            </w:r>
            <w:r>
              <w:rPr>
                <w:rFonts w:hint="default" w:ascii="Times New Roman" w:hAnsi="Times New Roman" w:eastAsia="宋体" w:cs="Times New Roman"/>
                <w:b/>
                <w:bCs w:val="0"/>
                <w:color w:val="000000"/>
                <w:spacing w:val="0"/>
                <w:kern w:val="0"/>
                <w:sz w:val="24"/>
                <w:szCs w:val="24"/>
                <w:highlight w:val="none"/>
                <w:lang w:val="en-US" w:eastAsia="zh-CN"/>
              </w:rPr>
              <w:t>排污许可</w:t>
            </w:r>
          </w:p>
          <w:p w14:paraId="4A58ED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000000"/>
                <w:spacing w:val="0"/>
                <w:kern w:val="0"/>
                <w:sz w:val="24"/>
                <w:szCs w:val="24"/>
                <w:highlight w:val="none"/>
                <w:lang w:val="en-US" w:eastAsia="zh-CN"/>
              </w:rPr>
              <w:t>（</w:t>
            </w:r>
            <w:r>
              <w:rPr>
                <w:rFonts w:hint="eastAsia" w:ascii="Times New Roman" w:hAnsi="Times New Roman" w:eastAsia="宋体" w:cs="Times New Roman"/>
                <w:color w:val="auto"/>
                <w:sz w:val="24"/>
                <w:szCs w:val="24"/>
                <w:lang w:val="en-US" w:eastAsia="zh-CN"/>
              </w:rPr>
              <w:t>1）排污口管理</w:t>
            </w:r>
          </w:p>
          <w:p w14:paraId="3225A1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建设单位应在各个排污口</w:t>
            </w:r>
            <w:r>
              <w:rPr>
                <w:rFonts w:hint="eastAsia" w:cs="Times New Roman"/>
                <w:color w:val="auto"/>
                <w:sz w:val="24"/>
                <w:szCs w:val="24"/>
                <w:lang w:val="en-US" w:eastAsia="zh-CN"/>
              </w:rPr>
              <w:t>处竖立</w:t>
            </w:r>
            <w:r>
              <w:rPr>
                <w:rFonts w:hint="eastAsia" w:ascii="Times New Roman" w:hAnsi="Times New Roman" w:eastAsia="宋体" w:cs="Times New Roman"/>
                <w:color w:val="auto"/>
                <w:sz w:val="24"/>
                <w:szCs w:val="24"/>
                <w:lang w:val="en-US" w:eastAsia="zh-CN"/>
              </w:rPr>
              <w:t>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680CE6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（2）环境保护图形标志</w:t>
            </w:r>
          </w:p>
          <w:p w14:paraId="4CA558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w:t>
            </w:r>
            <w:r>
              <w:rPr>
                <w:rFonts w:hint="eastAsia" w:cs="Times New Roman"/>
                <w:color w:val="auto"/>
                <w:sz w:val="24"/>
                <w:szCs w:val="24"/>
                <w:lang w:val="en-US" w:eastAsia="zh-CN"/>
              </w:rPr>
              <w:t>本项目废气排放口、</w:t>
            </w:r>
            <w:r>
              <w:rPr>
                <w:rFonts w:hint="eastAsia" w:ascii="Times New Roman" w:hAnsi="Times New Roman" w:eastAsia="宋体" w:cs="Times New Roman"/>
                <w:color w:val="auto"/>
                <w:sz w:val="24"/>
                <w:szCs w:val="24"/>
                <w:lang w:val="en-US" w:eastAsia="zh-CN"/>
              </w:rPr>
              <w:t>固体废物贮存场、噪声产生点</w:t>
            </w:r>
            <w:r>
              <w:rPr>
                <w:rFonts w:hint="eastAsia" w:cs="Times New Roman"/>
                <w:color w:val="auto"/>
                <w:sz w:val="24"/>
                <w:szCs w:val="24"/>
                <w:lang w:val="en-US" w:eastAsia="zh-CN"/>
              </w:rPr>
              <w:t>及危险废物贮存库</w:t>
            </w:r>
            <w:r>
              <w:rPr>
                <w:rFonts w:hint="eastAsia" w:ascii="Times New Roman" w:hAnsi="Times New Roman" w:eastAsia="宋体" w:cs="Times New Roman"/>
                <w:color w:val="auto"/>
                <w:sz w:val="24"/>
                <w:szCs w:val="24"/>
                <w:lang w:val="en-US" w:eastAsia="zh-CN"/>
              </w:rPr>
              <w:t>设置环境保护图形标志，图形符号分为提示图形和警告图形符号两种，分别按《环境保护图形标志—固体废物贮存（处置）场》（GB 15562.2-1995）修改单及其修改单和《危险废物识别标志设置技术规范》 （HJ 1276—2022）等</w:t>
            </w:r>
            <w:r>
              <w:rPr>
                <w:rFonts w:hint="eastAsia" w:cs="Times New Roman"/>
                <w:color w:val="auto"/>
                <w:sz w:val="24"/>
                <w:szCs w:val="24"/>
                <w:lang w:val="en-US" w:eastAsia="zh-CN"/>
              </w:rPr>
              <w:t>要求设置，同时根据</w:t>
            </w:r>
            <w:r>
              <w:rPr>
                <w:rFonts w:hint="eastAsia" w:ascii="Times New Roman" w:hAnsi="Times New Roman" w:eastAsia="宋体" w:cs="Times New Roman"/>
                <w:color w:val="auto"/>
                <w:sz w:val="24"/>
                <w:szCs w:val="24"/>
                <w:lang w:val="en-US" w:eastAsia="zh-CN"/>
              </w:rPr>
              <w:t>《排污单位污染物排放口二维码标识技术规范》（HJ 1297—2023）</w:t>
            </w:r>
            <w:r>
              <w:rPr>
                <w:rFonts w:hint="eastAsia" w:cs="Times New Roman"/>
                <w:color w:val="auto"/>
                <w:sz w:val="24"/>
                <w:szCs w:val="24"/>
                <w:lang w:val="en-US" w:eastAsia="zh-CN"/>
              </w:rPr>
              <w:t>要求在标识上设置污染物排放口二维码，承载污染物排放口代码，信息服务地址等</w:t>
            </w:r>
            <w:r>
              <w:rPr>
                <w:rFonts w:hint="eastAsia" w:ascii="Times New Roman" w:hAnsi="Times New Roman" w:eastAsia="宋体" w:cs="Times New Roman"/>
                <w:color w:val="auto"/>
                <w:sz w:val="24"/>
                <w:szCs w:val="24"/>
                <w:lang w:val="en-US" w:eastAsia="zh-CN"/>
              </w:rPr>
              <w:t>。</w:t>
            </w:r>
          </w:p>
          <w:p w14:paraId="2F2872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环境保护图形符号见表</w:t>
            </w:r>
            <w:r>
              <w:rPr>
                <w:rFonts w:hint="eastAsia" w:cs="Times New Roman"/>
                <w:color w:val="auto"/>
                <w:sz w:val="24"/>
                <w:szCs w:val="24"/>
                <w:lang w:val="en-US" w:eastAsia="zh-CN"/>
              </w:rPr>
              <w:t>5-3</w:t>
            </w:r>
            <w:r>
              <w:rPr>
                <w:rFonts w:hint="eastAsia" w:ascii="Times New Roman" w:hAnsi="Times New Roman" w:eastAsia="宋体" w:cs="Times New Roman"/>
                <w:color w:val="auto"/>
                <w:sz w:val="24"/>
                <w:szCs w:val="24"/>
                <w:lang w:val="en-US" w:eastAsia="zh-CN"/>
              </w:rPr>
              <w:t>。</w:t>
            </w:r>
          </w:p>
          <w:p w14:paraId="12000F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7BA77C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139F52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0F45B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5-3</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环境保护图形符号一览表</w:t>
            </w:r>
          </w:p>
          <w:tbl>
            <w:tblPr>
              <w:tblStyle w:val="42"/>
              <w:tblW w:w="81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48"/>
              <w:gridCol w:w="1771"/>
              <w:gridCol w:w="1814"/>
              <w:gridCol w:w="1354"/>
              <w:gridCol w:w="2775"/>
            </w:tblGrid>
            <w:tr w14:paraId="54CF1B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48" w:type="dxa"/>
                  <w:tcBorders>
                    <w:tl2br w:val="nil"/>
                    <w:tr2bl w:val="nil"/>
                  </w:tcBorders>
                  <w:noWrap w:val="0"/>
                  <w:vAlign w:val="center"/>
                </w:tcPr>
                <w:p w14:paraId="54A4221B">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b/>
                      <w:bCs/>
                      <w:sz w:val="21"/>
                    </w:rPr>
                  </w:pPr>
                  <w:r>
                    <w:rPr>
                      <w:b/>
                      <w:bCs/>
                      <w:sz w:val="21"/>
                    </w:rPr>
                    <w:t>序号</w:t>
                  </w:r>
                </w:p>
              </w:tc>
              <w:tc>
                <w:tcPr>
                  <w:tcW w:w="1771" w:type="dxa"/>
                  <w:tcBorders>
                    <w:tl2br w:val="nil"/>
                    <w:tr2bl w:val="nil"/>
                  </w:tcBorders>
                  <w:noWrap w:val="0"/>
                  <w:vAlign w:val="center"/>
                </w:tcPr>
                <w:p w14:paraId="191AE1A5">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b/>
                      <w:bCs/>
                      <w:sz w:val="21"/>
                    </w:rPr>
                  </w:pPr>
                  <w:r>
                    <w:rPr>
                      <w:b/>
                      <w:bCs/>
                      <w:sz w:val="21"/>
                    </w:rPr>
                    <w:t>提示图形符号</w:t>
                  </w:r>
                </w:p>
              </w:tc>
              <w:tc>
                <w:tcPr>
                  <w:tcW w:w="1814" w:type="dxa"/>
                  <w:tcBorders>
                    <w:tl2br w:val="nil"/>
                    <w:tr2bl w:val="nil"/>
                  </w:tcBorders>
                  <w:noWrap w:val="0"/>
                  <w:vAlign w:val="center"/>
                </w:tcPr>
                <w:p w14:paraId="5E361642">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b/>
                      <w:bCs/>
                      <w:sz w:val="21"/>
                    </w:rPr>
                  </w:pPr>
                  <w:r>
                    <w:rPr>
                      <w:b/>
                      <w:bCs/>
                      <w:sz w:val="21"/>
                    </w:rPr>
                    <w:t>警告图形符号</w:t>
                  </w:r>
                </w:p>
              </w:tc>
              <w:tc>
                <w:tcPr>
                  <w:tcW w:w="1354" w:type="dxa"/>
                  <w:tcBorders>
                    <w:tl2br w:val="nil"/>
                    <w:tr2bl w:val="nil"/>
                  </w:tcBorders>
                  <w:noWrap w:val="0"/>
                  <w:vAlign w:val="center"/>
                </w:tcPr>
                <w:p w14:paraId="52C3250B">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b/>
                      <w:bCs/>
                      <w:sz w:val="21"/>
                    </w:rPr>
                  </w:pPr>
                  <w:r>
                    <w:rPr>
                      <w:b/>
                      <w:bCs/>
                      <w:sz w:val="21"/>
                    </w:rPr>
                    <w:t>名称</w:t>
                  </w:r>
                </w:p>
              </w:tc>
              <w:tc>
                <w:tcPr>
                  <w:tcW w:w="2775" w:type="dxa"/>
                  <w:tcBorders>
                    <w:tl2br w:val="nil"/>
                    <w:tr2bl w:val="nil"/>
                  </w:tcBorders>
                  <w:noWrap w:val="0"/>
                  <w:vAlign w:val="center"/>
                </w:tcPr>
                <w:p w14:paraId="7398C292">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b/>
                      <w:bCs/>
                      <w:sz w:val="21"/>
                    </w:rPr>
                  </w:pPr>
                  <w:r>
                    <w:rPr>
                      <w:b/>
                      <w:bCs/>
                      <w:sz w:val="21"/>
                    </w:rPr>
                    <w:t>功能</w:t>
                  </w:r>
                </w:p>
              </w:tc>
            </w:tr>
            <w:tr w14:paraId="2E244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448" w:type="dxa"/>
                  <w:tcBorders>
                    <w:tl2br w:val="nil"/>
                    <w:tr2bl w:val="nil"/>
                  </w:tcBorders>
                  <w:noWrap w:val="0"/>
                  <w:vAlign w:val="center"/>
                </w:tcPr>
                <w:p w14:paraId="7842FF20">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eastAsia="宋体"/>
                      <w:sz w:val="21"/>
                      <w:szCs w:val="22"/>
                      <w:lang w:val="en-US" w:eastAsia="zh-CN"/>
                    </w:rPr>
                  </w:pPr>
                  <w:r>
                    <w:rPr>
                      <w:rFonts w:hint="eastAsia" w:ascii="Times New Roman" w:eastAsia="宋体"/>
                      <w:sz w:val="21"/>
                      <w:szCs w:val="22"/>
                      <w:lang w:val="en-US" w:eastAsia="zh-CN"/>
                    </w:rPr>
                    <w:t>1</w:t>
                  </w:r>
                </w:p>
              </w:tc>
              <w:tc>
                <w:tcPr>
                  <w:tcW w:w="1771" w:type="dxa"/>
                  <w:tcBorders>
                    <w:tl2br w:val="nil"/>
                    <w:tr2bl w:val="nil"/>
                  </w:tcBorders>
                  <w:noWrap w:val="0"/>
                  <w:vAlign w:val="center"/>
                </w:tcPr>
                <w:p w14:paraId="000C1B44">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sz w:val="20"/>
                    </w:rPr>
                  </w:pPr>
                  <w:r>
                    <w:rPr>
                      <w:sz w:val="20"/>
                    </w:rPr>
                    <w:drawing>
                      <wp:inline distT="0" distB="0" distL="114300" distR="114300">
                        <wp:extent cx="1006475" cy="1005840"/>
                        <wp:effectExtent l="0" t="0" r="3175"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0"/>
                                <a:stretch>
                                  <a:fillRect/>
                                </a:stretch>
                              </pic:blipFill>
                              <pic:spPr>
                                <a:xfrm>
                                  <a:off x="0" y="0"/>
                                  <a:ext cx="1006475" cy="1005840"/>
                                </a:xfrm>
                                <a:prstGeom prst="rect">
                                  <a:avLst/>
                                </a:prstGeom>
                                <a:noFill/>
                                <a:ln>
                                  <a:noFill/>
                                </a:ln>
                              </pic:spPr>
                            </pic:pic>
                          </a:graphicData>
                        </a:graphic>
                      </wp:inline>
                    </w:drawing>
                  </w:r>
                </w:p>
              </w:tc>
              <w:tc>
                <w:tcPr>
                  <w:tcW w:w="1814" w:type="dxa"/>
                  <w:tcBorders>
                    <w:tl2br w:val="nil"/>
                    <w:tr2bl w:val="nil"/>
                  </w:tcBorders>
                  <w:noWrap w:val="0"/>
                  <w:vAlign w:val="center"/>
                </w:tcPr>
                <w:p w14:paraId="633443D4">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sz w:val="20"/>
                    </w:rPr>
                  </w:pPr>
                  <w:r>
                    <w:rPr>
                      <w:sz w:val="20"/>
                    </w:rPr>
                    <w:drawing>
                      <wp:inline distT="0" distB="0" distL="114300" distR="114300">
                        <wp:extent cx="1008380" cy="817880"/>
                        <wp:effectExtent l="0" t="0" r="1270" b="12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1"/>
                                <a:stretch>
                                  <a:fillRect/>
                                </a:stretch>
                              </pic:blipFill>
                              <pic:spPr>
                                <a:xfrm>
                                  <a:off x="0" y="0"/>
                                  <a:ext cx="1008380" cy="817880"/>
                                </a:xfrm>
                                <a:prstGeom prst="rect">
                                  <a:avLst/>
                                </a:prstGeom>
                                <a:noFill/>
                                <a:ln>
                                  <a:noFill/>
                                </a:ln>
                              </pic:spPr>
                            </pic:pic>
                          </a:graphicData>
                        </a:graphic>
                      </wp:inline>
                    </w:drawing>
                  </w:r>
                </w:p>
              </w:tc>
              <w:tc>
                <w:tcPr>
                  <w:tcW w:w="1354" w:type="dxa"/>
                  <w:tcBorders>
                    <w:tl2br w:val="nil"/>
                    <w:tr2bl w:val="nil"/>
                  </w:tcBorders>
                  <w:noWrap w:val="0"/>
                  <w:vAlign w:val="center"/>
                </w:tcPr>
                <w:p w14:paraId="02BA9751">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sz w:val="21"/>
                      <w:szCs w:val="22"/>
                    </w:rPr>
                  </w:pPr>
                  <w:r>
                    <w:rPr>
                      <w:rFonts w:ascii="Times New Roman"/>
                      <w:sz w:val="21"/>
                      <w:szCs w:val="22"/>
                    </w:rPr>
                    <w:t>一般固体废物</w:t>
                  </w:r>
                </w:p>
              </w:tc>
              <w:tc>
                <w:tcPr>
                  <w:tcW w:w="2775" w:type="dxa"/>
                  <w:tcBorders>
                    <w:tl2br w:val="nil"/>
                    <w:tr2bl w:val="nil"/>
                  </w:tcBorders>
                  <w:noWrap w:val="0"/>
                  <w:vAlign w:val="center"/>
                </w:tcPr>
                <w:p w14:paraId="434A83EE">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sz w:val="21"/>
                      <w:szCs w:val="22"/>
                    </w:rPr>
                  </w:pPr>
                  <w:r>
                    <w:rPr>
                      <w:rFonts w:ascii="Times New Roman"/>
                      <w:sz w:val="21"/>
                      <w:szCs w:val="22"/>
                    </w:rPr>
                    <w:t>表示一般固体废物贮存、处置场</w:t>
                  </w:r>
                </w:p>
              </w:tc>
            </w:tr>
            <w:tr w14:paraId="149B68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098FF0D3">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eastAsia="宋体"/>
                      <w:sz w:val="21"/>
                      <w:szCs w:val="22"/>
                      <w:lang w:val="en-US" w:eastAsia="zh-CN"/>
                    </w:rPr>
                  </w:pPr>
                  <w:r>
                    <w:rPr>
                      <w:rFonts w:hint="eastAsia" w:ascii="Times New Roman" w:eastAsia="宋体"/>
                      <w:sz w:val="21"/>
                      <w:szCs w:val="22"/>
                      <w:lang w:val="en-US" w:eastAsia="zh-CN"/>
                    </w:rPr>
                    <w:t>2</w:t>
                  </w:r>
                </w:p>
              </w:tc>
              <w:tc>
                <w:tcPr>
                  <w:tcW w:w="1771" w:type="dxa"/>
                  <w:tcBorders>
                    <w:tl2br w:val="nil"/>
                    <w:tr2bl w:val="nil"/>
                  </w:tcBorders>
                  <w:noWrap w:val="0"/>
                  <w:vAlign w:val="center"/>
                </w:tcPr>
                <w:p w14:paraId="19393CDF">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sz w:val="20"/>
                    </w:rPr>
                  </w:pPr>
                  <w:r>
                    <w:rPr>
                      <w:sz w:val="20"/>
                    </w:rPr>
                    <w:drawing>
                      <wp:inline distT="0" distB="0" distL="114300" distR="114300">
                        <wp:extent cx="1005840" cy="914400"/>
                        <wp:effectExtent l="0" t="0" r="381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2"/>
                                <a:stretch>
                                  <a:fillRect/>
                                </a:stretch>
                              </pic:blipFill>
                              <pic:spPr>
                                <a:xfrm>
                                  <a:off x="0" y="0"/>
                                  <a:ext cx="1005840" cy="914400"/>
                                </a:xfrm>
                                <a:prstGeom prst="rect">
                                  <a:avLst/>
                                </a:prstGeom>
                                <a:noFill/>
                                <a:ln>
                                  <a:noFill/>
                                </a:ln>
                              </pic:spPr>
                            </pic:pic>
                          </a:graphicData>
                        </a:graphic>
                      </wp:inline>
                    </w:drawing>
                  </w:r>
                </w:p>
              </w:tc>
              <w:tc>
                <w:tcPr>
                  <w:tcW w:w="1814" w:type="dxa"/>
                  <w:tcBorders>
                    <w:tl2br w:val="nil"/>
                    <w:tr2bl w:val="nil"/>
                  </w:tcBorders>
                  <w:noWrap w:val="0"/>
                  <w:vAlign w:val="center"/>
                </w:tcPr>
                <w:p w14:paraId="00A3DE8F">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sz w:val="20"/>
                    </w:rPr>
                  </w:pPr>
                  <w:r>
                    <w:rPr>
                      <w:sz w:val="20"/>
                    </w:rPr>
                    <w:drawing>
                      <wp:inline distT="0" distB="0" distL="114300" distR="114300">
                        <wp:extent cx="1003935" cy="821690"/>
                        <wp:effectExtent l="0" t="0" r="5715" b="165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3"/>
                                <a:stretch>
                                  <a:fillRect/>
                                </a:stretch>
                              </pic:blipFill>
                              <pic:spPr>
                                <a:xfrm>
                                  <a:off x="0" y="0"/>
                                  <a:ext cx="1003935" cy="821690"/>
                                </a:xfrm>
                                <a:prstGeom prst="rect">
                                  <a:avLst/>
                                </a:prstGeom>
                                <a:noFill/>
                                <a:ln>
                                  <a:noFill/>
                                </a:ln>
                              </pic:spPr>
                            </pic:pic>
                          </a:graphicData>
                        </a:graphic>
                      </wp:inline>
                    </w:drawing>
                  </w:r>
                </w:p>
              </w:tc>
              <w:tc>
                <w:tcPr>
                  <w:tcW w:w="1354" w:type="dxa"/>
                  <w:tcBorders>
                    <w:tl2br w:val="nil"/>
                    <w:tr2bl w:val="nil"/>
                  </w:tcBorders>
                  <w:noWrap w:val="0"/>
                  <w:vAlign w:val="center"/>
                </w:tcPr>
                <w:p w14:paraId="6982B1F6">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sz w:val="21"/>
                      <w:szCs w:val="22"/>
                    </w:rPr>
                  </w:pPr>
                  <w:r>
                    <w:rPr>
                      <w:rFonts w:ascii="Times New Roman"/>
                      <w:sz w:val="21"/>
                      <w:szCs w:val="22"/>
                    </w:rPr>
                    <w:t>噪声源</w:t>
                  </w:r>
                </w:p>
              </w:tc>
              <w:tc>
                <w:tcPr>
                  <w:tcW w:w="2775" w:type="dxa"/>
                  <w:tcBorders>
                    <w:tl2br w:val="nil"/>
                    <w:tr2bl w:val="nil"/>
                  </w:tcBorders>
                  <w:noWrap w:val="0"/>
                  <w:vAlign w:val="center"/>
                </w:tcPr>
                <w:p w14:paraId="5CC24B39">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sz w:val="21"/>
                      <w:szCs w:val="22"/>
                    </w:rPr>
                  </w:pPr>
                  <w:r>
                    <w:rPr>
                      <w:rFonts w:ascii="Times New Roman"/>
                      <w:sz w:val="21"/>
                      <w:szCs w:val="22"/>
                    </w:rPr>
                    <w:t>表示噪声向外环境排放</w:t>
                  </w:r>
                </w:p>
              </w:tc>
            </w:tr>
            <w:tr w14:paraId="6A5B3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23B08C15">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eastAsia="宋体"/>
                      <w:sz w:val="21"/>
                      <w:szCs w:val="22"/>
                      <w:lang w:val="en-US" w:eastAsia="zh-CN"/>
                    </w:rPr>
                  </w:pPr>
                  <w:r>
                    <w:rPr>
                      <w:rFonts w:hint="eastAsia" w:ascii="Times New Roman" w:eastAsia="宋体"/>
                      <w:sz w:val="21"/>
                      <w:szCs w:val="22"/>
                      <w:lang w:val="en-US" w:eastAsia="zh-CN"/>
                    </w:rPr>
                    <w:t>3</w:t>
                  </w:r>
                </w:p>
              </w:tc>
              <w:tc>
                <w:tcPr>
                  <w:tcW w:w="1771" w:type="dxa"/>
                  <w:tcBorders>
                    <w:tl2br w:val="nil"/>
                    <w:tr2bl w:val="nil"/>
                  </w:tcBorders>
                  <w:noWrap w:val="0"/>
                  <w:vAlign w:val="center"/>
                </w:tcPr>
                <w:p w14:paraId="293CFDA6">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sz w:val="20"/>
                    </w:rPr>
                  </w:pPr>
                  <w:r>
                    <w:drawing>
                      <wp:inline distT="0" distB="0" distL="114300" distR="114300">
                        <wp:extent cx="962025" cy="1200150"/>
                        <wp:effectExtent l="0" t="0" r="952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4"/>
                                <a:stretch>
                                  <a:fillRect/>
                                </a:stretch>
                              </pic:blipFill>
                              <pic:spPr>
                                <a:xfrm>
                                  <a:off x="0" y="0"/>
                                  <a:ext cx="962025" cy="1200150"/>
                                </a:xfrm>
                                <a:prstGeom prst="rect">
                                  <a:avLst/>
                                </a:prstGeom>
                                <a:noFill/>
                                <a:ln>
                                  <a:noFill/>
                                </a:ln>
                              </pic:spPr>
                            </pic:pic>
                          </a:graphicData>
                        </a:graphic>
                      </wp:inline>
                    </w:drawing>
                  </w:r>
                </w:p>
              </w:tc>
              <w:tc>
                <w:tcPr>
                  <w:tcW w:w="1814" w:type="dxa"/>
                  <w:tcBorders>
                    <w:tl2br w:val="nil"/>
                    <w:tr2bl w:val="nil"/>
                  </w:tcBorders>
                  <w:noWrap w:val="0"/>
                  <w:vAlign w:val="center"/>
                </w:tcPr>
                <w:p w14:paraId="16BDA3B6">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sz w:val="20"/>
                    </w:rPr>
                  </w:pPr>
                  <w:r>
                    <w:drawing>
                      <wp:inline distT="0" distB="0" distL="114300" distR="114300">
                        <wp:extent cx="1019175" cy="1171575"/>
                        <wp:effectExtent l="0" t="0" r="952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5"/>
                                <a:stretch>
                                  <a:fillRect/>
                                </a:stretch>
                              </pic:blipFill>
                              <pic:spPr>
                                <a:xfrm>
                                  <a:off x="0" y="0"/>
                                  <a:ext cx="1019175" cy="1171575"/>
                                </a:xfrm>
                                <a:prstGeom prst="rect">
                                  <a:avLst/>
                                </a:prstGeom>
                                <a:noFill/>
                                <a:ln>
                                  <a:noFill/>
                                </a:ln>
                              </pic:spPr>
                            </pic:pic>
                          </a:graphicData>
                        </a:graphic>
                      </wp:inline>
                    </w:drawing>
                  </w:r>
                </w:p>
              </w:tc>
              <w:tc>
                <w:tcPr>
                  <w:tcW w:w="1354" w:type="dxa"/>
                  <w:tcBorders>
                    <w:tl2br w:val="nil"/>
                    <w:tr2bl w:val="nil"/>
                  </w:tcBorders>
                  <w:noWrap w:val="0"/>
                  <w:vAlign w:val="center"/>
                </w:tcPr>
                <w:p w14:paraId="18F08529">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eastAsia="宋体"/>
                      <w:sz w:val="21"/>
                      <w:szCs w:val="22"/>
                      <w:lang w:val="en-US" w:eastAsia="zh-CN"/>
                    </w:rPr>
                  </w:pPr>
                  <w:r>
                    <w:rPr>
                      <w:rFonts w:hint="eastAsia" w:ascii="Times New Roman"/>
                      <w:sz w:val="21"/>
                      <w:szCs w:val="22"/>
                      <w:lang w:val="en-US" w:eastAsia="zh-CN"/>
                    </w:rPr>
                    <w:t>废气排放口</w:t>
                  </w:r>
                </w:p>
              </w:tc>
              <w:tc>
                <w:tcPr>
                  <w:tcW w:w="2775" w:type="dxa"/>
                  <w:tcBorders>
                    <w:tl2br w:val="nil"/>
                    <w:tr2bl w:val="nil"/>
                  </w:tcBorders>
                  <w:noWrap w:val="0"/>
                  <w:vAlign w:val="center"/>
                </w:tcPr>
                <w:p w14:paraId="7CB23391">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sz w:val="21"/>
                      <w:szCs w:val="22"/>
                    </w:rPr>
                  </w:pPr>
                  <w:r>
                    <w:rPr>
                      <w:rFonts w:ascii="Times New Roman"/>
                      <w:sz w:val="21"/>
                      <w:szCs w:val="22"/>
                    </w:rPr>
                    <w:t>表示</w:t>
                  </w:r>
                  <w:r>
                    <w:rPr>
                      <w:rFonts w:hint="eastAsia" w:ascii="Times New Roman"/>
                      <w:sz w:val="21"/>
                      <w:szCs w:val="22"/>
                      <w:lang w:val="en-US" w:eastAsia="zh-CN"/>
                    </w:rPr>
                    <w:t>废气</w:t>
                  </w:r>
                  <w:r>
                    <w:rPr>
                      <w:rFonts w:ascii="Times New Roman"/>
                      <w:sz w:val="21"/>
                      <w:szCs w:val="22"/>
                    </w:rPr>
                    <w:t>向外环境排放</w:t>
                  </w:r>
                </w:p>
              </w:tc>
            </w:tr>
            <w:tr w14:paraId="736B0A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1EC652EE">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sz w:val="21"/>
                      <w:szCs w:val="22"/>
                      <w:lang w:val="en-US" w:eastAsia="zh-CN"/>
                    </w:rPr>
                  </w:pPr>
                  <w:r>
                    <w:rPr>
                      <w:rFonts w:hint="eastAsia" w:ascii="Times New Roman"/>
                      <w:sz w:val="21"/>
                      <w:szCs w:val="22"/>
                      <w:lang w:val="en-US" w:eastAsia="zh-CN"/>
                    </w:rPr>
                    <w:t>4</w:t>
                  </w:r>
                </w:p>
              </w:tc>
              <w:tc>
                <w:tcPr>
                  <w:tcW w:w="3585" w:type="dxa"/>
                  <w:gridSpan w:val="2"/>
                  <w:tcBorders>
                    <w:tl2br w:val="nil"/>
                    <w:tr2bl w:val="nil"/>
                  </w:tcBorders>
                  <w:noWrap w:val="0"/>
                  <w:vAlign w:val="center"/>
                </w:tcPr>
                <w:p w14:paraId="06FD3513">
                  <w:pPr>
                    <w:pStyle w:val="8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pPr>
                  <w:r>
                    <w:rPr>
                      <w:color w:val="000000"/>
                      <w:highlight w:val="none"/>
                    </w:rPr>
                    <w:drawing>
                      <wp:inline distT="0" distB="0" distL="114300" distR="114300">
                        <wp:extent cx="1365250" cy="869315"/>
                        <wp:effectExtent l="0" t="0" r="6350" b="698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6"/>
                                <a:stretch>
                                  <a:fillRect/>
                                </a:stretch>
                              </pic:blipFill>
                              <pic:spPr>
                                <a:xfrm>
                                  <a:off x="0" y="0"/>
                                  <a:ext cx="1365250" cy="869315"/>
                                </a:xfrm>
                                <a:prstGeom prst="rect">
                                  <a:avLst/>
                                </a:prstGeom>
                                <a:noFill/>
                                <a:ln>
                                  <a:noFill/>
                                </a:ln>
                              </pic:spPr>
                            </pic:pic>
                          </a:graphicData>
                        </a:graphic>
                      </wp:inline>
                    </w:drawing>
                  </w:r>
                </w:p>
              </w:tc>
              <w:tc>
                <w:tcPr>
                  <w:tcW w:w="1354" w:type="dxa"/>
                  <w:tcBorders>
                    <w:tl2br w:val="nil"/>
                    <w:tr2bl w:val="nil"/>
                  </w:tcBorders>
                  <w:noWrap w:val="0"/>
                  <w:vAlign w:val="center"/>
                </w:tcPr>
                <w:p w14:paraId="487A217B">
                  <w:pPr>
                    <w:pStyle w:val="8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sz w:val="21"/>
                      <w:szCs w:val="22"/>
                      <w:lang w:val="en-US" w:eastAsia="zh-CN"/>
                    </w:rPr>
                  </w:pPr>
                  <w:r>
                    <w:rPr>
                      <w:rFonts w:hint="eastAsia" w:ascii="Times New Roman" w:hAnsi="Times New Roman" w:eastAsia="宋体" w:cs="Times New Roman"/>
                      <w:color w:val="000000"/>
                      <w:sz w:val="21"/>
                      <w:szCs w:val="21"/>
                      <w:highlight w:val="none"/>
                      <w:lang w:val="en-US" w:eastAsia="zh-CN"/>
                    </w:rPr>
                    <w:t>危废暂存间</w:t>
                  </w:r>
                </w:p>
              </w:tc>
              <w:tc>
                <w:tcPr>
                  <w:tcW w:w="2775" w:type="dxa"/>
                  <w:tcBorders>
                    <w:tl2br w:val="nil"/>
                    <w:tr2bl w:val="nil"/>
                  </w:tcBorders>
                  <w:noWrap w:val="0"/>
                  <w:vAlign w:val="center"/>
                </w:tcPr>
                <w:p w14:paraId="365B8320">
                  <w:pPr>
                    <w:pStyle w:val="8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eastAsia="宋体"/>
                      <w:sz w:val="21"/>
                      <w:szCs w:val="22"/>
                      <w:lang w:val="en-US" w:eastAsia="zh-CN"/>
                    </w:rPr>
                  </w:pPr>
                  <w:r>
                    <w:rPr>
                      <w:rFonts w:hint="eastAsia" w:ascii="Times New Roman" w:hAnsi="Times New Roman" w:eastAsia="宋体" w:cs="Times New Roman"/>
                      <w:color w:val="000000"/>
                      <w:sz w:val="21"/>
                      <w:szCs w:val="21"/>
                      <w:highlight w:val="none"/>
                      <w:lang w:val="en-US" w:eastAsia="zh-CN"/>
                    </w:rPr>
                    <w:t>表示危险废物贮存场所</w:t>
                  </w:r>
                </w:p>
              </w:tc>
            </w:tr>
          </w:tbl>
          <w:p w14:paraId="50102A85">
            <w:pPr>
              <w:bidi w:val="0"/>
              <w:ind w:left="0" w:leftChars="0" w:firstLine="0" w:firstLineChars="0"/>
              <w:rPr>
                <w:rFonts w:hint="eastAsia"/>
                <w:color w:val="auto"/>
                <w:lang w:val="en-US" w:eastAsia="zh-CN"/>
              </w:rPr>
            </w:pPr>
          </w:p>
        </w:tc>
      </w:tr>
      <w:tr w14:paraId="63FAD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tcBorders>
              <w:tl2br w:val="nil"/>
              <w:tr2bl w:val="nil"/>
            </w:tcBorders>
            <w:vAlign w:val="center"/>
          </w:tcPr>
          <w:p w14:paraId="1FEE915F">
            <w:pPr>
              <w:pStyle w:val="17"/>
              <w:bidi w:val="0"/>
              <w:jc w:val="center"/>
              <w:rPr>
                <w:rFonts w:hint="default" w:cs="宋体"/>
                <w:b/>
                <w:bCs/>
                <w:sz w:val="24"/>
                <w:szCs w:val="32"/>
                <w:lang w:val="en-US" w:eastAsia="zh-CN" w:bidi="ar-SA"/>
              </w:rPr>
            </w:pPr>
            <w:r>
              <w:rPr>
                <w:rFonts w:hint="eastAsia" w:cs="宋体"/>
                <w:b/>
                <w:bCs/>
                <w:sz w:val="24"/>
                <w:szCs w:val="32"/>
                <w:lang w:val="en-US" w:eastAsia="zh-CN" w:bidi="ar-SA"/>
              </w:rPr>
              <w:t>其他</w:t>
            </w:r>
          </w:p>
        </w:tc>
        <w:tc>
          <w:tcPr>
            <w:tcW w:w="4560" w:type="pct"/>
            <w:tcBorders>
              <w:tl2br w:val="nil"/>
              <w:tr2bl w:val="nil"/>
            </w:tcBorders>
          </w:tcPr>
          <w:p w14:paraId="446C35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cs="Times New Roman"/>
                <w:b/>
                <w:bCs/>
                <w:color w:val="000000"/>
                <w:sz w:val="28"/>
                <w:szCs w:val="28"/>
              </w:rPr>
            </w:pPr>
            <w:r>
              <w:rPr>
                <w:rFonts w:hint="eastAsia" w:cs="Times New Roman"/>
                <w:b/>
                <w:bCs/>
                <w:color w:val="000000"/>
                <w:sz w:val="28"/>
                <w:szCs w:val="28"/>
                <w:lang w:val="en-US" w:eastAsia="zh-CN"/>
              </w:rPr>
              <w:t>3</w:t>
            </w:r>
            <w:r>
              <w:rPr>
                <w:rFonts w:hint="default" w:cs="Times New Roman"/>
                <w:b/>
                <w:bCs/>
                <w:color w:val="000000"/>
                <w:sz w:val="28"/>
                <w:szCs w:val="28"/>
              </w:rPr>
              <w:t>环境管理计划</w:t>
            </w:r>
          </w:p>
          <w:p w14:paraId="2039E9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Cs w:val="28"/>
                <w:highlight w:val="none"/>
              </w:rPr>
            </w:pPr>
            <w:r>
              <w:rPr>
                <w:rFonts w:hint="eastAsia" w:cs="Times New Roman"/>
                <w:b/>
                <w:bCs/>
                <w:szCs w:val="28"/>
                <w:highlight w:val="none"/>
                <w:lang w:val="en-US" w:eastAsia="zh-CN"/>
              </w:rPr>
              <w:t>3</w:t>
            </w:r>
            <w:r>
              <w:rPr>
                <w:rFonts w:hint="default" w:ascii="Times New Roman" w:hAnsi="Times New Roman" w:cs="Times New Roman"/>
                <w:b/>
                <w:bCs/>
                <w:szCs w:val="28"/>
                <w:highlight w:val="none"/>
              </w:rPr>
              <w:t>.1管理体制与机构</w:t>
            </w:r>
          </w:p>
          <w:p w14:paraId="67247654">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本项目在生产运营期，需建立环境管理体制和机构。环境监测委托有资质的环境监测单位进行监测，监控污染情况。</w:t>
            </w:r>
          </w:p>
          <w:p w14:paraId="46FC222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Cs w:val="28"/>
                <w:highlight w:val="none"/>
              </w:rPr>
            </w:pPr>
            <w:r>
              <w:rPr>
                <w:rFonts w:hint="eastAsia" w:cs="Times New Roman"/>
                <w:b/>
                <w:bCs/>
                <w:szCs w:val="28"/>
                <w:highlight w:val="none"/>
                <w:lang w:val="en-US" w:eastAsia="zh-CN"/>
              </w:rPr>
              <w:t>3</w:t>
            </w:r>
            <w:r>
              <w:rPr>
                <w:rFonts w:hint="default" w:ascii="Times New Roman" w:hAnsi="Times New Roman" w:cs="Times New Roman"/>
                <w:b/>
                <w:bCs/>
                <w:szCs w:val="28"/>
                <w:highlight w:val="none"/>
              </w:rPr>
              <w:t>.2管理职责</w:t>
            </w:r>
          </w:p>
          <w:p w14:paraId="05008826">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（1）贯彻执行国家、自治区、地方各项环保政策、法规、标准，根据公司实际，编制环境保护规则和实施细则，组织实施，监督执行。</w:t>
            </w:r>
          </w:p>
          <w:p w14:paraId="23A4AE71">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（2）制订切实可行的固废、废气和噪声控制指标，</w:t>
            </w:r>
            <w:r>
              <w:rPr>
                <w:rFonts w:hint="eastAsia" w:cs="Times New Roman"/>
                <w:spacing w:val="4"/>
                <w:szCs w:val="28"/>
                <w:highlight w:val="none"/>
                <w:lang w:eastAsia="zh-CN"/>
              </w:rPr>
              <w:t>环境治理</w:t>
            </w:r>
            <w:r>
              <w:rPr>
                <w:rFonts w:hint="default" w:ascii="Times New Roman" w:hAnsi="Times New Roman" w:cs="Times New Roman"/>
                <w:spacing w:val="4"/>
                <w:szCs w:val="28"/>
                <w:highlight w:val="none"/>
              </w:rPr>
              <w:t>设施运行考核指标，组织落实，定期考核。</w:t>
            </w:r>
          </w:p>
          <w:p w14:paraId="36FAD3BA">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（3）组织和管理</w:t>
            </w:r>
            <w:r>
              <w:rPr>
                <w:rFonts w:hint="eastAsia" w:cs="Times New Roman"/>
                <w:spacing w:val="4"/>
                <w:szCs w:val="28"/>
                <w:highlight w:val="none"/>
                <w:lang w:val="en-US" w:eastAsia="zh-CN"/>
              </w:rPr>
              <w:t>输煤廊道沿线</w:t>
            </w:r>
            <w:r>
              <w:rPr>
                <w:rFonts w:hint="default" w:ascii="Times New Roman" w:hAnsi="Times New Roman" w:cs="Times New Roman"/>
                <w:spacing w:val="4"/>
                <w:szCs w:val="28"/>
                <w:highlight w:val="none"/>
              </w:rPr>
              <w:t>的污染治理工作，负责环保设施的运行和管理工作。</w:t>
            </w:r>
          </w:p>
          <w:p w14:paraId="018653F2">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（4）定期进行项目环境管理人员的环保知识和技术培训工作，定期进行安全环保宣传教育工作。</w:t>
            </w:r>
          </w:p>
          <w:p w14:paraId="0EE1795B">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（5）做好常规环境统计工作，掌握各项治理设施的运行状况。</w:t>
            </w:r>
          </w:p>
          <w:p w14:paraId="2924CA90">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（6）建立健全工程环境保护各项规章制度，设立专门环管机构，配备专职环保人员，做到专人专职，责任到人。</w:t>
            </w:r>
          </w:p>
          <w:p w14:paraId="778DE4AB">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（7）建立工程环境保护技术档案，对调查的监测资料进行汇总、分析整理，保管并与工程生产上一年的环境状况进行分析比较，根据监测结果写出分析报告，及时提出环境保护建议、措施。</w:t>
            </w:r>
          </w:p>
          <w:p w14:paraId="4FC1EDC9">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（8）建立报表的送审制度。本工程环境分析报告和环境监测调查表由工程专职环保部门逐级上报至环保行政主管部门审查，为管理部门进行工程运行环境管理提供依据。</w:t>
            </w:r>
          </w:p>
          <w:p w14:paraId="29843D69">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（9）加强对项目区生态环境保护和水土流失量的控制。</w:t>
            </w:r>
          </w:p>
          <w:p w14:paraId="3B930658">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（10）</w:t>
            </w:r>
            <w:r>
              <w:rPr>
                <w:rFonts w:hint="eastAsia" w:cs="Times New Roman"/>
                <w:spacing w:val="4"/>
                <w:szCs w:val="28"/>
                <w:highlight w:val="none"/>
                <w:lang w:val="en-US" w:eastAsia="zh-CN"/>
              </w:rPr>
              <w:t>输煤廊道沿线</w:t>
            </w:r>
            <w:r>
              <w:rPr>
                <w:rFonts w:hint="default" w:ascii="Times New Roman" w:hAnsi="Times New Roman" w:eastAsia="宋体" w:cs="Times New Roman"/>
                <w:spacing w:val="4"/>
                <w:szCs w:val="28"/>
                <w:highlight w:val="none"/>
                <w:lang w:eastAsia="zh-CN"/>
              </w:rPr>
              <w:t>设置警示标志，禁止闲杂人员</w:t>
            </w:r>
            <w:r>
              <w:rPr>
                <w:rFonts w:hint="eastAsia" w:cs="Times New Roman"/>
                <w:spacing w:val="4"/>
                <w:szCs w:val="28"/>
                <w:highlight w:val="none"/>
                <w:lang w:val="en-US" w:eastAsia="zh-CN"/>
              </w:rPr>
              <w:t>随意穿越</w:t>
            </w:r>
            <w:r>
              <w:rPr>
                <w:rFonts w:hint="default" w:ascii="Times New Roman" w:hAnsi="Times New Roman" w:eastAsia="宋体" w:cs="Times New Roman"/>
                <w:spacing w:val="4"/>
                <w:szCs w:val="28"/>
                <w:highlight w:val="none"/>
                <w:lang w:eastAsia="zh-CN"/>
              </w:rPr>
              <w:t>，以免</w:t>
            </w:r>
            <w:r>
              <w:rPr>
                <w:rFonts w:hint="eastAsia" w:cs="Times New Roman"/>
                <w:spacing w:val="4"/>
                <w:szCs w:val="28"/>
                <w:highlight w:val="none"/>
                <w:lang w:val="en-US" w:eastAsia="zh-CN"/>
              </w:rPr>
              <w:t>煤块掉落发生人员伤亡</w:t>
            </w:r>
            <w:r>
              <w:rPr>
                <w:rFonts w:hint="default" w:ascii="Times New Roman" w:hAnsi="Times New Roman" w:eastAsia="宋体" w:cs="Times New Roman"/>
                <w:spacing w:val="4"/>
                <w:szCs w:val="28"/>
                <w:highlight w:val="none"/>
                <w:lang w:eastAsia="zh-CN"/>
              </w:rPr>
              <w:t>。在</w:t>
            </w:r>
            <w:r>
              <w:rPr>
                <w:rFonts w:hint="eastAsia" w:cs="Times New Roman"/>
                <w:spacing w:val="4"/>
                <w:szCs w:val="28"/>
                <w:highlight w:val="none"/>
                <w:lang w:val="en-US" w:eastAsia="zh-CN"/>
              </w:rPr>
              <w:t>输煤廊道运行、检修时</w:t>
            </w:r>
            <w:r>
              <w:rPr>
                <w:rFonts w:hint="default" w:ascii="Times New Roman" w:hAnsi="Times New Roman" w:eastAsia="宋体" w:cs="Times New Roman"/>
                <w:spacing w:val="4"/>
                <w:szCs w:val="28"/>
                <w:highlight w:val="none"/>
                <w:lang w:eastAsia="zh-CN"/>
              </w:rPr>
              <w:t>，严格按照操作规程和规划设计进行，</w:t>
            </w:r>
            <w:r>
              <w:rPr>
                <w:rFonts w:hint="default" w:ascii="Times New Roman" w:hAnsi="Times New Roman" w:eastAsia="宋体" w:cs="Times New Roman"/>
                <w:spacing w:val="4"/>
                <w:szCs w:val="28"/>
                <w:highlight w:val="none"/>
                <w:lang w:val="en-US" w:eastAsia="zh-CN"/>
              </w:rPr>
              <w:t>确保</w:t>
            </w:r>
            <w:r>
              <w:rPr>
                <w:rFonts w:hint="default" w:ascii="Times New Roman" w:hAnsi="Times New Roman" w:eastAsia="宋体" w:cs="Times New Roman"/>
                <w:spacing w:val="4"/>
                <w:szCs w:val="28"/>
                <w:highlight w:val="none"/>
                <w:lang w:eastAsia="zh-CN"/>
              </w:rPr>
              <w:t>开挖最终台断面坡角、最终边坡角达到设计要求，最终</w:t>
            </w:r>
            <w:r>
              <w:rPr>
                <w:rFonts w:hint="eastAsia" w:cs="Times New Roman"/>
                <w:spacing w:val="4"/>
                <w:szCs w:val="28"/>
                <w:highlight w:val="none"/>
                <w:lang w:val="en-US" w:eastAsia="zh-CN"/>
              </w:rPr>
              <w:t>边</w:t>
            </w:r>
            <w:r>
              <w:rPr>
                <w:rFonts w:hint="default" w:ascii="Times New Roman" w:hAnsi="Times New Roman" w:eastAsia="宋体" w:cs="Times New Roman"/>
                <w:spacing w:val="4"/>
                <w:szCs w:val="28"/>
                <w:highlight w:val="none"/>
                <w:lang w:eastAsia="zh-CN"/>
              </w:rPr>
              <w:t>坡角不大于</w:t>
            </w:r>
            <w:r>
              <w:rPr>
                <w:rFonts w:hint="eastAsia" w:cs="Times New Roman"/>
                <w:spacing w:val="4"/>
                <w:szCs w:val="28"/>
                <w:highlight w:val="none"/>
                <w:lang w:val="en-US" w:eastAsia="zh-CN"/>
              </w:rPr>
              <w:t>30</w:t>
            </w:r>
            <w:r>
              <w:rPr>
                <w:rFonts w:hint="default" w:ascii="Times New Roman" w:hAnsi="Times New Roman" w:eastAsia="宋体" w:cs="Times New Roman"/>
                <w:spacing w:val="4"/>
                <w:szCs w:val="28"/>
                <w:highlight w:val="none"/>
                <w:lang w:val="en-US" w:eastAsia="zh-CN"/>
              </w:rPr>
              <w:t>°</w:t>
            </w:r>
            <w:r>
              <w:rPr>
                <w:rFonts w:hint="default" w:ascii="Times New Roman" w:hAnsi="Times New Roman" w:cs="Times New Roman"/>
                <w:spacing w:val="4"/>
                <w:szCs w:val="28"/>
                <w:highlight w:val="none"/>
              </w:rPr>
              <w:t>。</w:t>
            </w:r>
          </w:p>
          <w:p w14:paraId="760A90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cs="Times New Roman"/>
                <w:b/>
                <w:bCs/>
                <w:color w:val="000000"/>
                <w:sz w:val="28"/>
                <w:szCs w:val="28"/>
              </w:rPr>
            </w:pPr>
            <w:r>
              <w:rPr>
                <w:rFonts w:hint="eastAsia" w:cs="Times New Roman"/>
                <w:b/>
                <w:bCs/>
                <w:color w:val="000000"/>
                <w:sz w:val="28"/>
                <w:szCs w:val="28"/>
                <w:lang w:val="en-US" w:eastAsia="zh-CN"/>
              </w:rPr>
              <w:t>4</w:t>
            </w:r>
            <w:r>
              <w:rPr>
                <w:rFonts w:hint="default" w:cs="Times New Roman"/>
                <w:b/>
                <w:bCs/>
                <w:color w:val="000000"/>
                <w:sz w:val="28"/>
                <w:szCs w:val="28"/>
              </w:rPr>
              <w:t>防沙治沙</w:t>
            </w:r>
          </w:p>
          <w:p w14:paraId="0C71BA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highlight w:val="none"/>
              </w:rPr>
            </w:pPr>
            <w:r>
              <w:rPr>
                <w:rFonts w:hint="eastAsia" w:cs="Times New Roman"/>
                <w:b/>
                <w:bCs/>
                <w:szCs w:val="28"/>
                <w:highlight w:val="none"/>
                <w:lang w:val="en-US" w:eastAsia="zh-CN"/>
              </w:rPr>
              <w:t>4</w:t>
            </w:r>
            <w:r>
              <w:rPr>
                <w:rFonts w:hint="default" w:ascii="Times New Roman" w:hAnsi="Times New Roman" w:cs="Times New Roman"/>
                <w:b/>
                <w:bCs/>
                <w:szCs w:val="28"/>
                <w:highlight w:val="none"/>
              </w:rPr>
              <w:t>.1项目建设对沙化土地的影响</w:t>
            </w:r>
          </w:p>
          <w:p w14:paraId="7E28CD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rPr>
              <w:t>项目</w:t>
            </w:r>
            <w:r>
              <w:rPr>
                <w:rFonts w:hint="eastAsia" w:cs="Times New Roman"/>
                <w:sz w:val="24"/>
                <w:szCs w:val="24"/>
                <w:highlight w:val="none"/>
                <w:lang w:val="en-US" w:eastAsia="zh-CN"/>
              </w:rPr>
              <w:t>选址</w:t>
            </w:r>
            <w:r>
              <w:rPr>
                <w:rFonts w:hint="default" w:ascii="Times New Roman" w:hAnsi="Times New Roman" w:eastAsia="宋体" w:cs="Times New Roman"/>
                <w:sz w:val="24"/>
                <w:szCs w:val="24"/>
                <w:highlight w:val="none"/>
              </w:rPr>
              <w:t>位于</w:t>
            </w:r>
            <w:r>
              <w:rPr>
                <w:rFonts w:hint="eastAsia" w:cs="Times New Roman"/>
                <w:kern w:val="2"/>
                <w:szCs w:val="24"/>
                <w:lang w:val="en-US" w:eastAsia="zh-CN"/>
              </w:rPr>
              <w:t>新疆维吾尔自治区巴音郭楞蒙古自治州轮台县城北偏东方向，直线距离约33 km，西距阳霞镇3.5km，阳霞矿区110 KV变电所西部约2公里处</w:t>
            </w:r>
            <w:r>
              <w:rPr>
                <w:rFonts w:hint="default" w:ascii="Times New Roman" w:hAnsi="Times New Roman" w:eastAsia="宋体" w:cs="Times New Roman"/>
                <w:snapToGrid w:val="0"/>
                <w:sz w:val="24"/>
                <w:szCs w:val="24"/>
                <w:highlight w:val="none"/>
              </w:rPr>
              <w:t>，属</w:t>
            </w:r>
            <w:r>
              <w:rPr>
                <w:rFonts w:hint="eastAsia" w:cs="Times New Roman"/>
                <w:snapToGrid w:val="0"/>
                <w:sz w:val="24"/>
                <w:szCs w:val="24"/>
                <w:highlight w:val="none"/>
                <w:lang w:val="en-US" w:eastAsia="zh-CN"/>
              </w:rPr>
              <w:t>轮台县</w:t>
            </w:r>
            <w:r>
              <w:rPr>
                <w:rFonts w:hint="default" w:ascii="Times New Roman" w:hAnsi="Times New Roman" w:eastAsia="宋体" w:cs="Times New Roman"/>
                <w:snapToGrid w:val="0"/>
                <w:sz w:val="24"/>
                <w:szCs w:val="24"/>
                <w:highlight w:val="none"/>
              </w:rPr>
              <w:t>管辖。区域地表几乎全部为</w:t>
            </w:r>
            <w:r>
              <w:rPr>
                <w:rFonts w:hint="eastAsia" w:ascii="Times New Roman" w:hAnsi="Times New Roman" w:eastAsia="宋体" w:cs="Times New Roman"/>
                <w:snapToGrid w:val="0"/>
                <w:sz w:val="24"/>
                <w:szCs w:val="24"/>
                <w:highlight w:val="none"/>
                <w:lang w:eastAsia="zh-CN"/>
              </w:rPr>
              <w:t>戈壁</w:t>
            </w:r>
            <w:r>
              <w:rPr>
                <w:rFonts w:hint="default" w:ascii="Times New Roman" w:hAnsi="Times New Roman" w:eastAsia="宋体" w:cs="Times New Roman"/>
                <w:snapToGrid w:val="0"/>
                <w:sz w:val="24"/>
                <w:szCs w:val="24"/>
                <w:highlight w:val="none"/>
              </w:rPr>
              <w:t>，周边无耕地、林地、牧草地及农用地等土壤环境敏感目标</w:t>
            </w:r>
            <w:r>
              <w:rPr>
                <w:rFonts w:hint="default" w:ascii="Times New Roman" w:hAnsi="Times New Roman" w:eastAsia="宋体" w:cs="Times New Roman"/>
                <w:snapToGrid w:val="0"/>
                <w:sz w:val="24"/>
                <w:szCs w:val="24"/>
                <w:highlight w:val="none"/>
                <w:lang w:eastAsia="zh-CN"/>
              </w:rPr>
              <w:t>。</w:t>
            </w:r>
            <w:r>
              <w:rPr>
                <w:rFonts w:hint="default" w:ascii="Times New Roman" w:hAnsi="Times New Roman" w:eastAsia="宋体" w:cs="Times New Roman"/>
                <w:snapToGrid w:val="0"/>
                <w:sz w:val="24"/>
                <w:szCs w:val="24"/>
                <w:highlight w:val="none"/>
                <w:lang w:val="en-US" w:eastAsia="zh-CN"/>
              </w:rPr>
              <w:t>项目区</w:t>
            </w:r>
            <w:r>
              <w:rPr>
                <w:rFonts w:hint="default" w:ascii="Times New Roman" w:hAnsi="Times New Roman" w:eastAsia="宋体" w:cs="Times New Roman"/>
                <w:snapToGrid w:val="0"/>
                <w:sz w:val="24"/>
                <w:szCs w:val="24"/>
                <w:highlight w:val="none"/>
              </w:rPr>
              <w:t>土壤水分条件较差，可垦性和土地利用率低，土壤肥力及有机质含量较低</w:t>
            </w:r>
            <w:r>
              <w:rPr>
                <w:rFonts w:hint="default" w:ascii="Times New Roman" w:hAnsi="Times New Roman" w:eastAsia="宋体" w:cs="Times New Roman"/>
                <w:snapToGrid w:val="0"/>
                <w:sz w:val="24"/>
                <w:szCs w:val="24"/>
                <w:highlight w:val="none"/>
                <w:lang w:eastAsia="zh-CN"/>
              </w:rPr>
              <w:t>，</w:t>
            </w:r>
            <w:r>
              <w:rPr>
                <w:rFonts w:hint="default" w:ascii="Times New Roman" w:hAnsi="Times New Roman" w:eastAsia="宋体" w:cs="Times New Roman"/>
                <w:color w:val="000000"/>
                <w:sz w:val="24"/>
                <w:szCs w:val="24"/>
                <w:highlight w:val="none"/>
              </w:rPr>
              <w:t>沙化情况不明显。</w:t>
            </w:r>
          </w:p>
          <w:p w14:paraId="233DAA37">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b/>
                <w:bCs/>
                <w:color w:val="000000"/>
                <w:sz w:val="24"/>
                <w:szCs w:val="24"/>
                <w:highlight w:val="none"/>
              </w:rPr>
            </w:pPr>
            <w:r>
              <w:rPr>
                <w:rFonts w:hint="eastAsia" w:cs="Times New Roman"/>
                <w:spacing w:val="4"/>
                <w:sz w:val="24"/>
                <w:szCs w:val="24"/>
                <w:highlight w:val="none"/>
                <w:lang w:val="en-US" w:eastAsia="zh-CN"/>
              </w:rPr>
              <w:t>项目建设改变</w:t>
            </w:r>
            <w:r>
              <w:rPr>
                <w:rFonts w:hint="default" w:ascii="Times New Roman" w:hAnsi="Times New Roman" w:eastAsia="宋体" w:cs="Times New Roman"/>
                <w:spacing w:val="4"/>
                <w:sz w:val="24"/>
                <w:szCs w:val="24"/>
                <w:highlight w:val="none"/>
              </w:rPr>
              <w:t>原有地表，必然会对原有土壤结构形成扰动，其结果会使土壤原有的土层发生紊乱，团粒结构破坏，土壤毛细管断裂，将破坏表层植被，同时破坏腐殖层，区域地表呈现裸露状态，将造成土地沙化及水土流失等，使土地的生物生产潜力逐渐衰减消失，在刮风下雨天气易造成水</w:t>
            </w:r>
            <w:r>
              <w:rPr>
                <w:rFonts w:hint="default" w:ascii="Times New Roman" w:hAnsi="Times New Roman" w:eastAsia="宋体" w:cs="Times New Roman"/>
                <w:color w:val="auto"/>
                <w:spacing w:val="4"/>
                <w:sz w:val="24"/>
                <w:szCs w:val="24"/>
                <w:highlight w:val="none"/>
              </w:rPr>
              <w:t>土流失，不但污染矿区景观环境，而且加剧土壤、植被的侵蚀。</w:t>
            </w:r>
            <w:r>
              <w:rPr>
                <w:rFonts w:hint="default" w:ascii="Times New Roman" w:hAnsi="Times New Roman" w:eastAsia="宋体" w:cs="Times New Roman"/>
                <w:spacing w:val="4"/>
                <w:sz w:val="24"/>
                <w:szCs w:val="24"/>
                <w:highlight w:val="none"/>
                <w:lang w:eastAsia="zh-CN"/>
              </w:rPr>
              <w:t>且土地沙漠化会导致自然灾害加剧，沙尘暴频发，影响周边居民生产生活。</w:t>
            </w:r>
          </w:p>
          <w:p w14:paraId="7F578527">
            <w:pPr>
              <w:keepNext w:val="0"/>
              <w:keepLines w:val="0"/>
              <w:pageBreakBefore w:val="0"/>
              <w:widowControl w:val="0"/>
              <w:tabs>
                <w:tab w:val="left" w:pos="6987"/>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Cs w:val="28"/>
                <w:highlight w:val="none"/>
                <w:lang w:val="en-US" w:eastAsia="zh-CN"/>
              </w:rPr>
            </w:pPr>
            <w:r>
              <w:rPr>
                <w:rFonts w:hint="default" w:ascii="Times New Roman" w:hAnsi="Times New Roman" w:cs="Times New Roman"/>
                <w:b/>
                <w:bCs/>
                <w:color w:val="000000"/>
                <w:szCs w:val="28"/>
                <w:highlight w:val="none"/>
                <w:lang w:val="en-US" w:eastAsia="zh-CN"/>
              </w:rPr>
              <w:t>3</w:t>
            </w:r>
            <w:r>
              <w:rPr>
                <w:rFonts w:hint="default" w:ascii="Times New Roman" w:hAnsi="Times New Roman" w:cs="Times New Roman"/>
                <w:b/>
                <w:bCs/>
                <w:color w:val="000000"/>
                <w:szCs w:val="28"/>
                <w:highlight w:val="none"/>
              </w:rPr>
              <w:t>.2防沙治沙措施</w:t>
            </w:r>
            <w:r>
              <w:rPr>
                <w:rFonts w:hint="default" w:ascii="Times New Roman" w:hAnsi="Times New Roman" w:cs="Times New Roman"/>
                <w:b/>
                <w:bCs/>
                <w:color w:val="000000"/>
                <w:szCs w:val="28"/>
                <w:highlight w:val="none"/>
                <w:lang w:eastAsia="zh-CN"/>
              </w:rPr>
              <w:tab/>
            </w:r>
            <w:r>
              <w:rPr>
                <w:rFonts w:hint="default" w:ascii="Times New Roman" w:hAnsi="Times New Roman" w:cs="Times New Roman"/>
                <w:b/>
                <w:bCs/>
                <w:szCs w:val="28"/>
                <w:highlight w:val="none"/>
                <w:lang w:val="en-US" w:eastAsia="zh-CN"/>
              </w:rPr>
              <w:t xml:space="preserve"> </w:t>
            </w:r>
          </w:p>
          <w:p w14:paraId="632EC44C">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为防止土地沙化建设单位应采取以下预防措施：</w:t>
            </w:r>
          </w:p>
          <w:p w14:paraId="2F54995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96" w:firstLineChars="200"/>
              <w:textAlignment w:val="auto"/>
              <w:rPr>
                <w:rFonts w:hint="default" w:ascii="Times New Roman" w:hAnsi="Times New Roman" w:cs="Times New Roman"/>
                <w:spacing w:val="4"/>
                <w:szCs w:val="28"/>
                <w:highlight w:val="none"/>
              </w:rPr>
            </w:pPr>
            <w:r>
              <w:rPr>
                <w:rFonts w:hint="eastAsia" w:cs="Times New Roman"/>
                <w:spacing w:val="4"/>
                <w:szCs w:val="28"/>
                <w:highlight w:val="none"/>
                <w:lang w:val="en-US" w:eastAsia="zh-CN"/>
              </w:rPr>
              <w:t>日常运维</w:t>
            </w:r>
            <w:r>
              <w:rPr>
                <w:rFonts w:hint="default" w:ascii="Times New Roman" w:hAnsi="Times New Roman" w:cs="Times New Roman"/>
                <w:spacing w:val="4"/>
                <w:szCs w:val="28"/>
                <w:highlight w:val="none"/>
              </w:rPr>
              <w:t>尽可能减少对不必要区域的扰动，严格控制</w:t>
            </w:r>
            <w:r>
              <w:rPr>
                <w:rFonts w:hint="eastAsia" w:cs="Times New Roman"/>
                <w:spacing w:val="4"/>
                <w:szCs w:val="28"/>
                <w:highlight w:val="none"/>
                <w:lang w:val="en-US" w:eastAsia="zh-CN"/>
              </w:rPr>
              <w:t>巡护路线</w:t>
            </w:r>
            <w:r>
              <w:rPr>
                <w:rFonts w:hint="default" w:ascii="Times New Roman" w:hAnsi="Times New Roman" w:cs="Times New Roman"/>
                <w:spacing w:val="4"/>
                <w:szCs w:val="28"/>
                <w:highlight w:val="none"/>
              </w:rPr>
              <w:t>，减少</w:t>
            </w:r>
            <w:r>
              <w:rPr>
                <w:rFonts w:hint="eastAsia" w:cs="Times New Roman"/>
                <w:spacing w:val="4"/>
                <w:szCs w:val="28"/>
                <w:highlight w:val="none"/>
                <w:lang w:val="en-US" w:eastAsia="zh-CN"/>
              </w:rPr>
              <w:t>人为活动造成土壤</w:t>
            </w:r>
            <w:r>
              <w:rPr>
                <w:rFonts w:hint="default" w:ascii="Times New Roman" w:hAnsi="Times New Roman" w:cs="Times New Roman"/>
                <w:spacing w:val="4"/>
                <w:szCs w:val="28"/>
                <w:highlight w:val="none"/>
              </w:rPr>
              <w:t>风沙的流动</w:t>
            </w:r>
            <w:r>
              <w:rPr>
                <w:rFonts w:hint="default" w:ascii="Times New Roman" w:hAnsi="Times New Roman" w:cs="Times New Roman"/>
                <w:spacing w:val="4"/>
                <w:szCs w:val="28"/>
                <w:highlight w:val="none"/>
                <w:lang w:eastAsia="zh-CN"/>
              </w:rPr>
              <w:t>。</w:t>
            </w:r>
          </w:p>
          <w:p w14:paraId="6B656C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cs="Times New Roman"/>
                <w:highlight w:val="none"/>
              </w:rPr>
            </w:pPr>
            <w:r>
              <w:rPr>
                <w:rFonts w:hint="default" w:ascii="Times New Roman" w:hAnsi="Times New Roman" w:eastAsia="宋体" w:cs="Times New Roman"/>
                <w:szCs w:val="22"/>
                <w:highlight w:val="none"/>
                <w:lang w:eastAsia="zh-CN"/>
              </w:rPr>
              <w:t>（</w:t>
            </w:r>
            <w:r>
              <w:rPr>
                <w:rFonts w:hint="default" w:ascii="Times New Roman" w:hAnsi="Times New Roman" w:eastAsia="宋体" w:cs="Times New Roman"/>
                <w:szCs w:val="22"/>
                <w:highlight w:val="none"/>
                <w:lang w:val="en-US" w:eastAsia="zh-CN"/>
              </w:rPr>
              <w:t>2</w:t>
            </w:r>
            <w:r>
              <w:rPr>
                <w:rFonts w:hint="default" w:ascii="Times New Roman" w:hAnsi="Times New Roman" w:eastAsia="宋体" w:cs="Times New Roman"/>
                <w:szCs w:val="22"/>
                <w:highlight w:val="none"/>
                <w:lang w:eastAsia="zh-CN"/>
              </w:rPr>
              <w:t>）</w:t>
            </w:r>
            <w:r>
              <w:rPr>
                <w:rFonts w:hint="eastAsia" w:cs="Times New Roman"/>
                <w:szCs w:val="22"/>
                <w:highlight w:val="none"/>
                <w:lang w:val="en-US" w:eastAsia="zh-CN"/>
              </w:rPr>
              <w:t>日常巡护</w:t>
            </w:r>
            <w:r>
              <w:rPr>
                <w:rFonts w:hint="default" w:ascii="Times New Roman" w:hAnsi="Times New Roman" w:eastAsia="宋体" w:cs="Times New Roman"/>
                <w:szCs w:val="22"/>
                <w:highlight w:val="none"/>
                <w:lang w:eastAsia="zh-CN"/>
              </w:rPr>
              <w:t>路线</w:t>
            </w:r>
            <w:r>
              <w:rPr>
                <w:rFonts w:hint="default" w:ascii="Times New Roman" w:hAnsi="Times New Roman" w:eastAsia="宋体" w:cs="Times New Roman"/>
                <w:szCs w:val="22"/>
                <w:highlight w:val="none"/>
              </w:rPr>
              <w:t>应尽可能避开植被生长相对</w:t>
            </w:r>
            <w:r>
              <w:rPr>
                <w:rFonts w:hint="default" w:ascii="Times New Roman" w:hAnsi="Times New Roman" w:eastAsia="宋体" w:cs="Times New Roman"/>
                <w:szCs w:val="22"/>
                <w:highlight w:val="none"/>
                <w:lang w:val="en-US" w:eastAsia="zh-CN"/>
              </w:rPr>
              <w:t>繁茂的地方，</w:t>
            </w:r>
            <w:r>
              <w:rPr>
                <w:rFonts w:hint="default" w:ascii="Times New Roman" w:hAnsi="Times New Roman" w:eastAsia="宋体" w:cs="Times New Roman"/>
                <w:szCs w:val="22"/>
                <w:highlight w:val="none"/>
              </w:rPr>
              <w:t>禁止随意破坏</w:t>
            </w:r>
            <w:r>
              <w:rPr>
                <w:rFonts w:hint="default" w:ascii="Times New Roman" w:hAnsi="Times New Roman" w:eastAsia="宋体" w:cs="Times New Roman"/>
                <w:szCs w:val="22"/>
                <w:highlight w:val="none"/>
                <w:lang w:eastAsia="zh-CN"/>
              </w:rPr>
              <w:t>现有</w:t>
            </w:r>
            <w:r>
              <w:rPr>
                <w:rFonts w:hint="default" w:ascii="Times New Roman" w:hAnsi="Times New Roman" w:eastAsia="宋体" w:cs="Times New Roman"/>
                <w:szCs w:val="22"/>
                <w:highlight w:val="none"/>
              </w:rPr>
              <w:t>自然植被</w:t>
            </w:r>
            <w:r>
              <w:rPr>
                <w:rFonts w:hint="default" w:ascii="Times New Roman" w:hAnsi="Times New Roman" w:eastAsia="宋体" w:cs="Times New Roman"/>
                <w:szCs w:val="22"/>
                <w:highlight w:val="none"/>
                <w:lang w:eastAsia="zh-CN"/>
              </w:rPr>
              <w:t>。</w:t>
            </w:r>
          </w:p>
          <w:p w14:paraId="2C2DF109">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szCs w:val="28"/>
                <w:highlight w:val="none"/>
                <w:lang w:eastAsia="zh-CN"/>
              </w:rPr>
            </w:pPr>
            <w:r>
              <w:rPr>
                <w:rFonts w:hint="default" w:ascii="Times New Roman" w:hAnsi="Times New Roman" w:cs="Times New Roman"/>
                <w:spacing w:val="4"/>
                <w:szCs w:val="28"/>
                <w:highlight w:val="none"/>
              </w:rPr>
              <w:t>（</w:t>
            </w:r>
            <w:r>
              <w:rPr>
                <w:rFonts w:hint="eastAsia" w:cs="Times New Roman"/>
                <w:spacing w:val="4"/>
                <w:szCs w:val="28"/>
                <w:highlight w:val="none"/>
                <w:lang w:val="en-US" w:eastAsia="zh-CN"/>
              </w:rPr>
              <w:t>3</w:t>
            </w:r>
            <w:r>
              <w:rPr>
                <w:rFonts w:hint="default" w:ascii="Times New Roman" w:hAnsi="Times New Roman" w:cs="Times New Roman"/>
                <w:spacing w:val="4"/>
                <w:szCs w:val="28"/>
                <w:highlight w:val="none"/>
              </w:rPr>
              <w:t>）实行</w:t>
            </w:r>
            <w:r>
              <w:rPr>
                <w:rFonts w:hint="eastAsia" w:cs="Times New Roman"/>
                <w:spacing w:val="4"/>
                <w:szCs w:val="28"/>
                <w:highlight w:val="none"/>
                <w:lang w:val="en-US" w:eastAsia="zh-CN"/>
              </w:rPr>
              <w:t>全过程</w:t>
            </w:r>
            <w:r>
              <w:rPr>
                <w:rFonts w:hint="default" w:ascii="Times New Roman" w:hAnsi="Times New Roman" w:cs="Times New Roman"/>
                <w:spacing w:val="4"/>
                <w:szCs w:val="28"/>
                <w:highlight w:val="none"/>
              </w:rPr>
              <w:t>管理，加强员工环保意识教育</w:t>
            </w:r>
            <w:r>
              <w:rPr>
                <w:rFonts w:hint="default" w:ascii="Times New Roman" w:hAnsi="Times New Roman" w:cs="Times New Roman"/>
                <w:spacing w:val="4"/>
                <w:szCs w:val="28"/>
                <w:highlight w:val="none"/>
                <w:lang w:eastAsia="zh-CN"/>
              </w:rPr>
              <w:t>，</w:t>
            </w:r>
            <w:r>
              <w:rPr>
                <w:rFonts w:hint="default" w:ascii="Times New Roman" w:hAnsi="Times New Roman" w:cs="Times New Roman"/>
                <w:highlight w:val="none"/>
              </w:rPr>
              <w:t>对</w:t>
            </w:r>
            <w:r>
              <w:rPr>
                <w:rFonts w:hint="eastAsia" w:cs="Times New Roman"/>
                <w:highlight w:val="none"/>
                <w:lang w:val="en-US" w:eastAsia="zh-CN"/>
              </w:rPr>
              <w:t>巡护</w:t>
            </w:r>
            <w:r>
              <w:rPr>
                <w:rFonts w:hint="default" w:ascii="Times New Roman" w:hAnsi="Times New Roman" w:cs="Times New Roman"/>
                <w:highlight w:val="none"/>
              </w:rPr>
              <w:t>过程进行严格把控，对</w:t>
            </w:r>
            <w:r>
              <w:rPr>
                <w:rFonts w:hint="eastAsia" w:cs="Times New Roman"/>
                <w:highlight w:val="none"/>
                <w:lang w:val="en-US" w:eastAsia="zh-CN"/>
              </w:rPr>
              <w:t>输煤廊道沿线</w:t>
            </w:r>
            <w:r>
              <w:rPr>
                <w:rFonts w:hint="default" w:ascii="Times New Roman" w:hAnsi="Times New Roman" w:cs="Times New Roman"/>
                <w:highlight w:val="none"/>
              </w:rPr>
              <w:t>及时进行洒水，防止由风引起的沙尘</w:t>
            </w:r>
            <w:r>
              <w:rPr>
                <w:rFonts w:hint="default" w:ascii="Times New Roman" w:hAnsi="Times New Roman" w:cs="Times New Roman"/>
                <w:highlight w:val="none"/>
                <w:lang w:eastAsia="zh-CN"/>
              </w:rPr>
              <w:t>。</w:t>
            </w:r>
          </w:p>
          <w:p w14:paraId="2D6A3019">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spacing w:val="4"/>
                <w:szCs w:val="28"/>
                <w:highlight w:val="none"/>
              </w:rPr>
            </w:pPr>
            <w:r>
              <w:rPr>
                <w:rFonts w:hint="default" w:ascii="Times New Roman" w:hAnsi="Times New Roman" w:cs="Times New Roman"/>
                <w:spacing w:val="4"/>
                <w:szCs w:val="28"/>
                <w:highlight w:val="none"/>
              </w:rPr>
              <w:t>（</w:t>
            </w:r>
            <w:r>
              <w:rPr>
                <w:rFonts w:hint="eastAsia" w:cs="Times New Roman"/>
                <w:spacing w:val="4"/>
                <w:szCs w:val="28"/>
                <w:highlight w:val="none"/>
                <w:lang w:val="en-US" w:eastAsia="zh-CN"/>
              </w:rPr>
              <w:t>4</w:t>
            </w:r>
            <w:r>
              <w:rPr>
                <w:rFonts w:hint="default" w:ascii="Times New Roman" w:hAnsi="Times New Roman" w:cs="Times New Roman"/>
                <w:spacing w:val="4"/>
                <w:szCs w:val="28"/>
                <w:highlight w:val="none"/>
              </w:rPr>
              <w:t>）加强运营期的环境监测工作，严格按照设计要求和规范划定开采场地，运输车辆要在规定的线路上行驶，以减少对表土和植被的破坏。</w:t>
            </w:r>
          </w:p>
          <w:p w14:paraId="129E7AB0">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cs="Times New Roman"/>
                <w:spacing w:val="4"/>
                <w:szCs w:val="28"/>
                <w:highlight w:val="none"/>
                <w:lang w:val="en-US" w:eastAsia="zh-CN"/>
              </w:rPr>
            </w:pPr>
          </w:p>
        </w:tc>
      </w:tr>
      <w:tr w14:paraId="71005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tcBorders>
              <w:tl2br w:val="nil"/>
              <w:tr2bl w:val="nil"/>
            </w:tcBorders>
            <w:vAlign w:val="center"/>
          </w:tcPr>
          <w:p w14:paraId="3F8FAFDE">
            <w:pPr>
              <w:pStyle w:val="17"/>
              <w:bidi w:val="0"/>
              <w:ind w:right="0" w:rightChars="0" w:firstLine="0" w:firstLineChars="0"/>
              <w:jc w:val="center"/>
              <w:rPr>
                <w:rFonts w:hint="eastAsia" w:cs="宋体"/>
                <w:b/>
                <w:bCs/>
                <w:sz w:val="24"/>
                <w:szCs w:val="32"/>
                <w:lang w:val="en-US" w:eastAsia="zh-CN" w:bidi="ar-SA"/>
              </w:rPr>
            </w:pPr>
            <w:r>
              <w:rPr>
                <w:rFonts w:hint="eastAsia" w:cs="宋体"/>
                <w:b/>
                <w:bCs/>
                <w:sz w:val="24"/>
                <w:szCs w:val="32"/>
                <w:lang w:val="en-US" w:eastAsia="zh-CN" w:bidi="ar-SA"/>
              </w:rPr>
              <w:t>环保投资</w:t>
            </w:r>
          </w:p>
        </w:tc>
        <w:tc>
          <w:tcPr>
            <w:tcW w:w="7944" w:type="dxa"/>
            <w:tcBorders>
              <w:tl2br w:val="nil"/>
              <w:tr2bl w:val="nil"/>
            </w:tcBorders>
            <w:vAlign w:val="top"/>
          </w:tcPr>
          <w:p w14:paraId="22A65ED1">
            <w:pPr>
              <w:pStyle w:val="3"/>
              <w:numPr>
                <w:ilvl w:val="0"/>
                <w:numId w:val="0"/>
              </w:numPr>
              <w:suppressLineNumbers w:val="0"/>
              <w:bidi w:val="0"/>
              <w:spacing w:before="0" w:beforeAutospacing="0" w:after="0" w:afterAutospacing="0"/>
              <w:ind w:left="0" w:leftChars="0" w:right="0" w:rightChars="0"/>
              <w:rPr>
                <w:rFonts w:hint="eastAsia"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5.环保投资</w:t>
            </w:r>
          </w:p>
          <w:p w14:paraId="6C12E1F6">
            <w:pPr>
              <w:bidi w:val="0"/>
              <w:rPr>
                <w:rFonts w:hint="default" w:eastAsia="宋体"/>
                <w:lang w:val="en-US" w:eastAsia="zh-CN"/>
              </w:rPr>
            </w:pPr>
            <w:r>
              <w:rPr>
                <w:rFonts w:hint="default" w:cs="Times New Roman"/>
                <w:color w:val="000000"/>
              </w:rPr>
              <w:t>据项目工程环境状况及本评价报告中所提出的各种环境保护措施，估算本工程环境保护投资。施工期和运营期采取的主要环保措施及费用估算列表</w:t>
            </w:r>
            <w:r>
              <w:rPr>
                <w:rFonts w:hint="eastAsia" w:cs="Times New Roman"/>
                <w:color w:val="000000"/>
                <w:lang w:val="en-US" w:eastAsia="zh-CN"/>
              </w:rPr>
              <w:t>5-4。</w:t>
            </w:r>
          </w:p>
          <w:p w14:paraId="2BEE6FDF">
            <w:pPr>
              <w:pStyle w:val="13"/>
              <w:bidi w:val="0"/>
              <w:rPr>
                <w:rFonts w:hint="eastAsia"/>
                <w:lang w:val="en-US" w:eastAsia="zh-CN"/>
              </w:rPr>
            </w:pPr>
            <w:r>
              <w:rPr>
                <w:rFonts w:hint="eastAsia"/>
                <w:lang w:val="en-US" w:eastAsia="zh-CN"/>
              </w:rPr>
              <w:t xml:space="preserve">表5-4  </w:t>
            </w:r>
            <w:r>
              <w:rPr>
                <w:rFonts w:hint="eastAsia"/>
              </w:rPr>
              <w:t>工程主要环保投资概算</w:t>
            </w:r>
          </w:p>
          <w:tbl>
            <w:tblPr>
              <w:tblStyle w:val="42"/>
              <w:tblW w:w="4998" w:type="pct"/>
              <w:tblInd w:w="-5"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60"/>
              <w:gridCol w:w="1876"/>
              <w:gridCol w:w="3405"/>
              <w:gridCol w:w="1608"/>
            </w:tblGrid>
            <w:tr w14:paraId="02A563C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trPr>
              <w:tc>
                <w:tcPr>
                  <w:tcW w:w="773" w:type="pct"/>
                  <w:tcBorders>
                    <w:tl2br w:val="nil"/>
                    <w:tr2bl w:val="nil"/>
                  </w:tcBorders>
                  <w:shd w:val="clear" w:color="auto" w:fill="auto"/>
                  <w:noWrap w:val="0"/>
                  <w:vAlign w:val="center"/>
                </w:tcPr>
                <w:p w14:paraId="62D6FEDF">
                  <w:pPr>
                    <w:pStyle w:val="5"/>
                    <w:bidi w:val="0"/>
                    <w:rPr>
                      <w:rFonts w:hint="default"/>
                      <w:b/>
                      <w:bCs w:val="0"/>
                      <w:color w:val="000000"/>
                      <w:lang w:val="en-US" w:eastAsia="zh-CN"/>
                    </w:rPr>
                  </w:pPr>
                  <w:r>
                    <w:rPr>
                      <w:rFonts w:hint="default"/>
                      <w:b/>
                      <w:bCs w:val="0"/>
                      <w:color w:val="000000"/>
                      <w:lang w:val="en-US" w:eastAsia="zh-CN"/>
                    </w:rPr>
                    <w:t>序号</w:t>
                  </w:r>
                </w:p>
              </w:tc>
              <w:tc>
                <w:tcPr>
                  <w:tcW w:w="1151" w:type="pct"/>
                  <w:tcBorders>
                    <w:tl2br w:val="nil"/>
                    <w:tr2bl w:val="nil"/>
                  </w:tcBorders>
                  <w:shd w:val="clear" w:color="auto" w:fill="auto"/>
                  <w:noWrap w:val="0"/>
                  <w:vAlign w:val="center"/>
                </w:tcPr>
                <w:p w14:paraId="00F69896">
                  <w:pPr>
                    <w:pStyle w:val="5"/>
                    <w:bidi w:val="0"/>
                    <w:rPr>
                      <w:rFonts w:hint="default"/>
                      <w:b/>
                      <w:bCs w:val="0"/>
                      <w:color w:val="000000"/>
                      <w:lang w:val="en-US" w:eastAsia="zh-CN"/>
                    </w:rPr>
                  </w:pPr>
                  <w:r>
                    <w:rPr>
                      <w:rFonts w:hint="eastAsia"/>
                      <w:b/>
                      <w:bCs w:val="0"/>
                      <w:color w:val="000000"/>
                      <w:lang w:val="en-US" w:eastAsia="zh-CN"/>
                    </w:rPr>
                    <w:t>类别</w:t>
                  </w:r>
                </w:p>
              </w:tc>
              <w:tc>
                <w:tcPr>
                  <w:tcW w:w="2088" w:type="pct"/>
                  <w:tcBorders>
                    <w:tl2br w:val="nil"/>
                    <w:tr2bl w:val="nil"/>
                  </w:tcBorders>
                  <w:shd w:val="clear" w:color="auto" w:fill="auto"/>
                  <w:noWrap w:val="0"/>
                  <w:vAlign w:val="center"/>
                </w:tcPr>
                <w:p w14:paraId="487E4128">
                  <w:pPr>
                    <w:pStyle w:val="5"/>
                    <w:bidi w:val="0"/>
                    <w:rPr>
                      <w:rFonts w:hint="eastAsia"/>
                      <w:b/>
                      <w:bCs w:val="0"/>
                      <w:color w:val="000000"/>
                      <w:lang w:val="en-US" w:eastAsia="zh-CN"/>
                    </w:rPr>
                  </w:pPr>
                  <w:r>
                    <w:rPr>
                      <w:rFonts w:hint="eastAsia"/>
                      <w:b/>
                      <w:bCs w:val="0"/>
                      <w:color w:val="000000"/>
                      <w:lang w:val="en-US" w:eastAsia="zh-CN"/>
                    </w:rPr>
                    <w:t>内容</w:t>
                  </w:r>
                </w:p>
              </w:tc>
              <w:tc>
                <w:tcPr>
                  <w:tcW w:w="986" w:type="pct"/>
                  <w:tcBorders>
                    <w:tl2br w:val="nil"/>
                    <w:tr2bl w:val="nil"/>
                  </w:tcBorders>
                  <w:shd w:val="clear" w:color="auto" w:fill="auto"/>
                  <w:noWrap w:val="0"/>
                  <w:vAlign w:val="center"/>
                </w:tcPr>
                <w:p w14:paraId="644DE682">
                  <w:pPr>
                    <w:pStyle w:val="5"/>
                    <w:bidi w:val="0"/>
                    <w:rPr>
                      <w:rFonts w:hint="eastAsia"/>
                      <w:b/>
                      <w:bCs w:val="0"/>
                      <w:color w:val="000000"/>
                      <w:lang w:val="en-US" w:eastAsia="zh-CN"/>
                    </w:rPr>
                  </w:pPr>
                  <w:r>
                    <w:rPr>
                      <w:rFonts w:hint="eastAsia"/>
                      <w:b/>
                      <w:bCs w:val="0"/>
                      <w:color w:val="000000"/>
                      <w:lang w:val="en-US" w:eastAsia="zh-CN"/>
                    </w:rPr>
                    <w:t>环保投资</w:t>
                  </w:r>
                </w:p>
                <w:p w14:paraId="5A041015">
                  <w:pPr>
                    <w:pStyle w:val="5"/>
                    <w:bidi w:val="0"/>
                    <w:rPr>
                      <w:rFonts w:hint="default"/>
                      <w:b/>
                      <w:bCs w:val="0"/>
                      <w:color w:val="000000"/>
                      <w:lang w:val="en-US" w:eastAsia="zh-CN"/>
                    </w:rPr>
                  </w:pPr>
                  <w:r>
                    <w:rPr>
                      <w:rFonts w:hint="eastAsia"/>
                      <w:b/>
                      <w:bCs w:val="0"/>
                      <w:color w:val="000000"/>
                      <w:lang w:val="en-US" w:eastAsia="zh-CN"/>
                    </w:rPr>
                    <w:t>（万元）</w:t>
                  </w:r>
                </w:p>
              </w:tc>
            </w:tr>
            <w:tr w14:paraId="5E423B7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trPr>
              <w:tc>
                <w:tcPr>
                  <w:tcW w:w="773" w:type="pct"/>
                  <w:vMerge w:val="restart"/>
                  <w:tcBorders>
                    <w:tl2br w:val="nil"/>
                    <w:tr2bl w:val="nil"/>
                  </w:tcBorders>
                  <w:shd w:val="clear" w:color="auto" w:fill="auto"/>
                  <w:noWrap w:val="0"/>
                  <w:vAlign w:val="center"/>
                </w:tcPr>
                <w:p w14:paraId="6A5E6D10">
                  <w:pPr>
                    <w:pStyle w:val="5"/>
                    <w:bidi w:val="0"/>
                    <w:rPr>
                      <w:rFonts w:hint="eastAsia"/>
                      <w:b w:val="0"/>
                      <w:color w:val="000000"/>
                      <w:lang w:val="en-US" w:eastAsia="zh-CN"/>
                    </w:rPr>
                  </w:pPr>
                  <w:r>
                    <w:rPr>
                      <w:rFonts w:hint="eastAsia"/>
                      <w:b w:val="0"/>
                      <w:color w:val="000000"/>
                      <w:lang w:val="en-US" w:eastAsia="zh-CN"/>
                    </w:rPr>
                    <w:t>施工期</w:t>
                  </w:r>
                </w:p>
              </w:tc>
              <w:tc>
                <w:tcPr>
                  <w:tcW w:w="1151" w:type="pct"/>
                  <w:tcBorders>
                    <w:tl2br w:val="nil"/>
                    <w:tr2bl w:val="nil"/>
                  </w:tcBorders>
                  <w:shd w:val="clear" w:color="auto" w:fill="auto"/>
                  <w:noWrap w:val="0"/>
                  <w:vAlign w:val="center"/>
                </w:tcPr>
                <w:p w14:paraId="2A53ACCE">
                  <w:pPr>
                    <w:pStyle w:val="5"/>
                    <w:bidi w:val="0"/>
                    <w:rPr>
                      <w:rFonts w:hint="eastAsia"/>
                      <w:b w:val="0"/>
                      <w:color w:val="000000"/>
                      <w:lang w:val="en-US" w:eastAsia="zh-CN"/>
                    </w:rPr>
                  </w:pPr>
                  <w:r>
                    <w:rPr>
                      <w:rFonts w:hint="eastAsia"/>
                      <w:b w:val="0"/>
                      <w:color w:val="000000"/>
                      <w:lang w:val="en-US" w:eastAsia="zh-CN"/>
                    </w:rPr>
                    <w:t>噪声治理</w:t>
                  </w:r>
                </w:p>
              </w:tc>
              <w:tc>
                <w:tcPr>
                  <w:tcW w:w="2088" w:type="pct"/>
                  <w:tcBorders>
                    <w:tl2br w:val="nil"/>
                    <w:tr2bl w:val="nil"/>
                  </w:tcBorders>
                  <w:shd w:val="clear" w:color="auto" w:fill="auto"/>
                  <w:noWrap w:val="0"/>
                  <w:vAlign w:val="center"/>
                </w:tcPr>
                <w:p w14:paraId="1F6BB202">
                  <w:pPr>
                    <w:pStyle w:val="5"/>
                    <w:bidi w:val="0"/>
                    <w:rPr>
                      <w:rFonts w:hint="default"/>
                      <w:b w:val="0"/>
                      <w:color w:val="000000"/>
                      <w:lang w:val="en-US" w:eastAsia="zh-CN"/>
                    </w:rPr>
                  </w:pPr>
                  <w:r>
                    <w:rPr>
                      <w:rFonts w:hint="eastAsia"/>
                      <w:b w:val="0"/>
                      <w:color w:val="000000"/>
                      <w:lang w:val="en-US" w:eastAsia="zh-CN"/>
                    </w:rPr>
                    <w:t>基础减振、消音</w:t>
                  </w:r>
                </w:p>
              </w:tc>
              <w:tc>
                <w:tcPr>
                  <w:tcW w:w="986" w:type="pct"/>
                  <w:tcBorders>
                    <w:tl2br w:val="nil"/>
                    <w:tr2bl w:val="nil"/>
                  </w:tcBorders>
                  <w:shd w:val="clear" w:color="auto" w:fill="auto"/>
                  <w:noWrap w:val="0"/>
                  <w:vAlign w:val="center"/>
                </w:tcPr>
                <w:p w14:paraId="790C14F4">
                  <w:pPr>
                    <w:pStyle w:val="5"/>
                    <w:bidi w:val="0"/>
                    <w:rPr>
                      <w:rFonts w:hint="default"/>
                      <w:b w:val="0"/>
                      <w:color w:val="000000"/>
                      <w:lang w:val="en-US" w:eastAsia="zh-CN"/>
                    </w:rPr>
                  </w:pPr>
                  <w:r>
                    <w:rPr>
                      <w:rFonts w:hint="eastAsia"/>
                      <w:b w:val="0"/>
                      <w:color w:val="000000"/>
                      <w:lang w:val="en-US" w:eastAsia="zh-CN"/>
                    </w:rPr>
                    <w:t>20</w:t>
                  </w:r>
                </w:p>
              </w:tc>
            </w:tr>
            <w:tr w14:paraId="15F5E43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773" w:type="pct"/>
                  <w:vMerge w:val="continue"/>
                  <w:tcBorders>
                    <w:tl2br w:val="nil"/>
                    <w:tr2bl w:val="nil"/>
                  </w:tcBorders>
                  <w:shd w:val="clear" w:color="auto" w:fill="auto"/>
                  <w:noWrap w:val="0"/>
                  <w:vAlign w:val="center"/>
                </w:tcPr>
                <w:p w14:paraId="7D27DA5E">
                  <w:pPr>
                    <w:pStyle w:val="5"/>
                    <w:bidi w:val="0"/>
                    <w:rPr>
                      <w:rFonts w:hint="eastAsia"/>
                      <w:b w:val="0"/>
                      <w:color w:val="000000"/>
                      <w:lang w:val="en-US" w:eastAsia="zh-CN"/>
                    </w:rPr>
                  </w:pPr>
                </w:p>
              </w:tc>
              <w:tc>
                <w:tcPr>
                  <w:tcW w:w="1151" w:type="pct"/>
                  <w:vMerge w:val="restart"/>
                  <w:tcBorders>
                    <w:tl2br w:val="nil"/>
                    <w:tr2bl w:val="nil"/>
                  </w:tcBorders>
                  <w:shd w:val="clear" w:color="auto" w:fill="auto"/>
                  <w:noWrap w:val="0"/>
                  <w:vAlign w:val="center"/>
                </w:tcPr>
                <w:p w14:paraId="0FEF1336">
                  <w:pPr>
                    <w:pStyle w:val="5"/>
                    <w:bidi w:val="0"/>
                    <w:rPr>
                      <w:rFonts w:hint="eastAsia"/>
                      <w:b w:val="0"/>
                      <w:color w:val="000000"/>
                      <w:lang w:val="en-US" w:eastAsia="zh-CN"/>
                    </w:rPr>
                  </w:pPr>
                  <w:r>
                    <w:rPr>
                      <w:rFonts w:hint="eastAsia"/>
                      <w:b w:val="0"/>
                      <w:color w:val="000000"/>
                      <w:lang w:val="en-US" w:eastAsia="zh-CN"/>
                    </w:rPr>
                    <w:t>固废治理</w:t>
                  </w:r>
                </w:p>
              </w:tc>
              <w:tc>
                <w:tcPr>
                  <w:tcW w:w="2088" w:type="pct"/>
                  <w:tcBorders>
                    <w:tl2br w:val="nil"/>
                    <w:tr2bl w:val="nil"/>
                  </w:tcBorders>
                  <w:shd w:val="clear" w:color="auto" w:fill="auto"/>
                  <w:noWrap w:val="0"/>
                  <w:vAlign w:val="center"/>
                </w:tcPr>
                <w:p w14:paraId="7579BB9F">
                  <w:pPr>
                    <w:pStyle w:val="5"/>
                    <w:bidi w:val="0"/>
                    <w:rPr>
                      <w:rFonts w:hint="default"/>
                      <w:b w:val="0"/>
                      <w:color w:val="000000"/>
                      <w:lang w:val="en-US" w:eastAsia="zh-CN"/>
                    </w:rPr>
                  </w:pPr>
                  <w:r>
                    <w:rPr>
                      <w:rFonts w:hint="eastAsia"/>
                      <w:b w:val="0"/>
                      <w:color w:val="000000"/>
                      <w:lang w:eastAsia="zh-CN"/>
                    </w:rPr>
                    <w:t>生活</w:t>
                  </w:r>
                  <w:r>
                    <w:rPr>
                      <w:rFonts w:hint="eastAsia"/>
                      <w:b w:val="0"/>
                      <w:color w:val="000000"/>
                    </w:rPr>
                    <w:t>垃圾清运</w:t>
                  </w:r>
                </w:p>
              </w:tc>
              <w:tc>
                <w:tcPr>
                  <w:tcW w:w="986" w:type="pct"/>
                  <w:tcBorders>
                    <w:tl2br w:val="nil"/>
                    <w:tr2bl w:val="nil"/>
                  </w:tcBorders>
                  <w:shd w:val="clear" w:color="auto" w:fill="auto"/>
                  <w:noWrap w:val="0"/>
                  <w:vAlign w:val="center"/>
                </w:tcPr>
                <w:p w14:paraId="624436D6">
                  <w:pPr>
                    <w:pStyle w:val="5"/>
                    <w:bidi w:val="0"/>
                    <w:rPr>
                      <w:rFonts w:hint="default"/>
                      <w:b w:val="0"/>
                      <w:color w:val="000000"/>
                      <w:lang w:val="en-US" w:eastAsia="zh-CN"/>
                    </w:rPr>
                  </w:pPr>
                  <w:r>
                    <w:rPr>
                      <w:rFonts w:hint="eastAsia"/>
                      <w:b w:val="0"/>
                      <w:color w:val="000000"/>
                      <w:lang w:val="en-US" w:eastAsia="zh-CN"/>
                    </w:rPr>
                    <w:t>2</w:t>
                  </w:r>
                </w:p>
              </w:tc>
            </w:tr>
            <w:tr w14:paraId="4031340C">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trPr>
              <w:tc>
                <w:tcPr>
                  <w:tcW w:w="773" w:type="pct"/>
                  <w:vMerge w:val="continue"/>
                  <w:tcBorders>
                    <w:tl2br w:val="nil"/>
                    <w:tr2bl w:val="nil"/>
                  </w:tcBorders>
                  <w:shd w:val="clear" w:color="auto" w:fill="auto"/>
                  <w:noWrap w:val="0"/>
                  <w:vAlign w:val="center"/>
                </w:tcPr>
                <w:p w14:paraId="075E458B">
                  <w:pPr>
                    <w:pStyle w:val="5"/>
                    <w:bidi w:val="0"/>
                    <w:rPr>
                      <w:rFonts w:hint="eastAsia"/>
                      <w:b w:val="0"/>
                      <w:color w:val="000000"/>
                      <w:lang w:val="en-US" w:eastAsia="zh-CN"/>
                    </w:rPr>
                  </w:pPr>
                </w:p>
              </w:tc>
              <w:tc>
                <w:tcPr>
                  <w:tcW w:w="1151" w:type="pct"/>
                  <w:vMerge w:val="continue"/>
                  <w:tcBorders>
                    <w:tl2br w:val="nil"/>
                    <w:tr2bl w:val="nil"/>
                  </w:tcBorders>
                  <w:shd w:val="clear" w:color="auto" w:fill="auto"/>
                  <w:noWrap w:val="0"/>
                  <w:vAlign w:val="center"/>
                </w:tcPr>
                <w:p w14:paraId="50E6DA77">
                  <w:pPr>
                    <w:pStyle w:val="5"/>
                    <w:bidi w:val="0"/>
                    <w:rPr>
                      <w:rFonts w:hint="eastAsia"/>
                      <w:b w:val="0"/>
                      <w:color w:val="000000"/>
                      <w:lang w:val="en-US" w:eastAsia="zh-CN"/>
                    </w:rPr>
                  </w:pPr>
                </w:p>
              </w:tc>
              <w:tc>
                <w:tcPr>
                  <w:tcW w:w="2088" w:type="pct"/>
                  <w:tcBorders>
                    <w:tl2br w:val="nil"/>
                    <w:tr2bl w:val="nil"/>
                  </w:tcBorders>
                  <w:shd w:val="clear" w:color="auto" w:fill="auto"/>
                  <w:noWrap w:val="0"/>
                  <w:vAlign w:val="center"/>
                </w:tcPr>
                <w:p w14:paraId="043FCF39">
                  <w:pPr>
                    <w:pStyle w:val="5"/>
                    <w:bidi w:val="0"/>
                    <w:rPr>
                      <w:rFonts w:hint="default"/>
                      <w:b w:val="0"/>
                      <w:color w:val="000000"/>
                      <w:lang w:val="en-US" w:eastAsia="zh-CN"/>
                    </w:rPr>
                  </w:pPr>
                  <w:r>
                    <w:rPr>
                      <w:rFonts w:hint="default"/>
                      <w:b w:val="0"/>
                      <w:color w:val="000000"/>
                      <w:lang w:eastAsia="zh-CN"/>
                    </w:rPr>
                    <w:t>施工建筑垃圾</w:t>
                  </w:r>
                </w:p>
              </w:tc>
              <w:tc>
                <w:tcPr>
                  <w:tcW w:w="986" w:type="pct"/>
                  <w:tcBorders>
                    <w:tl2br w:val="nil"/>
                    <w:tr2bl w:val="nil"/>
                  </w:tcBorders>
                  <w:shd w:val="clear" w:color="auto" w:fill="auto"/>
                  <w:noWrap w:val="0"/>
                  <w:vAlign w:val="center"/>
                </w:tcPr>
                <w:p w14:paraId="55EB4037">
                  <w:pPr>
                    <w:pStyle w:val="5"/>
                    <w:bidi w:val="0"/>
                    <w:rPr>
                      <w:rFonts w:hint="default"/>
                      <w:b w:val="0"/>
                      <w:color w:val="000000"/>
                      <w:lang w:val="en-US" w:eastAsia="zh-CN"/>
                    </w:rPr>
                  </w:pPr>
                  <w:r>
                    <w:rPr>
                      <w:rFonts w:hint="eastAsia"/>
                      <w:b w:val="0"/>
                      <w:color w:val="000000"/>
                      <w:lang w:val="en-US" w:eastAsia="zh-CN"/>
                    </w:rPr>
                    <w:t>150</w:t>
                  </w:r>
                </w:p>
              </w:tc>
            </w:tr>
            <w:tr w14:paraId="062C237A">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trPr>
              <w:tc>
                <w:tcPr>
                  <w:tcW w:w="773" w:type="pct"/>
                  <w:vMerge w:val="restart"/>
                  <w:tcBorders>
                    <w:tl2br w:val="nil"/>
                    <w:tr2bl w:val="nil"/>
                  </w:tcBorders>
                  <w:shd w:val="clear" w:color="auto" w:fill="auto"/>
                  <w:noWrap w:val="0"/>
                  <w:vAlign w:val="center"/>
                </w:tcPr>
                <w:p w14:paraId="2BA93FB7">
                  <w:pPr>
                    <w:pStyle w:val="5"/>
                    <w:bidi w:val="0"/>
                    <w:rPr>
                      <w:rFonts w:hint="default"/>
                      <w:b w:val="0"/>
                      <w:color w:val="000000"/>
                      <w:lang w:val="en-US" w:eastAsia="zh-CN"/>
                    </w:rPr>
                  </w:pPr>
                  <w:r>
                    <w:rPr>
                      <w:rFonts w:hint="eastAsia"/>
                      <w:b w:val="0"/>
                      <w:color w:val="000000"/>
                      <w:lang w:val="en-US" w:eastAsia="zh-CN"/>
                    </w:rPr>
                    <w:t>运营期</w:t>
                  </w:r>
                </w:p>
              </w:tc>
              <w:tc>
                <w:tcPr>
                  <w:tcW w:w="1151" w:type="pct"/>
                  <w:tcBorders>
                    <w:tl2br w:val="nil"/>
                    <w:tr2bl w:val="nil"/>
                  </w:tcBorders>
                  <w:shd w:val="clear" w:color="auto" w:fill="auto"/>
                  <w:noWrap w:val="0"/>
                  <w:vAlign w:val="center"/>
                </w:tcPr>
                <w:p w14:paraId="6A1E5F46">
                  <w:pPr>
                    <w:pStyle w:val="5"/>
                    <w:bidi w:val="0"/>
                    <w:rPr>
                      <w:rFonts w:hint="eastAsia"/>
                      <w:b w:val="0"/>
                      <w:color w:val="000000"/>
                      <w:lang w:val="en-US" w:eastAsia="zh-CN"/>
                    </w:rPr>
                  </w:pPr>
                  <w:r>
                    <w:rPr>
                      <w:rFonts w:hint="eastAsia"/>
                      <w:b w:val="0"/>
                      <w:color w:val="000000"/>
                      <w:lang w:val="en-US" w:eastAsia="zh-CN"/>
                    </w:rPr>
                    <w:t>噪声治理</w:t>
                  </w:r>
                </w:p>
              </w:tc>
              <w:tc>
                <w:tcPr>
                  <w:tcW w:w="2088" w:type="pct"/>
                  <w:tcBorders>
                    <w:tl2br w:val="nil"/>
                    <w:tr2bl w:val="nil"/>
                  </w:tcBorders>
                  <w:shd w:val="clear" w:color="auto" w:fill="auto"/>
                  <w:noWrap w:val="0"/>
                  <w:vAlign w:val="center"/>
                </w:tcPr>
                <w:p w14:paraId="336BA930">
                  <w:pPr>
                    <w:pStyle w:val="5"/>
                    <w:bidi w:val="0"/>
                    <w:rPr>
                      <w:rFonts w:hint="default"/>
                      <w:b w:val="0"/>
                      <w:color w:val="000000"/>
                      <w:lang w:val="en-US" w:eastAsia="zh-CN"/>
                    </w:rPr>
                  </w:pPr>
                  <w:r>
                    <w:rPr>
                      <w:rFonts w:hint="eastAsia"/>
                      <w:b w:val="0"/>
                      <w:color w:val="000000"/>
                      <w:lang w:val="en-US" w:eastAsia="zh-CN"/>
                    </w:rPr>
                    <w:t>基础减振</w:t>
                  </w:r>
                </w:p>
              </w:tc>
              <w:tc>
                <w:tcPr>
                  <w:tcW w:w="986" w:type="pct"/>
                  <w:tcBorders>
                    <w:tl2br w:val="nil"/>
                    <w:tr2bl w:val="nil"/>
                  </w:tcBorders>
                  <w:shd w:val="clear" w:color="auto" w:fill="auto"/>
                  <w:noWrap w:val="0"/>
                  <w:vAlign w:val="center"/>
                </w:tcPr>
                <w:p w14:paraId="6C6DA574">
                  <w:pPr>
                    <w:pStyle w:val="5"/>
                    <w:bidi w:val="0"/>
                    <w:rPr>
                      <w:rFonts w:hint="default"/>
                      <w:b w:val="0"/>
                      <w:color w:val="000000"/>
                      <w:lang w:val="en-US" w:eastAsia="zh-CN"/>
                    </w:rPr>
                  </w:pPr>
                  <w:r>
                    <w:rPr>
                      <w:rFonts w:hint="eastAsia"/>
                      <w:b w:val="0"/>
                      <w:color w:val="000000"/>
                      <w:lang w:val="en-US" w:eastAsia="zh-CN"/>
                    </w:rPr>
                    <w:t>160</w:t>
                  </w:r>
                </w:p>
              </w:tc>
            </w:tr>
            <w:tr w14:paraId="46E560B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3" w:hRule="atLeast"/>
              </w:trPr>
              <w:tc>
                <w:tcPr>
                  <w:tcW w:w="773" w:type="pct"/>
                  <w:vMerge w:val="continue"/>
                  <w:tcBorders>
                    <w:tl2br w:val="nil"/>
                    <w:tr2bl w:val="nil"/>
                  </w:tcBorders>
                  <w:shd w:val="clear" w:color="auto" w:fill="auto"/>
                  <w:noWrap w:val="0"/>
                  <w:vAlign w:val="center"/>
                </w:tcPr>
                <w:p w14:paraId="0F963E4D">
                  <w:pPr>
                    <w:pStyle w:val="5"/>
                    <w:bidi w:val="0"/>
                    <w:rPr>
                      <w:rFonts w:hint="eastAsia"/>
                      <w:b w:val="0"/>
                      <w:color w:val="000000"/>
                      <w:lang w:val="en-US" w:eastAsia="zh-CN"/>
                    </w:rPr>
                  </w:pPr>
                </w:p>
              </w:tc>
              <w:tc>
                <w:tcPr>
                  <w:tcW w:w="1151" w:type="pct"/>
                  <w:vMerge w:val="restart"/>
                  <w:tcBorders>
                    <w:tl2br w:val="nil"/>
                    <w:tr2bl w:val="nil"/>
                  </w:tcBorders>
                  <w:shd w:val="clear" w:color="auto" w:fill="auto"/>
                  <w:noWrap w:val="0"/>
                  <w:vAlign w:val="center"/>
                </w:tcPr>
                <w:p w14:paraId="3D476324">
                  <w:pPr>
                    <w:pStyle w:val="5"/>
                    <w:bidi w:val="0"/>
                    <w:rPr>
                      <w:rFonts w:hint="eastAsia"/>
                      <w:b w:val="0"/>
                      <w:color w:val="000000"/>
                      <w:lang w:val="en-US" w:eastAsia="zh-CN"/>
                    </w:rPr>
                  </w:pPr>
                  <w:r>
                    <w:rPr>
                      <w:rFonts w:hint="eastAsia"/>
                      <w:b w:val="0"/>
                      <w:color w:val="000000"/>
                      <w:lang w:val="en-US" w:eastAsia="zh-CN"/>
                    </w:rPr>
                    <w:t>废气治理</w:t>
                  </w:r>
                </w:p>
              </w:tc>
              <w:tc>
                <w:tcPr>
                  <w:tcW w:w="2088" w:type="pct"/>
                  <w:tcBorders>
                    <w:tl2br w:val="nil"/>
                    <w:tr2bl w:val="nil"/>
                  </w:tcBorders>
                  <w:shd w:val="clear" w:color="auto" w:fill="auto"/>
                  <w:noWrap w:val="0"/>
                  <w:vAlign w:val="center"/>
                </w:tcPr>
                <w:p w14:paraId="4EC3E70F">
                  <w:pPr>
                    <w:pStyle w:val="5"/>
                    <w:bidi w:val="0"/>
                    <w:rPr>
                      <w:rFonts w:hint="default"/>
                      <w:b w:val="0"/>
                      <w:color w:val="000000"/>
                      <w:lang w:val="en-US" w:eastAsia="zh-CN"/>
                    </w:rPr>
                  </w:pPr>
                  <w:r>
                    <w:rPr>
                      <w:rFonts w:hint="eastAsia"/>
                      <w:lang w:val="en-US" w:eastAsia="zh-CN"/>
                    </w:rPr>
                    <w:t>全封闭</w:t>
                  </w:r>
                  <w:r>
                    <w:rPr>
                      <w:rFonts w:hint="eastAsia"/>
                      <w:b w:val="0"/>
                      <w:color w:val="000000"/>
                      <w:lang w:val="en-US" w:eastAsia="zh-CN"/>
                    </w:rPr>
                    <w:t>输煤廊道、喷雾抑尘</w:t>
                  </w:r>
                </w:p>
              </w:tc>
              <w:tc>
                <w:tcPr>
                  <w:tcW w:w="986" w:type="pct"/>
                  <w:tcBorders>
                    <w:tl2br w:val="nil"/>
                    <w:tr2bl w:val="nil"/>
                  </w:tcBorders>
                  <w:shd w:val="clear" w:color="auto" w:fill="auto"/>
                  <w:noWrap w:val="0"/>
                  <w:vAlign w:val="center"/>
                </w:tcPr>
                <w:p w14:paraId="2612DB69">
                  <w:pPr>
                    <w:pStyle w:val="5"/>
                    <w:bidi w:val="0"/>
                    <w:rPr>
                      <w:rFonts w:hint="default"/>
                      <w:b w:val="0"/>
                      <w:color w:val="000000"/>
                      <w:lang w:val="en-US" w:eastAsia="zh-CN"/>
                    </w:rPr>
                  </w:pPr>
                  <w:r>
                    <w:rPr>
                      <w:rFonts w:hint="eastAsia"/>
                      <w:b w:val="0"/>
                      <w:color w:val="000000"/>
                      <w:lang w:val="en-US" w:eastAsia="zh-CN"/>
                    </w:rPr>
                    <w:t>20525.1</w:t>
                  </w:r>
                </w:p>
              </w:tc>
            </w:tr>
            <w:tr w14:paraId="23225CE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773" w:type="pct"/>
                  <w:vMerge w:val="continue"/>
                  <w:tcBorders>
                    <w:tl2br w:val="nil"/>
                    <w:tr2bl w:val="nil"/>
                  </w:tcBorders>
                  <w:shd w:val="clear" w:color="auto" w:fill="auto"/>
                  <w:noWrap w:val="0"/>
                  <w:vAlign w:val="center"/>
                </w:tcPr>
                <w:p w14:paraId="5CA58B20">
                  <w:pPr>
                    <w:pStyle w:val="5"/>
                    <w:bidi w:val="0"/>
                    <w:rPr>
                      <w:rFonts w:hint="eastAsia"/>
                      <w:b w:val="0"/>
                      <w:color w:val="000000"/>
                      <w:lang w:val="en-US" w:eastAsia="zh-CN"/>
                    </w:rPr>
                  </w:pPr>
                </w:p>
              </w:tc>
              <w:tc>
                <w:tcPr>
                  <w:tcW w:w="1151" w:type="pct"/>
                  <w:vMerge w:val="continue"/>
                  <w:tcBorders>
                    <w:tl2br w:val="nil"/>
                    <w:tr2bl w:val="nil"/>
                  </w:tcBorders>
                  <w:shd w:val="clear" w:color="auto" w:fill="auto"/>
                  <w:noWrap w:val="0"/>
                  <w:vAlign w:val="center"/>
                </w:tcPr>
                <w:p w14:paraId="7B8C7D5F">
                  <w:pPr>
                    <w:pStyle w:val="5"/>
                    <w:bidi w:val="0"/>
                    <w:rPr>
                      <w:rFonts w:hint="eastAsia"/>
                      <w:b w:val="0"/>
                      <w:color w:val="000000"/>
                      <w:lang w:val="en-US" w:eastAsia="zh-CN"/>
                    </w:rPr>
                  </w:pPr>
                </w:p>
              </w:tc>
              <w:tc>
                <w:tcPr>
                  <w:tcW w:w="2088" w:type="pct"/>
                  <w:tcBorders>
                    <w:tl2br w:val="nil"/>
                    <w:tr2bl w:val="nil"/>
                  </w:tcBorders>
                  <w:shd w:val="clear" w:color="auto" w:fill="auto"/>
                  <w:noWrap w:val="0"/>
                  <w:vAlign w:val="center"/>
                </w:tcPr>
                <w:p w14:paraId="6D550C12">
                  <w:pPr>
                    <w:pStyle w:val="5"/>
                    <w:bidi w:val="0"/>
                    <w:rPr>
                      <w:rFonts w:hint="default"/>
                      <w:b w:val="0"/>
                      <w:color w:val="000000"/>
                      <w:lang w:val="en-US" w:eastAsia="zh-CN"/>
                    </w:rPr>
                  </w:pPr>
                  <w:r>
                    <w:rPr>
                      <w:rFonts w:hint="eastAsia"/>
                      <w:lang w:val="en-US" w:eastAsia="zh-CN"/>
                    </w:rPr>
                    <w:t>袋式除尘器2套</w:t>
                  </w:r>
                </w:p>
              </w:tc>
              <w:tc>
                <w:tcPr>
                  <w:tcW w:w="986" w:type="pct"/>
                  <w:tcBorders>
                    <w:tl2br w:val="nil"/>
                    <w:tr2bl w:val="nil"/>
                  </w:tcBorders>
                  <w:shd w:val="clear" w:color="auto" w:fill="auto"/>
                  <w:noWrap w:val="0"/>
                  <w:vAlign w:val="center"/>
                </w:tcPr>
                <w:p w14:paraId="7DED09E0">
                  <w:pPr>
                    <w:pStyle w:val="5"/>
                    <w:bidi w:val="0"/>
                    <w:rPr>
                      <w:rFonts w:hint="default"/>
                      <w:b w:val="0"/>
                      <w:color w:val="000000"/>
                      <w:lang w:val="en-US" w:eastAsia="zh-CN"/>
                    </w:rPr>
                  </w:pPr>
                  <w:r>
                    <w:rPr>
                      <w:rFonts w:hint="eastAsia"/>
                      <w:b w:val="0"/>
                      <w:color w:val="000000"/>
                      <w:lang w:val="en-US" w:eastAsia="zh-CN"/>
                    </w:rPr>
                    <w:t>15</w:t>
                  </w:r>
                </w:p>
              </w:tc>
            </w:tr>
            <w:tr w14:paraId="550176C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4" w:hRule="atLeast"/>
              </w:trPr>
              <w:tc>
                <w:tcPr>
                  <w:tcW w:w="773" w:type="pct"/>
                  <w:vMerge w:val="continue"/>
                  <w:tcBorders>
                    <w:tl2br w:val="nil"/>
                    <w:tr2bl w:val="nil"/>
                  </w:tcBorders>
                  <w:shd w:val="clear" w:color="auto" w:fill="auto"/>
                  <w:noWrap w:val="0"/>
                  <w:vAlign w:val="center"/>
                </w:tcPr>
                <w:p w14:paraId="270D3410">
                  <w:pPr>
                    <w:pStyle w:val="5"/>
                    <w:bidi w:val="0"/>
                    <w:rPr>
                      <w:rFonts w:hint="eastAsia"/>
                      <w:b w:val="0"/>
                      <w:color w:val="000000"/>
                      <w:lang w:val="en-US" w:eastAsia="zh-CN"/>
                    </w:rPr>
                  </w:pPr>
                </w:p>
              </w:tc>
              <w:tc>
                <w:tcPr>
                  <w:tcW w:w="1151" w:type="pct"/>
                  <w:vMerge w:val="restart"/>
                  <w:tcBorders>
                    <w:tl2br w:val="nil"/>
                    <w:tr2bl w:val="nil"/>
                  </w:tcBorders>
                  <w:shd w:val="clear" w:color="auto" w:fill="auto"/>
                  <w:noWrap w:val="0"/>
                  <w:vAlign w:val="center"/>
                </w:tcPr>
                <w:p w14:paraId="6DBD6A7C">
                  <w:pPr>
                    <w:pStyle w:val="5"/>
                    <w:bidi w:val="0"/>
                    <w:rPr>
                      <w:rFonts w:hint="eastAsia"/>
                      <w:b w:val="0"/>
                      <w:color w:val="000000"/>
                      <w:lang w:val="en-US" w:eastAsia="zh-CN"/>
                    </w:rPr>
                  </w:pPr>
                  <w:r>
                    <w:rPr>
                      <w:rFonts w:hint="eastAsia"/>
                      <w:b w:val="0"/>
                      <w:color w:val="000000"/>
                      <w:lang w:val="en-US" w:eastAsia="zh-CN"/>
                    </w:rPr>
                    <w:t>固废治理</w:t>
                  </w:r>
                </w:p>
              </w:tc>
              <w:tc>
                <w:tcPr>
                  <w:tcW w:w="2088" w:type="pct"/>
                  <w:tcBorders>
                    <w:tl2br w:val="nil"/>
                    <w:tr2bl w:val="nil"/>
                  </w:tcBorders>
                  <w:shd w:val="clear" w:color="auto" w:fill="auto"/>
                  <w:noWrap w:val="0"/>
                  <w:vAlign w:val="center"/>
                </w:tcPr>
                <w:p w14:paraId="0256285E">
                  <w:pPr>
                    <w:pStyle w:val="5"/>
                    <w:bidi w:val="0"/>
                    <w:rPr>
                      <w:rFonts w:hint="eastAsia"/>
                      <w:b w:val="0"/>
                      <w:color w:val="000000"/>
                      <w:lang w:val="en-US" w:eastAsia="zh-CN"/>
                    </w:rPr>
                  </w:pPr>
                  <w:r>
                    <w:rPr>
                      <w:rFonts w:hint="eastAsia"/>
                      <w:b w:val="0"/>
                      <w:color w:val="000000"/>
                      <w:lang w:val="en-US" w:eastAsia="zh-CN"/>
                    </w:rPr>
                    <w:t>危废清运</w:t>
                  </w:r>
                </w:p>
              </w:tc>
              <w:tc>
                <w:tcPr>
                  <w:tcW w:w="986" w:type="pct"/>
                  <w:tcBorders>
                    <w:tl2br w:val="nil"/>
                    <w:tr2bl w:val="nil"/>
                  </w:tcBorders>
                  <w:shd w:val="clear" w:color="auto" w:fill="auto"/>
                  <w:noWrap w:val="0"/>
                  <w:vAlign w:val="center"/>
                </w:tcPr>
                <w:p w14:paraId="5BB71B27">
                  <w:pPr>
                    <w:pStyle w:val="5"/>
                    <w:bidi w:val="0"/>
                    <w:rPr>
                      <w:rFonts w:hint="default"/>
                      <w:b w:val="0"/>
                      <w:color w:val="000000"/>
                      <w:lang w:val="en-US" w:eastAsia="zh-CN"/>
                    </w:rPr>
                  </w:pPr>
                  <w:r>
                    <w:rPr>
                      <w:rFonts w:hint="eastAsia"/>
                      <w:b w:val="0"/>
                      <w:color w:val="000000"/>
                      <w:lang w:val="en-US" w:eastAsia="zh-CN"/>
                    </w:rPr>
                    <w:t>5</w:t>
                  </w:r>
                </w:p>
              </w:tc>
            </w:tr>
            <w:tr w14:paraId="58B2D0D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trPr>
              <w:tc>
                <w:tcPr>
                  <w:tcW w:w="773" w:type="pct"/>
                  <w:vMerge w:val="continue"/>
                  <w:tcBorders>
                    <w:tl2br w:val="nil"/>
                    <w:tr2bl w:val="nil"/>
                  </w:tcBorders>
                  <w:shd w:val="clear" w:color="auto" w:fill="auto"/>
                  <w:noWrap w:val="0"/>
                  <w:vAlign w:val="center"/>
                </w:tcPr>
                <w:p w14:paraId="237112CC">
                  <w:pPr>
                    <w:pStyle w:val="5"/>
                    <w:bidi w:val="0"/>
                    <w:rPr>
                      <w:rFonts w:hint="eastAsia"/>
                      <w:b w:val="0"/>
                      <w:color w:val="000000"/>
                      <w:lang w:val="en-US" w:eastAsia="zh-CN"/>
                    </w:rPr>
                  </w:pPr>
                </w:p>
              </w:tc>
              <w:tc>
                <w:tcPr>
                  <w:tcW w:w="1151" w:type="pct"/>
                  <w:vMerge w:val="continue"/>
                  <w:tcBorders>
                    <w:tl2br w:val="nil"/>
                    <w:tr2bl w:val="nil"/>
                  </w:tcBorders>
                  <w:shd w:val="clear" w:color="auto" w:fill="auto"/>
                  <w:noWrap w:val="0"/>
                  <w:vAlign w:val="center"/>
                </w:tcPr>
                <w:p w14:paraId="3924015D">
                  <w:pPr>
                    <w:pStyle w:val="5"/>
                    <w:bidi w:val="0"/>
                    <w:rPr>
                      <w:rFonts w:hint="eastAsia"/>
                      <w:b w:val="0"/>
                      <w:color w:val="000000"/>
                      <w:lang w:val="en-US" w:eastAsia="zh-CN"/>
                    </w:rPr>
                  </w:pPr>
                </w:p>
              </w:tc>
              <w:tc>
                <w:tcPr>
                  <w:tcW w:w="2088" w:type="pct"/>
                  <w:tcBorders>
                    <w:tl2br w:val="nil"/>
                    <w:tr2bl w:val="nil"/>
                  </w:tcBorders>
                  <w:shd w:val="clear" w:color="auto" w:fill="auto"/>
                  <w:noWrap w:val="0"/>
                  <w:vAlign w:val="center"/>
                </w:tcPr>
                <w:p w14:paraId="74A3ADEC">
                  <w:pPr>
                    <w:pStyle w:val="5"/>
                    <w:bidi w:val="0"/>
                    <w:rPr>
                      <w:rFonts w:hint="default"/>
                      <w:b w:val="0"/>
                      <w:color w:val="000000"/>
                      <w:lang w:val="en-US" w:eastAsia="zh-CN"/>
                    </w:rPr>
                  </w:pPr>
                  <w:r>
                    <w:rPr>
                      <w:rFonts w:hint="eastAsia"/>
                      <w:b w:val="0"/>
                      <w:color w:val="000000"/>
                      <w:lang w:val="en-US" w:eastAsia="zh-CN"/>
                    </w:rPr>
                    <w:t>一般固废处置</w:t>
                  </w:r>
                </w:p>
              </w:tc>
              <w:tc>
                <w:tcPr>
                  <w:tcW w:w="986" w:type="pct"/>
                  <w:tcBorders>
                    <w:tl2br w:val="nil"/>
                    <w:tr2bl w:val="nil"/>
                  </w:tcBorders>
                  <w:shd w:val="clear" w:color="auto" w:fill="auto"/>
                  <w:noWrap w:val="0"/>
                  <w:vAlign w:val="center"/>
                </w:tcPr>
                <w:p w14:paraId="14FB25D7">
                  <w:pPr>
                    <w:pStyle w:val="5"/>
                    <w:bidi w:val="0"/>
                    <w:rPr>
                      <w:rFonts w:hint="default"/>
                      <w:b w:val="0"/>
                      <w:color w:val="000000"/>
                      <w:lang w:val="en-US" w:eastAsia="zh-CN"/>
                    </w:rPr>
                  </w:pPr>
                  <w:r>
                    <w:rPr>
                      <w:rFonts w:hint="eastAsia"/>
                      <w:b w:val="0"/>
                      <w:color w:val="000000"/>
                      <w:lang w:val="en-US" w:eastAsia="zh-CN"/>
                    </w:rPr>
                    <w:t>5</w:t>
                  </w:r>
                </w:p>
              </w:tc>
            </w:tr>
            <w:tr w14:paraId="06EABDD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773" w:type="pct"/>
                  <w:vMerge w:val="continue"/>
                  <w:tcBorders>
                    <w:tl2br w:val="nil"/>
                    <w:tr2bl w:val="nil"/>
                  </w:tcBorders>
                  <w:shd w:val="clear" w:color="auto" w:fill="auto"/>
                  <w:noWrap w:val="0"/>
                  <w:vAlign w:val="center"/>
                </w:tcPr>
                <w:p w14:paraId="36867D2E">
                  <w:pPr>
                    <w:pStyle w:val="5"/>
                    <w:bidi w:val="0"/>
                    <w:rPr>
                      <w:rFonts w:hint="eastAsia"/>
                      <w:b w:val="0"/>
                      <w:color w:val="000000"/>
                      <w:lang w:val="en-US" w:eastAsia="zh-CN"/>
                    </w:rPr>
                  </w:pPr>
                </w:p>
              </w:tc>
              <w:tc>
                <w:tcPr>
                  <w:tcW w:w="1151" w:type="pct"/>
                  <w:tcBorders>
                    <w:tl2br w:val="nil"/>
                    <w:tr2bl w:val="nil"/>
                  </w:tcBorders>
                  <w:shd w:val="clear" w:color="auto" w:fill="auto"/>
                  <w:noWrap w:val="0"/>
                  <w:vAlign w:val="center"/>
                </w:tcPr>
                <w:p w14:paraId="2DA1505A">
                  <w:pPr>
                    <w:pStyle w:val="5"/>
                    <w:bidi w:val="0"/>
                    <w:rPr>
                      <w:rFonts w:hint="default"/>
                      <w:b w:val="0"/>
                      <w:color w:val="000000"/>
                      <w:lang w:val="en-US" w:eastAsia="zh-CN"/>
                    </w:rPr>
                  </w:pPr>
                  <w:r>
                    <w:rPr>
                      <w:rFonts w:hint="eastAsia"/>
                      <w:b w:val="0"/>
                      <w:color w:val="000000"/>
                      <w:lang w:val="en-US" w:eastAsia="zh-CN"/>
                    </w:rPr>
                    <w:t>其他</w:t>
                  </w:r>
                </w:p>
              </w:tc>
              <w:tc>
                <w:tcPr>
                  <w:tcW w:w="2088" w:type="pct"/>
                  <w:tcBorders>
                    <w:tl2br w:val="nil"/>
                    <w:tr2bl w:val="nil"/>
                  </w:tcBorders>
                  <w:shd w:val="clear" w:color="auto" w:fill="auto"/>
                  <w:noWrap w:val="0"/>
                  <w:vAlign w:val="center"/>
                </w:tcPr>
                <w:p w14:paraId="1C3FA9B3">
                  <w:pPr>
                    <w:pStyle w:val="5"/>
                    <w:bidi w:val="0"/>
                    <w:rPr>
                      <w:rFonts w:hint="default"/>
                      <w:b w:val="0"/>
                      <w:color w:val="000000"/>
                      <w:lang w:val="en-US" w:eastAsia="zh-CN"/>
                    </w:rPr>
                  </w:pPr>
                  <w:r>
                    <w:rPr>
                      <w:rFonts w:hint="eastAsia"/>
                      <w:b w:val="0"/>
                      <w:color w:val="000000"/>
                      <w:lang w:val="en-US" w:eastAsia="zh-CN"/>
                    </w:rPr>
                    <w:t>沿线洒水</w:t>
                  </w:r>
                </w:p>
              </w:tc>
              <w:tc>
                <w:tcPr>
                  <w:tcW w:w="986" w:type="pct"/>
                  <w:tcBorders>
                    <w:tl2br w:val="nil"/>
                    <w:tr2bl w:val="nil"/>
                  </w:tcBorders>
                  <w:shd w:val="clear" w:color="auto" w:fill="auto"/>
                  <w:noWrap w:val="0"/>
                  <w:vAlign w:val="center"/>
                </w:tcPr>
                <w:p w14:paraId="39A4EC3B">
                  <w:pPr>
                    <w:pStyle w:val="5"/>
                    <w:bidi w:val="0"/>
                    <w:rPr>
                      <w:rFonts w:hint="default"/>
                      <w:b w:val="0"/>
                      <w:color w:val="000000"/>
                      <w:lang w:val="en-US" w:eastAsia="zh-CN"/>
                    </w:rPr>
                  </w:pPr>
                  <w:r>
                    <w:rPr>
                      <w:rFonts w:hint="eastAsia"/>
                      <w:b w:val="0"/>
                      <w:color w:val="000000"/>
                      <w:lang w:val="en-US" w:eastAsia="zh-CN"/>
                    </w:rPr>
                    <w:t>64.5</w:t>
                  </w:r>
                </w:p>
              </w:tc>
            </w:tr>
            <w:tr w14:paraId="1BF9E0F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4013" w:type="pct"/>
                  <w:gridSpan w:val="3"/>
                  <w:tcBorders>
                    <w:tl2br w:val="nil"/>
                    <w:tr2bl w:val="nil"/>
                  </w:tcBorders>
                  <w:shd w:val="clear" w:color="auto" w:fill="auto"/>
                  <w:noWrap w:val="0"/>
                  <w:vAlign w:val="center"/>
                </w:tcPr>
                <w:p w14:paraId="4D55442B">
                  <w:pPr>
                    <w:pStyle w:val="5"/>
                    <w:bidi w:val="0"/>
                    <w:rPr>
                      <w:rFonts w:hint="default"/>
                      <w:b w:val="0"/>
                      <w:color w:val="000000"/>
                      <w:lang w:val="en-US" w:eastAsia="zh-CN"/>
                    </w:rPr>
                  </w:pPr>
                  <w:r>
                    <w:rPr>
                      <w:rFonts w:hint="eastAsia"/>
                      <w:b w:val="0"/>
                      <w:color w:val="000000"/>
                      <w:lang w:val="en-US" w:eastAsia="zh-CN"/>
                    </w:rPr>
                    <w:t>总计</w:t>
                  </w:r>
                </w:p>
              </w:tc>
              <w:tc>
                <w:tcPr>
                  <w:tcW w:w="986" w:type="pct"/>
                  <w:tcBorders>
                    <w:tl2br w:val="nil"/>
                    <w:tr2bl w:val="nil"/>
                  </w:tcBorders>
                  <w:shd w:val="clear" w:color="auto" w:fill="auto"/>
                  <w:noWrap w:val="0"/>
                  <w:vAlign w:val="center"/>
                </w:tcPr>
                <w:p w14:paraId="4E765A65">
                  <w:pPr>
                    <w:pStyle w:val="5"/>
                    <w:bidi w:val="0"/>
                    <w:rPr>
                      <w:rFonts w:hint="default"/>
                      <w:b w:val="0"/>
                      <w:color w:val="000000"/>
                      <w:lang w:val="en-US" w:eastAsia="zh-CN"/>
                    </w:rPr>
                  </w:pPr>
                  <w:r>
                    <w:rPr>
                      <w:rFonts w:hint="eastAsia"/>
                      <w:b w:val="0"/>
                      <w:color w:val="000000"/>
                      <w:lang w:val="en-US" w:eastAsia="zh-CN"/>
                    </w:rPr>
                    <w:t>20946.6</w:t>
                  </w:r>
                </w:p>
              </w:tc>
            </w:tr>
          </w:tbl>
          <w:p w14:paraId="1703FF7F">
            <w:pPr>
              <w:bidi w:val="0"/>
              <w:rPr>
                <w:rFonts w:hint="default"/>
                <w:lang w:val="en-US" w:eastAsia="zh-CN"/>
              </w:rPr>
            </w:pPr>
            <w:r>
              <w:rPr>
                <w:rFonts w:hint="default" w:cs="Times New Roman"/>
                <w:color w:val="000000"/>
              </w:rPr>
              <w:t>本工程环保费用包括施工期环保措施和运营期环保管理费用等，根据以上环保工程投资及运行费用的估算，</w:t>
            </w:r>
            <w:r>
              <w:rPr>
                <w:rFonts w:hint="eastAsia"/>
                <w:lang w:val="en-US" w:eastAsia="zh-CN"/>
              </w:rPr>
              <w:t>本项目总投资60300万元，环保投资20946.6万元，占总投资的34.73%。</w:t>
            </w:r>
          </w:p>
          <w:p w14:paraId="3642C70B">
            <w:pPr>
              <w:bidi w:val="0"/>
              <w:ind w:left="0" w:leftChars="0" w:firstLine="0" w:firstLineChars="0"/>
              <w:rPr>
                <w:rFonts w:hint="default"/>
                <w:lang w:val="en-US" w:eastAsia="zh-CN"/>
              </w:rPr>
            </w:pPr>
          </w:p>
          <w:p w14:paraId="54C52831">
            <w:pPr>
              <w:bidi w:val="0"/>
              <w:ind w:left="0" w:leftChars="0" w:firstLine="0" w:firstLineChars="0"/>
              <w:rPr>
                <w:rFonts w:hint="default"/>
                <w:lang w:val="en-US" w:eastAsia="zh-CN"/>
              </w:rPr>
            </w:pPr>
          </w:p>
          <w:p w14:paraId="3BC90BF0">
            <w:pPr>
              <w:bidi w:val="0"/>
              <w:ind w:left="0" w:leftChars="0" w:firstLine="0" w:firstLineChars="0"/>
              <w:rPr>
                <w:rFonts w:hint="eastAsia" w:ascii="Times New Roman" w:hAnsi="Times New Roman" w:cs="Times New Roman"/>
                <w:spacing w:val="4"/>
                <w:szCs w:val="28"/>
                <w:highlight w:val="none"/>
                <w:lang w:val="en-US" w:eastAsia="zh-CN"/>
              </w:rPr>
            </w:pPr>
          </w:p>
        </w:tc>
      </w:tr>
    </w:tbl>
    <w:p w14:paraId="14061371">
      <w:pPr>
        <w:jc w:val="center"/>
        <w:outlineLvl w:val="0"/>
        <w:rPr>
          <w:rFonts w:hint="default" w:ascii="Times New Roman" w:hAnsi="Times New Roman" w:cs="Times New Roman"/>
          <w:b/>
          <w:bCs/>
          <w:sz w:val="30"/>
          <w:szCs w:val="30"/>
        </w:rPr>
        <w:sectPr>
          <w:pgSz w:w="11910" w:h="16850"/>
          <w:pgMar w:top="1701" w:right="1531" w:bottom="1701" w:left="1531" w:header="0" w:footer="817" w:gutter="0"/>
          <w:pgBorders>
            <w:top w:val="none" w:sz="0" w:space="0"/>
            <w:left w:val="none" w:sz="0" w:space="0"/>
            <w:bottom w:val="none" w:sz="0" w:space="0"/>
            <w:right w:val="none" w:sz="0" w:space="0"/>
          </w:pgBorders>
          <w:pgNumType w:fmt="decimal"/>
          <w:cols w:equalWidth="0" w:num="1">
            <w:col w:w="9250"/>
          </w:cols>
        </w:sectPr>
      </w:pPr>
    </w:p>
    <w:p w14:paraId="7958758A">
      <w:pPr>
        <w:rPr>
          <w:rFonts w:hint="eastAsia" w:eastAsia="宋体"/>
          <w:lang w:val="en-US" w:eastAsia="zh-CN"/>
        </w:rPr>
      </w:pPr>
    </w:p>
    <w:p w14:paraId="325E8E21">
      <w:pPr>
        <w:rPr>
          <w:b/>
          <w:bCs/>
          <w:color w:val="000000"/>
          <w:sz w:val="28"/>
          <w:szCs w:val="28"/>
        </w:rPr>
      </w:pPr>
      <w:r>
        <w:rPr>
          <w:b/>
          <w:bCs/>
          <w:color w:val="000000"/>
          <w:sz w:val="28"/>
          <w:szCs w:val="28"/>
        </w:rPr>
        <w:t>六、生态环境保护措施监督检查清单</w:t>
      </w:r>
    </w:p>
    <w:tbl>
      <w:tblPr>
        <w:tblStyle w:val="42"/>
        <w:tblW w:w="76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3608"/>
        <w:gridCol w:w="2897"/>
        <w:gridCol w:w="3410"/>
        <w:gridCol w:w="2639"/>
      </w:tblGrid>
      <w:tr w14:paraId="56678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vMerge w:val="restart"/>
            <w:tcBorders>
              <w:tl2br w:val="nil"/>
              <w:tr2bl w:val="nil"/>
            </w:tcBorders>
            <w:noWrap w:val="0"/>
            <w:tcMar>
              <w:top w:w="0" w:type="dxa"/>
              <w:left w:w="0" w:type="dxa"/>
              <w:bottom w:w="0" w:type="dxa"/>
              <w:right w:w="0" w:type="dxa"/>
            </w:tcMar>
            <w:vAlign w:val="center"/>
          </w:tcPr>
          <w:p w14:paraId="381427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内容</w:t>
            </w:r>
          </w:p>
          <w:p w14:paraId="6E4C87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p>
          <w:p w14:paraId="0078A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cs="Times New Roman"/>
                <w:b/>
                <w:bCs/>
                <w:color w:val="000000"/>
                <w:sz w:val="21"/>
                <w:szCs w:val="21"/>
              </w:rPr>
            </w:pPr>
            <w:r>
              <w:rPr>
                <w:rFonts w:hint="default" w:cs="Times New Roman"/>
                <w:b/>
                <w:bCs/>
                <w:color w:val="000000"/>
                <w:sz w:val="21"/>
                <w:szCs w:val="21"/>
              </w:rPr>
              <w:t>要素</w:t>
            </w:r>
          </w:p>
        </w:tc>
        <w:tc>
          <w:tcPr>
            <w:tcW w:w="2306" w:type="pct"/>
            <w:gridSpan w:val="2"/>
            <w:tcBorders>
              <w:tl2br w:val="nil"/>
              <w:tr2bl w:val="nil"/>
            </w:tcBorders>
            <w:noWrap w:val="0"/>
            <w:tcMar>
              <w:top w:w="0" w:type="dxa"/>
              <w:left w:w="0" w:type="dxa"/>
              <w:bottom w:w="0" w:type="dxa"/>
              <w:right w:w="0" w:type="dxa"/>
            </w:tcMar>
            <w:vAlign w:val="center"/>
          </w:tcPr>
          <w:p w14:paraId="778AB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施工期</w:t>
            </w:r>
          </w:p>
        </w:tc>
        <w:tc>
          <w:tcPr>
            <w:tcW w:w="0" w:type="auto"/>
            <w:gridSpan w:val="2"/>
            <w:tcBorders>
              <w:tl2br w:val="nil"/>
              <w:tr2bl w:val="nil"/>
            </w:tcBorders>
            <w:noWrap w:val="0"/>
            <w:tcMar>
              <w:top w:w="0" w:type="dxa"/>
              <w:left w:w="0" w:type="dxa"/>
              <w:bottom w:w="0" w:type="dxa"/>
              <w:right w:w="0" w:type="dxa"/>
            </w:tcMar>
            <w:vAlign w:val="center"/>
          </w:tcPr>
          <w:p w14:paraId="5D8E9A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运营期</w:t>
            </w:r>
          </w:p>
        </w:tc>
      </w:tr>
      <w:tr w14:paraId="0CD68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vMerge w:val="continue"/>
            <w:tcBorders>
              <w:tl2br w:val="nil"/>
              <w:tr2bl w:val="nil"/>
            </w:tcBorders>
            <w:noWrap w:val="0"/>
            <w:tcMar>
              <w:top w:w="0" w:type="dxa"/>
              <w:left w:w="0" w:type="dxa"/>
              <w:bottom w:w="0" w:type="dxa"/>
              <w:right w:w="0" w:type="dxa"/>
            </w:tcMar>
            <w:vAlign w:val="center"/>
          </w:tcPr>
          <w:p w14:paraId="0445CB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p>
        </w:tc>
        <w:tc>
          <w:tcPr>
            <w:tcW w:w="1279" w:type="pct"/>
            <w:tcBorders>
              <w:tl2br w:val="nil"/>
              <w:tr2bl w:val="nil"/>
            </w:tcBorders>
            <w:noWrap w:val="0"/>
            <w:tcMar>
              <w:top w:w="0" w:type="dxa"/>
              <w:left w:w="0" w:type="dxa"/>
              <w:bottom w:w="0" w:type="dxa"/>
              <w:right w:w="0" w:type="dxa"/>
            </w:tcMar>
            <w:vAlign w:val="center"/>
          </w:tcPr>
          <w:p w14:paraId="42B65E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环境保护措施</w:t>
            </w:r>
          </w:p>
        </w:tc>
        <w:tc>
          <w:tcPr>
            <w:tcW w:w="0" w:type="auto"/>
            <w:tcBorders>
              <w:tl2br w:val="nil"/>
              <w:tr2bl w:val="nil"/>
            </w:tcBorders>
            <w:noWrap w:val="0"/>
            <w:tcMar>
              <w:top w:w="0" w:type="dxa"/>
              <w:left w:w="0" w:type="dxa"/>
              <w:bottom w:w="0" w:type="dxa"/>
              <w:right w:w="0" w:type="dxa"/>
            </w:tcMar>
            <w:vAlign w:val="center"/>
          </w:tcPr>
          <w:p w14:paraId="1B213E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验收要求</w:t>
            </w:r>
          </w:p>
        </w:tc>
        <w:tc>
          <w:tcPr>
            <w:tcW w:w="0" w:type="auto"/>
            <w:tcBorders>
              <w:tl2br w:val="nil"/>
              <w:tr2bl w:val="nil"/>
            </w:tcBorders>
            <w:noWrap w:val="0"/>
            <w:tcMar>
              <w:top w:w="0" w:type="dxa"/>
              <w:left w:w="0" w:type="dxa"/>
              <w:bottom w:w="0" w:type="dxa"/>
              <w:right w:w="0" w:type="dxa"/>
            </w:tcMar>
            <w:vAlign w:val="center"/>
          </w:tcPr>
          <w:p w14:paraId="49B486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环境保护措施</w:t>
            </w:r>
          </w:p>
        </w:tc>
        <w:tc>
          <w:tcPr>
            <w:tcW w:w="0" w:type="auto"/>
            <w:tcBorders>
              <w:tl2br w:val="nil"/>
              <w:tr2bl w:val="nil"/>
            </w:tcBorders>
            <w:noWrap w:val="0"/>
            <w:tcMar>
              <w:top w:w="0" w:type="dxa"/>
              <w:left w:w="0" w:type="dxa"/>
              <w:bottom w:w="0" w:type="dxa"/>
              <w:right w:w="0" w:type="dxa"/>
            </w:tcMar>
            <w:vAlign w:val="center"/>
          </w:tcPr>
          <w:p w14:paraId="44B315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bCs/>
                <w:color w:val="000000"/>
                <w:sz w:val="21"/>
                <w:szCs w:val="21"/>
              </w:rPr>
            </w:pPr>
            <w:r>
              <w:rPr>
                <w:rFonts w:hint="default" w:cs="Times New Roman"/>
                <w:b/>
                <w:bCs/>
                <w:color w:val="000000"/>
                <w:sz w:val="21"/>
                <w:szCs w:val="21"/>
              </w:rPr>
              <w:t>验收要求</w:t>
            </w:r>
          </w:p>
        </w:tc>
      </w:tr>
      <w:tr w14:paraId="46891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4D15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陆生生态</w:t>
            </w:r>
          </w:p>
        </w:tc>
        <w:tc>
          <w:tcPr>
            <w:tcW w:w="3608" w:type="dxa"/>
            <w:tcBorders>
              <w:tl2br w:val="nil"/>
              <w:tr2bl w:val="nil"/>
            </w:tcBorders>
            <w:noWrap w:val="0"/>
            <w:tcMar>
              <w:top w:w="0" w:type="dxa"/>
              <w:left w:w="0" w:type="dxa"/>
              <w:bottom w:w="0" w:type="dxa"/>
              <w:right w:w="0" w:type="dxa"/>
            </w:tcMar>
            <w:vAlign w:val="center"/>
          </w:tcPr>
          <w:p w14:paraId="7B67F3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sz w:val="21"/>
                <w:szCs w:val="21"/>
              </w:rPr>
            </w:pPr>
            <w:r>
              <w:rPr>
                <w:rFonts w:hint="eastAsia" w:ascii="Times New Roman" w:hAnsi="Times New Roman" w:cs="Times New Roman"/>
                <w:b w:val="0"/>
                <w:bCs w:val="0"/>
                <w:color w:val="000000"/>
                <w:sz w:val="21"/>
                <w:szCs w:val="21"/>
                <w:highlight w:val="none"/>
                <w:lang w:val="en-US" w:eastAsia="zh-CN"/>
              </w:rPr>
              <w:t>/</w:t>
            </w:r>
          </w:p>
        </w:tc>
        <w:tc>
          <w:tcPr>
            <w:tcW w:w="2897" w:type="dxa"/>
            <w:tcBorders>
              <w:tl2br w:val="nil"/>
              <w:tr2bl w:val="nil"/>
            </w:tcBorders>
            <w:noWrap w:val="0"/>
            <w:tcMar>
              <w:top w:w="0" w:type="dxa"/>
              <w:left w:w="0" w:type="dxa"/>
              <w:bottom w:w="0" w:type="dxa"/>
              <w:right w:w="0" w:type="dxa"/>
            </w:tcMar>
            <w:vAlign w:val="center"/>
          </w:tcPr>
          <w:p w14:paraId="668457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sz w:val="21"/>
                <w:szCs w:val="21"/>
                <w:lang w:eastAsia="zh-CN"/>
              </w:rPr>
            </w:pPr>
            <w:r>
              <w:rPr>
                <w:rFonts w:hint="eastAsia" w:ascii="Times New Roman" w:hAnsi="Times New Roman" w:eastAsia="宋体" w:cs="Times New Roman"/>
                <w:color w:val="000000"/>
                <w:sz w:val="21"/>
                <w:szCs w:val="21"/>
                <w:highlight w:val="none"/>
                <w:lang w:val="en-US" w:eastAsia="zh-CN"/>
              </w:rPr>
              <w:t>/</w:t>
            </w:r>
          </w:p>
        </w:tc>
        <w:tc>
          <w:tcPr>
            <w:tcW w:w="3828" w:type="dxa"/>
            <w:tcBorders>
              <w:tl2br w:val="nil"/>
              <w:tr2bl w:val="nil"/>
            </w:tcBorders>
            <w:noWrap w:val="0"/>
            <w:tcMar>
              <w:top w:w="0" w:type="dxa"/>
              <w:left w:w="0" w:type="dxa"/>
              <w:bottom w:w="0" w:type="dxa"/>
              <w:right w:w="0" w:type="dxa"/>
            </w:tcMar>
            <w:vAlign w:val="center"/>
          </w:tcPr>
          <w:p w14:paraId="662AEC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sz w:val="21"/>
                <w:szCs w:val="21"/>
              </w:rPr>
            </w:pPr>
            <w:r>
              <w:rPr>
                <w:rFonts w:hint="eastAsia" w:ascii="Times New Roman" w:hAnsi="Times New Roman" w:eastAsia="宋体" w:cs="Times New Roman"/>
                <w:color w:val="000000"/>
                <w:sz w:val="21"/>
                <w:szCs w:val="21"/>
                <w:highlight w:val="none"/>
                <w:lang w:val="en-US" w:eastAsia="zh-CN"/>
              </w:rPr>
              <w:t>/</w:t>
            </w:r>
          </w:p>
        </w:tc>
        <w:tc>
          <w:tcPr>
            <w:tcW w:w="2221" w:type="dxa"/>
            <w:tcBorders>
              <w:tl2br w:val="nil"/>
              <w:tr2bl w:val="nil"/>
            </w:tcBorders>
            <w:noWrap w:val="0"/>
            <w:tcMar>
              <w:top w:w="0" w:type="dxa"/>
              <w:left w:w="0" w:type="dxa"/>
              <w:bottom w:w="0" w:type="dxa"/>
              <w:right w:w="0" w:type="dxa"/>
            </w:tcMar>
            <w:vAlign w:val="center"/>
          </w:tcPr>
          <w:p w14:paraId="17FFB2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sz w:val="21"/>
                <w:szCs w:val="21"/>
              </w:rPr>
            </w:pPr>
            <w:r>
              <w:rPr>
                <w:rFonts w:hint="eastAsia" w:ascii="Times New Roman" w:hAnsi="Times New Roman" w:eastAsia="宋体" w:cs="Times New Roman"/>
                <w:color w:val="000000"/>
                <w:sz w:val="21"/>
                <w:szCs w:val="21"/>
                <w:highlight w:val="none"/>
                <w:lang w:val="en-US" w:eastAsia="zh-CN"/>
              </w:rPr>
              <w:t>/</w:t>
            </w:r>
          </w:p>
        </w:tc>
      </w:tr>
      <w:tr w14:paraId="2EBBF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28241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水生生态</w:t>
            </w:r>
          </w:p>
        </w:tc>
        <w:tc>
          <w:tcPr>
            <w:tcW w:w="1279" w:type="pct"/>
            <w:tcBorders>
              <w:tl2br w:val="nil"/>
              <w:tr2bl w:val="nil"/>
            </w:tcBorders>
            <w:noWrap w:val="0"/>
            <w:tcMar>
              <w:top w:w="0" w:type="dxa"/>
              <w:left w:w="0" w:type="dxa"/>
              <w:bottom w:w="0" w:type="dxa"/>
              <w:right w:w="0" w:type="dxa"/>
            </w:tcMar>
            <w:vAlign w:val="center"/>
          </w:tcPr>
          <w:p w14:paraId="14FF1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w:t>
            </w:r>
          </w:p>
        </w:tc>
        <w:tc>
          <w:tcPr>
            <w:tcW w:w="0" w:type="auto"/>
            <w:tcBorders>
              <w:tl2br w:val="nil"/>
              <w:tr2bl w:val="nil"/>
            </w:tcBorders>
            <w:noWrap w:val="0"/>
            <w:tcMar>
              <w:top w:w="0" w:type="dxa"/>
              <w:left w:w="0" w:type="dxa"/>
              <w:bottom w:w="0" w:type="dxa"/>
              <w:right w:w="0" w:type="dxa"/>
            </w:tcMar>
            <w:vAlign w:val="center"/>
          </w:tcPr>
          <w:p w14:paraId="3B977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eastAsia="宋体" w:cs="Times New Roman"/>
                <w:color w:val="000000"/>
                <w:sz w:val="21"/>
                <w:szCs w:val="21"/>
                <w:lang w:eastAsia="zh-CN"/>
              </w:rPr>
            </w:pPr>
            <w:r>
              <w:rPr>
                <w:rFonts w:hint="eastAsia" w:cs="Times New Roman"/>
                <w:color w:val="000000"/>
                <w:sz w:val="21"/>
                <w:szCs w:val="21"/>
                <w:lang w:val="en-US" w:eastAsia="zh-CN"/>
              </w:rPr>
              <w:t>/</w:t>
            </w:r>
          </w:p>
        </w:tc>
        <w:tc>
          <w:tcPr>
            <w:tcW w:w="0" w:type="auto"/>
            <w:tcBorders>
              <w:tl2br w:val="nil"/>
              <w:tr2bl w:val="nil"/>
            </w:tcBorders>
            <w:noWrap w:val="0"/>
            <w:tcMar>
              <w:top w:w="0" w:type="dxa"/>
              <w:left w:w="0" w:type="dxa"/>
              <w:bottom w:w="0" w:type="dxa"/>
              <w:right w:w="0" w:type="dxa"/>
            </w:tcMar>
            <w:vAlign w:val="center"/>
          </w:tcPr>
          <w:p w14:paraId="47CEF5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13A38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r>
      <w:tr w14:paraId="7E028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09DB1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地表水</w:t>
            </w:r>
          </w:p>
          <w:p w14:paraId="382506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环境</w:t>
            </w:r>
          </w:p>
        </w:tc>
        <w:tc>
          <w:tcPr>
            <w:tcW w:w="1279" w:type="pct"/>
            <w:tcBorders>
              <w:tl2br w:val="nil"/>
              <w:tr2bl w:val="nil"/>
            </w:tcBorders>
            <w:noWrap w:val="0"/>
            <w:tcMar>
              <w:top w:w="0" w:type="dxa"/>
              <w:left w:w="0" w:type="dxa"/>
              <w:bottom w:w="0" w:type="dxa"/>
              <w:right w:w="0" w:type="dxa"/>
            </w:tcMar>
            <w:vAlign w:val="center"/>
          </w:tcPr>
          <w:p w14:paraId="666786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①施工机械、汽车等冲洗和保养</w:t>
            </w:r>
            <w:r>
              <w:rPr>
                <w:rFonts w:hint="eastAsia" w:cs="Times New Roman"/>
                <w:color w:val="000000"/>
                <w:sz w:val="21"/>
                <w:szCs w:val="21"/>
                <w:lang w:val="en-US" w:eastAsia="zh-CN"/>
              </w:rPr>
              <w:t>尽量安排在阳霞镇机修厂</w:t>
            </w:r>
            <w:r>
              <w:rPr>
                <w:rFonts w:hint="default" w:cs="Times New Roman"/>
                <w:color w:val="000000"/>
                <w:sz w:val="21"/>
                <w:szCs w:val="21"/>
              </w:rPr>
              <w:t>进行，同时要防止</w:t>
            </w:r>
            <w:r>
              <w:rPr>
                <w:rFonts w:hint="eastAsia" w:cs="Times New Roman"/>
                <w:color w:val="000000"/>
                <w:sz w:val="21"/>
                <w:szCs w:val="21"/>
                <w:lang w:val="en-US" w:eastAsia="zh-CN"/>
              </w:rPr>
              <w:t>机械</w:t>
            </w:r>
            <w:r>
              <w:rPr>
                <w:rFonts w:hint="default" w:cs="Times New Roman"/>
                <w:color w:val="000000"/>
                <w:sz w:val="21"/>
                <w:szCs w:val="21"/>
              </w:rPr>
              <w:t>油料的泄漏</w:t>
            </w:r>
            <w:r>
              <w:rPr>
                <w:rFonts w:hint="eastAsia" w:cs="Times New Roman"/>
                <w:color w:val="000000"/>
                <w:sz w:val="21"/>
                <w:szCs w:val="21"/>
                <w:lang w:eastAsia="zh-CN"/>
              </w:rPr>
              <w:t>，</w:t>
            </w:r>
            <w:r>
              <w:rPr>
                <w:rFonts w:hint="eastAsia" w:cs="Times New Roman"/>
                <w:color w:val="000000"/>
                <w:sz w:val="21"/>
                <w:szCs w:val="21"/>
                <w:lang w:val="en-US" w:eastAsia="zh-CN"/>
              </w:rPr>
              <w:t>项目区未设置施工营地，严禁现场冲洗车辆、施工机械等，少量施工废水经临时沉淀池收集处理后用于项目区洒水抑尘</w:t>
            </w:r>
            <w:r>
              <w:rPr>
                <w:rFonts w:hint="default" w:cs="Times New Roman"/>
                <w:color w:val="000000"/>
                <w:sz w:val="21"/>
                <w:szCs w:val="21"/>
              </w:rPr>
              <w:t>。</w:t>
            </w:r>
          </w:p>
          <w:p w14:paraId="213CA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lang w:val="en-US"/>
              </w:rPr>
            </w:pPr>
            <w:r>
              <w:rPr>
                <w:rFonts w:hint="default" w:cs="Times New Roman"/>
                <w:color w:val="000000"/>
                <w:sz w:val="21"/>
                <w:szCs w:val="21"/>
              </w:rPr>
              <w:t>②</w:t>
            </w:r>
            <w:r>
              <w:rPr>
                <w:rFonts w:hint="eastAsia" w:cs="Times New Roman"/>
                <w:color w:val="000000"/>
                <w:sz w:val="21"/>
                <w:szCs w:val="21"/>
                <w:lang w:val="en-US" w:eastAsia="zh-CN"/>
              </w:rPr>
              <w:t>项目区不设置施工营地，施工人员生活污水依托东辰煤矿和煤炭仓储加工基地施工营地防渗化粪池收集，定期拉运处置。</w:t>
            </w:r>
          </w:p>
        </w:tc>
        <w:tc>
          <w:tcPr>
            <w:tcW w:w="0" w:type="auto"/>
            <w:tcBorders>
              <w:tl2br w:val="nil"/>
              <w:tr2bl w:val="nil"/>
            </w:tcBorders>
            <w:noWrap w:val="0"/>
            <w:tcMar>
              <w:top w:w="0" w:type="dxa"/>
              <w:left w:w="0" w:type="dxa"/>
              <w:bottom w:w="0" w:type="dxa"/>
              <w:right w:w="0" w:type="dxa"/>
            </w:tcMar>
            <w:vAlign w:val="center"/>
          </w:tcPr>
          <w:p w14:paraId="2C021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落实相关措施</w:t>
            </w:r>
          </w:p>
        </w:tc>
        <w:tc>
          <w:tcPr>
            <w:tcW w:w="0" w:type="auto"/>
            <w:tcBorders>
              <w:tl2br w:val="nil"/>
              <w:tr2bl w:val="nil"/>
            </w:tcBorders>
            <w:noWrap w:val="0"/>
            <w:tcMar>
              <w:top w:w="0" w:type="dxa"/>
              <w:left w:w="0" w:type="dxa"/>
              <w:bottom w:w="0" w:type="dxa"/>
              <w:right w:w="0" w:type="dxa"/>
            </w:tcMar>
            <w:vAlign w:val="center"/>
          </w:tcPr>
          <w:p w14:paraId="731A0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eastAsia="宋体" w:cs="Times New Roman"/>
                <w:color w:val="000000"/>
                <w:sz w:val="21"/>
                <w:szCs w:val="21"/>
                <w:lang w:val="en-US" w:eastAsia="zh-CN"/>
              </w:rPr>
              <w:t>抑尘用水自然蒸发损耗；</w:t>
            </w:r>
          </w:p>
        </w:tc>
        <w:tc>
          <w:tcPr>
            <w:tcW w:w="0" w:type="auto"/>
            <w:tcBorders>
              <w:tl2br w:val="nil"/>
              <w:tr2bl w:val="nil"/>
            </w:tcBorders>
            <w:noWrap w:val="0"/>
            <w:tcMar>
              <w:top w:w="0" w:type="dxa"/>
              <w:left w:w="0" w:type="dxa"/>
              <w:bottom w:w="0" w:type="dxa"/>
              <w:right w:w="0" w:type="dxa"/>
            </w:tcMar>
            <w:vAlign w:val="center"/>
          </w:tcPr>
          <w:p w14:paraId="1FF40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无废水外排，不影响地表水</w:t>
            </w:r>
          </w:p>
        </w:tc>
      </w:tr>
      <w:tr w14:paraId="0D03C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75796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地下水及土壤环境</w:t>
            </w:r>
          </w:p>
        </w:tc>
        <w:tc>
          <w:tcPr>
            <w:tcW w:w="1279" w:type="pct"/>
            <w:tcBorders>
              <w:tl2br w:val="nil"/>
              <w:tr2bl w:val="nil"/>
            </w:tcBorders>
            <w:noWrap w:val="0"/>
            <w:tcMar>
              <w:top w:w="0" w:type="dxa"/>
              <w:left w:w="0" w:type="dxa"/>
              <w:bottom w:w="0" w:type="dxa"/>
              <w:right w:w="0" w:type="dxa"/>
            </w:tcMar>
            <w:vAlign w:val="center"/>
          </w:tcPr>
          <w:p w14:paraId="3DEE20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施工期严禁随意开采地下水，施工废水经临时防渗沉淀池收集处理后回用于施工现场洒水抑尘；施工期对临时堆土场采取苫盖、洒水等措施，减少临时堆土起尘。</w:t>
            </w:r>
          </w:p>
        </w:tc>
        <w:tc>
          <w:tcPr>
            <w:tcW w:w="0" w:type="auto"/>
            <w:tcBorders>
              <w:tl2br w:val="nil"/>
              <w:tr2bl w:val="nil"/>
            </w:tcBorders>
            <w:noWrap w:val="0"/>
            <w:tcMar>
              <w:top w:w="0" w:type="dxa"/>
              <w:left w:w="0" w:type="dxa"/>
              <w:bottom w:w="0" w:type="dxa"/>
              <w:right w:w="0" w:type="dxa"/>
            </w:tcMar>
            <w:vAlign w:val="center"/>
          </w:tcPr>
          <w:p w14:paraId="0B72E8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521E54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禁止随意开采使用地下水，做好土壤及地下水污染防治</w:t>
            </w:r>
          </w:p>
        </w:tc>
        <w:tc>
          <w:tcPr>
            <w:tcW w:w="0" w:type="auto"/>
            <w:tcBorders>
              <w:tl2br w:val="nil"/>
              <w:tr2bl w:val="nil"/>
            </w:tcBorders>
            <w:noWrap w:val="0"/>
            <w:tcMar>
              <w:top w:w="0" w:type="dxa"/>
              <w:left w:w="0" w:type="dxa"/>
              <w:bottom w:w="0" w:type="dxa"/>
              <w:right w:w="0" w:type="dxa"/>
            </w:tcMar>
            <w:vAlign w:val="center"/>
          </w:tcPr>
          <w:p w14:paraId="719737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落实监测及治理措施</w:t>
            </w:r>
          </w:p>
        </w:tc>
      </w:tr>
      <w:tr w14:paraId="23B46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1CF63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声环境</w:t>
            </w:r>
          </w:p>
        </w:tc>
        <w:tc>
          <w:tcPr>
            <w:tcW w:w="1279" w:type="pct"/>
            <w:tcBorders>
              <w:tl2br w:val="nil"/>
              <w:tr2bl w:val="nil"/>
            </w:tcBorders>
            <w:noWrap w:val="0"/>
            <w:tcMar>
              <w:top w:w="0" w:type="dxa"/>
              <w:left w:w="0" w:type="dxa"/>
              <w:bottom w:w="0" w:type="dxa"/>
              <w:right w:w="0" w:type="dxa"/>
            </w:tcMar>
            <w:vAlign w:val="center"/>
          </w:tcPr>
          <w:p w14:paraId="5DF271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fldChar w:fldCharType="begin"/>
            </w:r>
            <w:r>
              <w:rPr>
                <w:rFonts w:hint="default" w:cs="Times New Roman"/>
                <w:color w:val="000000"/>
                <w:sz w:val="21"/>
                <w:szCs w:val="21"/>
              </w:rPr>
              <w:instrText xml:space="preserve"> = 1 \* GB3 </w:instrText>
            </w:r>
            <w:r>
              <w:rPr>
                <w:rFonts w:hint="default" w:cs="Times New Roman"/>
                <w:color w:val="000000"/>
                <w:sz w:val="21"/>
                <w:szCs w:val="21"/>
              </w:rPr>
              <w:fldChar w:fldCharType="separate"/>
            </w:r>
            <w:r>
              <w:rPr>
                <w:rFonts w:hint="default" w:cs="Times New Roman"/>
                <w:color w:val="000000"/>
                <w:sz w:val="21"/>
                <w:szCs w:val="21"/>
              </w:rPr>
              <w:t>①</w:t>
            </w:r>
            <w:r>
              <w:rPr>
                <w:rFonts w:hint="default" w:cs="Times New Roman"/>
                <w:color w:val="000000"/>
                <w:sz w:val="21"/>
                <w:szCs w:val="21"/>
              </w:rPr>
              <w:fldChar w:fldCharType="end"/>
            </w:r>
            <w:r>
              <w:rPr>
                <w:rFonts w:hint="default" w:cs="Times New Roman"/>
                <w:color w:val="000000"/>
                <w:sz w:val="21"/>
                <w:szCs w:val="21"/>
              </w:rPr>
              <w:t>施工现场在高噪声设备周边设置屏障；尽可能以液压工具代替气压冲击工具</w:t>
            </w:r>
            <w:r>
              <w:rPr>
                <w:rFonts w:hint="eastAsia" w:cs="Times New Roman"/>
                <w:color w:val="000000"/>
                <w:sz w:val="21"/>
                <w:szCs w:val="21"/>
                <w:lang w:eastAsia="zh-CN"/>
              </w:rPr>
              <w:t>，</w:t>
            </w:r>
            <w:r>
              <w:rPr>
                <w:rFonts w:hint="eastAsia" w:cs="Times New Roman"/>
                <w:color w:val="000000"/>
                <w:sz w:val="21"/>
                <w:szCs w:val="21"/>
                <w:lang w:val="en-US" w:eastAsia="zh-CN"/>
              </w:rPr>
              <w:t>选用低噪声设备</w:t>
            </w:r>
            <w:r>
              <w:rPr>
                <w:rFonts w:hint="default" w:cs="Times New Roman"/>
                <w:color w:val="000000"/>
                <w:sz w:val="21"/>
                <w:szCs w:val="21"/>
              </w:rPr>
              <w:t>，减少噪声的强度。</w:t>
            </w:r>
          </w:p>
          <w:p w14:paraId="22F6A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fldChar w:fldCharType="begin"/>
            </w:r>
            <w:r>
              <w:rPr>
                <w:rFonts w:hint="default" w:cs="Times New Roman"/>
                <w:color w:val="000000"/>
                <w:sz w:val="21"/>
                <w:szCs w:val="21"/>
              </w:rPr>
              <w:instrText xml:space="preserve"> = 2 \* GB3 </w:instrText>
            </w:r>
            <w:r>
              <w:rPr>
                <w:rFonts w:hint="default" w:cs="Times New Roman"/>
                <w:color w:val="000000"/>
                <w:sz w:val="21"/>
                <w:szCs w:val="21"/>
              </w:rPr>
              <w:fldChar w:fldCharType="separate"/>
            </w:r>
            <w:r>
              <w:rPr>
                <w:rFonts w:hint="default" w:cs="Times New Roman"/>
                <w:color w:val="000000"/>
                <w:sz w:val="21"/>
                <w:szCs w:val="21"/>
              </w:rPr>
              <w:t>②</w:t>
            </w:r>
            <w:r>
              <w:rPr>
                <w:rFonts w:hint="default" w:cs="Times New Roman"/>
                <w:color w:val="000000"/>
                <w:sz w:val="21"/>
                <w:szCs w:val="21"/>
              </w:rPr>
              <w:fldChar w:fldCharType="end"/>
            </w:r>
            <w:r>
              <w:rPr>
                <w:rFonts w:hint="eastAsia" w:cs="Times New Roman"/>
                <w:color w:val="000000"/>
                <w:sz w:val="21"/>
                <w:szCs w:val="21"/>
                <w:lang w:val="en-US" w:eastAsia="zh-CN"/>
              </w:rPr>
              <w:t>施工</w:t>
            </w:r>
            <w:r>
              <w:rPr>
                <w:rFonts w:hint="default" w:cs="Times New Roman"/>
                <w:color w:val="000000"/>
                <w:sz w:val="21"/>
                <w:szCs w:val="21"/>
              </w:rPr>
              <w:t>作业中应尽量合理布置施工场地和配置施工机械，降低组合噪声级</w:t>
            </w:r>
            <w:r>
              <w:rPr>
                <w:rFonts w:hint="eastAsia" w:cs="Times New Roman"/>
                <w:color w:val="000000"/>
                <w:sz w:val="21"/>
                <w:szCs w:val="21"/>
                <w:lang w:eastAsia="zh-CN"/>
              </w:rPr>
              <w:t>，</w:t>
            </w:r>
            <w:r>
              <w:rPr>
                <w:rFonts w:hint="default" w:cs="Times New Roman"/>
                <w:color w:val="000000"/>
                <w:sz w:val="21"/>
                <w:szCs w:val="21"/>
              </w:rPr>
              <w:t>合理安排施工活动，尽量缩短工期，减少施工噪声影响时间。避免强噪声施工机械在同一区域内同时使用。</w:t>
            </w:r>
          </w:p>
          <w:p w14:paraId="091538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fldChar w:fldCharType="begin"/>
            </w:r>
            <w:r>
              <w:rPr>
                <w:rFonts w:hint="default" w:cs="Times New Roman"/>
                <w:color w:val="000000"/>
                <w:sz w:val="21"/>
                <w:szCs w:val="21"/>
              </w:rPr>
              <w:instrText xml:space="preserve"> = 3 \* GB3 </w:instrText>
            </w:r>
            <w:r>
              <w:rPr>
                <w:rFonts w:hint="default" w:cs="Times New Roman"/>
                <w:color w:val="000000"/>
                <w:sz w:val="21"/>
                <w:szCs w:val="21"/>
              </w:rPr>
              <w:fldChar w:fldCharType="separate"/>
            </w:r>
            <w:r>
              <w:rPr>
                <w:rFonts w:hint="default" w:cs="Times New Roman"/>
                <w:color w:val="000000"/>
                <w:sz w:val="21"/>
                <w:szCs w:val="21"/>
              </w:rPr>
              <w:t>③</w:t>
            </w:r>
            <w:r>
              <w:rPr>
                <w:rFonts w:hint="default" w:cs="Times New Roman"/>
                <w:color w:val="000000"/>
                <w:sz w:val="21"/>
                <w:szCs w:val="21"/>
              </w:rPr>
              <w:fldChar w:fldCharType="end"/>
            </w:r>
            <w:r>
              <w:rPr>
                <w:rFonts w:hint="default" w:cs="Times New Roman"/>
                <w:color w:val="000000"/>
                <w:sz w:val="21"/>
                <w:szCs w:val="21"/>
              </w:rPr>
              <w:t>禁止在夜间（</w:t>
            </w:r>
            <w:r>
              <w:rPr>
                <w:rFonts w:hint="eastAsia" w:cs="Times New Roman"/>
                <w:color w:val="000000"/>
                <w:sz w:val="21"/>
                <w:szCs w:val="21"/>
                <w:lang w:val="en-US" w:eastAsia="zh-CN"/>
              </w:rPr>
              <w:t>00:</w:t>
            </w:r>
            <w:r>
              <w:rPr>
                <w:rFonts w:hint="default" w:cs="Times New Roman"/>
                <w:color w:val="000000"/>
                <w:sz w:val="21"/>
                <w:szCs w:val="21"/>
              </w:rPr>
              <w:t>00~0</w:t>
            </w:r>
            <w:r>
              <w:rPr>
                <w:rFonts w:hint="eastAsia" w:cs="Times New Roman"/>
                <w:color w:val="000000"/>
                <w:sz w:val="21"/>
                <w:szCs w:val="21"/>
                <w:lang w:val="en-US" w:eastAsia="zh-CN"/>
              </w:rPr>
              <w:t>8:</w:t>
            </w:r>
            <w:r>
              <w:rPr>
                <w:rFonts w:hint="default" w:cs="Times New Roman"/>
                <w:color w:val="000000"/>
                <w:sz w:val="21"/>
                <w:szCs w:val="21"/>
              </w:rPr>
              <w:t>00）和午间（1</w:t>
            </w:r>
            <w:r>
              <w:rPr>
                <w:rFonts w:hint="eastAsia" w:cs="Times New Roman"/>
                <w:color w:val="000000"/>
                <w:sz w:val="21"/>
                <w:szCs w:val="21"/>
                <w:lang w:val="en-US" w:eastAsia="zh-CN"/>
              </w:rPr>
              <w:t>3:</w:t>
            </w:r>
            <w:r>
              <w:rPr>
                <w:rFonts w:hint="default" w:cs="Times New Roman"/>
                <w:color w:val="000000"/>
                <w:sz w:val="21"/>
                <w:szCs w:val="21"/>
              </w:rPr>
              <w:t>00~1</w:t>
            </w:r>
            <w:r>
              <w:rPr>
                <w:rFonts w:hint="eastAsia" w:cs="Times New Roman"/>
                <w:color w:val="000000"/>
                <w:sz w:val="21"/>
                <w:szCs w:val="21"/>
                <w:lang w:val="en-US" w:eastAsia="zh-CN"/>
              </w:rPr>
              <w:t>5:</w:t>
            </w:r>
            <w:r>
              <w:rPr>
                <w:rFonts w:hint="default" w:cs="Times New Roman"/>
                <w:color w:val="000000"/>
                <w:sz w:val="21"/>
                <w:szCs w:val="21"/>
              </w:rPr>
              <w:t>30）进行施工作业。如因特殊原因需夜间施工的，必须报生态环境主管部门批准，并予以公示。</w:t>
            </w:r>
          </w:p>
          <w:p w14:paraId="3B1692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fldChar w:fldCharType="begin"/>
            </w:r>
            <w:r>
              <w:rPr>
                <w:rFonts w:hint="default" w:cs="Times New Roman"/>
                <w:color w:val="000000"/>
                <w:sz w:val="21"/>
                <w:szCs w:val="21"/>
              </w:rPr>
              <w:instrText xml:space="preserve"> = 4 \* GB3 </w:instrText>
            </w:r>
            <w:r>
              <w:rPr>
                <w:rFonts w:hint="default" w:cs="Times New Roman"/>
                <w:color w:val="000000"/>
                <w:sz w:val="21"/>
                <w:szCs w:val="21"/>
              </w:rPr>
              <w:fldChar w:fldCharType="separate"/>
            </w:r>
            <w:r>
              <w:rPr>
                <w:rFonts w:hint="default" w:cs="Times New Roman"/>
                <w:color w:val="000000"/>
                <w:sz w:val="21"/>
                <w:szCs w:val="21"/>
              </w:rPr>
              <w:t>④</w:t>
            </w:r>
            <w:r>
              <w:rPr>
                <w:rFonts w:hint="default" w:cs="Times New Roman"/>
                <w:color w:val="000000"/>
                <w:sz w:val="21"/>
                <w:szCs w:val="21"/>
              </w:rPr>
              <w:fldChar w:fldCharType="end"/>
            </w:r>
            <w:r>
              <w:rPr>
                <w:rFonts w:hint="eastAsia" w:cs="Times New Roman"/>
                <w:color w:val="000000"/>
                <w:sz w:val="21"/>
                <w:szCs w:val="21"/>
                <w:lang w:val="en-US" w:eastAsia="zh-CN"/>
              </w:rPr>
              <w:t>做好施工人员个人防护，配备耳塞、耳机等个人防护用具</w:t>
            </w: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4CD91E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落实相关措施；施工场界噪声达《建筑施工场界环境噪声排放标准》</w:t>
            </w:r>
            <w:r>
              <w:rPr>
                <w:rFonts w:hint="eastAsia" w:cs="Times New Roman"/>
                <w:color w:val="000000"/>
                <w:sz w:val="21"/>
                <w:szCs w:val="21"/>
                <w:lang w:eastAsia="zh-CN"/>
              </w:rPr>
              <w:t>（</w:t>
            </w:r>
            <w:r>
              <w:rPr>
                <w:rFonts w:hint="default" w:cs="Times New Roman"/>
                <w:color w:val="000000"/>
                <w:sz w:val="21"/>
                <w:szCs w:val="21"/>
              </w:rPr>
              <w:t>GB12523-2011</w:t>
            </w:r>
            <w:r>
              <w:rPr>
                <w:rFonts w:hint="eastAsia" w:cs="Times New Roman"/>
                <w:color w:val="000000"/>
                <w:sz w:val="21"/>
                <w:szCs w:val="21"/>
                <w:lang w:eastAsia="zh-CN"/>
              </w:rPr>
              <w:t>）</w:t>
            </w:r>
            <w:r>
              <w:rPr>
                <w:rFonts w:hint="default" w:cs="Times New Roman"/>
                <w:color w:val="000000"/>
                <w:sz w:val="21"/>
                <w:szCs w:val="21"/>
              </w:rPr>
              <w:t>中表1的限值（昼间70 dB</w:t>
            </w:r>
            <w:r>
              <w:rPr>
                <w:rFonts w:hint="eastAsia" w:cs="Times New Roman"/>
                <w:color w:val="000000"/>
                <w:sz w:val="21"/>
                <w:szCs w:val="21"/>
                <w:lang w:eastAsia="zh-CN"/>
              </w:rPr>
              <w:t>（</w:t>
            </w:r>
            <w:r>
              <w:rPr>
                <w:rFonts w:hint="eastAsia" w:cs="Times New Roman"/>
                <w:color w:val="000000"/>
                <w:sz w:val="21"/>
                <w:szCs w:val="21"/>
                <w:lang w:val="en-US" w:eastAsia="zh-CN"/>
              </w:rPr>
              <w:t>A</w:t>
            </w:r>
            <w:r>
              <w:rPr>
                <w:rFonts w:hint="eastAsia" w:cs="Times New Roman"/>
                <w:color w:val="000000"/>
                <w:sz w:val="21"/>
                <w:szCs w:val="21"/>
                <w:lang w:eastAsia="zh-CN"/>
              </w:rPr>
              <w:t>）</w:t>
            </w:r>
            <w:r>
              <w:rPr>
                <w:rFonts w:hint="default" w:cs="Times New Roman"/>
                <w:color w:val="000000"/>
                <w:sz w:val="21"/>
                <w:szCs w:val="21"/>
              </w:rPr>
              <w:t>，夜间55 dB</w:t>
            </w:r>
            <w:r>
              <w:rPr>
                <w:rFonts w:hint="eastAsia" w:cs="Times New Roman"/>
                <w:color w:val="000000"/>
                <w:sz w:val="21"/>
                <w:szCs w:val="21"/>
                <w:lang w:eastAsia="zh-CN"/>
              </w:rPr>
              <w:t>（</w:t>
            </w:r>
            <w:r>
              <w:rPr>
                <w:rFonts w:hint="default" w:cs="Times New Roman"/>
                <w:color w:val="000000"/>
                <w:sz w:val="21"/>
                <w:szCs w:val="21"/>
              </w:rPr>
              <w:t>A</w:t>
            </w:r>
            <w:r>
              <w:rPr>
                <w:rFonts w:hint="eastAsia" w:cs="Times New Roman"/>
                <w:color w:val="000000"/>
                <w:sz w:val="21"/>
                <w:szCs w:val="21"/>
                <w:lang w:eastAsia="zh-CN"/>
              </w:rPr>
              <w:t>）</w:t>
            </w: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78FB1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选用低噪声设备，采取基础减振、围挡等措施降噪</w:t>
            </w:r>
          </w:p>
        </w:tc>
        <w:tc>
          <w:tcPr>
            <w:tcW w:w="0" w:type="auto"/>
            <w:tcBorders>
              <w:tl2br w:val="nil"/>
              <w:tr2bl w:val="nil"/>
            </w:tcBorders>
            <w:noWrap w:val="0"/>
            <w:tcMar>
              <w:top w:w="0" w:type="dxa"/>
              <w:left w:w="0" w:type="dxa"/>
              <w:bottom w:w="0" w:type="dxa"/>
              <w:right w:w="0" w:type="dxa"/>
            </w:tcMar>
            <w:vAlign w:val="center"/>
          </w:tcPr>
          <w:p w14:paraId="6B3C3D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《工业企业厂界环境噪声排放标准</w:t>
            </w:r>
            <w:r>
              <w:rPr>
                <w:rFonts w:hint="eastAsia" w:cs="Times New Roman"/>
                <w:color w:val="000000"/>
                <w:sz w:val="21"/>
                <w:szCs w:val="21"/>
                <w:lang w:eastAsia="zh-CN"/>
              </w:rPr>
              <w:t>》</w:t>
            </w:r>
            <w:r>
              <w:rPr>
                <w:rFonts w:hint="default" w:cs="Times New Roman"/>
                <w:color w:val="000000"/>
                <w:sz w:val="21"/>
                <w:szCs w:val="21"/>
              </w:rPr>
              <w:t>（GB12348-2008）2类区标准</w:t>
            </w:r>
          </w:p>
        </w:tc>
      </w:tr>
      <w:tr w14:paraId="1EF7B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42A340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振动</w:t>
            </w:r>
          </w:p>
        </w:tc>
        <w:tc>
          <w:tcPr>
            <w:tcW w:w="1279" w:type="pct"/>
            <w:tcBorders>
              <w:tl2br w:val="nil"/>
              <w:tr2bl w:val="nil"/>
            </w:tcBorders>
            <w:noWrap w:val="0"/>
            <w:tcMar>
              <w:top w:w="0" w:type="dxa"/>
              <w:left w:w="0" w:type="dxa"/>
              <w:bottom w:w="0" w:type="dxa"/>
              <w:right w:w="0" w:type="dxa"/>
            </w:tcMar>
            <w:vAlign w:val="center"/>
          </w:tcPr>
          <w:p w14:paraId="0C7EA6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7D173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66422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4B015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r>
      <w:tr w14:paraId="00B6E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0B584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大气环境</w:t>
            </w:r>
          </w:p>
        </w:tc>
        <w:tc>
          <w:tcPr>
            <w:tcW w:w="1279" w:type="pct"/>
            <w:tcBorders>
              <w:tl2br w:val="nil"/>
              <w:tr2bl w:val="nil"/>
            </w:tcBorders>
            <w:noWrap w:val="0"/>
            <w:tcMar>
              <w:top w:w="0" w:type="dxa"/>
              <w:left w:w="0" w:type="dxa"/>
              <w:bottom w:w="0" w:type="dxa"/>
              <w:right w:w="0" w:type="dxa"/>
            </w:tcMar>
            <w:vAlign w:val="center"/>
          </w:tcPr>
          <w:p w14:paraId="18D0BE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（1）运输扬尘防治措施</w:t>
            </w:r>
          </w:p>
          <w:p w14:paraId="6C8D23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fldChar w:fldCharType="begin"/>
            </w:r>
            <w:r>
              <w:rPr>
                <w:rFonts w:hint="default" w:cs="Times New Roman"/>
                <w:color w:val="000000"/>
                <w:sz w:val="21"/>
                <w:szCs w:val="21"/>
              </w:rPr>
              <w:instrText xml:space="preserve"> = 1 \* GB3 </w:instrText>
            </w:r>
            <w:r>
              <w:rPr>
                <w:rFonts w:hint="default" w:cs="Times New Roman"/>
                <w:color w:val="000000"/>
                <w:sz w:val="21"/>
                <w:szCs w:val="21"/>
              </w:rPr>
              <w:fldChar w:fldCharType="separate"/>
            </w:r>
            <w:r>
              <w:rPr>
                <w:rFonts w:hint="default" w:cs="Times New Roman"/>
                <w:color w:val="000000"/>
                <w:sz w:val="21"/>
                <w:szCs w:val="21"/>
              </w:rPr>
              <w:t>①</w:t>
            </w:r>
            <w:r>
              <w:rPr>
                <w:rFonts w:hint="default" w:cs="Times New Roman"/>
                <w:color w:val="000000"/>
                <w:sz w:val="21"/>
                <w:szCs w:val="21"/>
              </w:rPr>
              <w:fldChar w:fldCharType="end"/>
            </w:r>
            <w:r>
              <w:rPr>
                <w:rFonts w:hint="default" w:cs="Times New Roman"/>
                <w:color w:val="000000"/>
                <w:sz w:val="21"/>
                <w:szCs w:val="21"/>
              </w:rPr>
              <w:t>车辆</w:t>
            </w:r>
            <w:r>
              <w:rPr>
                <w:rFonts w:hint="eastAsia" w:cs="Times New Roman"/>
                <w:color w:val="000000"/>
                <w:sz w:val="21"/>
                <w:szCs w:val="21"/>
                <w:lang w:val="en-US" w:eastAsia="zh-CN"/>
              </w:rPr>
              <w:t>行驶路面</w:t>
            </w:r>
            <w:r>
              <w:rPr>
                <w:rFonts w:hint="default" w:cs="Times New Roman"/>
                <w:color w:val="000000"/>
                <w:sz w:val="21"/>
                <w:szCs w:val="21"/>
              </w:rPr>
              <w:t>应经常洒水。</w:t>
            </w:r>
          </w:p>
          <w:p w14:paraId="0E1D7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fldChar w:fldCharType="begin"/>
            </w:r>
            <w:r>
              <w:rPr>
                <w:rFonts w:hint="default" w:cs="Times New Roman"/>
                <w:color w:val="000000"/>
                <w:sz w:val="21"/>
                <w:szCs w:val="21"/>
              </w:rPr>
              <w:instrText xml:space="preserve"> = 2 \* GB3 </w:instrText>
            </w:r>
            <w:r>
              <w:rPr>
                <w:rFonts w:hint="default" w:cs="Times New Roman"/>
                <w:color w:val="000000"/>
                <w:sz w:val="21"/>
                <w:szCs w:val="21"/>
              </w:rPr>
              <w:fldChar w:fldCharType="separate"/>
            </w:r>
            <w:r>
              <w:rPr>
                <w:rFonts w:hint="default" w:cs="Times New Roman"/>
                <w:color w:val="000000"/>
                <w:sz w:val="21"/>
                <w:szCs w:val="21"/>
              </w:rPr>
              <w:t>②</w:t>
            </w:r>
            <w:r>
              <w:rPr>
                <w:rFonts w:hint="default" w:cs="Times New Roman"/>
                <w:color w:val="000000"/>
                <w:sz w:val="21"/>
                <w:szCs w:val="21"/>
              </w:rPr>
              <w:fldChar w:fldCharType="end"/>
            </w:r>
            <w:r>
              <w:rPr>
                <w:rFonts w:hint="default" w:cs="Times New Roman"/>
                <w:color w:val="000000"/>
                <w:sz w:val="21"/>
                <w:szCs w:val="21"/>
              </w:rPr>
              <w:t>运送车辆应按规定配置防洒装备，装载不宜过满，实行密闭运输，装载的物料、</w:t>
            </w:r>
            <w:r>
              <w:rPr>
                <w:rFonts w:hint="eastAsia" w:cs="Times New Roman"/>
                <w:color w:val="000000"/>
                <w:sz w:val="21"/>
                <w:szCs w:val="21"/>
                <w:lang w:val="en-US" w:eastAsia="zh-CN"/>
              </w:rPr>
              <w:t>土石方</w:t>
            </w:r>
            <w:r>
              <w:rPr>
                <w:rFonts w:hint="default" w:cs="Times New Roman"/>
                <w:color w:val="000000"/>
                <w:sz w:val="21"/>
                <w:szCs w:val="21"/>
              </w:rPr>
              <w:t>高度不得超过车辆槽帮上沿，避免在运输过程中发生遗撒或泄漏。对洒落地面的</w:t>
            </w:r>
            <w:r>
              <w:rPr>
                <w:rFonts w:hint="eastAsia" w:cs="Times New Roman"/>
                <w:color w:val="000000"/>
                <w:sz w:val="21"/>
                <w:szCs w:val="21"/>
                <w:lang w:val="en-US" w:eastAsia="zh-CN"/>
              </w:rPr>
              <w:t>土石方</w:t>
            </w:r>
            <w:r>
              <w:rPr>
                <w:rFonts w:hint="default" w:cs="Times New Roman"/>
                <w:color w:val="000000"/>
                <w:sz w:val="21"/>
                <w:szCs w:val="21"/>
              </w:rPr>
              <w:t>，应及时进行清理。</w:t>
            </w:r>
          </w:p>
          <w:p w14:paraId="6EE56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（2）施工场内扬尘防治措施</w:t>
            </w:r>
          </w:p>
          <w:p w14:paraId="71AE24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①施工前须制定控制工地扬尘方案，施工期间接受相关部门的监督检查，执行建筑施工场地的相关规定，采取有效防尘措施。</w:t>
            </w:r>
          </w:p>
          <w:p w14:paraId="7646C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②</w:t>
            </w:r>
            <w:r>
              <w:rPr>
                <w:rFonts w:hint="eastAsia" w:cs="Times New Roman"/>
                <w:color w:val="000000"/>
                <w:sz w:val="21"/>
                <w:szCs w:val="21"/>
                <w:lang w:val="en-US" w:eastAsia="zh-CN"/>
              </w:rPr>
              <w:t>施工</w:t>
            </w:r>
            <w:r>
              <w:rPr>
                <w:rFonts w:hint="default" w:cs="Times New Roman"/>
                <w:color w:val="000000"/>
                <w:sz w:val="21"/>
                <w:szCs w:val="21"/>
              </w:rPr>
              <w:t>场地要设置围挡，如用彩钢板或聚丙烯布在施工区四周围屏以防扬尘扩散。</w:t>
            </w:r>
          </w:p>
          <w:p w14:paraId="580B3E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③施工现场合理布局，对易扬尘物料加盖篷布。</w:t>
            </w:r>
          </w:p>
          <w:p w14:paraId="3DC8CA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④为进一步降低施工扬尘，要定期对路面和施工场区洒水，保持下垫面和空气湿润，减少起尘量，洒水频率视天气情况调整。</w:t>
            </w:r>
          </w:p>
          <w:p w14:paraId="063F39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⑤4级以上大风天气，不得进行土方开挖、回填、转运以及其他可能产生扬尘污染的施工，并对施工场地做好遮掩工作。</w:t>
            </w:r>
          </w:p>
          <w:p w14:paraId="0C5173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cs="Times New Roman"/>
                <w:color w:val="000000"/>
                <w:sz w:val="21"/>
                <w:szCs w:val="21"/>
              </w:rPr>
            </w:pPr>
            <w:r>
              <w:rPr>
                <w:rFonts w:hint="default" w:cs="Times New Roman"/>
                <w:color w:val="000000"/>
                <w:sz w:val="21"/>
                <w:szCs w:val="21"/>
              </w:rPr>
              <w:t>⑥施工渣土必须覆盖，严禁将施工产生的渣土带入交通道路。</w:t>
            </w:r>
          </w:p>
        </w:tc>
        <w:tc>
          <w:tcPr>
            <w:tcW w:w="0" w:type="auto"/>
            <w:tcBorders>
              <w:tl2br w:val="nil"/>
              <w:tr2bl w:val="nil"/>
            </w:tcBorders>
            <w:noWrap w:val="0"/>
            <w:tcMar>
              <w:top w:w="0" w:type="dxa"/>
              <w:left w:w="0" w:type="dxa"/>
              <w:bottom w:w="0" w:type="dxa"/>
              <w:right w:w="0" w:type="dxa"/>
            </w:tcMar>
            <w:vAlign w:val="center"/>
          </w:tcPr>
          <w:p w14:paraId="627E9F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落实相关措施</w:t>
            </w:r>
          </w:p>
        </w:tc>
        <w:tc>
          <w:tcPr>
            <w:tcW w:w="0" w:type="auto"/>
            <w:tcBorders>
              <w:tl2br w:val="nil"/>
              <w:tr2bl w:val="nil"/>
            </w:tcBorders>
            <w:noWrap w:val="0"/>
            <w:tcMar>
              <w:top w:w="0" w:type="dxa"/>
              <w:left w:w="0" w:type="dxa"/>
              <w:bottom w:w="0" w:type="dxa"/>
              <w:right w:w="0" w:type="dxa"/>
            </w:tcMar>
            <w:vAlign w:val="center"/>
          </w:tcPr>
          <w:p w14:paraId="4570D8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设置全封闭输煤廊道，做好封闭措施日常维护；转运站封闭设置，并安装袋式除尘器收集治理转运粉尘</w:t>
            </w:r>
            <w:r>
              <w:rPr>
                <w:rFonts w:hint="eastAsia" w:eastAsia="宋体" w:cs="Times New Roman"/>
                <w:color w:val="000000"/>
                <w:sz w:val="21"/>
                <w:szCs w:val="21"/>
                <w:lang w:val="en-US" w:eastAsia="zh-CN"/>
              </w:rPr>
              <w:t>等</w:t>
            </w:r>
          </w:p>
        </w:tc>
        <w:tc>
          <w:tcPr>
            <w:tcW w:w="0" w:type="auto"/>
            <w:tcBorders>
              <w:tl2br w:val="nil"/>
              <w:tr2bl w:val="nil"/>
            </w:tcBorders>
            <w:noWrap w:val="0"/>
            <w:tcMar>
              <w:top w:w="0" w:type="dxa"/>
              <w:left w:w="0" w:type="dxa"/>
              <w:bottom w:w="0" w:type="dxa"/>
              <w:right w:w="0" w:type="dxa"/>
            </w:tcMar>
            <w:vAlign w:val="center"/>
          </w:tcPr>
          <w:p w14:paraId="7A334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粉尘排放满足《煤炭工业污染物排放标准》（GB 20426-2006</w:t>
            </w:r>
            <w:r>
              <w:rPr>
                <w:rFonts w:hint="eastAsia" w:eastAsia="宋体" w:cs="Times New Roman"/>
                <w:color w:val="000000"/>
                <w:sz w:val="21"/>
                <w:szCs w:val="21"/>
                <w:lang w:eastAsia="zh-CN"/>
              </w:rPr>
              <w:t>）</w:t>
            </w:r>
            <w:r>
              <w:rPr>
                <w:rFonts w:hint="eastAsia" w:cs="Times New Roman"/>
                <w:color w:val="000000"/>
                <w:sz w:val="21"/>
                <w:szCs w:val="21"/>
                <w:lang w:val="en-US" w:eastAsia="zh-CN"/>
              </w:rPr>
              <w:t>中标准要求</w:t>
            </w:r>
          </w:p>
        </w:tc>
      </w:tr>
      <w:tr w14:paraId="3EF4A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43035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固体废物</w:t>
            </w:r>
          </w:p>
        </w:tc>
        <w:tc>
          <w:tcPr>
            <w:tcW w:w="1279" w:type="pct"/>
            <w:tcBorders>
              <w:tl2br w:val="nil"/>
              <w:tr2bl w:val="nil"/>
            </w:tcBorders>
            <w:noWrap w:val="0"/>
            <w:tcMar>
              <w:top w:w="0" w:type="dxa"/>
              <w:left w:w="0" w:type="dxa"/>
              <w:bottom w:w="0" w:type="dxa"/>
              <w:right w:w="0" w:type="dxa"/>
            </w:tcMar>
            <w:vAlign w:val="center"/>
          </w:tcPr>
          <w:p w14:paraId="5D06C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eastAsia" w:cs="Times New Roman"/>
                <w:color w:val="000000"/>
                <w:sz w:val="21"/>
                <w:szCs w:val="21"/>
                <w:lang w:val="en-US" w:eastAsia="zh-CN"/>
              </w:rPr>
              <w:t>施工期弃土转运至东辰煤矿建设指定弃土场堆存；生活垃圾应及时交由环卫部门清运统一处置</w:t>
            </w: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1ADB7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落实相关措施</w:t>
            </w:r>
          </w:p>
        </w:tc>
        <w:tc>
          <w:tcPr>
            <w:tcW w:w="0" w:type="auto"/>
            <w:tcBorders>
              <w:tl2br w:val="nil"/>
              <w:tr2bl w:val="nil"/>
            </w:tcBorders>
            <w:noWrap w:val="0"/>
            <w:tcMar>
              <w:top w:w="0" w:type="dxa"/>
              <w:left w:w="0" w:type="dxa"/>
              <w:bottom w:w="0" w:type="dxa"/>
              <w:right w:w="0" w:type="dxa"/>
            </w:tcMar>
            <w:vAlign w:val="center"/>
          </w:tcPr>
          <w:p w14:paraId="1BB57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除尘器收集煤尘混入煤炭外售；除尘器废布袋由厂家更换后回收利用；废润滑油、废润滑油桶和含油抹布、手套等分类收集贮存至东辰煤矿危险废物贮存库内，定期交由资质单位清运处置</w:t>
            </w:r>
            <w:r>
              <w:rPr>
                <w:rFonts w:hint="eastAsia" w:eastAsia="宋体" w:cs="Times New Roman"/>
                <w:color w:val="000000"/>
                <w:sz w:val="21"/>
                <w:szCs w:val="21"/>
                <w:lang w:val="en-US" w:eastAsia="zh-CN"/>
              </w:rPr>
              <w:t>。</w:t>
            </w:r>
          </w:p>
        </w:tc>
        <w:tc>
          <w:tcPr>
            <w:tcW w:w="0" w:type="auto"/>
            <w:tcBorders>
              <w:tl2br w:val="nil"/>
              <w:tr2bl w:val="nil"/>
            </w:tcBorders>
            <w:noWrap w:val="0"/>
            <w:tcMar>
              <w:top w:w="0" w:type="dxa"/>
              <w:left w:w="0" w:type="dxa"/>
              <w:bottom w:w="0" w:type="dxa"/>
              <w:right w:w="0" w:type="dxa"/>
            </w:tcMar>
            <w:vAlign w:val="center"/>
          </w:tcPr>
          <w:p w14:paraId="2DD5AE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eastAsia="宋体" w:cs="Times New Roman"/>
                <w:color w:val="000000"/>
                <w:sz w:val="21"/>
                <w:szCs w:val="21"/>
                <w:lang w:eastAsia="zh-CN"/>
              </w:rPr>
            </w:pPr>
            <w:r>
              <w:rPr>
                <w:rFonts w:hint="eastAsia" w:cs="Times New Roman"/>
                <w:color w:val="000000"/>
                <w:sz w:val="21"/>
                <w:szCs w:val="21"/>
                <w:lang w:val="en-US" w:eastAsia="zh-CN"/>
              </w:rPr>
              <w:t>/</w:t>
            </w:r>
          </w:p>
        </w:tc>
      </w:tr>
      <w:tr w14:paraId="553CA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23A50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电磁环境</w:t>
            </w:r>
          </w:p>
        </w:tc>
        <w:tc>
          <w:tcPr>
            <w:tcW w:w="1279" w:type="pct"/>
            <w:tcBorders>
              <w:tl2br w:val="nil"/>
              <w:tr2bl w:val="nil"/>
            </w:tcBorders>
            <w:noWrap w:val="0"/>
            <w:tcMar>
              <w:top w:w="0" w:type="dxa"/>
              <w:left w:w="0" w:type="dxa"/>
              <w:bottom w:w="0" w:type="dxa"/>
              <w:right w:w="0" w:type="dxa"/>
            </w:tcMar>
            <w:vAlign w:val="center"/>
          </w:tcPr>
          <w:p w14:paraId="22450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61804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1D4F8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7D332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r>
      <w:tr w14:paraId="0BD33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59063A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环境风险</w:t>
            </w:r>
          </w:p>
        </w:tc>
        <w:tc>
          <w:tcPr>
            <w:tcW w:w="1279" w:type="pct"/>
            <w:tcBorders>
              <w:tl2br w:val="nil"/>
              <w:tr2bl w:val="nil"/>
            </w:tcBorders>
            <w:noWrap w:val="0"/>
            <w:tcMar>
              <w:top w:w="0" w:type="dxa"/>
              <w:left w:w="0" w:type="dxa"/>
              <w:bottom w:w="0" w:type="dxa"/>
              <w:right w:w="0" w:type="dxa"/>
            </w:tcMar>
            <w:vAlign w:val="center"/>
          </w:tcPr>
          <w:p w14:paraId="3F763C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严格规范施工方法，设置必要的预防措施，尽量减少或避免扰动</w:t>
            </w:r>
            <w:r>
              <w:rPr>
                <w:rFonts w:hint="eastAsia" w:cs="Times New Roman"/>
                <w:color w:val="000000"/>
                <w:sz w:val="21"/>
                <w:szCs w:val="21"/>
                <w:lang w:val="en-US" w:eastAsia="zh-CN"/>
              </w:rPr>
              <w:t>周边环境</w:t>
            </w:r>
            <w:r>
              <w:rPr>
                <w:rFonts w:hint="default" w:cs="Times New Roman"/>
                <w:color w:val="000000"/>
                <w:sz w:val="21"/>
                <w:szCs w:val="21"/>
              </w:rPr>
              <w:t>；在施工过程中应对</w:t>
            </w:r>
            <w:r>
              <w:rPr>
                <w:rFonts w:hint="eastAsia" w:cs="Times New Roman"/>
                <w:color w:val="000000"/>
                <w:sz w:val="21"/>
                <w:szCs w:val="21"/>
                <w:lang w:val="en-US" w:eastAsia="zh-CN"/>
              </w:rPr>
              <w:t>施工场地</w:t>
            </w:r>
            <w:r>
              <w:rPr>
                <w:rFonts w:hint="default" w:cs="Times New Roman"/>
                <w:color w:val="000000"/>
                <w:sz w:val="21"/>
                <w:szCs w:val="21"/>
              </w:rPr>
              <w:t>采取必要的预防措施，</w:t>
            </w:r>
            <w:r>
              <w:rPr>
                <w:rFonts w:hint="eastAsia" w:cs="Times New Roman"/>
                <w:color w:val="000000"/>
                <w:sz w:val="21"/>
                <w:szCs w:val="21"/>
                <w:lang w:val="en-US" w:eastAsia="zh-CN"/>
              </w:rPr>
              <w:t>避免</w:t>
            </w:r>
            <w:r>
              <w:rPr>
                <w:rFonts w:hint="default" w:cs="Times New Roman"/>
                <w:color w:val="000000"/>
                <w:sz w:val="21"/>
                <w:szCs w:val="21"/>
              </w:rPr>
              <w:t>造成水土流失；做好安全防范工作，尽量做到安全操作，文明操作，编制好事故应急预案，用人力、物力、财力等做好事故应急工作，并按预案要求准备必要的应急措施。</w:t>
            </w:r>
          </w:p>
        </w:tc>
        <w:tc>
          <w:tcPr>
            <w:tcW w:w="0" w:type="auto"/>
            <w:tcBorders>
              <w:tl2br w:val="nil"/>
              <w:tr2bl w:val="nil"/>
            </w:tcBorders>
            <w:noWrap w:val="0"/>
            <w:tcMar>
              <w:top w:w="0" w:type="dxa"/>
              <w:left w:w="0" w:type="dxa"/>
              <w:bottom w:w="0" w:type="dxa"/>
              <w:right w:w="0" w:type="dxa"/>
            </w:tcMar>
            <w:vAlign w:val="center"/>
          </w:tcPr>
          <w:p w14:paraId="6ED19A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落实相关措施</w:t>
            </w:r>
          </w:p>
        </w:tc>
        <w:tc>
          <w:tcPr>
            <w:tcW w:w="0" w:type="auto"/>
            <w:tcBorders>
              <w:tl2br w:val="nil"/>
              <w:tr2bl w:val="nil"/>
            </w:tcBorders>
            <w:noWrap w:val="0"/>
            <w:tcMar>
              <w:top w:w="0" w:type="dxa"/>
              <w:left w:w="0" w:type="dxa"/>
              <w:bottom w:w="0" w:type="dxa"/>
              <w:right w:w="0" w:type="dxa"/>
            </w:tcMar>
            <w:vAlign w:val="center"/>
          </w:tcPr>
          <w:p w14:paraId="3C994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严格落实人工巡线制度</w:t>
            </w:r>
          </w:p>
        </w:tc>
        <w:tc>
          <w:tcPr>
            <w:tcW w:w="0" w:type="auto"/>
            <w:tcBorders>
              <w:tl2br w:val="nil"/>
              <w:tr2bl w:val="nil"/>
            </w:tcBorders>
            <w:noWrap w:val="0"/>
            <w:tcMar>
              <w:top w:w="0" w:type="dxa"/>
              <w:left w:w="0" w:type="dxa"/>
              <w:bottom w:w="0" w:type="dxa"/>
              <w:right w:w="0" w:type="dxa"/>
            </w:tcMar>
            <w:vAlign w:val="center"/>
          </w:tcPr>
          <w:p w14:paraId="2A0ED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eastAsia="宋体" w:cs="Times New Roman"/>
                <w:color w:val="000000"/>
                <w:sz w:val="21"/>
                <w:szCs w:val="21"/>
                <w:lang w:eastAsia="zh-CN"/>
              </w:rPr>
            </w:pPr>
            <w:r>
              <w:rPr>
                <w:rFonts w:hint="eastAsia" w:cs="Times New Roman"/>
                <w:color w:val="000000"/>
                <w:sz w:val="21"/>
                <w:szCs w:val="21"/>
                <w:lang w:val="en-US" w:eastAsia="zh-CN"/>
              </w:rPr>
              <w:t>/</w:t>
            </w:r>
          </w:p>
        </w:tc>
      </w:tr>
      <w:tr w14:paraId="57DF1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0C4E86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环境监测</w:t>
            </w:r>
          </w:p>
        </w:tc>
        <w:tc>
          <w:tcPr>
            <w:tcW w:w="1279" w:type="pct"/>
            <w:tcBorders>
              <w:tl2br w:val="nil"/>
              <w:tr2bl w:val="nil"/>
            </w:tcBorders>
            <w:noWrap w:val="0"/>
            <w:tcMar>
              <w:top w:w="0" w:type="dxa"/>
              <w:left w:w="0" w:type="dxa"/>
              <w:bottom w:w="0" w:type="dxa"/>
              <w:right w:w="0" w:type="dxa"/>
            </w:tcMar>
            <w:vAlign w:val="center"/>
          </w:tcPr>
          <w:p w14:paraId="3D820ACA">
            <w:pPr>
              <w:pStyle w:val="41"/>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leftChars="0" w:right="0" w:firstLine="0" w:firstLineChars="0"/>
              <w:jc w:val="center"/>
              <w:textAlignment w:val="auto"/>
              <w:rPr>
                <w:rFonts w:hint="default" w:cs="Times New Roman"/>
                <w:color w:val="000000"/>
                <w:lang w:val="en-US" w:eastAsia="zh-CN"/>
              </w:rPr>
            </w:pPr>
            <w:r>
              <w:rPr>
                <w:rFonts w:hint="eastAsia" w:cs="Times New Roman"/>
                <w:color w:val="000000"/>
                <w:sz w:val="21"/>
                <w:szCs w:val="21"/>
                <w:lang w:val="en-US" w:eastAsia="zh-CN"/>
              </w:rPr>
              <w:t>/</w:t>
            </w:r>
          </w:p>
        </w:tc>
        <w:tc>
          <w:tcPr>
            <w:tcW w:w="0" w:type="auto"/>
            <w:tcBorders>
              <w:tl2br w:val="nil"/>
              <w:tr2bl w:val="nil"/>
            </w:tcBorders>
            <w:noWrap w:val="0"/>
            <w:tcMar>
              <w:top w:w="0" w:type="dxa"/>
              <w:left w:w="0" w:type="dxa"/>
              <w:bottom w:w="0" w:type="dxa"/>
              <w:right w:w="0" w:type="dxa"/>
            </w:tcMar>
            <w:vAlign w:val="center"/>
          </w:tcPr>
          <w:p w14:paraId="221E8C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eastAsia="宋体" w:cs="Times New Roman"/>
                <w:color w:val="000000"/>
                <w:sz w:val="21"/>
                <w:szCs w:val="21"/>
                <w:lang w:val="en-US" w:eastAsia="zh-CN"/>
              </w:rPr>
            </w:pPr>
            <w:r>
              <w:rPr>
                <w:rFonts w:hint="eastAsia" w:eastAsia="宋体" w:cs="Times New Roman"/>
                <w:color w:val="000000"/>
                <w:sz w:val="21"/>
                <w:szCs w:val="21"/>
                <w:lang w:val="en-US" w:eastAsia="zh-CN"/>
              </w:rPr>
              <w:t>/</w:t>
            </w:r>
          </w:p>
        </w:tc>
        <w:tc>
          <w:tcPr>
            <w:tcW w:w="0" w:type="auto"/>
            <w:gridSpan w:val="2"/>
            <w:tcBorders>
              <w:tl2br w:val="nil"/>
              <w:tr2bl w:val="nil"/>
            </w:tcBorders>
            <w:noWrap w:val="0"/>
            <w:tcMar>
              <w:top w:w="0" w:type="dxa"/>
              <w:left w:w="0" w:type="dxa"/>
              <w:bottom w:w="0" w:type="dxa"/>
              <w:right w:w="0" w:type="dxa"/>
            </w:tcMar>
            <w:vAlign w:val="center"/>
          </w:tcPr>
          <w:p w14:paraId="7C3BF0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宋体" w:cs="Times New Roman"/>
                <w:color w:val="000000"/>
                <w:sz w:val="21"/>
                <w:szCs w:val="21"/>
                <w:lang w:val="en-US" w:eastAsia="zh-CN"/>
              </w:rPr>
            </w:pPr>
            <w:r>
              <w:rPr>
                <w:rFonts w:hint="eastAsia" w:cs="Times New Roman"/>
                <w:color w:val="000000"/>
                <w:sz w:val="21"/>
                <w:szCs w:val="21"/>
                <w:lang w:val="en-US" w:eastAsia="zh-CN"/>
              </w:rPr>
              <w:t>落实自行监测计划</w:t>
            </w:r>
          </w:p>
        </w:tc>
      </w:tr>
      <w:tr w14:paraId="66125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0" w:type="pct"/>
            <w:tcBorders>
              <w:tl2br w:val="nil"/>
              <w:tr2bl w:val="nil"/>
            </w:tcBorders>
            <w:noWrap w:val="0"/>
            <w:tcMar>
              <w:top w:w="0" w:type="dxa"/>
              <w:left w:w="0" w:type="dxa"/>
              <w:bottom w:w="0" w:type="dxa"/>
              <w:right w:w="0" w:type="dxa"/>
            </w:tcMar>
            <w:vAlign w:val="center"/>
          </w:tcPr>
          <w:p w14:paraId="1613A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其他</w:t>
            </w:r>
          </w:p>
        </w:tc>
        <w:tc>
          <w:tcPr>
            <w:tcW w:w="1279" w:type="pct"/>
            <w:tcBorders>
              <w:tl2br w:val="nil"/>
              <w:tr2bl w:val="nil"/>
            </w:tcBorders>
            <w:noWrap w:val="0"/>
            <w:tcMar>
              <w:top w:w="0" w:type="dxa"/>
              <w:left w:w="0" w:type="dxa"/>
              <w:bottom w:w="0" w:type="dxa"/>
              <w:right w:w="0" w:type="dxa"/>
            </w:tcMar>
            <w:vAlign w:val="center"/>
          </w:tcPr>
          <w:p w14:paraId="4C36C3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tcBorders>
              <w:tl2br w:val="nil"/>
              <w:tr2bl w:val="nil"/>
            </w:tcBorders>
            <w:noWrap w:val="0"/>
            <w:tcMar>
              <w:top w:w="0" w:type="dxa"/>
              <w:left w:w="0" w:type="dxa"/>
              <w:bottom w:w="0" w:type="dxa"/>
              <w:right w:w="0" w:type="dxa"/>
            </w:tcMar>
            <w:vAlign w:val="center"/>
          </w:tcPr>
          <w:p w14:paraId="23E2C6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cs="Times New Roman"/>
                <w:color w:val="000000"/>
                <w:sz w:val="21"/>
                <w:szCs w:val="21"/>
              </w:rPr>
              <w:t>/</w:t>
            </w:r>
          </w:p>
        </w:tc>
        <w:tc>
          <w:tcPr>
            <w:tcW w:w="0" w:type="auto"/>
            <w:gridSpan w:val="2"/>
            <w:tcBorders>
              <w:tl2br w:val="nil"/>
              <w:tr2bl w:val="nil"/>
            </w:tcBorders>
            <w:noWrap w:val="0"/>
            <w:tcMar>
              <w:top w:w="0" w:type="dxa"/>
              <w:left w:w="0" w:type="dxa"/>
              <w:bottom w:w="0" w:type="dxa"/>
              <w:right w:w="0" w:type="dxa"/>
            </w:tcMar>
            <w:vAlign w:val="center"/>
          </w:tcPr>
          <w:p w14:paraId="2B1F03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①根据国家和地方相关环保政策和法规，制定企业环境保护计划的环保方针目标。并建立相应的管理监督制度。</w:t>
            </w:r>
          </w:p>
          <w:p w14:paraId="5719E1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②加强环保教育宣传，并制定紧急情况应急措施，预防或减少可能的环境影响。</w:t>
            </w:r>
          </w:p>
          <w:p w14:paraId="355DB6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③维护环保措施的正常运行和安全生产，对各种环保设施进行定期检查和维修，确保污染物达标排放，同时要</w:t>
            </w:r>
            <w:r>
              <w:rPr>
                <w:rFonts w:hint="eastAsia" w:cs="Times New Roman"/>
                <w:color w:val="000000"/>
                <w:sz w:val="21"/>
                <w:szCs w:val="21"/>
                <w:lang w:val="en-US" w:eastAsia="zh-CN"/>
              </w:rPr>
              <w:t>推广</w:t>
            </w:r>
            <w:r>
              <w:rPr>
                <w:rFonts w:hint="default" w:ascii="Times New Roman" w:hAnsi="Times New Roman" w:eastAsia="宋体" w:cs="Times New Roman"/>
                <w:color w:val="000000"/>
                <w:sz w:val="21"/>
                <w:szCs w:val="21"/>
                <w:lang w:val="en-US" w:eastAsia="zh-CN"/>
              </w:rPr>
              <w:t>应用先进的环保技术和经验，最大限度降低污染物的排放量。</w:t>
            </w:r>
          </w:p>
          <w:p w14:paraId="506802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color w:val="000000"/>
                <w:sz w:val="21"/>
                <w:szCs w:val="21"/>
              </w:rPr>
            </w:pPr>
            <w:r>
              <w:rPr>
                <w:rFonts w:hint="default" w:ascii="Times New Roman" w:hAnsi="Times New Roman" w:eastAsia="宋体" w:cs="Times New Roman"/>
                <w:color w:val="000000"/>
                <w:sz w:val="21"/>
                <w:szCs w:val="21"/>
                <w:lang w:val="en-US" w:eastAsia="zh-CN"/>
              </w:rPr>
              <w:t>④按照要求申请排污</w:t>
            </w:r>
            <w:r>
              <w:rPr>
                <w:rFonts w:hint="eastAsia" w:ascii="Times New Roman" w:hAnsi="Times New Roman" w:eastAsia="宋体" w:cs="Times New Roman"/>
                <w:color w:val="000000"/>
                <w:sz w:val="21"/>
                <w:szCs w:val="21"/>
                <w:lang w:val="en-US" w:eastAsia="zh-CN"/>
              </w:rPr>
              <w:t>登记</w:t>
            </w:r>
            <w:r>
              <w:rPr>
                <w:rFonts w:hint="default" w:ascii="Times New Roman" w:hAnsi="Times New Roman" w:eastAsia="宋体" w:cs="Times New Roman"/>
                <w:color w:val="000000"/>
                <w:sz w:val="21"/>
                <w:szCs w:val="21"/>
                <w:lang w:val="en-US" w:eastAsia="zh-CN"/>
              </w:rPr>
              <w:t>。</w:t>
            </w:r>
          </w:p>
        </w:tc>
      </w:tr>
    </w:tbl>
    <w:p w14:paraId="5F952BC3">
      <w:pPr>
        <w:spacing w:line="240" w:lineRule="auto"/>
        <w:ind w:firstLine="0" w:firstLineChars="0"/>
        <w:rPr>
          <w:rFonts w:hint="eastAsia"/>
          <w:b/>
          <w:bCs/>
          <w:sz w:val="30"/>
          <w:szCs w:val="30"/>
          <w:lang w:eastAsia="zh-CN"/>
        </w:rPr>
        <w:sectPr>
          <w:pgSz w:w="16840" w:h="11910" w:orient="landscape"/>
          <w:pgMar w:top="1340" w:right="1580" w:bottom="1320" w:left="1000" w:header="0" w:footer="817" w:gutter="0"/>
          <w:pgBorders>
            <w:top w:val="none" w:sz="0" w:space="0"/>
            <w:left w:val="none" w:sz="0" w:space="0"/>
            <w:bottom w:val="none" w:sz="0" w:space="0"/>
            <w:right w:val="none" w:sz="0" w:space="0"/>
          </w:pgBorders>
          <w:pgNumType w:fmt="decimal"/>
          <w:cols w:equalWidth="0" w:num="1">
            <w:col w:w="9250"/>
          </w:cols>
        </w:sectPr>
      </w:pPr>
    </w:p>
    <w:p w14:paraId="202DEA21">
      <w:pPr>
        <w:spacing w:line="240" w:lineRule="auto"/>
        <w:ind w:firstLine="0" w:firstLineChars="0"/>
        <w:jc w:val="center"/>
        <w:rPr>
          <w:b/>
          <w:bCs/>
          <w:sz w:val="30"/>
          <w:szCs w:val="30"/>
        </w:rPr>
      </w:pPr>
      <w:r>
        <w:rPr>
          <w:rFonts w:hint="eastAsia"/>
          <w:b/>
          <w:bCs/>
          <w:sz w:val="30"/>
          <w:szCs w:val="30"/>
          <w:lang w:val="en-US" w:eastAsia="zh-CN"/>
        </w:rPr>
        <w:t>七</w:t>
      </w:r>
      <w:r>
        <w:rPr>
          <w:rFonts w:hint="eastAsia"/>
          <w:b/>
          <w:bCs/>
          <w:sz w:val="30"/>
          <w:szCs w:val="30"/>
          <w:lang w:eastAsia="zh-CN"/>
        </w:rPr>
        <w:t>、</w:t>
      </w:r>
      <w:r>
        <w:rPr>
          <w:b/>
          <w:bCs/>
          <w:sz w:val="30"/>
          <w:szCs w:val="30"/>
        </w:rPr>
        <w:t>结论</w:t>
      </w:r>
    </w:p>
    <w:tbl>
      <w:tblPr>
        <w:tblStyle w:val="43"/>
        <w:tblW w:w="46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709"/>
      </w:tblGrid>
      <w:tr w14:paraId="6AC5490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450" w:hRule="atLeast"/>
          <w:jc w:val="center"/>
        </w:trPr>
        <w:tc>
          <w:tcPr>
            <w:tcW w:w="5000" w:type="pct"/>
            <w:tcBorders>
              <w:tl2br w:val="nil"/>
              <w:tr2bl w:val="nil"/>
            </w:tcBorders>
            <w:vAlign w:val="top"/>
          </w:tcPr>
          <w:p w14:paraId="3C74A7CB">
            <w:pPr>
              <w:bidi w:val="0"/>
              <w:rPr>
                <w:rFonts w:hint="default"/>
              </w:rPr>
            </w:pPr>
            <w:r>
              <w:rPr>
                <w:rFonts w:hint="eastAsia"/>
                <w:lang w:val="en-US" w:eastAsia="zh-CN"/>
              </w:rPr>
              <w:t>本项目</w:t>
            </w:r>
            <w:r>
              <w:rPr>
                <w:rFonts w:hint="default"/>
              </w:rPr>
              <w:t>建设符合国家和地方产业政策，在严格贯彻执行国家环保法律法规，认真落实评价提出的污染防治措施后，工程各项污染物可达标排放，对周边环境影响较小。建设</w:t>
            </w:r>
            <w:r>
              <w:rPr>
                <w:rFonts w:hint="eastAsia"/>
                <w:lang w:eastAsia="zh-CN"/>
              </w:rPr>
              <w:t>单位</w:t>
            </w:r>
            <w:r>
              <w:rPr>
                <w:rFonts w:hint="default"/>
              </w:rPr>
              <w:t>进一步严格按照国家“三同时”制度及时做好环保设施的完善工作，在落实本评价报告中所提出的各项环保措施的基础上，加强环境管理，从环保角度考虑，项目的环境影响可行</w:t>
            </w:r>
            <w:r>
              <w:rPr>
                <w:rFonts w:hint="eastAsia"/>
                <w:lang w:eastAsia="zh-CN"/>
              </w:rPr>
              <w:t>。</w:t>
            </w:r>
          </w:p>
          <w:p w14:paraId="13E81B54">
            <w:pPr>
              <w:keepNext w:val="0"/>
              <w:keepLines w:val="0"/>
              <w:pageBreakBefore w:val="0"/>
              <w:widowControl w:val="0"/>
              <w:kinsoku/>
              <w:wordWrap/>
              <w:overflowPunct/>
              <w:topLinePunct w:val="0"/>
              <w:bidi w:val="0"/>
              <w:adjustRightInd w:val="0"/>
              <w:snapToGrid w:val="0"/>
              <w:spacing w:line="360" w:lineRule="auto"/>
              <w:ind w:left="0" w:firstLine="480" w:firstLineChars="200"/>
              <w:jc w:val="both"/>
              <w:rPr>
                <w:rFonts w:hint="default" w:ascii="Times New Roman" w:hAnsi="Times New Roman" w:eastAsia="宋体" w:cs="Times New Roman"/>
                <w:sz w:val="24"/>
              </w:rPr>
            </w:pPr>
          </w:p>
          <w:p w14:paraId="0769526F">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5C57DF03">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5BC84D79">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5B3685D8">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0C8C896E">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3A38F74D">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3017DA66">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10E0A864">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306E184E">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1DEA2A3B">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40A2E7AC">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3D7F6F7D">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2" w:firstLineChars="200"/>
              <w:textAlignment w:val="auto"/>
              <w:rPr>
                <w:rFonts w:hint="eastAsia"/>
                <w:sz w:val="24"/>
                <w:szCs w:val="24"/>
                <w:vertAlign w:val="baseline"/>
                <w:lang w:val="en-US" w:eastAsia="zh-CN"/>
              </w:rPr>
            </w:pPr>
          </w:p>
          <w:p w14:paraId="4F55DB55">
            <w:pPr>
              <w:pStyle w:val="1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textAlignment w:val="auto"/>
              <w:rPr>
                <w:rFonts w:hint="eastAsia"/>
                <w:sz w:val="24"/>
                <w:szCs w:val="24"/>
                <w:vertAlign w:val="baseline"/>
                <w:lang w:val="en-US" w:eastAsia="zh-CN"/>
              </w:rPr>
            </w:pPr>
          </w:p>
          <w:p w14:paraId="752EE137">
            <w:pPr>
              <w:rPr>
                <w:rFonts w:hint="eastAsia"/>
                <w:sz w:val="24"/>
                <w:szCs w:val="24"/>
                <w:vertAlign w:val="baseline"/>
                <w:lang w:val="en-US" w:eastAsia="zh-CN"/>
              </w:rPr>
            </w:pPr>
          </w:p>
          <w:p w14:paraId="6D431ADC">
            <w:pPr>
              <w:pStyle w:val="34"/>
              <w:ind w:left="0" w:leftChars="0" w:firstLine="0" w:firstLineChars="0"/>
              <w:jc w:val="both"/>
              <w:rPr>
                <w:rFonts w:hint="eastAsia"/>
                <w:sz w:val="24"/>
                <w:szCs w:val="24"/>
                <w:vertAlign w:val="baseline"/>
                <w:lang w:val="en-US" w:eastAsia="zh-CN"/>
              </w:rPr>
            </w:pPr>
          </w:p>
          <w:p w14:paraId="44CD3702">
            <w:pPr>
              <w:rPr>
                <w:rFonts w:hint="eastAsia"/>
                <w:sz w:val="24"/>
                <w:szCs w:val="24"/>
                <w:vertAlign w:val="baseline"/>
                <w:lang w:val="en-US" w:eastAsia="zh-CN"/>
              </w:rPr>
            </w:pPr>
          </w:p>
          <w:p w14:paraId="38B67187">
            <w:pPr>
              <w:pStyle w:val="34"/>
              <w:rPr>
                <w:rFonts w:hint="eastAsia"/>
                <w:sz w:val="24"/>
                <w:szCs w:val="24"/>
                <w:vertAlign w:val="baseline"/>
                <w:lang w:val="en-US" w:eastAsia="zh-CN"/>
              </w:rPr>
            </w:pPr>
          </w:p>
          <w:p w14:paraId="3BEEEB71">
            <w:pPr>
              <w:rPr>
                <w:rFonts w:hint="eastAsia"/>
                <w:lang w:val="en-US" w:eastAsia="zh-CN"/>
              </w:rPr>
            </w:pPr>
          </w:p>
          <w:p w14:paraId="620566A3">
            <w:pPr>
              <w:pStyle w:val="12"/>
              <w:numPr>
                <w:ilvl w:val="0"/>
                <w:numId w:val="0"/>
              </w:numPr>
              <w:ind w:right="0" w:rightChars="0"/>
              <w:rPr>
                <w:rFonts w:hint="default"/>
                <w:vertAlign w:val="baseline"/>
                <w:lang w:val="en-US" w:eastAsia="zh-CN"/>
              </w:rPr>
            </w:pPr>
          </w:p>
          <w:p w14:paraId="51AE8AA9">
            <w:pPr>
              <w:pStyle w:val="12"/>
              <w:numPr>
                <w:ilvl w:val="0"/>
                <w:numId w:val="0"/>
              </w:numPr>
              <w:ind w:right="0" w:rightChars="0"/>
              <w:rPr>
                <w:vertAlign w:val="baseline"/>
              </w:rPr>
            </w:pPr>
          </w:p>
          <w:p w14:paraId="48EEBF00">
            <w:pPr>
              <w:pStyle w:val="12"/>
              <w:numPr>
                <w:ilvl w:val="0"/>
                <w:numId w:val="0"/>
              </w:numPr>
              <w:ind w:right="0" w:rightChars="0"/>
              <w:rPr>
                <w:vertAlign w:val="baseline"/>
              </w:rPr>
            </w:pPr>
          </w:p>
          <w:p w14:paraId="22FF5322">
            <w:pPr>
              <w:pStyle w:val="12"/>
              <w:numPr>
                <w:ilvl w:val="0"/>
                <w:numId w:val="0"/>
              </w:numPr>
              <w:ind w:right="0" w:rightChars="0"/>
              <w:rPr>
                <w:vertAlign w:val="baseline"/>
              </w:rPr>
            </w:pPr>
          </w:p>
          <w:p w14:paraId="20306DC0">
            <w:pPr>
              <w:pStyle w:val="12"/>
              <w:numPr>
                <w:ilvl w:val="0"/>
                <w:numId w:val="0"/>
              </w:numPr>
              <w:ind w:right="0" w:rightChars="0"/>
              <w:rPr>
                <w:vertAlign w:val="baseline"/>
              </w:rPr>
            </w:pPr>
          </w:p>
          <w:p w14:paraId="392A9DE0">
            <w:pPr>
              <w:pStyle w:val="12"/>
              <w:numPr>
                <w:ilvl w:val="0"/>
                <w:numId w:val="0"/>
              </w:numPr>
              <w:ind w:right="0" w:rightChars="0"/>
              <w:jc w:val="both"/>
              <w:rPr>
                <w:vertAlign w:val="baseline"/>
              </w:rPr>
            </w:pPr>
          </w:p>
        </w:tc>
      </w:tr>
    </w:tbl>
    <w:p w14:paraId="42FB0EFA">
      <w:pPr>
        <w:sectPr>
          <w:pgSz w:w="11910" w:h="16840"/>
          <w:pgMar w:top="1701" w:right="1531" w:bottom="1701" w:left="1531" w:header="0" w:footer="817" w:gutter="0"/>
          <w:pgBorders>
            <w:top w:val="none" w:sz="0" w:space="0"/>
            <w:left w:val="none" w:sz="0" w:space="0"/>
            <w:bottom w:val="none" w:sz="0" w:space="0"/>
            <w:right w:val="none" w:sz="0" w:space="0"/>
          </w:pgBorders>
          <w:pgNumType w:fmt="decimal"/>
          <w:cols w:equalWidth="0" w:num="1">
            <w:col w:w="9250"/>
          </w:cols>
        </w:sectPr>
      </w:pPr>
    </w:p>
    <w:p w14:paraId="4B5FE4B3">
      <w:pPr>
        <w:spacing w:before="71"/>
        <w:ind w:left="0" w:leftChars="0" w:right="0" w:firstLine="0" w:firstLineChars="0"/>
        <w:jc w:val="left"/>
        <w:outlineLvl w:val="0"/>
        <w:rPr>
          <w:sz w:val="21"/>
        </w:rPr>
      </w:pPr>
    </w:p>
    <w:p w14:paraId="115492B5"/>
    <w:sectPr>
      <w:footerReference r:id="rId12" w:type="default"/>
      <w:footerReference r:id="rId13" w:type="even"/>
      <w:pgSz w:w="16840" w:h="11910" w:orient="landscape"/>
      <w:pgMar w:top="1298" w:right="618" w:bottom="1298" w:left="601" w:header="0" w:footer="816" w:gutter="0"/>
      <w:pgBorders>
        <w:top w:val="none" w:sz="0" w:space="0"/>
        <w:left w:val="none" w:sz="0" w:space="0"/>
        <w:bottom w:val="none" w:sz="0" w:space="0"/>
        <w:right w:val="none" w:sz="0" w:space="0"/>
      </w:pgBorders>
      <w:pgNumType w:fmt="decimal"/>
      <w:cols w:equalWidth="0" w:num="1">
        <w:col w:w="9310"/>
      </w:cols>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BEE3">
    <w:pPr>
      <w:pStyle w:val="1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AD11E">
    <w:pPr>
      <w:pStyle w:val="17"/>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446F">
    <w:pPr>
      <w:pStyle w:val="17"/>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288D9">
    <w:pPr>
      <w:pStyle w:val="17"/>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A8CE8">
    <w:pPr>
      <w:pStyle w:val="17"/>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25892">
                          <w:pPr>
                            <w:pStyle w:val="2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C425892">
                    <w:pPr>
                      <w:pStyle w:val="2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E90E">
    <w:pPr>
      <w:pStyle w:val="17"/>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8A79B">
                          <w:pPr>
                            <w:pStyle w:val="2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B8A79B">
                    <w:pPr>
                      <w:pStyle w:val="26"/>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E60D6">
    <w:pPr>
      <w:pStyle w:val="17"/>
      <w:spacing w:line="14" w:lineRule="auto"/>
      <w:rPr>
        <w:sz w:val="20"/>
      </w:rPr>
    </w:pPr>
    <w:r>
      <w:rPr>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C387F">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29C387F">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D1AB9">
    <w:pPr>
      <w:pStyle w:val="27"/>
      <w:pBdr>
        <w:bottom w:val="none" w:color="auto" w:sz="0" w:space="1"/>
      </w:pBdr>
      <w:ind w:left="0" w:leftChars="0"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DAD93">
    <w:pPr>
      <w:pStyle w:val="27"/>
      <w:pBdr>
        <w:bottom w:val="none" w:color="auto" w:sz="0" w:space="1"/>
      </w:pBdr>
      <w:ind w:left="0" w:leftChars="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209DB"/>
    <w:multiLevelType w:val="multilevel"/>
    <w:tmpl w:val="995209DB"/>
    <w:lvl w:ilvl="0" w:tentative="0">
      <w:start w:val="1"/>
      <w:numFmt w:val="chineseCounting"/>
      <w:isLgl/>
      <w:suff w:val="space"/>
      <w:lvlText w:val="%1"/>
      <w:lvlJc w:val="left"/>
      <w:pPr>
        <w:tabs>
          <w:tab w:val="left" w:pos="0"/>
        </w:tabs>
        <w:ind w:left="0" w:firstLine="420"/>
      </w:pPr>
      <w:rPr>
        <w:rFonts w:hint="eastAsia" w:ascii="宋体" w:hAnsi="宋体" w:eastAsia="宋体" w:cs="宋体"/>
      </w:rPr>
    </w:lvl>
    <w:lvl w:ilvl="1" w:tentative="0">
      <w:start w:val="1"/>
      <w:numFmt w:val="decimal"/>
      <w:isLgl/>
      <w:suff w:val="space"/>
      <w:lvlText w:val="%1.%2"/>
      <w:lvlJc w:val="left"/>
      <w:pPr>
        <w:tabs>
          <w:tab w:val="left" w:pos="420"/>
        </w:tabs>
        <w:ind w:left="0" w:firstLine="420"/>
      </w:pPr>
      <w:rPr>
        <w:rFonts w:hint="eastAsia" w:ascii="宋体" w:hAnsi="宋体" w:eastAsia="宋体" w:cs="宋体"/>
      </w:rPr>
    </w:lvl>
    <w:lvl w:ilvl="2" w:tentative="0">
      <w:start w:val="1"/>
      <w:numFmt w:val="decimal"/>
      <w:isLgl/>
      <w:suff w:val="space"/>
      <w:lvlText w:val="%1.%2.%3"/>
      <w:lvlJc w:val="left"/>
      <w:pPr>
        <w:tabs>
          <w:tab w:val="left" w:pos="420"/>
        </w:tabs>
        <w:ind w:left="1520" w:firstLine="420"/>
      </w:pPr>
      <w:rPr>
        <w:rFonts w:hint="eastAsia" w:ascii="宋体" w:hAnsi="宋体" w:eastAsia="宋体" w:cs="宋体"/>
      </w:rPr>
    </w:lvl>
    <w:lvl w:ilvl="3" w:tentative="0">
      <w:start w:val="1"/>
      <w:numFmt w:val="decimalEnclosedCircleChinese"/>
      <w:isLgl/>
      <w:suff w:val="space"/>
      <w:lvlText w:val="(%4)"/>
      <w:lvlJc w:val="left"/>
      <w:pPr>
        <w:tabs>
          <w:tab w:val="left" w:pos="420"/>
        </w:tabs>
        <w:ind w:left="0" w:firstLine="420"/>
      </w:pPr>
      <w:rPr>
        <w:rFonts w:hint="eastAsia" w:ascii="宋体" w:hAnsi="宋体" w:eastAsia="宋体" w:cs="宋体"/>
      </w:rPr>
    </w:lvl>
    <w:lvl w:ilvl="4" w:tentative="0">
      <w:start w:val="1"/>
      <w:numFmt w:val="decimal"/>
      <w:lvlRestart w:val="1"/>
      <w:isLgl/>
      <w:suff w:val="space"/>
      <w:lvlText w:val="表%1-%5"/>
      <w:lvlJc w:val="left"/>
      <w:pPr>
        <w:tabs>
          <w:tab w:val="left" w:pos="420"/>
        </w:tabs>
        <w:ind w:left="0" w:firstLine="420"/>
      </w:pPr>
      <w:rPr>
        <w:rFonts w:hint="default" w:ascii="楷体_GB2312" w:hAnsi="楷体_GB2312" w:eastAsia="楷体_GB2312" w:cs="楷体_GB2312"/>
        <w:b/>
        <w:bCs/>
        <w:sz w:val="28"/>
        <w:szCs w:val="28"/>
      </w:rPr>
    </w:lvl>
    <w:lvl w:ilvl="5" w:tentative="0">
      <w:start w:val="1"/>
      <w:numFmt w:val="decimalFullWidth"/>
      <w:lvlRestart w:val="1"/>
      <w:pStyle w:val="7"/>
      <w:isLgl/>
      <w:suff w:val="space"/>
      <w:lvlText w:val="图%1-%6"/>
      <w:lvlJc w:val="left"/>
      <w:pPr>
        <w:tabs>
          <w:tab w:val="left" w:pos="420"/>
        </w:tabs>
        <w:ind w:left="0" w:firstLine="420"/>
      </w:pPr>
      <w:rPr>
        <w:rFonts w:hint="eastAsia" w:ascii="宋体" w:hAnsi="宋体" w:eastAsia="宋体" w:cs="宋体"/>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1">
    <w:nsid w:val="402F5A1A"/>
    <w:multiLevelType w:val="singleLevel"/>
    <w:tmpl w:val="402F5A1A"/>
    <w:lvl w:ilvl="0" w:tentative="0">
      <w:start w:val="1"/>
      <w:numFmt w:val="bullet"/>
      <w:pStyle w:val="22"/>
      <w:lvlText w:val=""/>
      <w:lvlJc w:val="left"/>
      <w:pPr>
        <w:tabs>
          <w:tab w:val="left" w:pos="2040"/>
        </w:tabs>
        <w:ind w:left="2040" w:hanging="360"/>
      </w:pPr>
      <w:rPr>
        <w:rFonts w:hint="default" w:ascii="Wingdings" w:hAnsi="Wingdings"/>
      </w:rPr>
    </w:lvl>
  </w:abstractNum>
  <w:abstractNum w:abstractNumId="2">
    <w:nsid w:val="42969A13"/>
    <w:multiLevelType w:val="singleLevel"/>
    <w:tmpl w:val="42969A13"/>
    <w:lvl w:ilvl="0" w:tentative="0">
      <w:start w:val="1"/>
      <w:numFmt w:val="decimal"/>
      <w:suff w:val="nothing"/>
      <w:lvlText w:val="（%1）"/>
      <w:lvlJc w:val="left"/>
      <w:pPr>
        <w:ind w:left="-16"/>
      </w:pPr>
    </w:lvl>
  </w:abstractNum>
  <w:abstractNum w:abstractNumId="3">
    <w:nsid w:val="49F3E322"/>
    <w:multiLevelType w:val="singleLevel"/>
    <w:tmpl w:val="49F3E322"/>
    <w:lvl w:ilvl="0" w:tentative="0">
      <w:start w:val="3"/>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14C67"/>
    <w:rsid w:val="021B1E33"/>
    <w:rsid w:val="026C4FD1"/>
    <w:rsid w:val="02986115"/>
    <w:rsid w:val="02A54D4E"/>
    <w:rsid w:val="030D2310"/>
    <w:rsid w:val="035C02DC"/>
    <w:rsid w:val="040556DD"/>
    <w:rsid w:val="044C0C16"/>
    <w:rsid w:val="04C6325F"/>
    <w:rsid w:val="050D4849"/>
    <w:rsid w:val="053A3164"/>
    <w:rsid w:val="05687CD1"/>
    <w:rsid w:val="06450013"/>
    <w:rsid w:val="06457DB2"/>
    <w:rsid w:val="06705AD9"/>
    <w:rsid w:val="077861C3"/>
    <w:rsid w:val="077A3CEC"/>
    <w:rsid w:val="07A86AAB"/>
    <w:rsid w:val="08211367"/>
    <w:rsid w:val="0844151C"/>
    <w:rsid w:val="088766C0"/>
    <w:rsid w:val="08C77405"/>
    <w:rsid w:val="099C3EDE"/>
    <w:rsid w:val="09B01A72"/>
    <w:rsid w:val="09EA750C"/>
    <w:rsid w:val="0A0A3504"/>
    <w:rsid w:val="0A487B2F"/>
    <w:rsid w:val="0AE147AE"/>
    <w:rsid w:val="0AEC4790"/>
    <w:rsid w:val="0B3A5C6C"/>
    <w:rsid w:val="0B702E6D"/>
    <w:rsid w:val="0B7F4987"/>
    <w:rsid w:val="0BC47C2C"/>
    <w:rsid w:val="0C3F0EFD"/>
    <w:rsid w:val="0C7048B2"/>
    <w:rsid w:val="0CAE1672"/>
    <w:rsid w:val="0CD20E68"/>
    <w:rsid w:val="0CDD3AF1"/>
    <w:rsid w:val="0CEC4ACC"/>
    <w:rsid w:val="0D9C60AA"/>
    <w:rsid w:val="0DCC3BA2"/>
    <w:rsid w:val="0EA31D7A"/>
    <w:rsid w:val="0F3D21CF"/>
    <w:rsid w:val="0F694D72"/>
    <w:rsid w:val="0F8E73D6"/>
    <w:rsid w:val="0FE54120"/>
    <w:rsid w:val="10C656DB"/>
    <w:rsid w:val="11252F1A"/>
    <w:rsid w:val="117D4B05"/>
    <w:rsid w:val="11926E9F"/>
    <w:rsid w:val="12403C8F"/>
    <w:rsid w:val="129C6327"/>
    <w:rsid w:val="131668A4"/>
    <w:rsid w:val="1376437D"/>
    <w:rsid w:val="13AB4CA1"/>
    <w:rsid w:val="141B23B3"/>
    <w:rsid w:val="143057B1"/>
    <w:rsid w:val="143A6CDD"/>
    <w:rsid w:val="14B4083D"/>
    <w:rsid w:val="14ED2A9D"/>
    <w:rsid w:val="1539324C"/>
    <w:rsid w:val="16AE5760"/>
    <w:rsid w:val="16B32D77"/>
    <w:rsid w:val="16FE7EB7"/>
    <w:rsid w:val="17296C05"/>
    <w:rsid w:val="179901BE"/>
    <w:rsid w:val="17DB2585"/>
    <w:rsid w:val="17F84EE5"/>
    <w:rsid w:val="186662F2"/>
    <w:rsid w:val="189A4F41"/>
    <w:rsid w:val="18F43FA7"/>
    <w:rsid w:val="18FA2EDF"/>
    <w:rsid w:val="191F64A1"/>
    <w:rsid w:val="19440CD4"/>
    <w:rsid w:val="19662322"/>
    <w:rsid w:val="199602BD"/>
    <w:rsid w:val="1996265E"/>
    <w:rsid w:val="19BC6BB6"/>
    <w:rsid w:val="19FF69FF"/>
    <w:rsid w:val="1A642D06"/>
    <w:rsid w:val="1A7016AA"/>
    <w:rsid w:val="1AA17AB6"/>
    <w:rsid w:val="1ADC3586"/>
    <w:rsid w:val="1AF70827"/>
    <w:rsid w:val="1B226B1A"/>
    <w:rsid w:val="1B4B7A22"/>
    <w:rsid w:val="1BA464AE"/>
    <w:rsid w:val="1C2979B0"/>
    <w:rsid w:val="1C302E5D"/>
    <w:rsid w:val="1C84143D"/>
    <w:rsid w:val="1C871B0C"/>
    <w:rsid w:val="1C9B1AA4"/>
    <w:rsid w:val="1CB03FE0"/>
    <w:rsid w:val="1D7D1FB1"/>
    <w:rsid w:val="1DCD4EF1"/>
    <w:rsid w:val="1E9736C0"/>
    <w:rsid w:val="1EB0797C"/>
    <w:rsid w:val="1FCA254B"/>
    <w:rsid w:val="20882962"/>
    <w:rsid w:val="20922726"/>
    <w:rsid w:val="20987265"/>
    <w:rsid w:val="20E00C0C"/>
    <w:rsid w:val="214473ED"/>
    <w:rsid w:val="218275B3"/>
    <w:rsid w:val="23921F6D"/>
    <w:rsid w:val="23CE11F0"/>
    <w:rsid w:val="24247062"/>
    <w:rsid w:val="242729CD"/>
    <w:rsid w:val="24461B44"/>
    <w:rsid w:val="24DE36B4"/>
    <w:rsid w:val="25065E09"/>
    <w:rsid w:val="259F2E44"/>
    <w:rsid w:val="25A81091"/>
    <w:rsid w:val="25E90563"/>
    <w:rsid w:val="26591245"/>
    <w:rsid w:val="26D92182"/>
    <w:rsid w:val="26E6636B"/>
    <w:rsid w:val="27195127"/>
    <w:rsid w:val="27343A60"/>
    <w:rsid w:val="27C46B15"/>
    <w:rsid w:val="28292E99"/>
    <w:rsid w:val="28AE124C"/>
    <w:rsid w:val="29A462E1"/>
    <w:rsid w:val="29C548DB"/>
    <w:rsid w:val="2B116395"/>
    <w:rsid w:val="2B7E0DA6"/>
    <w:rsid w:val="2BDF2388"/>
    <w:rsid w:val="2C6C140A"/>
    <w:rsid w:val="2C912D94"/>
    <w:rsid w:val="2CB836FC"/>
    <w:rsid w:val="2D0D0FDB"/>
    <w:rsid w:val="2D0F3F44"/>
    <w:rsid w:val="2D285F31"/>
    <w:rsid w:val="2D2D342B"/>
    <w:rsid w:val="2D3D684A"/>
    <w:rsid w:val="2D4A2B7C"/>
    <w:rsid w:val="2E5E2AD5"/>
    <w:rsid w:val="2E6F5E8B"/>
    <w:rsid w:val="2EE728F4"/>
    <w:rsid w:val="2F6649D2"/>
    <w:rsid w:val="2F9432ED"/>
    <w:rsid w:val="2FA27799"/>
    <w:rsid w:val="2FCF4325"/>
    <w:rsid w:val="2FE73D65"/>
    <w:rsid w:val="2FF0366D"/>
    <w:rsid w:val="2FF43D8C"/>
    <w:rsid w:val="30C1718D"/>
    <w:rsid w:val="30C622D9"/>
    <w:rsid w:val="30F1626C"/>
    <w:rsid w:val="32075FF9"/>
    <w:rsid w:val="321E77E6"/>
    <w:rsid w:val="322827D1"/>
    <w:rsid w:val="32413EA0"/>
    <w:rsid w:val="327C3D12"/>
    <w:rsid w:val="32802C62"/>
    <w:rsid w:val="32814185"/>
    <w:rsid w:val="328D2EF0"/>
    <w:rsid w:val="32D63DE7"/>
    <w:rsid w:val="33460DA3"/>
    <w:rsid w:val="33FC5905"/>
    <w:rsid w:val="340864AC"/>
    <w:rsid w:val="34B30A4D"/>
    <w:rsid w:val="355C3599"/>
    <w:rsid w:val="35850375"/>
    <w:rsid w:val="35904557"/>
    <w:rsid w:val="35CB1A33"/>
    <w:rsid w:val="35F44AE6"/>
    <w:rsid w:val="36A302BA"/>
    <w:rsid w:val="36C00E6C"/>
    <w:rsid w:val="36C65FBD"/>
    <w:rsid w:val="370C5E5F"/>
    <w:rsid w:val="371B136A"/>
    <w:rsid w:val="37661A13"/>
    <w:rsid w:val="3790083E"/>
    <w:rsid w:val="379876F3"/>
    <w:rsid w:val="379C3687"/>
    <w:rsid w:val="37E868CC"/>
    <w:rsid w:val="38FB72BC"/>
    <w:rsid w:val="3921134B"/>
    <w:rsid w:val="399E5818"/>
    <w:rsid w:val="3A157721"/>
    <w:rsid w:val="3A1E77CD"/>
    <w:rsid w:val="3A9E7C6B"/>
    <w:rsid w:val="3B4B475D"/>
    <w:rsid w:val="3B974891"/>
    <w:rsid w:val="3BEC505C"/>
    <w:rsid w:val="3C144278"/>
    <w:rsid w:val="3C761F63"/>
    <w:rsid w:val="3CE358B4"/>
    <w:rsid w:val="3CE55188"/>
    <w:rsid w:val="3D1E629F"/>
    <w:rsid w:val="3DD376D7"/>
    <w:rsid w:val="3DEB2C72"/>
    <w:rsid w:val="3DFD1951"/>
    <w:rsid w:val="3E3B7B31"/>
    <w:rsid w:val="3EB1439A"/>
    <w:rsid w:val="3EBB2C7C"/>
    <w:rsid w:val="3EE576C2"/>
    <w:rsid w:val="3F487C50"/>
    <w:rsid w:val="3F591E5E"/>
    <w:rsid w:val="3FBD110E"/>
    <w:rsid w:val="40AA62D5"/>
    <w:rsid w:val="40ED4D25"/>
    <w:rsid w:val="412734D3"/>
    <w:rsid w:val="41776908"/>
    <w:rsid w:val="41EA080A"/>
    <w:rsid w:val="42500B0F"/>
    <w:rsid w:val="4269685C"/>
    <w:rsid w:val="42BD6B1A"/>
    <w:rsid w:val="42CA5C4B"/>
    <w:rsid w:val="42FA621E"/>
    <w:rsid w:val="437C1641"/>
    <w:rsid w:val="44574331"/>
    <w:rsid w:val="44734BF7"/>
    <w:rsid w:val="44AC73FA"/>
    <w:rsid w:val="455C6D72"/>
    <w:rsid w:val="45BE6EBE"/>
    <w:rsid w:val="45D95D05"/>
    <w:rsid w:val="462A64DD"/>
    <w:rsid w:val="46AF6585"/>
    <w:rsid w:val="46CC3BCD"/>
    <w:rsid w:val="471E214F"/>
    <w:rsid w:val="47280A93"/>
    <w:rsid w:val="474401BC"/>
    <w:rsid w:val="47B46417"/>
    <w:rsid w:val="47DE55F6"/>
    <w:rsid w:val="48BA3162"/>
    <w:rsid w:val="48E704DA"/>
    <w:rsid w:val="49787384"/>
    <w:rsid w:val="49F25AA2"/>
    <w:rsid w:val="4A1D1724"/>
    <w:rsid w:val="4A9571C7"/>
    <w:rsid w:val="4AB61879"/>
    <w:rsid w:val="4AB97C54"/>
    <w:rsid w:val="4B15132F"/>
    <w:rsid w:val="4B6E0A3F"/>
    <w:rsid w:val="4C236F6F"/>
    <w:rsid w:val="4D64659D"/>
    <w:rsid w:val="4D8602C2"/>
    <w:rsid w:val="4D8C2B76"/>
    <w:rsid w:val="4DB34E2F"/>
    <w:rsid w:val="4E777C5E"/>
    <w:rsid w:val="4EC913E5"/>
    <w:rsid w:val="4EF15C0F"/>
    <w:rsid w:val="4FD35314"/>
    <w:rsid w:val="5095081C"/>
    <w:rsid w:val="50A47CA8"/>
    <w:rsid w:val="50DD6E02"/>
    <w:rsid w:val="52250F53"/>
    <w:rsid w:val="54363BAA"/>
    <w:rsid w:val="54857EBB"/>
    <w:rsid w:val="54D6327D"/>
    <w:rsid w:val="54FB4092"/>
    <w:rsid w:val="55062E8C"/>
    <w:rsid w:val="554738F5"/>
    <w:rsid w:val="554F368F"/>
    <w:rsid w:val="55AF2380"/>
    <w:rsid w:val="55B732D8"/>
    <w:rsid w:val="55C45E2B"/>
    <w:rsid w:val="56E43B84"/>
    <w:rsid w:val="573A1980"/>
    <w:rsid w:val="577B4B3D"/>
    <w:rsid w:val="578B1008"/>
    <w:rsid w:val="57B679F5"/>
    <w:rsid w:val="582256EF"/>
    <w:rsid w:val="582726A1"/>
    <w:rsid w:val="58AB32D2"/>
    <w:rsid w:val="597F193E"/>
    <w:rsid w:val="59CF19B6"/>
    <w:rsid w:val="5A590B3F"/>
    <w:rsid w:val="5A6E7953"/>
    <w:rsid w:val="5A9B3778"/>
    <w:rsid w:val="5AA601A7"/>
    <w:rsid w:val="5B1C630A"/>
    <w:rsid w:val="5BB018E4"/>
    <w:rsid w:val="5BC75404"/>
    <w:rsid w:val="5C620352"/>
    <w:rsid w:val="5CC11F3A"/>
    <w:rsid w:val="5DA8063C"/>
    <w:rsid w:val="5DCA5FA9"/>
    <w:rsid w:val="5DE52DE2"/>
    <w:rsid w:val="5E9B7945"/>
    <w:rsid w:val="5EF62DCD"/>
    <w:rsid w:val="5F6D1A9C"/>
    <w:rsid w:val="5FA665A1"/>
    <w:rsid w:val="5FD17AC2"/>
    <w:rsid w:val="60C50CA2"/>
    <w:rsid w:val="617F7094"/>
    <w:rsid w:val="61BA6334"/>
    <w:rsid w:val="6211064A"/>
    <w:rsid w:val="622F0AD0"/>
    <w:rsid w:val="62D91738"/>
    <w:rsid w:val="635307EE"/>
    <w:rsid w:val="639F57E1"/>
    <w:rsid w:val="63DC38E5"/>
    <w:rsid w:val="63E92F01"/>
    <w:rsid w:val="64393C7E"/>
    <w:rsid w:val="648E76EE"/>
    <w:rsid w:val="64B452BD"/>
    <w:rsid w:val="64E21FCA"/>
    <w:rsid w:val="64E9765C"/>
    <w:rsid w:val="654A5683"/>
    <w:rsid w:val="65F242EE"/>
    <w:rsid w:val="665B3352"/>
    <w:rsid w:val="665B6338"/>
    <w:rsid w:val="66D00B6F"/>
    <w:rsid w:val="674D37A6"/>
    <w:rsid w:val="678C2521"/>
    <w:rsid w:val="678E0047"/>
    <w:rsid w:val="679A2E90"/>
    <w:rsid w:val="67B927E8"/>
    <w:rsid w:val="67BB10F5"/>
    <w:rsid w:val="68E819D9"/>
    <w:rsid w:val="699A4F32"/>
    <w:rsid w:val="6AA66AB5"/>
    <w:rsid w:val="6AB75B07"/>
    <w:rsid w:val="6AC12329"/>
    <w:rsid w:val="6ACC5A6A"/>
    <w:rsid w:val="6B016D82"/>
    <w:rsid w:val="6B361121"/>
    <w:rsid w:val="6BFB6DB8"/>
    <w:rsid w:val="6C48150A"/>
    <w:rsid w:val="6C764607"/>
    <w:rsid w:val="6CC13BE1"/>
    <w:rsid w:val="6D11470C"/>
    <w:rsid w:val="6D496139"/>
    <w:rsid w:val="6F414B10"/>
    <w:rsid w:val="6FE729EA"/>
    <w:rsid w:val="70515C58"/>
    <w:rsid w:val="70694748"/>
    <w:rsid w:val="70891CF3"/>
    <w:rsid w:val="70AB7EBB"/>
    <w:rsid w:val="71C64881"/>
    <w:rsid w:val="72256827"/>
    <w:rsid w:val="7251199A"/>
    <w:rsid w:val="727253F7"/>
    <w:rsid w:val="72A11576"/>
    <w:rsid w:val="72A223FD"/>
    <w:rsid w:val="72B3679D"/>
    <w:rsid w:val="72B8066E"/>
    <w:rsid w:val="72C66324"/>
    <w:rsid w:val="73533C06"/>
    <w:rsid w:val="738549F4"/>
    <w:rsid w:val="73A70822"/>
    <w:rsid w:val="73B9644B"/>
    <w:rsid w:val="744D4DE6"/>
    <w:rsid w:val="7456013E"/>
    <w:rsid w:val="746404A2"/>
    <w:rsid w:val="747E5633"/>
    <w:rsid w:val="74846437"/>
    <w:rsid w:val="748A603A"/>
    <w:rsid w:val="75544FD9"/>
    <w:rsid w:val="75824A8F"/>
    <w:rsid w:val="75BF293C"/>
    <w:rsid w:val="75D83866"/>
    <w:rsid w:val="76535A21"/>
    <w:rsid w:val="765F11C0"/>
    <w:rsid w:val="767B3E8C"/>
    <w:rsid w:val="76E45ED5"/>
    <w:rsid w:val="76F01290"/>
    <w:rsid w:val="77003D79"/>
    <w:rsid w:val="770245AD"/>
    <w:rsid w:val="77BD11E8"/>
    <w:rsid w:val="78743289"/>
    <w:rsid w:val="789D27E0"/>
    <w:rsid w:val="78A5266A"/>
    <w:rsid w:val="78F30652"/>
    <w:rsid w:val="7923015C"/>
    <w:rsid w:val="79F74A57"/>
    <w:rsid w:val="7A083C89"/>
    <w:rsid w:val="7A623B3F"/>
    <w:rsid w:val="7B82052E"/>
    <w:rsid w:val="7BEE673B"/>
    <w:rsid w:val="7C7C44BA"/>
    <w:rsid w:val="7CF229CE"/>
    <w:rsid w:val="7D1C7A4B"/>
    <w:rsid w:val="7D3665E2"/>
    <w:rsid w:val="7DE467BB"/>
    <w:rsid w:val="7E3E3D31"/>
    <w:rsid w:val="7E7713DD"/>
    <w:rsid w:val="7E894A1D"/>
    <w:rsid w:val="7EA563AF"/>
    <w:rsid w:val="7EEC1DCB"/>
    <w:rsid w:val="7FCB7E07"/>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64"/>
    <w:qFormat/>
    <w:uiPriority w:val="99"/>
    <w:pPr>
      <w:keepNext/>
      <w:overflowPunct w:val="0"/>
      <w:snapToGrid w:val="0"/>
      <w:spacing w:line="360" w:lineRule="auto"/>
      <w:ind w:left="0" w:firstLine="0" w:firstLineChars="0"/>
      <w:jc w:val="center"/>
      <w:outlineLvl w:val="0"/>
    </w:pPr>
    <w:rPr>
      <w:rFonts w:ascii="Times New Roman" w:hAnsi="Times New Roman" w:eastAsia="黑体"/>
      <w:b/>
      <w:bCs/>
      <w:color w:val="000000"/>
      <w:kern w:val="44"/>
      <w:sz w:val="30"/>
      <w:szCs w:val="30"/>
    </w:rPr>
  </w:style>
  <w:style w:type="paragraph" w:styleId="3">
    <w:name w:val="heading 2"/>
    <w:basedOn w:val="1"/>
    <w:next w:val="1"/>
    <w:link w:val="150"/>
    <w:qFormat/>
    <w:uiPriority w:val="0"/>
    <w:pPr>
      <w:keepNext/>
      <w:keepLines/>
      <w:spacing w:line="360" w:lineRule="auto"/>
      <w:ind w:firstLine="0" w:firstLineChars="0"/>
      <w:outlineLvl w:val="1"/>
    </w:pPr>
    <w:rPr>
      <w:b/>
      <w:bCs/>
      <w:szCs w:val="32"/>
    </w:rPr>
  </w:style>
  <w:style w:type="paragraph" w:styleId="4">
    <w:name w:val="heading 3"/>
    <w:basedOn w:val="1"/>
    <w:next w:val="1"/>
    <w:link w:val="51"/>
    <w:qFormat/>
    <w:uiPriority w:val="0"/>
    <w:pPr>
      <w:keepLines/>
      <w:adjustRightInd w:val="0"/>
      <w:spacing w:line="240" w:lineRule="auto"/>
      <w:ind w:firstLine="0" w:firstLineChars="0"/>
      <w:jc w:val="center"/>
      <w:textAlignment w:val="baseline"/>
      <w:outlineLvl w:val="2"/>
    </w:pPr>
    <w:rPr>
      <w:rFonts w:ascii="Times New Roman" w:hAnsi="Times New Roman" w:eastAsia="宋体"/>
      <w:b/>
      <w:kern w:val="0"/>
      <w:sz w:val="24"/>
      <w:szCs w:val="20"/>
    </w:rPr>
  </w:style>
  <w:style w:type="paragraph" w:styleId="5">
    <w:name w:val="heading 4"/>
    <w:basedOn w:val="1"/>
    <w:next w:val="1"/>
    <w:link w:val="55"/>
    <w:unhideWhenUsed/>
    <w:qFormat/>
    <w:uiPriority w:val="0"/>
    <w:pPr>
      <w:spacing w:line="240" w:lineRule="auto"/>
      <w:ind w:firstLine="0" w:firstLineChars="0"/>
      <w:jc w:val="center"/>
      <w:outlineLvl w:val="3"/>
    </w:pPr>
    <w:rPr>
      <w:rFonts w:ascii="Times New Roman" w:hAnsi="Times New Roman" w:eastAsia="宋体"/>
      <w:bCs/>
      <w:sz w:val="21"/>
      <w:szCs w:val="28"/>
    </w:rPr>
  </w:style>
  <w:style w:type="paragraph" w:styleId="6">
    <w:name w:val="heading 5"/>
    <w:basedOn w:val="1"/>
    <w:next w:val="1"/>
    <w:link w:val="103"/>
    <w:unhideWhenUsed/>
    <w:qFormat/>
    <w:uiPriority w:val="0"/>
    <w:pPr>
      <w:keepNext/>
      <w:keepLines/>
      <w:spacing w:beforeLines="0" w:beforeAutospacing="0" w:afterLines="0" w:afterAutospacing="0" w:line="360" w:lineRule="auto"/>
      <w:ind w:firstLine="0" w:firstLineChars="0"/>
      <w:outlineLvl w:val="4"/>
    </w:pPr>
    <w:rPr>
      <w:rFonts w:ascii="Times New Roman" w:hAnsi="Times New Roman"/>
      <w:b/>
      <w:sz w:val="24"/>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firstLine="420"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adjustRightInd w:val="0"/>
      <w:snapToGrid w:val="0"/>
      <w:spacing w:beforeLines="0" w:beforeAutospacing="0" w:afterLines="0" w:afterAutospacing="0" w:line="240" w:lineRule="auto"/>
      <w:ind w:firstLine="960" w:firstLineChars="200"/>
      <w:outlineLvl w:val="6"/>
    </w:pPr>
    <w:rPr>
      <w:rFonts w:ascii="Times New Roman" w:hAnsi="Times New Roman" w:eastAsia="宋体" w:cs="Times New Roman"/>
      <w:b/>
      <w:kern w:val="2"/>
      <w:sz w:val="24"/>
      <w:szCs w:val="24"/>
    </w:rPr>
  </w:style>
  <w:style w:type="paragraph" w:styleId="9">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4">
    <w:name w:val="Default Paragraph Font"/>
    <w:semiHidden/>
    <w:unhideWhenUsed/>
    <w:qFormat/>
    <w:uiPriority w:val="1"/>
  </w:style>
  <w:style w:type="table" w:default="1" w:styleId="42">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0"/>
    <w:pPr>
      <w:spacing w:line="240" w:lineRule="auto"/>
      <w:ind w:left="0" w:firstLine="0" w:firstLineChars="0"/>
      <w:jc w:val="center"/>
    </w:pPr>
    <w:rPr>
      <w:sz w:val="24"/>
      <w:szCs w:val="18"/>
    </w:rPr>
  </w:style>
  <w:style w:type="paragraph" w:styleId="12">
    <w:name w:val="Normal Indent"/>
    <w:basedOn w:val="1"/>
    <w:next w:val="1"/>
    <w:link w:val="57"/>
    <w:qFormat/>
    <w:uiPriority w:val="0"/>
    <w:pPr>
      <w:spacing w:line="240" w:lineRule="auto"/>
      <w:ind w:firstLine="720" w:firstLineChars="200"/>
      <w:jc w:val="both"/>
    </w:pPr>
    <w:rPr>
      <w:rFonts w:ascii="Times New Roman" w:hAnsi="Times New Roman" w:eastAsia="宋体"/>
      <w:b/>
      <w:sz w:val="21"/>
    </w:rPr>
  </w:style>
  <w:style w:type="paragraph" w:styleId="13">
    <w:name w:val="caption"/>
    <w:basedOn w:val="1"/>
    <w:next w:val="1"/>
    <w:link w:val="104"/>
    <w:unhideWhenUsed/>
    <w:qFormat/>
    <w:uiPriority w:val="0"/>
    <w:pPr>
      <w:keepNext/>
      <w:adjustRightInd w:val="0"/>
      <w:spacing w:line="240" w:lineRule="auto"/>
      <w:ind w:firstLine="0" w:firstLineChars="0"/>
      <w:jc w:val="center"/>
    </w:pPr>
    <w:rPr>
      <w:rFonts w:ascii="Times New Roman" w:hAnsi="Times New Roman" w:eastAsia="宋体" w:cs="Times New Roman"/>
      <w:b/>
      <w:kern w:val="21"/>
      <w:sz w:val="21"/>
      <w:szCs w:val="20"/>
    </w:rPr>
  </w:style>
  <w:style w:type="paragraph" w:styleId="14">
    <w:name w:val="Document Map"/>
    <w:basedOn w:val="1"/>
    <w:qFormat/>
    <w:uiPriority w:val="0"/>
    <w:pPr>
      <w:shd w:val="clear" w:color="auto" w:fill="000080"/>
      <w:ind w:firstLine="0" w:firstLineChars="0"/>
    </w:pPr>
    <w:rPr>
      <w:rFonts w:ascii="Times New Roman" w:hAnsi="Times New Roman"/>
      <w:sz w:val="24"/>
    </w:rPr>
  </w:style>
  <w:style w:type="paragraph" w:styleId="15">
    <w:name w:val="annotation text"/>
    <w:basedOn w:val="1"/>
    <w:link w:val="66"/>
    <w:qFormat/>
    <w:uiPriority w:val="0"/>
    <w:pPr>
      <w:jc w:val="left"/>
    </w:pPr>
    <w:rPr>
      <w:kern w:val="0"/>
      <w:sz w:val="24"/>
      <w:szCs w:val="20"/>
    </w:rPr>
  </w:style>
  <w:style w:type="paragraph" w:styleId="16">
    <w:name w:val="Body Text 3"/>
    <w:basedOn w:val="1"/>
    <w:qFormat/>
    <w:uiPriority w:val="0"/>
    <w:pPr>
      <w:spacing w:line="360" w:lineRule="auto"/>
      <w:ind w:firstLine="0" w:firstLineChars="0"/>
      <w:jc w:val="center"/>
    </w:pPr>
    <w:rPr>
      <w:rFonts w:ascii="宋体" w:hAnsi="宋体"/>
      <w:b/>
      <w:sz w:val="28"/>
    </w:rPr>
  </w:style>
  <w:style w:type="paragraph" w:styleId="17">
    <w:name w:val="Body Text"/>
    <w:basedOn w:val="1"/>
    <w:next w:val="1"/>
    <w:link w:val="65"/>
    <w:qFormat/>
    <w:uiPriority w:val="0"/>
    <w:pPr>
      <w:widowControl/>
      <w:adjustRightInd w:val="0"/>
      <w:snapToGrid w:val="0"/>
      <w:spacing w:line="240" w:lineRule="auto"/>
      <w:ind w:right="0" w:firstLine="0" w:firstLineChars="0"/>
      <w:jc w:val="center"/>
    </w:pPr>
    <w:rPr>
      <w:rFonts w:ascii="Times New Roman" w:hAnsi="Times New Roman" w:eastAsia="宋体"/>
      <w:sz w:val="21"/>
    </w:rPr>
  </w:style>
  <w:style w:type="paragraph" w:styleId="18">
    <w:name w:val="Body Text Indent"/>
    <w:basedOn w:val="1"/>
    <w:next w:val="19"/>
    <w:link w:val="118"/>
    <w:qFormat/>
    <w:uiPriority w:val="0"/>
    <w:pPr>
      <w:spacing w:after="120"/>
      <w:ind w:left="420" w:leftChars="200"/>
    </w:pPr>
    <w:rPr>
      <w:kern w:val="0"/>
      <w:sz w:val="24"/>
      <w:szCs w:val="20"/>
    </w:rPr>
  </w:style>
  <w:style w:type="paragraph" w:customStyle="1" w:styleId="19">
    <w:name w:val="样式 正文文本缩进 + 行距: 1.5 倍行距"/>
    <w:basedOn w:val="18"/>
    <w:qFormat/>
    <w:uiPriority w:val="0"/>
    <w:pPr>
      <w:spacing w:after="120" w:line="360" w:lineRule="auto"/>
      <w:ind w:left="90" w:leftChars="32"/>
    </w:pPr>
    <w:rPr>
      <w:rFonts w:cs="宋体"/>
      <w:sz w:val="24"/>
    </w:rPr>
  </w:style>
  <w:style w:type="paragraph" w:styleId="20">
    <w:name w:val="Block Text"/>
    <w:basedOn w:val="1"/>
    <w:qFormat/>
    <w:uiPriority w:val="0"/>
    <w:pPr>
      <w:spacing w:after="120"/>
      <w:ind w:left="1440" w:leftChars="700" w:right="700" w:rightChars="700"/>
    </w:pPr>
  </w:style>
  <w:style w:type="paragraph" w:styleId="21">
    <w:name w:val="Plain Text"/>
    <w:basedOn w:val="1"/>
    <w:next w:val="1"/>
    <w:qFormat/>
    <w:uiPriority w:val="0"/>
    <w:pPr>
      <w:ind w:firstLine="200" w:firstLineChars="200"/>
    </w:pPr>
    <w:rPr>
      <w:rFonts w:ascii="宋体"/>
      <w:bCs/>
      <w:color w:val="000000"/>
      <w:sz w:val="28"/>
      <w:szCs w:val="28"/>
    </w:rPr>
  </w:style>
  <w:style w:type="paragraph" w:styleId="22">
    <w:name w:val="List Bullet 5"/>
    <w:basedOn w:val="1"/>
    <w:qFormat/>
    <w:uiPriority w:val="0"/>
    <w:pPr>
      <w:numPr>
        <w:ilvl w:val="0"/>
        <w:numId w:val="2"/>
      </w:numPr>
    </w:pPr>
  </w:style>
  <w:style w:type="paragraph" w:styleId="23">
    <w:name w:val="Date"/>
    <w:basedOn w:val="1"/>
    <w:next w:val="1"/>
    <w:link w:val="122"/>
    <w:qFormat/>
    <w:uiPriority w:val="0"/>
    <w:pPr>
      <w:ind w:left="100" w:leftChars="2500"/>
    </w:pPr>
    <w:rPr>
      <w:kern w:val="0"/>
      <w:sz w:val="24"/>
      <w:szCs w:val="20"/>
    </w:rPr>
  </w:style>
  <w:style w:type="paragraph" w:styleId="24">
    <w:name w:val="Body Text Indent 2"/>
    <w:basedOn w:val="1"/>
    <w:qFormat/>
    <w:uiPriority w:val="0"/>
    <w:pPr>
      <w:spacing w:line="360" w:lineRule="auto"/>
      <w:ind w:firstLine="573"/>
    </w:pPr>
    <w:rPr>
      <w:sz w:val="28"/>
    </w:rPr>
  </w:style>
  <w:style w:type="paragraph" w:styleId="25">
    <w:name w:val="Balloon Text"/>
    <w:basedOn w:val="1"/>
    <w:link w:val="73"/>
    <w:semiHidden/>
    <w:qFormat/>
    <w:uiPriority w:val="0"/>
    <w:rPr>
      <w:kern w:val="0"/>
      <w:sz w:val="18"/>
      <w:szCs w:val="20"/>
    </w:rPr>
  </w:style>
  <w:style w:type="paragraph" w:styleId="26">
    <w:name w:val="footer"/>
    <w:basedOn w:val="1"/>
    <w:link w:val="74"/>
    <w:qFormat/>
    <w:uiPriority w:val="99"/>
    <w:pPr>
      <w:tabs>
        <w:tab w:val="center" w:pos="4153"/>
        <w:tab w:val="right" w:pos="8306"/>
      </w:tabs>
      <w:snapToGrid w:val="0"/>
      <w:jc w:val="left"/>
    </w:pPr>
  </w:style>
  <w:style w:type="paragraph" w:styleId="27">
    <w:name w:val="header"/>
    <w:basedOn w:val="1"/>
    <w:link w:val="165"/>
    <w:qFormat/>
    <w:uiPriority w:val="0"/>
    <w:pPr>
      <w:pBdr>
        <w:bottom w:val="single" w:color="auto" w:sz="6" w:space="1"/>
      </w:pBdr>
      <w:tabs>
        <w:tab w:val="center" w:pos="4153"/>
        <w:tab w:val="right" w:pos="8306"/>
      </w:tabs>
      <w:snapToGrid w:val="0"/>
      <w:jc w:val="center"/>
    </w:pPr>
    <w:rPr>
      <w:kern w:val="0"/>
      <w:sz w:val="18"/>
      <w:szCs w:val="20"/>
    </w:rPr>
  </w:style>
  <w:style w:type="paragraph" w:styleId="28">
    <w:name w:val="toc 1"/>
    <w:basedOn w:val="1"/>
    <w:next w:val="1"/>
    <w:qFormat/>
    <w:uiPriority w:val="39"/>
    <w:rPr>
      <w:b/>
    </w:rPr>
  </w:style>
  <w:style w:type="paragraph" w:styleId="29">
    <w:name w:val="List Continue 4"/>
    <w:basedOn w:val="1"/>
    <w:next w:val="1"/>
    <w:qFormat/>
    <w:uiPriority w:val="0"/>
    <w:pPr>
      <w:spacing w:after="120" w:afterLines="0" w:afterAutospacing="0"/>
      <w:ind w:left="1680" w:leftChars="800"/>
    </w:pPr>
  </w:style>
  <w:style w:type="paragraph" w:styleId="30">
    <w:name w:val="index heading"/>
    <w:basedOn w:val="1"/>
    <w:next w:val="31"/>
    <w:qFormat/>
    <w:uiPriority w:val="0"/>
    <w:rPr>
      <w:rFonts w:ascii="Arial" w:hAnsi="Arial"/>
      <w:b/>
    </w:rPr>
  </w:style>
  <w:style w:type="paragraph" w:styleId="31">
    <w:name w:val="index 1"/>
    <w:basedOn w:val="1"/>
    <w:next w:val="1"/>
    <w:qFormat/>
    <w:uiPriority w:val="0"/>
  </w:style>
  <w:style w:type="paragraph" w:styleId="32">
    <w:name w:val="List"/>
    <w:basedOn w:val="1"/>
    <w:next w:val="1"/>
    <w:semiHidden/>
    <w:unhideWhenUsed/>
    <w:qFormat/>
    <w:uiPriority w:val="99"/>
    <w:pPr>
      <w:ind w:left="200" w:hanging="200" w:hangingChars="200"/>
      <w:contextualSpacing/>
    </w:pPr>
  </w:style>
  <w:style w:type="paragraph" w:styleId="33">
    <w:name w:val="Body Text Indent 3"/>
    <w:basedOn w:val="1"/>
    <w:qFormat/>
    <w:uiPriority w:val="0"/>
    <w:pPr>
      <w:spacing w:after="120" w:afterLines="0" w:afterAutospacing="0"/>
      <w:ind w:left="420" w:leftChars="200"/>
    </w:pPr>
    <w:rPr>
      <w:sz w:val="16"/>
    </w:rPr>
  </w:style>
  <w:style w:type="paragraph" w:styleId="34">
    <w:name w:val="table of figures"/>
    <w:basedOn w:val="1"/>
    <w:next w:val="1"/>
    <w:unhideWhenUsed/>
    <w:qFormat/>
    <w:uiPriority w:val="99"/>
    <w:pPr>
      <w:jc w:val="center"/>
    </w:pPr>
    <w:rPr>
      <w:sz w:val="24"/>
    </w:rPr>
  </w:style>
  <w:style w:type="paragraph" w:styleId="35">
    <w:name w:val="Body Text 2"/>
    <w:basedOn w:val="1"/>
    <w:unhideWhenUsed/>
    <w:qFormat/>
    <w:uiPriority w:val="99"/>
    <w:pPr>
      <w:spacing w:after="120" w:line="480" w:lineRule="auto"/>
    </w:pPr>
  </w:style>
  <w:style w:type="paragraph" w:styleId="3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7">
    <w:name w:val="Normal (Web)"/>
    <w:basedOn w:val="1"/>
    <w:link w:val="71"/>
    <w:qFormat/>
    <w:uiPriority w:val="0"/>
    <w:pPr>
      <w:widowControl/>
      <w:spacing w:beforeAutospacing="1" w:afterAutospacing="1"/>
      <w:jc w:val="left"/>
    </w:pPr>
    <w:rPr>
      <w:rFonts w:ascii="宋体" w:hAnsi="宋体"/>
      <w:kern w:val="0"/>
      <w:szCs w:val="20"/>
    </w:rPr>
  </w:style>
  <w:style w:type="paragraph" w:styleId="38">
    <w:name w:val="Title"/>
    <w:basedOn w:val="1"/>
    <w:next w:val="1"/>
    <w:qFormat/>
    <w:uiPriority w:val="0"/>
    <w:pPr>
      <w:spacing w:before="240" w:after="60"/>
      <w:jc w:val="center"/>
      <w:outlineLvl w:val="0"/>
    </w:pPr>
    <w:rPr>
      <w:rFonts w:ascii="Cambria" w:hAnsi="Cambria"/>
      <w:b/>
      <w:bCs/>
      <w:sz w:val="32"/>
      <w:szCs w:val="32"/>
    </w:rPr>
  </w:style>
  <w:style w:type="paragraph" w:styleId="39">
    <w:name w:val="annotation subject"/>
    <w:basedOn w:val="15"/>
    <w:next w:val="15"/>
    <w:link w:val="72"/>
    <w:qFormat/>
    <w:uiPriority w:val="0"/>
    <w:rPr>
      <w:b/>
    </w:rPr>
  </w:style>
  <w:style w:type="paragraph" w:styleId="40">
    <w:name w:val="Body Text First Indent"/>
    <w:basedOn w:val="17"/>
    <w:qFormat/>
    <w:uiPriority w:val="0"/>
    <w:pPr>
      <w:spacing w:after="120"/>
      <w:ind w:firstLine="420" w:firstLineChars="100"/>
    </w:pPr>
    <w:rPr>
      <w:kern w:val="2"/>
      <w:sz w:val="21"/>
      <w:szCs w:val="24"/>
    </w:rPr>
  </w:style>
  <w:style w:type="paragraph" w:styleId="41">
    <w:name w:val="Body Text First Indent 2"/>
    <w:basedOn w:val="1"/>
    <w:next w:val="29"/>
    <w:qFormat/>
    <w:uiPriority w:val="0"/>
    <w:pPr>
      <w:ind w:firstLine="420"/>
    </w:pPr>
  </w:style>
  <w:style w:type="table" w:styleId="43">
    <w:name w:val="Table Grid"/>
    <w:basedOn w:val="4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bCs/>
    </w:rPr>
  </w:style>
  <w:style w:type="character" w:styleId="46">
    <w:name w:val="page number"/>
    <w:basedOn w:val="44"/>
    <w:qFormat/>
    <w:uiPriority w:val="0"/>
    <w:rPr>
      <w:rFonts w:hint="default" w:ascii="Times New Roman" w:hAnsi="Times New Roman" w:cs="Times New Roman"/>
    </w:rPr>
  </w:style>
  <w:style w:type="character" w:styleId="47">
    <w:name w:val="FollowedHyperlink"/>
    <w:basedOn w:val="44"/>
    <w:qFormat/>
    <w:uiPriority w:val="0"/>
    <w:rPr>
      <w:color w:val="000000"/>
      <w:u w:val="none"/>
    </w:rPr>
  </w:style>
  <w:style w:type="character" w:styleId="48">
    <w:name w:val="Emphasis"/>
    <w:basedOn w:val="44"/>
    <w:qFormat/>
    <w:uiPriority w:val="0"/>
  </w:style>
  <w:style w:type="character" w:styleId="49">
    <w:name w:val="Hyperlink"/>
    <w:basedOn w:val="44"/>
    <w:qFormat/>
    <w:uiPriority w:val="0"/>
    <w:rPr>
      <w:color w:val="000000"/>
      <w:u w:val="none"/>
    </w:rPr>
  </w:style>
  <w:style w:type="character" w:styleId="50">
    <w:name w:val="annotation reference"/>
    <w:semiHidden/>
    <w:qFormat/>
    <w:uiPriority w:val="0"/>
    <w:rPr>
      <w:sz w:val="21"/>
    </w:rPr>
  </w:style>
  <w:style w:type="character" w:customStyle="1" w:styleId="51">
    <w:name w:val="标题 3 Char"/>
    <w:link w:val="4"/>
    <w:qFormat/>
    <w:uiPriority w:val="0"/>
    <w:rPr>
      <w:rFonts w:ascii="Times New Roman" w:hAnsi="Times New Roman" w:eastAsia="宋体"/>
      <w:b/>
      <w:kern w:val="0"/>
      <w:sz w:val="24"/>
      <w:szCs w:val="20"/>
    </w:rPr>
  </w:style>
  <w:style w:type="character" w:customStyle="1" w:styleId="52">
    <w:name w:val="标题 1 Char"/>
    <w:link w:val="2"/>
    <w:qFormat/>
    <w:uiPriority w:val="9"/>
    <w:rPr>
      <w:rFonts w:ascii="Times New Roman" w:hAnsi="Times New Roman" w:eastAsia="黑体"/>
      <w:b/>
      <w:bCs/>
      <w:color w:val="000000"/>
      <w:kern w:val="44"/>
      <w:sz w:val="30"/>
      <w:szCs w:val="30"/>
    </w:rPr>
  </w:style>
  <w:style w:type="paragraph" w:customStyle="1" w:styleId="53">
    <w:name w:val="正文1"/>
    <w:basedOn w:val="12"/>
    <w:next w:val="1"/>
    <w:qFormat/>
    <w:uiPriority w:val="0"/>
    <w:pPr>
      <w:adjustRightInd w:val="0"/>
      <w:snapToGrid w:val="0"/>
      <w:spacing w:line="500" w:lineRule="atLeast"/>
      <w:ind w:firstLine="567"/>
    </w:pPr>
    <w:rPr>
      <w:sz w:val="28"/>
    </w:rPr>
  </w:style>
  <w:style w:type="character" w:customStyle="1" w:styleId="54">
    <w:name w:val="标题 2 Char"/>
    <w:link w:val="3"/>
    <w:qFormat/>
    <w:uiPriority w:val="0"/>
    <w:rPr>
      <w:b/>
      <w:bCs/>
      <w:szCs w:val="32"/>
    </w:rPr>
  </w:style>
  <w:style w:type="character" w:customStyle="1" w:styleId="55">
    <w:name w:val="标题 4 字符"/>
    <w:link w:val="5"/>
    <w:qFormat/>
    <w:uiPriority w:val="0"/>
    <w:rPr>
      <w:rFonts w:ascii="Times New Roman" w:hAnsi="Times New Roman" w:eastAsia="宋体"/>
      <w:bCs/>
      <w:sz w:val="21"/>
      <w:szCs w:val="28"/>
    </w:rPr>
  </w:style>
  <w:style w:type="character" w:customStyle="1" w:styleId="56">
    <w:name w:val="正文文本 Char"/>
    <w:link w:val="17"/>
    <w:qFormat/>
    <w:locked/>
    <w:uiPriority w:val="0"/>
    <w:rPr>
      <w:rFonts w:ascii="Times New Roman" w:hAnsi="Times New Roman" w:eastAsia="宋体"/>
      <w:sz w:val="24"/>
    </w:rPr>
  </w:style>
  <w:style w:type="character" w:customStyle="1" w:styleId="57">
    <w:name w:val="正文缩进 字符"/>
    <w:link w:val="12"/>
    <w:qFormat/>
    <w:uiPriority w:val="0"/>
    <w:rPr>
      <w:rFonts w:ascii="Times New Roman" w:hAnsi="Times New Roman" w:eastAsia="宋体"/>
      <w:b/>
      <w:sz w:val="21"/>
    </w:rPr>
  </w:style>
  <w:style w:type="character" w:customStyle="1" w:styleId="58">
    <w:name w:val="批注文字 Char"/>
    <w:link w:val="15"/>
    <w:qFormat/>
    <w:uiPriority w:val="0"/>
    <w:rPr>
      <w:kern w:val="0"/>
      <w:sz w:val="24"/>
      <w:szCs w:val="20"/>
    </w:rPr>
  </w:style>
  <w:style w:type="paragraph" w:customStyle="1" w:styleId="59">
    <w:name w:val="Default"/>
    <w:basedOn w:val="60"/>
    <w:next w:val="1"/>
    <w:qFormat/>
    <w:uiPriority w:val="0"/>
    <w:pPr>
      <w:autoSpaceDE w:val="0"/>
      <w:autoSpaceDN w:val="0"/>
      <w:jc w:val="left"/>
    </w:pPr>
    <w:rPr>
      <w:rFonts w:hint="eastAsia" w:ascii="宋体"/>
      <w:kern w:val="0"/>
      <w:sz w:val="24"/>
      <w:szCs w:val="24"/>
    </w:rPr>
  </w:style>
  <w:style w:type="paragraph" w:customStyle="1" w:styleId="60">
    <w:name w:val="1 表头"/>
    <w:basedOn w:val="1"/>
    <w:qFormat/>
    <w:uiPriority w:val="0"/>
    <w:pPr>
      <w:adjustRightInd w:val="0"/>
      <w:snapToGrid w:val="0"/>
      <w:jc w:val="center"/>
    </w:pPr>
    <w:rPr>
      <w:b/>
      <w:color w:val="000000"/>
      <w:szCs w:val="21"/>
    </w:rPr>
  </w:style>
  <w:style w:type="paragraph" w:customStyle="1" w:styleId="61">
    <w:name w:val="Char Char Char Char Char Char Char Char Char1 Char"/>
    <w:basedOn w:val="1"/>
    <w:next w:val="62"/>
    <w:qFormat/>
    <w:uiPriority w:val="0"/>
    <w:pPr>
      <w:spacing w:line="360" w:lineRule="auto"/>
      <w:ind w:firstLine="200" w:firstLineChars="200"/>
    </w:pPr>
    <w:rPr>
      <w:rFonts w:hAnsi="宋体" w:cs="宋体"/>
      <w:spacing w:val="0"/>
      <w:sz w:val="24"/>
      <w:szCs w:val="24"/>
    </w:rPr>
  </w:style>
  <w:style w:type="paragraph" w:customStyle="1" w:styleId="62">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63">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64">
    <w:name w:val="标题 1 字符"/>
    <w:link w:val="2"/>
    <w:qFormat/>
    <w:uiPriority w:val="0"/>
    <w:rPr>
      <w:rFonts w:ascii="Times New Roman" w:hAnsi="Times New Roman" w:eastAsia="黑体"/>
      <w:b/>
      <w:bCs/>
      <w:color w:val="000000"/>
      <w:kern w:val="44"/>
      <w:sz w:val="30"/>
      <w:szCs w:val="30"/>
    </w:rPr>
  </w:style>
  <w:style w:type="character" w:customStyle="1" w:styleId="65">
    <w:name w:val="正文文本 字符"/>
    <w:link w:val="17"/>
    <w:qFormat/>
    <w:locked/>
    <w:uiPriority w:val="0"/>
    <w:rPr>
      <w:rFonts w:ascii="Times New Roman" w:hAnsi="Times New Roman" w:eastAsia="宋体"/>
      <w:sz w:val="21"/>
    </w:rPr>
  </w:style>
  <w:style w:type="character" w:customStyle="1" w:styleId="66">
    <w:name w:val="批注文字 字符"/>
    <w:link w:val="15"/>
    <w:qFormat/>
    <w:locked/>
    <w:uiPriority w:val="0"/>
    <w:rPr>
      <w:kern w:val="0"/>
      <w:sz w:val="24"/>
      <w:szCs w:val="20"/>
    </w:rPr>
  </w:style>
  <w:style w:type="character" w:customStyle="1" w:styleId="67">
    <w:name w:val="日期 字符"/>
    <w:link w:val="23"/>
    <w:semiHidden/>
    <w:qFormat/>
    <w:locked/>
    <w:uiPriority w:val="0"/>
    <w:rPr>
      <w:kern w:val="0"/>
      <w:sz w:val="24"/>
      <w:szCs w:val="20"/>
    </w:rPr>
  </w:style>
  <w:style w:type="character" w:customStyle="1" w:styleId="68">
    <w:name w:val="批注框文本 字符"/>
    <w:link w:val="25"/>
    <w:semiHidden/>
    <w:qFormat/>
    <w:locked/>
    <w:uiPriority w:val="0"/>
    <w:rPr>
      <w:kern w:val="0"/>
      <w:sz w:val="18"/>
      <w:szCs w:val="20"/>
    </w:rPr>
  </w:style>
  <w:style w:type="character" w:customStyle="1" w:styleId="69">
    <w:name w:val="页脚 字符1"/>
    <w:link w:val="26"/>
    <w:qFormat/>
    <w:locked/>
    <w:uiPriority w:val="99"/>
    <w:rPr>
      <w:kern w:val="0"/>
      <w:sz w:val="18"/>
      <w:szCs w:val="20"/>
    </w:rPr>
  </w:style>
  <w:style w:type="character" w:customStyle="1" w:styleId="70">
    <w:name w:val="页眉 字符"/>
    <w:link w:val="27"/>
    <w:qFormat/>
    <w:locked/>
    <w:uiPriority w:val="0"/>
    <w:rPr>
      <w:kern w:val="0"/>
      <w:sz w:val="18"/>
      <w:szCs w:val="20"/>
    </w:rPr>
  </w:style>
  <w:style w:type="character" w:customStyle="1" w:styleId="71">
    <w:name w:val="普通(网站) 字符"/>
    <w:link w:val="37"/>
    <w:qFormat/>
    <w:locked/>
    <w:uiPriority w:val="0"/>
    <w:rPr>
      <w:rFonts w:ascii="宋体" w:hAnsi="宋体"/>
      <w:kern w:val="0"/>
      <w:szCs w:val="20"/>
    </w:rPr>
  </w:style>
  <w:style w:type="character" w:customStyle="1" w:styleId="72">
    <w:name w:val="批注主题 字符"/>
    <w:link w:val="39"/>
    <w:semiHidden/>
    <w:qFormat/>
    <w:locked/>
    <w:uiPriority w:val="0"/>
    <w:rPr>
      <w:b/>
    </w:rPr>
  </w:style>
  <w:style w:type="character" w:customStyle="1" w:styleId="73">
    <w:name w:val="批注框文本 Char"/>
    <w:link w:val="25"/>
    <w:qFormat/>
    <w:uiPriority w:val="0"/>
    <w:rPr>
      <w:kern w:val="0"/>
      <w:sz w:val="18"/>
      <w:szCs w:val="20"/>
    </w:rPr>
  </w:style>
  <w:style w:type="character" w:customStyle="1" w:styleId="74">
    <w:name w:val="页脚 字符"/>
    <w:basedOn w:val="44"/>
    <w:link w:val="26"/>
    <w:qFormat/>
    <w:uiPriority w:val="99"/>
  </w:style>
  <w:style w:type="paragraph" w:customStyle="1" w:styleId="75">
    <w:name w:val="表头"/>
    <w:basedOn w:val="76"/>
    <w:qFormat/>
    <w:uiPriority w:val="0"/>
    <w:rPr>
      <w:rFonts w:ascii="黑体" w:eastAsia="黑体"/>
      <w:sz w:val="24"/>
    </w:rPr>
  </w:style>
  <w:style w:type="paragraph" w:customStyle="1" w:styleId="76">
    <w:name w:val="表格内容"/>
    <w:basedOn w:val="12"/>
    <w:next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77">
    <w:name w:val="报告表格"/>
    <w:basedOn w:val="1"/>
    <w:qFormat/>
    <w:uiPriority w:val="0"/>
    <w:pPr>
      <w:autoSpaceDE w:val="0"/>
      <w:autoSpaceDN w:val="0"/>
      <w:adjustRightInd w:val="0"/>
      <w:jc w:val="center"/>
      <w:textAlignment w:val="baseline"/>
    </w:pPr>
    <w:rPr>
      <w:kern w:val="0"/>
      <w:szCs w:val="20"/>
    </w:rPr>
  </w:style>
  <w:style w:type="paragraph" w:customStyle="1" w:styleId="78">
    <w:name w:val="WPSOffice手动目录 1"/>
    <w:qFormat/>
    <w:uiPriority w:val="0"/>
    <w:rPr>
      <w:rFonts w:ascii="Times New Roman" w:hAnsi="Times New Roman" w:eastAsia="宋体" w:cs="Times New Roman"/>
      <w:lang w:val="en-US" w:eastAsia="zh-CN" w:bidi="ar-SA"/>
    </w:rPr>
  </w:style>
  <w:style w:type="paragraph" w:customStyle="1" w:styleId="79">
    <w:name w:val="表格标题"/>
    <w:basedOn w:val="75"/>
    <w:next w:val="1"/>
    <w:qFormat/>
    <w:uiPriority w:val="0"/>
    <w:pPr>
      <w:spacing w:line="360" w:lineRule="auto"/>
      <w:ind w:firstLine="2168" w:firstLineChars="600"/>
      <w:jc w:val="center"/>
    </w:pPr>
    <w:rPr>
      <w:bCs/>
      <w:szCs w:val="20"/>
    </w:rPr>
  </w:style>
  <w:style w:type="paragraph" w:customStyle="1" w:styleId="80">
    <w:name w:val="表中文字"/>
    <w:basedOn w:val="1"/>
    <w:qFormat/>
    <w:uiPriority w:val="0"/>
    <w:pPr>
      <w:tabs>
        <w:tab w:val="left" w:pos="2700"/>
      </w:tabs>
      <w:spacing w:line="240" w:lineRule="auto"/>
      <w:ind w:firstLine="0" w:firstLineChars="0"/>
      <w:jc w:val="center"/>
      <w:textAlignment w:val="center"/>
    </w:pPr>
    <w:rPr>
      <w:sz w:val="21"/>
      <w:szCs w:val="21"/>
    </w:rPr>
  </w:style>
  <w:style w:type="paragraph" w:customStyle="1" w:styleId="81">
    <w:name w:val="样式3"/>
    <w:basedOn w:val="1"/>
    <w:next w:val="1"/>
    <w:qFormat/>
    <w:uiPriority w:val="0"/>
    <w:pPr>
      <w:keepNext/>
      <w:keepLines/>
      <w:spacing w:beforeLines="0" w:afterLines="0" w:line="240" w:lineRule="auto"/>
      <w:ind w:firstLine="0" w:firstLineChars="0"/>
      <w:jc w:val="center"/>
      <w:outlineLvl w:val="1"/>
    </w:pPr>
    <w:rPr>
      <w:sz w:val="21"/>
    </w:rPr>
  </w:style>
  <w:style w:type="paragraph" w:customStyle="1" w:styleId="82">
    <w:name w:val="报告正文小四"/>
    <w:basedOn w:val="1"/>
    <w:qFormat/>
    <w:uiPriority w:val="0"/>
    <w:pPr>
      <w:ind w:firstLine="200"/>
    </w:pPr>
    <w:rPr>
      <w:szCs w:val="20"/>
    </w:rPr>
  </w:style>
  <w:style w:type="paragraph" w:customStyle="1" w:styleId="83">
    <w:name w:val="表格后空行"/>
    <w:basedOn w:val="1"/>
    <w:qFormat/>
    <w:uiPriority w:val="0"/>
    <w:pPr>
      <w:widowControl/>
      <w:spacing w:line="240" w:lineRule="exact"/>
      <w:textAlignment w:val="baseline"/>
    </w:pPr>
    <w:rPr>
      <w:rFonts w:ascii="宋体" w:cs="宋体"/>
      <w:color w:val="000000"/>
      <w:kern w:val="0"/>
      <w:sz w:val="18"/>
      <w:szCs w:val="20"/>
      <w:u w:color="000000"/>
    </w:rPr>
  </w:style>
  <w:style w:type="paragraph" w:customStyle="1" w:styleId="84">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styleId="85">
    <w:name w:val="List Paragraph"/>
    <w:basedOn w:val="1"/>
    <w:qFormat/>
    <w:uiPriority w:val="1"/>
    <w:pPr>
      <w:ind w:left="122" w:hanging="795"/>
    </w:pPr>
    <w:rPr>
      <w:rFonts w:ascii="宋体" w:hAnsi="宋体" w:eastAsia="宋体" w:cs="宋体"/>
      <w:lang w:val="zh-CN" w:eastAsia="zh-CN" w:bidi="zh-CN"/>
    </w:rPr>
  </w:style>
  <w:style w:type="paragraph" w:customStyle="1" w:styleId="86">
    <w:name w:val="Table Paragraph"/>
    <w:basedOn w:val="1"/>
    <w:qFormat/>
    <w:uiPriority w:val="1"/>
    <w:rPr>
      <w:rFonts w:ascii="宋体" w:hAnsi="宋体" w:cs="宋体"/>
      <w:lang w:val="zh-CN" w:bidi="zh-CN"/>
    </w:rPr>
  </w:style>
  <w:style w:type="character" w:customStyle="1" w:styleId="87">
    <w:name w:val="font21"/>
    <w:basedOn w:val="44"/>
    <w:qFormat/>
    <w:uiPriority w:val="0"/>
    <w:rPr>
      <w:rFonts w:hint="eastAsia" w:ascii="宋体" w:hAnsi="宋体" w:eastAsia="宋体" w:cs="宋体"/>
      <w:color w:val="000000"/>
      <w:sz w:val="21"/>
      <w:szCs w:val="21"/>
      <w:u w:val="none"/>
    </w:rPr>
  </w:style>
  <w:style w:type="character" w:customStyle="1" w:styleId="88">
    <w:name w:val="font31"/>
    <w:basedOn w:val="44"/>
    <w:qFormat/>
    <w:uiPriority w:val="0"/>
    <w:rPr>
      <w:rFonts w:hint="default" w:ascii="Times New Roman" w:hAnsi="Times New Roman" w:cs="Times New Roman"/>
      <w:color w:val="000000"/>
      <w:sz w:val="21"/>
      <w:szCs w:val="21"/>
      <w:u w:val="none"/>
    </w:rPr>
  </w:style>
  <w:style w:type="paragraph" w:customStyle="1" w:styleId="89">
    <w:name w:val="正文(首行缩进)"/>
    <w:basedOn w:val="1"/>
    <w:next w:val="1"/>
    <w:qFormat/>
    <w:uiPriority w:val="0"/>
    <w:pPr>
      <w:spacing w:line="360" w:lineRule="auto"/>
      <w:ind w:firstLine="480" w:firstLineChars="200"/>
    </w:pPr>
    <w:rPr>
      <w:bCs/>
      <w:color w:val="000000"/>
      <w:kern w:val="24"/>
      <w:sz w:val="24"/>
    </w:rPr>
  </w:style>
  <w:style w:type="paragraph" w:customStyle="1" w:styleId="90">
    <w:name w:val="Table Text"/>
    <w:basedOn w:val="1"/>
    <w:semiHidden/>
    <w:qFormat/>
    <w:uiPriority w:val="0"/>
    <w:rPr>
      <w:rFonts w:ascii="Times New Roman" w:hAnsi="Times New Roman" w:eastAsia="Times New Roman" w:cs="Times New Roman"/>
      <w:sz w:val="24"/>
      <w:szCs w:val="24"/>
      <w:lang w:val="en-US" w:eastAsia="en-US" w:bidi="ar-SA"/>
    </w:rPr>
  </w:style>
  <w:style w:type="table" w:customStyle="1" w:styleId="9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92">
    <w:name w:val="准 正文 左侧:  2 字符 + 首行缩进:  2 字符"/>
    <w:basedOn w:val="1"/>
    <w:qFormat/>
    <w:uiPriority w:val="0"/>
    <w:pPr>
      <w:spacing w:line="360" w:lineRule="auto"/>
      <w:ind w:firstLine="480" w:firstLineChars="200"/>
    </w:pPr>
    <w:rPr>
      <w:rFonts w:cs="宋体"/>
      <w:sz w:val="24"/>
    </w:rPr>
  </w:style>
  <w:style w:type="paragraph" w:customStyle="1" w:styleId="93">
    <w:name w:val="_Style 67"/>
    <w:unhideWhenUsed/>
    <w:qFormat/>
    <w:uiPriority w:val="99"/>
    <w:rPr>
      <w:rFonts w:ascii="Times New Roman" w:hAnsi="Times New Roman" w:eastAsia="宋体" w:cs="Times New Roman"/>
      <w:kern w:val="2"/>
      <w:sz w:val="24"/>
      <w:szCs w:val="24"/>
      <w:lang w:val="en-US" w:eastAsia="zh-CN" w:bidi="ar-SA"/>
    </w:rPr>
  </w:style>
  <w:style w:type="paragraph" w:customStyle="1" w:styleId="94">
    <w:name w:val="表格文字"/>
    <w:basedOn w:val="40"/>
    <w:next w:val="1"/>
    <w:qFormat/>
    <w:uiPriority w:val="0"/>
    <w:pPr>
      <w:adjustRightInd w:val="0"/>
      <w:spacing w:line="320" w:lineRule="exact"/>
      <w:ind w:left="-80"/>
      <w:jc w:val="center"/>
      <w:textAlignment w:val="baseline"/>
    </w:pPr>
    <w:rPr>
      <w:szCs w:val="21"/>
    </w:rPr>
  </w:style>
  <w:style w:type="paragraph" w:customStyle="1" w:styleId="95">
    <w:name w:val="标题三！！！！！！！"/>
    <w:basedOn w:val="4"/>
    <w:qFormat/>
    <w:uiPriority w:val="0"/>
    <w:pPr>
      <w:keepLines w:val="0"/>
      <w:adjustRightInd/>
      <w:spacing w:before="0" w:after="0" w:line="500" w:lineRule="exact"/>
      <w:textAlignment w:val="auto"/>
    </w:pPr>
    <w:rPr>
      <w:rFonts w:ascii="楷体_GB2312" w:hAnsi="楷体_GB2312" w:eastAsia="楷体_GB2312" w:cs="楷体_GB2312"/>
      <w:sz w:val="28"/>
      <w:szCs w:val="28"/>
    </w:rPr>
  </w:style>
  <w:style w:type="paragraph" w:customStyle="1" w:styleId="9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97">
    <w:name w:val="样式 首行缩进:  2 字符1"/>
    <w:basedOn w:val="1"/>
    <w:qFormat/>
    <w:uiPriority w:val="0"/>
    <w:pPr>
      <w:adjustRightInd w:val="0"/>
      <w:snapToGrid w:val="0"/>
      <w:spacing w:line="360" w:lineRule="auto"/>
      <w:ind w:firstLine="480"/>
    </w:pPr>
    <w:rPr>
      <w:rFonts w:cs="宋体"/>
    </w:rPr>
  </w:style>
  <w:style w:type="paragraph" w:customStyle="1" w:styleId="98">
    <w:name w:val="表题"/>
    <w:basedOn w:val="1"/>
    <w:next w:val="1"/>
    <w:qFormat/>
    <w:uiPriority w:val="0"/>
    <w:pPr>
      <w:spacing w:before="50" w:beforeLines="50"/>
      <w:jc w:val="center"/>
    </w:pPr>
    <w:rPr>
      <w:b/>
    </w:rPr>
  </w:style>
  <w:style w:type="paragraph" w:customStyle="1" w:styleId="99">
    <w:name w:val="图表"/>
    <w:basedOn w:val="1"/>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paragraph" w:customStyle="1" w:styleId="100">
    <w:name w:val="样式1"/>
    <w:basedOn w:val="30"/>
    <w:next w:val="1"/>
    <w:qFormat/>
    <w:uiPriority w:val="0"/>
    <w:pPr>
      <w:spacing w:line="260" w:lineRule="exact"/>
      <w:ind w:left="12"/>
    </w:pPr>
  </w:style>
  <w:style w:type="character" w:customStyle="1" w:styleId="101">
    <w:name w:val="font11"/>
    <w:basedOn w:val="44"/>
    <w:qFormat/>
    <w:uiPriority w:val="0"/>
    <w:rPr>
      <w:rFonts w:hint="eastAsia" w:ascii="宋体" w:hAnsi="宋体" w:eastAsia="宋体" w:cs="宋体"/>
      <w:color w:val="000000"/>
      <w:sz w:val="21"/>
      <w:szCs w:val="21"/>
      <w:u w:val="none"/>
    </w:rPr>
  </w:style>
  <w:style w:type="character" w:customStyle="1" w:styleId="102">
    <w:name w:val="正文文本缩进 Char"/>
    <w:link w:val="18"/>
    <w:qFormat/>
    <w:uiPriority w:val="0"/>
    <w:rPr>
      <w:kern w:val="0"/>
      <w:sz w:val="24"/>
      <w:szCs w:val="20"/>
    </w:rPr>
  </w:style>
  <w:style w:type="character" w:customStyle="1" w:styleId="103">
    <w:name w:val="标题 5 字符"/>
    <w:link w:val="6"/>
    <w:qFormat/>
    <w:uiPriority w:val="0"/>
    <w:rPr>
      <w:rFonts w:ascii="Times New Roman" w:hAnsi="Times New Roman"/>
      <w:b/>
      <w:sz w:val="24"/>
    </w:rPr>
  </w:style>
  <w:style w:type="character" w:customStyle="1" w:styleId="104">
    <w:name w:val="题注 Char"/>
    <w:link w:val="13"/>
    <w:qFormat/>
    <w:uiPriority w:val="35"/>
    <w:rPr>
      <w:rFonts w:ascii="Times New Roman" w:hAnsi="Times New Roman" w:eastAsia="宋体" w:cs="Times New Roman"/>
      <w:b/>
      <w:kern w:val="21"/>
      <w:sz w:val="21"/>
      <w:szCs w:val="20"/>
    </w:rPr>
  </w:style>
  <w:style w:type="paragraph" w:customStyle="1" w:styleId="105">
    <w:name w:val="纯文本1"/>
    <w:basedOn w:val="1"/>
    <w:qFormat/>
    <w:uiPriority w:val="0"/>
    <w:pPr>
      <w:adjustRightInd w:val="0"/>
      <w:textAlignment w:val="baseline"/>
    </w:pPr>
    <w:rPr>
      <w:rFonts w:ascii="宋体" w:hAnsi="Courier New"/>
      <w:szCs w:val="20"/>
    </w:rPr>
  </w:style>
  <w:style w:type="paragraph" w:customStyle="1" w:styleId="106">
    <w:name w:val="Body Text 21"/>
    <w:basedOn w:val="1"/>
    <w:qFormat/>
    <w:uiPriority w:val="0"/>
    <w:pPr>
      <w:spacing w:after="120" w:line="480" w:lineRule="auto"/>
    </w:pPr>
  </w:style>
  <w:style w:type="paragraph" w:customStyle="1" w:styleId="107">
    <w:name w:val="样式 表内容 + 行距: 固定值 28 磅"/>
    <w:basedOn w:val="108"/>
    <w:qFormat/>
    <w:uiPriority w:val="0"/>
    <w:pPr>
      <w:jc w:val="center"/>
    </w:pPr>
    <w:rPr>
      <w:rFonts w:hAnsi="宋体" w:cs="宋体"/>
      <w:spacing w:val="5"/>
      <w:sz w:val="21"/>
      <w:szCs w:val="20"/>
    </w:rPr>
  </w:style>
  <w:style w:type="paragraph" w:customStyle="1" w:styleId="108">
    <w:name w:val="表内容"/>
    <w:basedOn w:val="1"/>
    <w:next w:val="1"/>
    <w:qFormat/>
    <w:uiPriority w:val="0"/>
    <w:pPr>
      <w:jc w:val="center"/>
    </w:pPr>
    <w:rPr>
      <w:rFonts w:ascii="宋体" w:hAnsi="宋体" w:eastAsia="宋体"/>
      <w:kern w:val="2"/>
      <w:sz w:val="21"/>
      <w:lang w:val="en-US" w:eastAsia="zh-CN" w:bidi="ar-SA"/>
    </w:rPr>
  </w:style>
  <w:style w:type="paragraph" w:customStyle="1" w:styleId="109">
    <w:name w:val="表格"/>
    <w:basedOn w:val="17"/>
    <w:next w:val="18"/>
    <w:link w:val="123"/>
    <w:qFormat/>
    <w:uiPriority w:val="0"/>
    <w:pPr>
      <w:adjustRightInd w:val="0"/>
      <w:snapToGrid w:val="0"/>
      <w:spacing w:beforeLines="10" w:afterLines="10" w:line="259" w:lineRule="auto"/>
      <w:jc w:val="center"/>
    </w:pPr>
    <w:rPr>
      <w:kern w:val="0"/>
      <w:szCs w:val="20"/>
    </w:rPr>
  </w:style>
  <w:style w:type="paragraph" w:customStyle="1" w:styleId="110">
    <w:name w:val="样式 标题 2 + 首行缩进:  2 字符"/>
    <w:basedOn w:val="3"/>
    <w:next w:val="111"/>
    <w:qFormat/>
    <w:uiPriority w:val="0"/>
    <w:pPr>
      <w:widowControl/>
      <w:spacing w:line="300" w:lineRule="auto"/>
      <w:ind w:left="1320" w:hanging="420"/>
    </w:pPr>
    <w:rPr>
      <w:rFonts w:eastAsia="黑体"/>
      <w:b w:val="0"/>
      <w:sz w:val="30"/>
    </w:rPr>
  </w:style>
  <w:style w:type="paragraph" w:customStyle="1" w:styleId="111">
    <w:name w:val="图号"/>
    <w:next w:val="112"/>
    <w:qFormat/>
    <w:uiPriority w:val="0"/>
    <w:pPr>
      <w:widowControl w:val="0"/>
      <w:spacing w:line="529" w:lineRule="exact"/>
      <w:ind w:left="198"/>
    </w:pPr>
    <w:rPr>
      <w:rFonts w:ascii="宋体" w:hAnsi="Times New Roman" w:eastAsia="宋体" w:cs="Times New Roman"/>
      <w:b/>
      <w:sz w:val="24"/>
      <w:lang w:val="en-US" w:eastAsia="zh-CN" w:bidi="ar-SA"/>
    </w:rPr>
  </w:style>
  <w:style w:type="paragraph" w:customStyle="1" w:styleId="112">
    <w:name w:val=" Char Char Char Char Char Char Char Char Char Char Char Char Char Char Char Char Char Char Char Char Char Char"/>
    <w:basedOn w:val="1"/>
    <w:next w:val="1"/>
    <w:qFormat/>
    <w:uiPriority w:val="0"/>
    <w:pPr>
      <w:widowControl w:val="0"/>
      <w:autoSpaceDE/>
      <w:autoSpaceDN/>
      <w:spacing w:before="0" w:after="0" w:line="360" w:lineRule="auto"/>
      <w:ind w:left="0" w:firstLine="200"/>
    </w:pPr>
    <w:rPr>
      <w:rFonts w:ascii="宋体" w:eastAsia="宋体"/>
      <w:sz w:val="24"/>
    </w:rPr>
  </w:style>
  <w:style w:type="paragraph" w:customStyle="1" w:styleId="113">
    <w:name w:val="Char Char Char Char Char Char Char Char Char Char Char Char Char Char Char Char Char Char Char Char Char Char"/>
    <w:basedOn w:val="1"/>
    <w:next w:val="1"/>
    <w:qFormat/>
    <w:uiPriority w:val="0"/>
    <w:pPr>
      <w:spacing w:line="360" w:lineRule="auto"/>
      <w:ind w:firstLine="200"/>
    </w:pPr>
    <w:rPr>
      <w:rFonts w:ascii="宋体"/>
      <w:sz w:val="24"/>
    </w:rPr>
  </w:style>
  <w:style w:type="paragraph" w:customStyle="1" w:styleId="114">
    <w:name w:val="样式 标题 1一级标题 + 段前: 0.5 行 段后: 0.5 行"/>
    <w:basedOn w:val="2"/>
    <w:qFormat/>
    <w:uiPriority w:val="99"/>
    <w:pPr>
      <w:spacing w:line="320" w:lineRule="exact"/>
      <w:outlineLvl w:val="9"/>
    </w:pPr>
    <w:rPr>
      <w:spacing w:val="-6"/>
      <w:sz w:val="21"/>
      <w:szCs w:val="21"/>
    </w:rPr>
  </w:style>
  <w:style w:type="character" w:customStyle="1" w:styleId="115">
    <w:name w:val="cur"/>
    <w:basedOn w:val="44"/>
    <w:qFormat/>
    <w:uiPriority w:val="0"/>
    <w:rPr>
      <w:color w:val="FFFFFF"/>
      <w:shd w:val="clear" w:color="auto" w:fill="2F6B98"/>
    </w:rPr>
  </w:style>
  <w:style w:type="character" w:customStyle="1" w:styleId="116">
    <w:name w:val="_Style 5"/>
    <w:qFormat/>
    <w:uiPriority w:val="0"/>
    <w:rPr>
      <w:b/>
      <w:smallCaps/>
      <w:spacing w:val="5"/>
    </w:rPr>
  </w:style>
  <w:style w:type="character" w:customStyle="1" w:styleId="117">
    <w:name w:val="radio-btn"/>
    <w:basedOn w:val="44"/>
    <w:qFormat/>
    <w:uiPriority w:val="0"/>
    <w:rPr>
      <w:sz w:val="16"/>
      <w:szCs w:val="16"/>
    </w:rPr>
  </w:style>
  <w:style w:type="character" w:customStyle="1" w:styleId="118">
    <w:name w:val="正文文本缩进 字符"/>
    <w:link w:val="18"/>
    <w:semiHidden/>
    <w:qFormat/>
    <w:locked/>
    <w:uiPriority w:val="0"/>
    <w:rPr>
      <w:kern w:val="0"/>
      <w:sz w:val="24"/>
      <w:szCs w:val="20"/>
    </w:rPr>
  </w:style>
  <w:style w:type="character" w:customStyle="1" w:styleId="119">
    <w:name w:val="radio-btn2"/>
    <w:basedOn w:val="44"/>
    <w:qFormat/>
    <w:uiPriority w:val="0"/>
    <w:rPr>
      <w:sz w:val="19"/>
      <w:szCs w:val="19"/>
    </w:rPr>
  </w:style>
  <w:style w:type="character" w:customStyle="1" w:styleId="120">
    <w:name w:val="正文文本 字符1"/>
    <w:semiHidden/>
    <w:qFormat/>
    <w:uiPriority w:val="0"/>
    <w:rPr>
      <w:rFonts w:ascii="Times New Roman" w:hAnsi="Times New Roman" w:eastAsia="宋体"/>
      <w:sz w:val="24"/>
    </w:rPr>
  </w:style>
  <w:style w:type="character" w:customStyle="1" w:styleId="121">
    <w:name w:val="批注文字 字符1"/>
    <w:semiHidden/>
    <w:qFormat/>
    <w:uiPriority w:val="0"/>
    <w:rPr>
      <w:rFonts w:ascii="Times New Roman" w:hAnsi="Times New Roman" w:eastAsia="宋体"/>
      <w:sz w:val="24"/>
    </w:rPr>
  </w:style>
  <w:style w:type="character" w:customStyle="1" w:styleId="122">
    <w:name w:val="日期 字符1"/>
    <w:link w:val="23"/>
    <w:qFormat/>
    <w:locked/>
    <w:uiPriority w:val="0"/>
    <w:rPr>
      <w:kern w:val="0"/>
      <w:sz w:val="24"/>
      <w:szCs w:val="20"/>
    </w:rPr>
  </w:style>
  <w:style w:type="character" w:customStyle="1" w:styleId="123">
    <w:name w:val="表格 Char"/>
    <w:link w:val="109"/>
    <w:qFormat/>
    <w:locked/>
    <w:uiPriority w:val="0"/>
    <w:rPr>
      <w:kern w:val="0"/>
      <w:szCs w:val="20"/>
    </w:rPr>
  </w:style>
  <w:style w:type="character" w:customStyle="1" w:styleId="124">
    <w:name w:val="lable"/>
    <w:basedOn w:val="44"/>
    <w:qFormat/>
    <w:uiPriority w:val="0"/>
    <w:rPr>
      <w:sz w:val="19"/>
      <w:szCs w:val="19"/>
    </w:rPr>
  </w:style>
  <w:style w:type="character" w:customStyle="1" w:styleId="125">
    <w:name w:val="radio-btn1"/>
    <w:basedOn w:val="44"/>
    <w:qFormat/>
    <w:uiPriority w:val="0"/>
    <w:rPr>
      <w:sz w:val="19"/>
      <w:szCs w:val="19"/>
    </w:rPr>
  </w:style>
  <w:style w:type="character" w:customStyle="1" w:styleId="126">
    <w:name w:val="lishishuju"/>
    <w:basedOn w:val="44"/>
    <w:qFormat/>
    <w:uiPriority w:val="0"/>
    <w:rPr>
      <w:b/>
      <w:bCs/>
      <w:color w:val="000052"/>
      <w:sz w:val="19"/>
      <w:szCs w:val="19"/>
      <w:bdr w:val="single" w:color="E3E3E3" w:sz="4" w:space="0"/>
    </w:rPr>
  </w:style>
  <w:style w:type="character" w:customStyle="1" w:styleId="127">
    <w:name w:val="cur1"/>
    <w:basedOn w:val="44"/>
    <w:qFormat/>
    <w:uiPriority w:val="0"/>
    <w:rPr>
      <w:color w:val="FFFFFF"/>
      <w:shd w:val="clear" w:color="auto" w:fill="2F6B98"/>
    </w:rPr>
  </w:style>
  <w:style w:type="character" w:customStyle="1" w:styleId="128">
    <w:name w:val="znspantitle"/>
    <w:basedOn w:val="44"/>
    <w:qFormat/>
    <w:uiPriority w:val="0"/>
    <w:rPr>
      <w:b/>
      <w:bCs/>
      <w:color w:val="333333"/>
    </w:rPr>
  </w:style>
  <w:style w:type="paragraph" w:customStyle="1" w:styleId="129">
    <w:name w:val="Char"/>
    <w:basedOn w:val="1"/>
    <w:qFormat/>
    <w:uiPriority w:val="0"/>
  </w:style>
  <w:style w:type="paragraph" w:customStyle="1" w:styleId="130">
    <w:name w:val="样式 标题 3 + 黑体 非加粗"/>
    <w:basedOn w:val="4"/>
    <w:qFormat/>
    <w:uiPriority w:val="0"/>
    <w:pPr>
      <w:tabs>
        <w:tab w:val="left" w:pos="4678"/>
      </w:tabs>
      <w:snapToGrid w:val="0"/>
      <w:spacing w:before="156" w:beforeLines="50" w:after="156" w:afterLines="50" w:line="360" w:lineRule="auto"/>
    </w:pPr>
  </w:style>
  <w:style w:type="paragraph" w:customStyle="1" w:styleId="131">
    <w:name w:val="表格的文字"/>
    <w:basedOn w:val="1"/>
    <w:qFormat/>
    <w:uiPriority w:val="0"/>
    <w:pPr>
      <w:adjustRightInd w:val="0"/>
      <w:snapToGrid w:val="0"/>
      <w:spacing w:line="240" w:lineRule="atLeast"/>
      <w:jc w:val="center"/>
    </w:pPr>
    <w:rPr>
      <w:rFonts w:ascii="仿宋_GB2312" w:hAnsi="仿宋_GB2312"/>
      <w:bCs/>
      <w:szCs w:val="20"/>
    </w:rPr>
  </w:style>
  <w:style w:type="paragraph" w:customStyle="1" w:styleId="132">
    <w:name w:val="缩进"/>
    <w:basedOn w:val="1"/>
    <w:qFormat/>
    <w:uiPriority w:val="0"/>
    <w:pPr>
      <w:spacing w:line="360" w:lineRule="auto"/>
      <w:ind w:firstLine="200" w:firstLineChars="200"/>
    </w:pPr>
    <w:rPr>
      <w:sz w:val="24"/>
    </w:rPr>
  </w:style>
  <w:style w:type="paragraph" w:customStyle="1" w:styleId="133">
    <w:name w:val="报告正文"/>
    <w:basedOn w:val="1"/>
    <w:qFormat/>
    <w:uiPriority w:val="0"/>
    <w:pPr>
      <w:spacing w:line="520" w:lineRule="exact"/>
      <w:ind w:firstLine="488" w:firstLineChars="200"/>
      <w:jc w:val="left"/>
    </w:pPr>
    <w:rPr>
      <w:bCs/>
      <w:spacing w:val="8"/>
      <w:kern w:val="0"/>
      <w:sz w:val="24"/>
    </w:rPr>
  </w:style>
  <w:style w:type="paragraph" w:customStyle="1" w:styleId="134">
    <w:name w:val="正本文字"/>
    <w:basedOn w:val="1"/>
    <w:qFormat/>
    <w:uiPriority w:val="0"/>
    <w:pPr>
      <w:adjustRightInd w:val="0"/>
      <w:snapToGrid w:val="0"/>
      <w:spacing w:line="360" w:lineRule="auto"/>
      <w:ind w:firstLine="480" w:firstLineChars="200"/>
      <w:jc w:val="left"/>
    </w:pPr>
    <w:rPr>
      <w:kern w:val="18"/>
      <w:sz w:val="24"/>
      <w:szCs w:val="20"/>
    </w:rPr>
  </w:style>
  <w:style w:type="paragraph" w:customStyle="1" w:styleId="135">
    <w:name w:val="表头、图号"/>
    <w:basedOn w:val="1"/>
    <w:unhideWhenUsed/>
    <w:qFormat/>
    <w:uiPriority w:val="0"/>
    <w:pPr>
      <w:widowControl/>
    </w:pPr>
    <w:rPr>
      <w:rFonts w:eastAsia="黑体"/>
      <w:kern w:val="0"/>
    </w:rPr>
  </w:style>
  <w:style w:type="paragraph" w:customStyle="1" w:styleId="13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37">
    <w:name w:val="li_正文"/>
    <w:basedOn w:val="1"/>
    <w:qFormat/>
    <w:uiPriority w:val="0"/>
    <w:pPr>
      <w:ind w:firstLine="200" w:firstLineChars="200"/>
      <w:jc w:val="left"/>
    </w:pPr>
    <w:rPr>
      <w:rFonts w:ascii="Calibri" w:hAnsi="Calibri"/>
      <w:sz w:val="28"/>
      <w:szCs w:val="28"/>
    </w:rPr>
  </w:style>
  <w:style w:type="paragraph" w:customStyle="1" w:styleId="138">
    <w:name w:val="表格文字中"/>
    <w:basedOn w:val="1"/>
    <w:qFormat/>
    <w:uiPriority w:val="0"/>
    <w:pPr>
      <w:jc w:val="center"/>
    </w:pPr>
    <w:rPr>
      <w:kern w:val="0"/>
      <w:sz w:val="24"/>
      <w:szCs w:val="20"/>
    </w:rPr>
  </w:style>
  <w:style w:type="paragraph" w:customStyle="1" w:styleId="139">
    <w:name w:val="样式5"/>
    <w:basedOn w:val="1"/>
    <w:qFormat/>
    <w:uiPriority w:val="0"/>
    <w:pPr>
      <w:snapToGrid w:val="0"/>
      <w:spacing w:line="360" w:lineRule="auto"/>
      <w:ind w:firstLine="510"/>
    </w:pPr>
    <w:rPr>
      <w:sz w:val="28"/>
    </w:rPr>
  </w:style>
  <w:style w:type="paragraph" w:customStyle="1" w:styleId="14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41">
    <w:name w:val="表、图名"/>
    <w:basedOn w:val="1"/>
    <w:qFormat/>
    <w:uiPriority w:val="0"/>
    <w:pPr>
      <w:adjustRightInd w:val="0"/>
      <w:snapToGrid w:val="0"/>
      <w:spacing w:line="520" w:lineRule="exact"/>
      <w:ind w:left="-6" w:firstLine="560"/>
    </w:pPr>
    <w:rPr>
      <w:b/>
      <w:szCs w:val="20"/>
    </w:rPr>
  </w:style>
  <w:style w:type="paragraph" w:customStyle="1" w:styleId="142">
    <w:name w:val="0"/>
    <w:basedOn w:val="129"/>
    <w:qFormat/>
    <w:uiPriority w:val="0"/>
    <w:pPr>
      <w:overflowPunct w:val="0"/>
      <w:snapToGrid w:val="0"/>
      <w:jc w:val="center"/>
    </w:pPr>
    <w:rPr>
      <w:rFonts w:ascii="Arial" w:hAnsi="Arial" w:eastAsia="仿宋_GB2312" w:cs="Arial"/>
      <w:bCs/>
      <w:snapToGrid w:val="0"/>
      <w:kern w:val="0"/>
      <w:szCs w:val="28"/>
    </w:rPr>
  </w:style>
  <w:style w:type="paragraph" w:customStyle="1" w:styleId="143">
    <w:name w:val="表头及表尾"/>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z w:val="21"/>
      <w:szCs w:val="21"/>
      <w:lang w:val="en-US" w:eastAsia="zh-CN" w:bidi="ar-SA"/>
    </w:rPr>
  </w:style>
  <w:style w:type="paragraph" w:customStyle="1" w:styleId="1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5">
    <w:name w:val="正文文本1"/>
    <w:basedOn w:val="1"/>
    <w:qFormat/>
    <w:uiPriority w:val="0"/>
    <w:pPr>
      <w:shd w:val="clear" w:color="auto" w:fill="FFFFFF"/>
      <w:spacing w:line="0" w:lineRule="atLeast"/>
      <w:jc w:val="distribute"/>
    </w:pPr>
    <w:rPr>
      <w:rFonts w:ascii="宋体" w:hAnsi="宋体" w:cs="宋体"/>
      <w:kern w:val="0"/>
      <w:sz w:val="26"/>
      <w:szCs w:val="26"/>
    </w:rPr>
  </w:style>
  <w:style w:type="paragraph" w:customStyle="1" w:styleId="146">
    <w:name w:val="ach正文"/>
    <w:basedOn w:val="1"/>
    <w:qFormat/>
    <w:uiPriority w:val="0"/>
    <w:pPr>
      <w:spacing w:line="500" w:lineRule="exact"/>
      <w:ind w:firstLine="200" w:firstLineChars="200"/>
    </w:pPr>
    <w:rPr>
      <w:rFonts w:hAnsi="宋体"/>
      <w:color w:val="0000FF"/>
    </w:rPr>
  </w:style>
  <w:style w:type="paragraph" w:styleId="147">
    <w:name w:val="No Spacing"/>
    <w:basedOn w:val="32"/>
    <w:next w:val="1"/>
    <w:qFormat/>
    <w:uiPriority w:val="1"/>
    <w:pPr>
      <w:ind w:left="0" w:firstLine="0" w:firstLineChars="0"/>
      <w:jc w:val="center"/>
    </w:pPr>
  </w:style>
  <w:style w:type="paragraph" w:customStyle="1" w:styleId="148">
    <w:name w:val="标题文本"/>
    <w:basedOn w:val="149"/>
    <w:qFormat/>
    <w:uiPriority w:val="0"/>
    <w:pPr>
      <w:ind w:firstLine="0" w:firstLineChars="0"/>
    </w:pPr>
    <w:rPr>
      <w:b/>
      <w:snapToGrid w:val="0"/>
    </w:rPr>
  </w:style>
  <w:style w:type="paragraph" w:customStyle="1" w:styleId="149">
    <w:name w:val="文本"/>
    <w:basedOn w:val="35"/>
    <w:next w:val="35"/>
    <w:qFormat/>
    <w:uiPriority w:val="0"/>
    <w:pPr>
      <w:adjustRightInd w:val="0"/>
      <w:snapToGrid w:val="0"/>
      <w:spacing w:after="0" w:line="520" w:lineRule="exact"/>
      <w:ind w:firstLine="200" w:firstLineChars="200"/>
    </w:pPr>
    <w:rPr>
      <w:rFonts w:ascii="宋体"/>
      <w:sz w:val="24"/>
    </w:rPr>
  </w:style>
  <w:style w:type="character" w:customStyle="1" w:styleId="150">
    <w:name w:val="标题 2 Char1"/>
    <w:link w:val="3"/>
    <w:qFormat/>
    <w:uiPriority w:val="0"/>
    <w:rPr>
      <w:b/>
      <w:bCs/>
      <w:szCs w:val="32"/>
    </w:rPr>
  </w:style>
  <w:style w:type="character" w:customStyle="1" w:styleId="151">
    <w:name w:val="bold align2"/>
    <w:basedOn w:val="44"/>
    <w:qFormat/>
    <w:uiPriority w:val="0"/>
  </w:style>
  <w:style w:type="character" w:customStyle="1" w:styleId="152">
    <w:name w:val="apple-converted-space"/>
    <w:basedOn w:val="44"/>
    <w:qFormat/>
    <w:uiPriority w:val="0"/>
  </w:style>
  <w:style w:type="character" w:customStyle="1" w:styleId="153">
    <w:name w:val="bold align1"/>
    <w:basedOn w:val="44"/>
    <w:qFormat/>
    <w:uiPriority w:val="0"/>
  </w:style>
  <w:style w:type="character" w:customStyle="1" w:styleId="154">
    <w:name w:val="bold"/>
    <w:basedOn w:val="44"/>
    <w:qFormat/>
    <w:uiPriority w:val="0"/>
  </w:style>
  <w:style w:type="character" w:customStyle="1" w:styleId="155">
    <w:name w:val="bsharetext"/>
    <w:basedOn w:val="44"/>
    <w:qFormat/>
    <w:uiPriority w:val="0"/>
  </w:style>
  <w:style w:type="character" w:customStyle="1" w:styleId="156">
    <w:name w:val="hover26"/>
    <w:basedOn w:val="44"/>
    <w:qFormat/>
    <w:uiPriority w:val="0"/>
  </w:style>
  <w:style w:type="character" w:customStyle="1" w:styleId="157">
    <w:name w:val="15"/>
    <w:basedOn w:val="44"/>
    <w:qFormat/>
    <w:uiPriority w:val="0"/>
    <w:rPr>
      <w:rFonts w:hint="default" w:ascii="Times New Roman" w:hAnsi="Times New Roman" w:cs="Times New Roman"/>
      <w:b/>
      <w:bCs/>
    </w:rPr>
  </w:style>
  <w:style w:type="paragraph" w:customStyle="1" w:styleId="158">
    <w:name w:val="表格题"/>
    <w:basedOn w:val="1"/>
    <w:qFormat/>
    <w:uiPriority w:val="0"/>
    <w:pPr>
      <w:jc w:val="center"/>
    </w:pPr>
    <w:rPr>
      <w:rFonts w:ascii="宋体" w:hAnsi="宋体"/>
      <w:szCs w:val="20"/>
    </w:rPr>
  </w:style>
  <w:style w:type="character" w:customStyle="1" w:styleId="159">
    <w:name w:val="font41"/>
    <w:basedOn w:val="44"/>
    <w:qFormat/>
    <w:uiPriority w:val="0"/>
    <w:rPr>
      <w:rFonts w:hint="default" w:ascii="Times New Roman" w:hAnsi="Times New Roman" w:cs="Times New Roman"/>
      <w:color w:val="000000"/>
      <w:sz w:val="21"/>
      <w:szCs w:val="21"/>
      <w:u w:val="none"/>
    </w:rPr>
  </w:style>
  <w:style w:type="paragraph" w:customStyle="1" w:styleId="160">
    <w:name w:val="主表格"/>
    <w:basedOn w:val="1"/>
    <w:qFormat/>
    <w:uiPriority w:val="0"/>
    <w:pPr>
      <w:spacing w:line="240" w:lineRule="auto"/>
      <w:ind w:firstLine="0" w:firstLineChars="0"/>
      <w:jc w:val="center"/>
    </w:pPr>
  </w:style>
  <w:style w:type="paragraph" w:customStyle="1" w:styleId="161">
    <w:name w:val="Default1"/>
    <w:basedOn w:val="1"/>
    <w:next w:val="1"/>
    <w:qFormat/>
    <w:uiPriority w:val="0"/>
    <w:pPr>
      <w:widowControl w:val="0"/>
      <w:autoSpaceDE w:val="0"/>
      <w:autoSpaceDN w:val="0"/>
      <w:adjustRightInd w:val="0"/>
    </w:pPr>
    <w:rPr>
      <w:rFonts w:ascii="宋体" w:hAnsi="宋体" w:cs="宋体"/>
      <w:color w:val="000000"/>
      <w:kern w:val="0"/>
      <w:sz w:val="24"/>
    </w:rPr>
  </w:style>
  <w:style w:type="character" w:customStyle="1" w:styleId="162">
    <w:name w:val="hover28"/>
    <w:basedOn w:val="44"/>
    <w:qFormat/>
    <w:uiPriority w:val="0"/>
  </w:style>
  <w:style w:type="character" w:customStyle="1" w:styleId="163">
    <w:name w:val="font01"/>
    <w:basedOn w:val="44"/>
    <w:qFormat/>
    <w:uiPriority w:val="0"/>
    <w:rPr>
      <w:rFonts w:hint="eastAsia" w:ascii="宋体" w:hAnsi="宋体" w:eastAsia="宋体" w:cs="宋体"/>
      <w:color w:val="000000"/>
      <w:sz w:val="22"/>
      <w:szCs w:val="22"/>
      <w:u w:val="none"/>
    </w:rPr>
  </w:style>
  <w:style w:type="paragraph" w:customStyle="1" w:styleId="164">
    <w:name w:val="标1"/>
    <w:basedOn w:val="1"/>
    <w:qFormat/>
    <w:uiPriority w:val="0"/>
    <w:pPr>
      <w:spacing w:before="60" w:beforeLines="0" w:beforeAutospacing="0" w:line="460" w:lineRule="exact"/>
      <w:outlineLvl w:val="0"/>
    </w:pPr>
    <w:rPr>
      <w:rFonts w:ascii="Times New Roman" w:hAnsi="Times New Roman" w:eastAsia="宋体" w:cs="Times New Roman"/>
      <w:b/>
      <w:kern w:val="2"/>
      <w:sz w:val="32"/>
      <w:lang w:val="en-US" w:eastAsia="zh-CN"/>
    </w:rPr>
  </w:style>
  <w:style w:type="character" w:customStyle="1" w:styleId="165">
    <w:name w:val="页眉 Char"/>
    <w:basedOn w:val="44"/>
    <w:link w:val="27"/>
    <w:qFormat/>
    <w:uiPriority w:val="0"/>
    <w:rPr>
      <w:kern w:val="0"/>
      <w:sz w:val="18"/>
      <w:szCs w:val="20"/>
    </w:rPr>
  </w:style>
  <w:style w:type="paragraph" w:customStyle="1" w:styleId="166">
    <w:name w:val="样式13"/>
    <w:qFormat/>
    <w:uiPriority w:val="0"/>
    <w:pPr>
      <w:widowControl/>
      <w:topLinePunct/>
      <w:spacing w:line="240" w:lineRule="auto"/>
      <w:ind w:firstLine="0" w:firstLineChars="0"/>
      <w:jc w:val="both"/>
    </w:pPr>
    <w:rPr>
      <w:rFonts w:ascii="Times New Roman" w:hAnsi="Times New Roman" w:eastAsia="宋体" w:cs="Times New Roman"/>
      <w:bCs/>
      <w:color w:val="000000"/>
      <w:kern w:val="0"/>
      <w:sz w:val="21"/>
      <w:szCs w:val="21"/>
      <w:lang w:val="en-US" w:eastAsia="zh-CN" w:bidi="ar-SA"/>
    </w:rPr>
  </w:style>
  <w:style w:type="character" w:customStyle="1" w:styleId="167">
    <w:name w:val="hover6"/>
    <w:basedOn w:val="44"/>
    <w:qFormat/>
    <w:uiPriority w:val="0"/>
  </w:style>
  <w:style w:type="paragraph" w:customStyle="1" w:styleId="168">
    <w:name w:val="表格文字2"/>
    <w:basedOn w:val="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169">
    <w:name w:val="表格正文"/>
    <w:qFormat/>
    <w:uiPriority w:val="0"/>
    <w:pPr>
      <w:autoSpaceDE w:val="0"/>
      <w:autoSpaceDN w:val="0"/>
      <w:adjustRightInd w:val="0"/>
      <w:jc w:val="center"/>
      <w:textAlignment w:val="baseline"/>
    </w:pPr>
    <w:rPr>
      <w:rFonts w:ascii="Times New Roman" w:hAnsi="Times New Roman" w:eastAsia="宋体" w:cs="Times New Roman"/>
      <w:kern w:val="0"/>
      <w:sz w:val="21"/>
      <w:szCs w:val="21"/>
    </w:rPr>
  </w:style>
  <w:style w:type="paragraph" w:customStyle="1" w:styleId="170">
    <w:name w:val="（2）表格"/>
    <w:basedOn w:val="1"/>
    <w:qFormat/>
    <w:uiPriority w:val="99"/>
    <w:pPr>
      <w:spacing w:line="240" w:lineRule="atLeast"/>
    </w:pPr>
    <w:rPr>
      <w:rFonts w:ascii="Arial" w:hAnsi="Arial" w:eastAsia="Arial"/>
      <w:szCs w:val="24"/>
    </w:rPr>
  </w:style>
  <w:style w:type="paragraph" w:customStyle="1" w:styleId="171">
    <w:name w:val="（1）正文内容本次"/>
    <w:basedOn w:val="1"/>
    <w:qFormat/>
    <w:uiPriority w:val="0"/>
    <w:pPr>
      <w:adjustRightInd w:val="0"/>
      <w:snapToGrid w:val="0"/>
      <w:spacing w:line="440" w:lineRule="exact"/>
      <w:ind w:firstLine="504" w:firstLineChars="200"/>
      <w:jc w:val="left"/>
    </w:pPr>
    <w:rPr>
      <w:rFonts w:ascii="Times New Roman" w:hAnsi="Times New Roman"/>
      <w:bCs/>
      <w:color w:val="000000" w:themeColor="text1"/>
      <w:spacing w:val="6"/>
      <w:kern w:val="0"/>
      <w:sz w:val="24"/>
      <w:szCs w:val="24"/>
      <w14:textFill>
        <w14:solidFill>
          <w14:schemeClr w14:val="tx1"/>
        </w14:solidFill>
      </w14:textFill>
    </w:rPr>
  </w:style>
  <w:style w:type="paragraph" w:customStyle="1" w:styleId="172">
    <w:name w:val="1"/>
    <w:basedOn w:val="35"/>
    <w:next w:val="35"/>
    <w:qFormat/>
    <w:uiPriority w:val="0"/>
    <w:pPr>
      <w:spacing w:line="440" w:lineRule="exact"/>
      <w:ind w:firstLine="200" w:firstLineChars="200"/>
    </w:pPr>
    <w:rPr>
      <w:rFonts w:ascii="宋体" w:hAnsi="Courier New" w:cs="Courier New"/>
      <w:sz w:val="24"/>
      <w:szCs w:val="21"/>
      <w:lang w:val="zh-CN"/>
    </w:rPr>
  </w:style>
  <w:style w:type="paragraph" w:customStyle="1" w:styleId="173">
    <w:name w:val="11朔神"/>
    <w:basedOn w:val="1"/>
    <w:qFormat/>
    <w:uiPriority w:val="0"/>
    <w:pPr>
      <w:spacing w:line="360" w:lineRule="auto"/>
      <w:ind w:firstLine="480" w:firstLineChars="200"/>
    </w:pPr>
    <w:rPr>
      <w:sz w:val="24"/>
    </w:rPr>
  </w:style>
  <w:style w:type="paragraph" w:customStyle="1" w:styleId="174">
    <w:name w:val="表文字"/>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175">
    <w:name w:val="默认段落字体1"/>
    <w:qFormat/>
    <w:uiPriority w:val="0"/>
    <w:rPr>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YwMzA5MzUzMTMxIiwKCSJHcm91cElkIiA6ICIxNjU4NDM4NzMiLAoJIkltYWdlIiA6ICJpVkJPUncwS0dnb0FBQUFOU1VoRVVnQUFCQUlBQUFDY0NBWUFBQURsQXdtVkFBQUFBWE5TUjBJQXJzNGM2UUFBSUFCSlJFRlVlSnpzM1hsWUUxZjNCL0R2WkdHTkNBb0tnb3FJaW9vQ3RXcGJ0YmI5YVJmcjdxdTIxbjJ2ZGFuaWJoVjNpN3VJZFgydFZhbUsrMUszdGxMRmpSMEJRUllsS2dJQ0FrS0VFSkxNN3crVGVST1NRRUFRcmVmelBENmF5WjJaRTRSaDV0eDd6d1V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RitaL0FLTEVGU0g1d0FZSEFBQUFBRWxGVGtTdVFtQ0MiLAoJIlRoZW1lIiA6ICIiLAoJIlR5cGUiIDogImZsb3ciLAoJIlVzZXJJZCIgOiAiMjU3NDQ0NzExIiwKCSJWZXJzaW9uIiA6ICIxNSIKfQo="/>
    </extobj>
    <extobj name="ECB019B1-382A-4266-B25C-5B523AA43C14-2">
      <extobjdata type="ECB019B1-382A-4266-B25C-5B523AA43C14" data="ewoJIkZpbGVJZCIgOiAiNDY2Njc5NDYyNDM1IiwKCSJHcm91cElkIiA6ICIxNjU4NDM4NzMiLAoJIkltYWdlIiA6ICJpVkJPUncwS0dnb0FBQUFOU1VoRVVnQUFCVElBQUFHWkNBWUFBQUM2eE01cUFBQUFBWE5TUjBJQXJzNGM2UUFBSUFCSlJFRlVlSnpzM1hkWVU5Y2JCL0R2VFFJQlJLWURDaXJpM2lCYTk2cGJXK3VrYXQxVlc4VlZYSFhWVWxmRnFxZy9SOTA0V2kwV0xXaFZWSEJqUVlzV0ViZWdvTElqTXdsSjd1K1A1dDRubHdRSUNvTDZmcDdIcCtUZW01c1R5cm4zM1BlYzh4NkF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tBby93ZkNZSXdQVmJwUU9BQUFBQUJKUlU1RXJrSmdnZz09IiwKCSJUaGVtZSIgOiAiIiwKCSJUeXBlIiA6ICJmbG93IiwKCSJVc2VySWQiIDogIjI1NzQ0NDcxMSIsCgkiVmVyc2lvbiIgOiAiIgp9Cg=="/>
    </extobj>
    <extobj name="ECB019B1-382A-4266-B25C-5B523AA43C14-3">
      <extobjdata type="ECB019B1-382A-4266-B25C-5B523AA43C14" data="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"/>
    </extobj>
  </extobjs>
</s:customData>
</file>

<file path=customXml/item2.xml><?xml version="1.0" encoding="utf-8"?>
<contractReview xmlns="http://schemas.wps.cn/vas-ai-hub/contract-review">
  <reviewItems>
    <reviewItem>
      <errorID>d6dba2aa-262b-4924-8ec9-f87cd279c04d</errorID>
      <errorWord>新疆自治区</errorWord>
      <group>L1_Other</group>
      <groupName>其他问题</groupName>
      <ability>L2_UserTypo</ability>
      <abilityName>自定义错误</abilityName>
      <candidateList>
        <item>新疆维吾尔自治区</item>
      </candidateList>
      <explain>来自自定义错词库。</explain>
      <paraID>52289DD2</paraID>
      <start>56</start>
      <end>61</end>
      <status>ignored</status>
      <modifiedWord/>
      <trackRevisions>false</trackRevisions>
    </reviewItem>
    <reviewItem>
      <errorID>c716830b-4011-4b7d-bb46-039e803a9f97</errorID>
      <errorWord>新疆自治区</errorWord>
      <group>L1_Other</group>
      <groupName>其他问题</groupName>
      <ability>L2_UserTypo</ability>
      <abilityName>自定义错误</abilityName>
      <candidateList>
        <item>新疆维吾尔自治区</item>
      </candidateList>
      <explain>来自自定义错词库。</explain>
      <paraID>613E2B98</paraID>
      <start>90</start>
      <end>95</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3cc59f-4673-4eac-9db0-43a08f3a8e04}">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190</Words>
  <Characters>194</Characters>
  <Lines>0</Lines>
  <Paragraphs>0</Paragraphs>
  <TotalTime>17</TotalTime>
  <ScaleCrop>false</ScaleCrop>
  <LinksUpToDate>false</LinksUpToDate>
  <CharactersWithSpaces>244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2025-01-09T04:54:00Z</dcterms:created>
  <dc:creator>Administrator</dc:creator>
  <cp:lastModifiedBy>WPS_1562320662</cp:lastModifiedBy>
  <dcterms:modified xsi:type="dcterms:W3CDTF">2025-12-17T08:21:10Z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B09D311CE20445BD926C765D7F8621EF_13</vt:lpwstr>
  </property>
  <property fmtid="{D5CDD505-2E9C-101B-9397-08002B2CF9AE}" pid="4" name="KSOTemplateDocerSaveRecord">
    <vt:lpwstr>eyJoZGlkIjoiNGRhODgyNjQ5YTE5ZjFmYjE2NDEwOTU4OTE2MjU0N2MiLCJ1c2VySWQiOiI2MDE2NTE5NzkifQ==</vt:lpwstr>
  </property>
</Properties>
</file>