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62FCB7">
      <w:pPr>
        <w:pStyle w:val="4"/>
        <w:rPr>
          <w:snapToGrid w:val="0"/>
        </w:rPr>
      </w:pPr>
      <w:r>
        <w:rPr>
          <w:rFonts w:hint="eastAsia"/>
          <w:snapToGrid w:val="0"/>
        </w:rPr>
        <w:t>一、建设项目基本情况</w:t>
      </w:r>
    </w:p>
    <w:tbl>
      <w:tblPr>
        <w:tblStyle w:val="23"/>
        <w:tblW w:w="911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77"/>
        <w:gridCol w:w="2142"/>
        <w:gridCol w:w="2212"/>
        <w:gridCol w:w="2884"/>
      </w:tblGrid>
      <w:tr w14:paraId="7B1C41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77" w:type="dxa"/>
            <w:tcMar>
              <w:top w:w="16" w:type="dxa"/>
              <w:left w:w="16" w:type="dxa"/>
              <w:right w:w="16" w:type="dxa"/>
            </w:tcMar>
            <w:vAlign w:val="center"/>
          </w:tcPr>
          <w:p w14:paraId="6C220F7C">
            <w:pPr>
              <w:adjustRightInd w:val="0"/>
              <w:snapToGrid w:val="0"/>
              <w:spacing w:line="240" w:lineRule="auto"/>
              <w:ind w:firstLine="0" w:firstLineChars="0"/>
              <w:jc w:val="center"/>
            </w:pPr>
            <w:r>
              <w:t>建设项目名称</w:t>
            </w:r>
          </w:p>
        </w:tc>
        <w:tc>
          <w:tcPr>
            <w:tcW w:w="7238" w:type="dxa"/>
            <w:gridSpan w:val="3"/>
            <w:vAlign w:val="center"/>
          </w:tcPr>
          <w:p w14:paraId="27CEC070">
            <w:pPr>
              <w:adjustRightInd w:val="0"/>
              <w:snapToGrid w:val="0"/>
              <w:spacing w:line="240" w:lineRule="auto"/>
              <w:ind w:firstLine="0" w:firstLineChars="0"/>
              <w:jc w:val="center"/>
              <w:rPr>
                <w:rFonts w:hint="eastAsia" w:eastAsia="宋体"/>
                <w:color w:val="000000"/>
                <w:lang w:eastAsia="zh-CN"/>
              </w:rPr>
            </w:pPr>
            <w:r>
              <w:rPr>
                <w:rFonts w:hint="eastAsia"/>
                <w:color w:val="000000"/>
                <w:lang w:eastAsia="zh-CN"/>
              </w:rPr>
              <w:t>新疆和静县冰湖南—萨阿尔明山南西区—浩恩吐尔一带金矿勘探项目</w:t>
            </w:r>
          </w:p>
        </w:tc>
      </w:tr>
      <w:tr w14:paraId="0990C6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77" w:type="dxa"/>
            <w:tcMar>
              <w:top w:w="16" w:type="dxa"/>
              <w:left w:w="16" w:type="dxa"/>
              <w:right w:w="16" w:type="dxa"/>
            </w:tcMar>
            <w:vAlign w:val="center"/>
          </w:tcPr>
          <w:p w14:paraId="74B43D9E">
            <w:pPr>
              <w:adjustRightInd w:val="0"/>
              <w:snapToGrid w:val="0"/>
              <w:spacing w:line="240" w:lineRule="auto"/>
              <w:ind w:firstLine="0" w:firstLineChars="0"/>
              <w:jc w:val="center"/>
            </w:pPr>
            <w:r>
              <w:t>项目代码</w:t>
            </w:r>
          </w:p>
        </w:tc>
        <w:tc>
          <w:tcPr>
            <w:tcW w:w="7238" w:type="dxa"/>
            <w:gridSpan w:val="3"/>
            <w:vAlign w:val="center"/>
          </w:tcPr>
          <w:p w14:paraId="6D5C7881">
            <w:pPr>
              <w:adjustRightInd w:val="0"/>
              <w:snapToGrid w:val="0"/>
              <w:spacing w:line="240" w:lineRule="auto"/>
              <w:ind w:firstLine="0" w:firstLineChars="0"/>
              <w:jc w:val="center"/>
            </w:pPr>
          </w:p>
        </w:tc>
      </w:tr>
      <w:tr w14:paraId="02C4C4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77" w:type="dxa"/>
            <w:tcMar>
              <w:top w:w="16" w:type="dxa"/>
              <w:left w:w="16" w:type="dxa"/>
              <w:right w:w="16" w:type="dxa"/>
            </w:tcMar>
            <w:vAlign w:val="center"/>
          </w:tcPr>
          <w:p w14:paraId="15F4303A">
            <w:pPr>
              <w:adjustRightInd w:val="0"/>
              <w:snapToGrid w:val="0"/>
              <w:spacing w:line="240" w:lineRule="auto"/>
              <w:ind w:firstLine="0" w:firstLineChars="0"/>
              <w:jc w:val="center"/>
            </w:pPr>
            <w:r>
              <w:t>建设单位联系人</w:t>
            </w:r>
          </w:p>
        </w:tc>
        <w:tc>
          <w:tcPr>
            <w:tcW w:w="2142" w:type="dxa"/>
            <w:vAlign w:val="center"/>
          </w:tcPr>
          <w:p w14:paraId="702C9EDE">
            <w:pPr>
              <w:pStyle w:val="31"/>
              <w:rPr>
                <w:sz w:val="24"/>
                <w:szCs w:val="28"/>
              </w:rPr>
            </w:pPr>
          </w:p>
        </w:tc>
        <w:tc>
          <w:tcPr>
            <w:tcW w:w="2212" w:type="dxa"/>
            <w:vAlign w:val="center"/>
          </w:tcPr>
          <w:p w14:paraId="0D3A143B">
            <w:pPr>
              <w:pStyle w:val="31"/>
              <w:rPr>
                <w:sz w:val="24"/>
                <w:szCs w:val="28"/>
              </w:rPr>
            </w:pPr>
          </w:p>
        </w:tc>
        <w:tc>
          <w:tcPr>
            <w:tcW w:w="2884" w:type="dxa"/>
            <w:vAlign w:val="center"/>
          </w:tcPr>
          <w:p w14:paraId="75DAC69E">
            <w:pPr>
              <w:adjustRightInd w:val="0"/>
              <w:snapToGrid w:val="0"/>
              <w:spacing w:line="240" w:lineRule="auto"/>
              <w:ind w:firstLine="0" w:firstLineChars="0"/>
              <w:jc w:val="center"/>
            </w:pPr>
          </w:p>
        </w:tc>
      </w:tr>
      <w:tr w14:paraId="1D5D9A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4" w:hRule="atLeast"/>
          <w:jc w:val="center"/>
        </w:trPr>
        <w:tc>
          <w:tcPr>
            <w:tcW w:w="1877" w:type="dxa"/>
            <w:tcMar>
              <w:top w:w="16" w:type="dxa"/>
              <w:left w:w="16" w:type="dxa"/>
              <w:right w:w="16" w:type="dxa"/>
            </w:tcMar>
            <w:vAlign w:val="center"/>
          </w:tcPr>
          <w:p w14:paraId="06F48A75">
            <w:pPr>
              <w:adjustRightInd w:val="0"/>
              <w:snapToGrid w:val="0"/>
              <w:spacing w:line="240" w:lineRule="auto"/>
              <w:ind w:firstLine="0" w:firstLineChars="0"/>
              <w:jc w:val="center"/>
            </w:pPr>
            <w:r>
              <w:t>建设地点</w:t>
            </w:r>
          </w:p>
        </w:tc>
        <w:tc>
          <w:tcPr>
            <w:tcW w:w="7238" w:type="dxa"/>
            <w:gridSpan w:val="3"/>
            <w:vAlign w:val="center"/>
          </w:tcPr>
          <w:p w14:paraId="6F95E319">
            <w:pPr>
              <w:widowControl/>
              <w:spacing w:line="240" w:lineRule="auto"/>
              <w:ind w:firstLine="0" w:firstLineChars="0"/>
              <w:jc w:val="center"/>
              <w:rPr>
                <w:rFonts w:hint="eastAsia" w:eastAsia="宋体"/>
                <w:color w:val="000000"/>
                <w:lang w:eastAsia="zh-CN"/>
              </w:rPr>
            </w:pPr>
          </w:p>
        </w:tc>
      </w:tr>
      <w:tr w14:paraId="3AB3E9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77" w:type="dxa"/>
            <w:tcMar>
              <w:top w:w="16" w:type="dxa"/>
              <w:left w:w="16" w:type="dxa"/>
              <w:right w:w="16" w:type="dxa"/>
            </w:tcMar>
            <w:vAlign w:val="center"/>
          </w:tcPr>
          <w:p w14:paraId="46C41E7B">
            <w:pPr>
              <w:adjustRightInd w:val="0"/>
              <w:snapToGrid w:val="0"/>
              <w:spacing w:line="240" w:lineRule="auto"/>
              <w:ind w:firstLine="0" w:firstLineChars="0"/>
              <w:jc w:val="center"/>
            </w:pPr>
            <w:r>
              <w:t>地理坐标</w:t>
            </w:r>
          </w:p>
        </w:tc>
        <w:tc>
          <w:tcPr>
            <w:tcW w:w="7238" w:type="dxa"/>
            <w:gridSpan w:val="3"/>
            <w:vAlign w:val="center"/>
          </w:tcPr>
          <w:p w14:paraId="5A9059E5">
            <w:pPr>
              <w:spacing w:line="240" w:lineRule="auto"/>
              <w:ind w:firstLine="0" w:firstLineChars="0"/>
              <w:jc w:val="center"/>
              <w:rPr>
                <w:rFonts w:hint="eastAsia" w:eastAsia="宋体"/>
                <w:lang w:eastAsia="zh-CN"/>
              </w:rPr>
            </w:pPr>
          </w:p>
        </w:tc>
      </w:tr>
      <w:tr w14:paraId="29DF05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877" w:type="dxa"/>
            <w:tcMar>
              <w:top w:w="16" w:type="dxa"/>
              <w:left w:w="16" w:type="dxa"/>
              <w:right w:w="16" w:type="dxa"/>
            </w:tcMar>
            <w:vAlign w:val="center"/>
          </w:tcPr>
          <w:p w14:paraId="5468331F">
            <w:pPr>
              <w:adjustRightInd w:val="0"/>
              <w:snapToGrid w:val="0"/>
              <w:spacing w:line="240" w:lineRule="auto"/>
              <w:ind w:firstLine="0" w:firstLineChars="0"/>
              <w:jc w:val="center"/>
            </w:pPr>
            <w:r>
              <w:t>建设项目</w:t>
            </w:r>
          </w:p>
          <w:p w14:paraId="08BD20FD">
            <w:pPr>
              <w:adjustRightInd w:val="0"/>
              <w:snapToGrid w:val="0"/>
              <w:spacing w:line="240" w:lineRule="auto"/>
              <w:ind w:firstLine="0" w:firstLineChars="0"/>
              <w:jc w:val="center"/>
            </w:pPr>
            <w:r>
              <w:t>行业类别</w:t>
            </w:r>
          </w:p>
        </w:tc>
        <w:tc>
          <w:tcPr>
            <w:tcW w:w="2142" w:type="dxa"/>
            <w:vAlign w:val="center"/>
          </w:tcPr>
          <w:p w14:paraId="56915346">
            <w:pPr>
              <w:pStyle w:val="32"/>
              <w:spacing w:before="0" w:beforeAutospacing="0" w:after="0" w:afterAutospacing="0" w:line="240" w:lineRule="auto"/>
              <w:ind w:firstLine="0" w:firstLineChars="0"/>
              <w:rPr>
                <w:rFonts w:ascii="Times New Roman" w:hAnsi="Times New Roman" w:cs="Times New Roman"/>
                <w:kern w:val="2"/>
              </w:rPr>
            </w:pPr>
            <w:r>
              <w:rPr>
                <w:rFonts w:ascii="Times New Roman" w:hAnsi="Times New Roman" w:cs="Times New Roman"/>
                <w:bCs/>
                <w:color w:val="000000"/>
              </w:rPr>
              <w:t>四十六</w:t>
            </w:r>
            <w:r>
              <w:rPr>
                <w:rFonts w:hint="eastAsia" w:ascii="Times New Roman" w:hAnsi="Times New Roman" w:cs="Times New Roman"/>
                <w:bCs/>
                <w:color w:val="000000"/>
              </w:rPr>
              <w:t>、专业技术服务业</w:t>
            </w:r>
            <w:r>
              <w:rPr>
                <w:rFonts w:ascii="Times New Roman" w:hAnsi="Times New Roman" w:cs="Times New Roman"/>
                <w:bCs/>
                <w:color w:val="000000"/>
              </w:rPr>
              <w:t>-99、陆地矿产资源地质勘</w:t>
            </w:r>
            <w:r>
              <w:rPr>
                <w:rFonts w:hint="eastAsia" w:ascii="Times New Roman" w:hAnsi="Times New Roman" w:cs="Times New Roman"/>
                <w:bCs/>
                <w:color w:val="000000"/>
              </w:rPr>
              <w:t>查（含油气资源勘探）；二氧化碳地质封存</w:t>
            </w:r>
          </w:p>
        </w:tc>
        <w:tc>
          <w:tcPr>
            <w:tcW w:w="2212" w:type="dxa"/>
            <w:vAlign w:val="center"/>
          </w:tcPr>
          <w:p w14:paraId="3CF166CF">
            <w:pPr>
              <w:adjustRightInd w:val="0"/>
              <w:snapToGrid w:val="0"/>
              <w:spacing w:line="240" w:lineRule="auto"/>
              <w:ind w:firstLine="0" w:firstLineChars="0"/>
              <w:jc w:val="center"/>
              <w:rPr>
                <w:spacing w:val="-6"/>
              </w:rPr>
            </w:pPr>
            <w:r>
              <w:rPr>
                <w:spacing w:val="-6"/>
              </w:rPr>
              <w:t>用地（用海）</w:t>
            </w:r>
          </w:p>
          <w:p w14:paraId="52C18B69">
            <w:pPr>
              <w:adjustRightInd w:val="0"/>
              <w:snapToGrid w:val="0"/>
              <w:spacing w:line="240" w:lineRule="auto"/>
              <w:ind w:firstLine="0" w:firstLineChars="0"/>
              <w:jc w:val="center"/>
            </w:pPr>
            <w:r>
              <w:rPr>
                <w:spacing w:val="-6"/>
              </w:rPr>
              <w:t>面积（m</w:t>
            </w:r>
            <w:r>
              <w:rPr>
                <w:spacing w:val="-6"/>
                <w:vertAlign w:val="superscript"/>
              </w:rPr>
              <w:t>2</w:t>
            </w:r>
            <w:r>
              <w:rPr>
                <w:spacing w:val="-6"/>
              </w:rPr>
              <w:t>）</w:t>
            </w:r>
          </w:p>
        </w:tc>
        <w:tc>
          <w:tcPr>
            <w:tcW w:w="2884" w:type="dxa"/>
            <w:vAlign w:val="center"/>
          </w:tcPr>
          <w:p w14:paraId="4C5A053E">
            <w:pPr>
              <w:adjustRightInd w:val="0"/>
              <w:snapToGrid w:val="0"/>
              <w:spacing w:line="240" w:lineRule="auto"/>
              <w:ind w:firstLine="0" w:firstLineChars="0"/>
              <w:jc w:val="center"/>
              <w:rPr>
                <w:rFonts w:hint="eastAsia"/>
              </w:rPr>
            </w:pPr>
            <w:r>
              <w:rPr>
                <w:rFonts w:hint="eastAsia"/>
                <w:lang w:val="en-US" w:eastAsia="zh-CN"/>
              </w:rPr>
              <w:t>3680</w:t>
            </w:r>
            <w:r>
              <w:rPr>
                <w:rFonts w:hint="eastAsia"/>
              </w:rPr>
              <w:t>0000（勘查用地）</w:t>
            </w:r>
          </w:p>
          <w:p w14:paraId="3C8481E4">
            <w:pPr>
              <w:adjustRightInd w:val="0"/>
              <w:snapToGrid w:val="0"/>
              <w:spacing w:line="240" w:lineRule="auto"/>
              <w:ind w:firstLine="0" w:firstLineChars="0"/>
              <w:jc w:val="center"/>
            </w:pPr>
            <w:r>
              <w:rPr>
                <w:rStyle w:val="25"/>
                <w:rFonts w:hint="eastAsia"/>
                <w:highlight w:val="none"/>
                <w:lang w:val="en-US" w:eastAsia="zh-CN"/>
              </w:rPr>
              <w:t>25</w:t>
            </w:r>
            <w:r>
              <w:rPr>
                <w:rStyle w:val="25"/>
                <w:rFonts w:hint="default"/>
                <w:highlight w:val="none"/>
              </w:rPr>
              <w:t>80（临时用地）</w:t>
            </w:r>
          </w:p>
        </w:tc>
      </w:tr>
      <w:tr w14:paraId="56780F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77" w:type="dxa"/>
            <w:tcMar>
              <w:top w:w="16" w:type="dxa"/>
              <w:left w:w="16" w:type="dxa"/>
              <w:right w:w="16" w:type="dxa"/>
            </w:tcMar>
            <w:vAlign w:val="center"/>
          </w:tcPr>
          <w:p w14:paraId="76A48F2E">
            <w:pPr>
              <w:adjustRightInd w:val="0"/>
              <w:snapToGrid w:val="0"/>
              <w:spacing w:line="240" w:lineRule="auto"/>
              <w:ind w:firstLine="0" w:firstLineChars="0"/>
              <w:jc w:val="center"/>
            </w:pPr>
            <w:r>
              <w:t>建设性质</w:t>
            </w:r>
          </w:p>
        </w:tc>
        <w:tc>
          <w:tcPr>
            <w:tcW w:w="2142" w:type="dxa"/>
            <w:vAlign w:val="center"/>
          </w:tcPr>
          <w:p w14:paraId="217E775D">
            <w:pPr>
              <w:spacing w:line="240" w:lineRule="auto"/>
              <w:ind w:firstLine="0" w:firstLineChars="0"/>
              <w:jc w:val="left"/>
            </w:pPr>
            <w:r>
              <w:rPr/>
              <w:sym w:font="Wingdings 2" w:char="F052"/>
            </w:r>
            <w:r>
              <w:t>新建（迁建）</w:t>
            </w:r>
          </w:p>
          <w:p w14:paraId="6D252AA6">
            <w:pPr>
              <w:spacing w:line="240" w:lineRule="auto"/>
              <w:ind w:firstLine="0" w:firstLineChars="0"/>
              <w:jc w:val="left"/>
            </w:pPr>
            <w:r>
              <w:rPr/>
              <w:sym w:font="Wingdings 2" w:char="F0A3"/>
            </w:r>
            <w:r>
              <w:t>改建</w:t>
            </w:r>
          </w:p>
          <w:p w14:paraId="058E804B">
            <w:pPr>
              <w:spacing w:line="240" w:lineRule="auto"/>
              <w:ind w:firstLine="0" w:firstLineChars="0"/>
              <w:jc w:val="left"/>
            </w:pPr>
            <w:r>
              <w:rPr/>
              <w:sym w:font="Wingdings 2" w:char="F0A3"/>
            </w:r>
            <w:r>
              <w:t>扩建</w:t>
            </w:r>
          </w:p>
          <w:p w14:paraId="1B40C45A">
            <w:pPr>
              <w:spacing w:line="240" w:lineRule="auto"/>
              <w:ind w:firstLine="0" w:firstLineChars="0"/>
              <w:jc w:val="left"/>
            </w:pPr>
            <w:r>
              <w:rPr/>
              <w:sym w:font="Wingdings 2" w:char="F0A3"/>
            </w:r>
            <w:r>
              <w:t>技术改造</w:t>
            </w:r>
          </w:p>
        </w:tc>
        <w:tc>
          <w:tcPr>
            <w:tcW w:w="2212" w:type="dxa"/>
            <w:vAlign w:val="center"/>
          </w:tcPr>
          <w:p w14:paraId="692B731B">
            <w:pPr>
              <w:adjustRightInd w:val="0"/>
              <w:snapToGrid w:val="0"/>
              <w:spacing w:line="240" w:lineRule="auto"/>
              <w:ind w:firstLine="0" w:firstLineChars="0"/>
              <w:jc w:val="center"/>
            </w:pPr>
            <w:r>
              <w:t>建设项目</w:t>
            </w:r>
          </w:p>
          <w:p w14:paraId="7AFF3545">
            <w:pPr>
              <w:adjustRightInd w:val="0"/>
              <w:snapToGrid w:val="0"/>
              <w:spacing w:line="240" w:lineRule="auto"/>
              <w:ind w:firstLine="0" w:firstLineChars="0"/>
              <w:jc w:val="center"/>
            </w:pPr>
            <w:r>
              <w:t>申报情形</w:t>
            </w:r>
          </w:p>
        </w:tc>
        <w:tc>
          <w:tcPr>
            <w:tcW w:w="2884" w:type="dxa"/>
            <w:vAlign w:val="center"/>
          </w:tcPr>
          <w:p w14:paraId="6A1E6B97">
            <w:pPr>
              <w:spacing w:line="240" w:lineRule="auto"/>
              <w:ind w:firstLine="0" w:firstLineChars="0"/>
              <w:jc w:val="left"/>
            </w:pPr>
            <w:r>
              <w:rPr/>
              <w:sym w:font="Wingdings 2" w:char="F052"/>
            </w:r>
            <w:r>
              <w:t>首次申报项目</w:t>
            </w:r>
          </w:p>
          <w:p w14:paraId="25D05421">
            <w:pPr>
              <w:spacing w:line="240" w:lineRule="auto"/>
              <w:ind w:firstLine="0" w:firstLineChars="0"/>
              <w:jc w:val="left"/>
            </w:pPr>
            <w:r>
              <w:rPr/>
              <w:sym w:font="Wingdings 2" w:char="F0A3"/>
            </w:r>
            <w:r>
              <w:t>不予批准后再次申报项目</w:t>
            </w:r>
          </w:p>
          <w:p w14:paraId="56F3E2C4">
            <w:pPr>
              <w:spacing w:line="240" w:lineRule="auto"/>
              <w:ind w:firstLine="0" w:firstLineChars="0"/>
              <w:jc w:val="left"/>
            </w:pPr>
            <w:r>
              <w:rPr/>
              <w:sym w:font="Wingdings 2" w:char="00A3"/>
            </w:r>
            <w:r>
              <w:t>超五年重新审核项目</w:t>
            </w:r>
          </w:p>
          <w:p w14:paraId="34C14106">
            <w:pPr>
              <w:spacing w:line="240" w:lineRule="auto"/>
              <w:ind w:firstLine="0" w:firstLineChars="0"/>
              <w:jc w:val="left"/>
            </w:pPr>
            <w:r>
              <w:rPr/>
              <w:sym w:font="Wingdings 2" w:char="F0A3"/>
            </w:r>
            <w:r>
              <w:t>重大变动重新报批项目</w:t>
            </w:r>
          </w:p>
        </w:tc>
      </w:tr>
      <w:tr w14:paraId="7F9751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77" w:type="dxa"/>
            <w:tcMar>
              <w:top w:w="16" w:type="dxa"/>
              <w:left w:w="16" w:type="dxa"/>
              <w:right w:w="16" w:type="dxa"/>
            </w:tcMar>
            <w:vAlign w:val="center"/>
          </w:tcPr>
          <w:p w14:paraId="06E525C9">
            <w:pPr>
              <w:adjustRightInd w:val="0"/>
              <w:snapToGrid w:val="0"/>
              <w:spacing w:line="240" w:lineRule="auto"/>
              <w:ind w:firstLine="0" w:firstLineChars="0"/>
              <w:jc w:val="center"/>
            </w:pPr>
            <w:r>
              <w:t>项目审批（核准/</w:t>
            </w:r>
          </w:p>
          <w:p w14:paraId="0051466B">
            <w:pPr>
              <w:adjustRightInd w:val="0"/>
              <w:snapToGrid w:val="0"/>
              <w:spacing w:line="240" w:lineRule="auto"/>
              <w:ind w:firstLine="0" w:firstLineChars="0"/>
              <w:jc w:val="center"/>
            </w:pPr>
            <w:r>
              <w:t>备案）部门（选填）</w:t>
            </w:r>
          </w:p>
        </w:tc>
        <w:tc>
          <w:tcPr>
            <w:tcW w:w="2142" w:type="dxa"/>
            <w:vAlign w:val="center"/>
          </w:tcPr>
          <w:p w14:paraId="39ABC1AA">
            <w:pPr>
              <w:adjustRightInd w:val="0"/>
              <w:snapToGrid w:val="0"/>
              <w:spacing w:line="240" w:lineRule="auto"/>
              <w:ind w:firstLine="0" w:firstLineChars="0"/>
              <w:jc w:val="center"/>
            </w:pPr>
            <w:r>
              <w:rPr>
                <w:rFonts w:hint="eastAsia"/>
              </w:rPr>
              <w:t>/</w:t>
            </w:r>
          </w:p>
        </w:tc>
        <w:tc>
          <w:tcPr>
            <w:tcW w:w="2212" w:type="dxa"/>
            <w:vAlign w:val="center"/>
          </w:tcPr>
          <w:p w14:paraId="6E43CD6E">
            <w:pPr>
              <w:adjustRightInd w:val="0"/>
              <w:snapToGrid w:val="0"/>
              <w:spacing w:line="240" w:lineRule="auto"/>
              <w:ind w:firstLine="0" w:firstLineChars="0"/>
              <w:jc w:val="center"/>
            </w:pPr>
            <w:r>
              <w:t>项目审批（核准/</w:t>
            </w:r>
          </w:p>
          <w:p w14:paraId="4B1F424C">
            <w:pPr>
              <w:adjustRightInd w:val="0"/>
              <w:snapToGrid w:val="0"/>
              <w:spacing w:line="240" w:lineRule="auto"/>
              <w:ind w:firstLine="0" w:firstLineChars="0"/>
              <w:jc w:val="center"/>
            </w:pPr>
            <w:r>
              <w:t>备案）文号（选填）</w:t>
            </w:r>
          </w:p>
        </w:tc>
        <w:tc>
          <w:tcPr>
            <w:tcW w:w="2884" w:type="dxa"/>
            <w:vAlign w:val="center"/>
          </w:tcPr>
          <w:p w14:paraId="2641770C">
            <w:pPr>
              <w:adjustRightInd w:val="0"/>
              <w:snapToGrid w:val="0"/>
              <w:spacing w:line="240" w:lineRule="auto"/>
              <w:ind w:firstLine="0" w:firstLineChars="0"/>
              <w:jc w:val="center"/>
            </w:pPr>
            <w:r>
              <w:t>/</w:t>
            </w:r>
          </w:p>
        </w:tc>
      </w:tr>
      <w:tr w14:paraId="2425FF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77" w:type="dxa"/>
            <w:tcMar>
              <w:top w:w="16" w:type="dxa"/>
              <w:left w:w="16" w:type="dxa"/>
              <w:right w:w="16" w:type="dxa"/>
            </w:tcMar>
            <w:vAlign w:val="center"/>
          </w:tcPr>
          <w:p w14:paraId="7EC6ACC8">
            <w:pPr>
              <w:adjustRightInd w:val="0"/>
              <w:snapToGrid w:val="0"/>
              <w:spacing w:line="240" w:lineRule="auto"/>
              <w:ind w:firstLine="0" w:firstLineChars="0"/>
              <w:jc w:val="center"/>
            </w:pPr>
            <w:r>
              <w:t>总投资（万元）</w:t>
            </w:r>
          </w:p>
        </w:tc>
        <w:tc>
          <w:tcPr>
            <w:tcW w:w="2142" w:type="dxa"/>
            <w:vAlign w:val="center"/>
          </w:tcPr>
          <w:p w14:paraId="2A563C93">
            <w:pPr>
              <w:adjustRightInd w:val="0"/>
              <w:snapToGrid w:val="0"/>
              <w:spacing w:line="240" w:lineRule="auto"/>
              <w:ind w:firstLine="0" w:firstLineChars="0"/>
              <w:jc w:val="center"/>
              <w:rPr>
                <w:rFonts w:hint="default" w:eastAsia="宋体"/>
                <w:lang w:val="en-US" w:eastAsia="zh-CN"/>
              </w:rPr>
            </w:pPr>
            <w:r>
              <w:rPr>
                <w:rFonts w:hint="eastAsia"/>
                <w:lang w:val="en-US" w:eastAsia="zh-CN"/>
              </w:rPr>
              <w:t>1535</w:t>
            </w:r>
          </w:p>
        </w:tc>
        <w:tc>
          <w:tcPr>
            <w:tcW w:w="2212" w:type="dxa"/>
            <w:tcMar>
              <w:top w:w="16" w:type="dxa"/>
              <w:left w:w="16" w:type="dxa"/>
              <w:right w:w="16" w:type="dxa"/>
            </w:tcMar>
            <w:vAlign w:val="center"/>
          </w:tcPr>
          <w:p w14:paraId="4F084814">
            <w:pPr>
              <w:adjustRightInd w:val="0"/>
              <w:snapToGrid w:val="0"/>
              <w:spacing w:line="240" w:lineRule="auto"/>
              <w:ind w:firstLine="0" w:firstLineChars="0"/>
              <w:jc w:val="center"/>
            </w:pPr>
            <w:r>
              <w:t>环保投资（万元）</w:t>
            </w:r>
          </w:p>
        </w:tc>
        <w:tc>
          <w:tcPr>
            <w:tcW w:w="2884" w:type="dxa"/>
            <w:vAlign w:val="center"/>
          </w:tcPr>
          <w:p w14:paraId="6260799F">
            <w:pPr>
              <w:adjustRightInd w:val="0"/>
              <w:snapToGrid w:val="0"/>
              <w:spacing w:line="240" w:lineRule="auto"/>
              <w:ind w:firstLine="0" w:firstLineChars="0"/>
              <w:jc w:val="center"/>
              <w:rPr>
                <w:rFonts w:hint="default" w:eastAsia="宋体"/>
                <w:lang w:val="en-US" w:eastAsia="zh-CN"/>
              </w:rPr>
            </w:pPr>
            <w:r>
              <w:rPr>
                <w:rFonts w:hint="eastAsia"/>
                <w:lang w:val="en-US" w:eastAsia="zh-CN"/>
              </w:rPr>
              <w:t>73</w:t>
            </w:r>
          </w:p>
        </w:tc>
      </w:tr>
      <w:tr w14:paraId="770269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77" w:type="dxa"/>
            <w:tcMar>
              <w:top w:w="16" w:type="dxa"/>
              <w:left w:w="16" w:type="dxa"/>
              <w:right w:w="16" w:type="dxa"/>
            </w:tcMar>
            <w:vAlign w:val="center"/>
          </w:tcPr>
          <w:p w14:paraId="087C6F28">
            <w:pPr>
              <w:adjustRightInd w:val="0"/>
              <w:snapToGrid w:val="0"/>
              <w:spacing w:line="240" w:lineRule="auto"/>
              <w:ind w:firstLine="0" w:firstLineChars="0"/>
              <w:jc w:val="center"/>
            </w:pPr>
            <w:r>
              <w:t>环保投资占比（%）</w:t>
            </w:r>
          </w:p>
        </w:tc>
        <w:tc>
          <w:tcPr>
            <w:tcW w:w="2142" w:type="dxa"/>
            <w:vAlign w:val="center"/>
          </w:tcPr>
          <w:p w14:paraId="1380CA8D">
            <w:pPr>
              <w:adjustRightInd w:val="0"/>
              <w:snapToGrid w:val="0"/>
              <w:spacing w:line="240" w:lineRule="auto"/>
              <w:ind w:firstLine="0" w:firstLineChars="0"/>
              <w:jc w:val="center"/>
            </w:pPr>
            <w:r>
              <w:rPr>
                <w:rFonts w:hint="eastAsia"/>
                <w:lang w:val="en-US" w:eastAsia="zh-CN"/>
              </w:rPr>
              <w:t>4.75</w:t>
            </w:r>
            <w:r>
              <w:rPr>
                <w:rFonts w:hint="eastAsia"/>
              </w:rPr>
              <w:t>%</w:t>
            </w:r>
          </w:p>
        </w:tc>
        <w:tc>
          <w:tcPr>
            <w:tcW w:w="2212" w:type="dxa"/>
            <w:tcMar>
              <w:top w:w="16" w:type="dxa"/>
              <w:left w:w="16" w:type="dxa"/>
              <w:right w:w="16" w:type="dxa"/>
            </w:tcMar>
            <w:vAlign w:val="center"/>
          </w:tcPr>
          <w:p w14:paraId="13D651FD">
            <w:pPr>
              <w:adjustRightInd w:val="0"/>
              <w:snapToGrid w:val="0"/>
              <w:spacing w:line="240" w:lineRule="auto"/>
              <w:ind w:firstLine="0" w:firstLineChars="0"/>
              <w:jc w:val="center"/>
            </w:pPr>
            <w:r>
              <w:t>施工工期</w:t>
            </w:r>
          </w:p>
        </w:tc>
        <w:tc>
          <w:tcPr>
            <w:tcW w:w="2884" w:type="dxa"/>
            <w:vAlign w:val="center"/>
          </w:tcPr>
          <w:p w14:paraId="012BF21D">
            <w:pPr>
              <w:adjustRightInd w:val="0"/>
              <w:snapToGrid w:val="0"/>
              <w:spacing w:line="240" w:lineRule="auto"/>
              <w:ind w:firstLine="0" w:firstLineChars="0"/>
              <w:jc w:val="center"/>
            </w:pPr>
            <w:r>
              <w:rPr>
                <w:rFonts w:hint="eastAsia"/>
                <w:lang w:val="en-US" w:eastAsia="zh-CN"/>
              </w:rPr>
              <w:t>9</w:t>
            </w:r>
            <w:r>
              <w:rPr>
                <w:rFonts w:hint="eastAsia"/>
              </w:rPr>
              <w:t>个月</w:t>
            </w:r>
          </w:p>
        </w:tc>
      </w:tr>
      <w:tr w14:paraId="203B9A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77" w:type="dxa"/>
            <w:tcMar>
              <w:top w:w="16" w:type="dxa"/>
              <w:left w:w="16" w:type="dxa"/>
              <w:right w:w="16" w:type="dxa"/>
            </w:tcMar>
            <w:vAlign w:val="center"/>
          </w:tcPr>
          <w:p w14:paraId="1E5941E6">
            <w:pPr>
              <w:adjustRightInd w:val="0"/>
              <w:snapToGrid w:val="0"/>
              <w:spacing w:line="240" w:lineRule="auto"/>
              <w:ind w:firstLine="0" w:firstLineChars="0"/>
              <w:jc w:val="center"/>
            </w:pPr>
            <w:r>
              <w:t>是否开工建设</w:t>
            </w:r>
          </w:p>
        </w:tc>
        <w:tc>
          <w:tcPr>
            <w:tcW w:w="7238" w:type="dxa"/>
            <w:gridSpan w:val="3"/>
            <w:vAlign w:val="center"/>
          </w:tcPr>
          <w:p w14:paraId="0977D366">
            <w:pPr>
              <w:adjustRightInd w:val="0"/>
              <w:snapToGrid w:val="0"/>
              <w:spacing w:line="240" w:lineRule="auto"/>
              <w:ind w:firstLine="0" w:firstLineChars="0"/>
            </w:pPr>
            <w:r>
              <w:rPr/>
              <w:sym w:font="Wingdings 2" w:char="F052"/>
            </w:r>
            <w:r>
              <w:t>否</w:t>
            </w:r>
          </w:p>
          <w:p w14:paraId="7C8FD232">
            <w:pPr>
              <w:adjustRightInd w:val="0"/>
              <w:snapToGrid w:val="0"/>
              <w:spacing w:line="240" w:lineRule="auto"/>
              <w:ind w:firstLine="0" w:firstLineChars="0"/>
            </w:pPr>
            <w:r>
              <w:rPr/>
              <w:sym w:font="Wingdings 2" w:char="F0A3"/>
            </w:r>
            <w:r>
              <w:t>是：</w:t>
            </w:r>
          </w:p>
        </w:tc>
      </w:tr>
      <w:tr w14:paraId="7C5EDD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77" w:type="dxa"/>
            <w:vAlign w:val="center"/>
          </w:tcPr>
          <w:p w14:paraId="536E5FC3">
            <w:pPr>
              <w:autoSpaceDE w:val="0"/>
              <w:autoSpaceDN w:val="0"/>
              <w:adjustRightInd w:val="0"/>
              <w:snapToGrid w:val="0"/>
              <w:spacing w:line="240" w:lineRule="auto"/>
              <w:ind w:firstLine="0" w:firstLineChars="0"/>
              <w:jc w:val="center"/>
              <w:rPr>
                <w:kern w:val="0"/>
              </w:rPr>
            </w:pPr>
            <w:r>
              <w:rPr>
                <w:kern w:val="0"/>
              </w:rPr>
              <w:t>专项评价设置情况</w:t>
            </w:r>
          </w:p>
        </w:tc>
        <w:tc>
          <w:tcPr>
            <w:tcW w:w="7238" w:type="dxa"/>
            <w:gridSpan w:val="3"/>
            <w:vAlign w:val="center"/>
          </w:tcPr>
          <w:p w14:paraId="0C58ED5F">
            <w:pPr>
              <w:autoSpaceDE w:val="0"/>
              <w:autoSpaceDN w:val="0"/>
              <w:adjustRightInd w:val="0"/>
              <w:snapToGrid w:val="0"/>
              <w:ind w:firstLine="480"/>
              <w:jc w:val="center"/>
              <w:rPr>
                <w:kern w:val="0"/>
              </w:rPr>
            </w:pPr>
            <w:r>
              <w:rPr>
                <w:kern w:val="0"/>
              </w:rPr>
              <w:t>无</w:t>
            </w:r>
          </w:p>
        </w:tc>
      </w:tr>
      <w:tr w14:paraId="7B8490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877" w:type="dxa"/>
            <w:vAlign w:val="center"/>
          </w:tcPr>
          <w:p w14:paraId="397BA9E6">
            <w:pPr>
              <w:autoSpaceDE w:val="0"/>
              <w:autoSpaceDN w:val="0"/>
              <w:adjustRightInd w:val="0"/>
              <w:snapToGrid w:val="0"/>
              <w:spacing w:line="240" w:lineRule="auto"/>
              <w:ind w:firstLine="0" w:firstLineChars="0"/>
              <w:jc w:val="center"/>
              <w:rPr>
                <w:kern w:val="0"/>
              </w:rPr>
            </w:pPr>
            <w:r>
              <w:t>规划情况</w:t>
            </w:r>
          </w:p>
        </w:tc>
        <w:tc>
          <w:tcPr>
            <w:tcW w:w="7238" w:type="dxa"/>
            <w:gridSpan w:val="3"/>
            <w:vAlign w:val="center"/>
          </w:tcPr>
          <w:p w14:paraId="1248EF37">
            <w:pPr>
              <w:autoSpaceDE w:val="0"/>
              <w:autoSpaceDN w:val="0"/>
              <w:adjustRightInd w:val="0"/>
              <w:snapToGrid w:val="0"/>
              <w:ind w:firstLine="0" w:firstLineChars="0"/>
            </w:pPr>
            <w:r>
              <w:rPr>
                <w:rFonts w:hint="eastAsia"/>
              </w:rPr>
              <w:t>规划名称：《新疆维吾尔自治区矿产资源总体规划（2021—2025年）》；</w:t>
            </w:r>
          </w:p>
          <w:p w14:paraId="6DA77D82">
            <w:pPr>
              <w:autoSpaceDE w:val="0"/>
              <w:autoSpaceDN w:val="0"/>
              <w:adjustRightInd w:val="0"/>
              <w:snapToGrid w:val="0"/>
              <w:ind w:firstLine="0" w:firstLineChars="0"/>
            </w:pPr>
            <w:r>
              <w:rPr>
                <w:rFonts w:hint="eastAsia"/>
              </w:rPr>
              <w:t>审批机关：自然资源部；</w:t>
            </w:r>
          </w:p>
          <w:p w14:paraId="06731D33">
            <w:pPr>
              <w:autoSpaceDE w:val="0"/>
              <w:autoSpaceDN w:val="0"/>
              <w:adjustRightInd w:val="0"/>
              <w:snapToGrid w:val="0"/>
              <w:ind w:firstLine="0" w:firstLineChars="0"/>
            </w:pPr>
            <w:r>
              <w:rPr>
                <w:rFonts w:hint="eastAsia"/>
              </w:rPr>
              <w:t>审批文件名称及文号：《关于〈新疆维吾尔自治区矿产资源总体规划（2021—2025年）〉的审查意见》（自然资函〔2022〕1092号）；</w:t>
            </w:r>
          </w:p>
          <w:p w14:paraId="12A8D97A">
            <w:pPr>
              <w:autoSpaceDE w:val="0"/>
              <w:autoSpaceDN w:val="0"/>
              <w:adjustRightInd w:val="0"/>
              <w:snapToGrid w:val="0"/>
              <w:ind w:firstLine="0" w:firstLineChars="0"/>
            </w:pPr>
            <w:r>
              <w:rPr>
                <w:rFonts w:hint="eastAsia"/>
              </w:rPr>
              <w:t>规划名称：《巴音郭楞蒙古自治州矿产资源总体规划（2021—2025年）》；</w:t>
            </w:r>
          </w:p>
          <w:p w14:paraId="072E0D2E">
            <w:pPr>
              <w:autoSpaceDE w:val="0"/>
              <w:autoSpaceDN w:val="0"/>
              <w:adjustRightInd w:val="0"/>
              <w:snapToGrid w:val="0"/>
              <w:ind w:firstLine="0" w:firstLineChars="0"/>
            </w:pPr>
            <w:r>
              <w:rPr>
                <w:rFonts w:hint="eastAsia"/>
              </w:rPr>
              <w:t>审批机关：巴州人民政府；</w:t>
            </w:r>
          </w:p>
          <w:p w14:paraId="12874455">
            <w:pPr>
              <w:autoSpaceDE w:val="0"/>
              <w:autoSpaceDN w:val="0"/>
              <w:adjustRightInd w:val="0"/>
              <w:snapToGrid w:val="0"/>
              <w:ind w:firstLine="0" w:firstLineChars="0"/>
              <w:rPr>
                <w:kern w:val="0"/>
              </w:rPr>
            </w:pPr>
            <w:r>
              <w:rPr>
                <w:rFonts w:hint="eastAsia"/>
              </w:rPr>
              <w:t>审批文件名称：《新疆维吾尔自治区和静县矿产资源总体规划（2021～2025年）》</w:t>
            </w:r>
          </w:p>
        </w:tc>
      </w:tr>
      <w:tr w14:paraId="3443E5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77" w:type="dxa"/>
            <w:vAlign w:val="center"/>
          </w:tcPr>
          <w:p w14:paraId="58B37F21">
            <w:pPr>
              <w:adjustRightInd w:val="0"/>
              <w:snapToGrid w:val="0"/>
              <w:spacing w:line="240" w:lineRule="auto"/>
              <w:ind w:firstLine="0" w:firstLineChars="0"/>
              <w:jc w:val="center"/>
            </w:pPr>
            <w:r>
              <w:t>规划环境影响</w:t>
            </w:r>
          </w:p>
          <w:p w14:paraId="5B20EBC7">
            <w:pPr>
              <w:adjustRightInd w:val="0"/>
              <w:snapToGrid w:val="0"/>
              <w:spacing w:line="240" w:lineRule="auto"/>
              <w:ind w:firstLine="0" w:firstLineChars="0"/>
              <w:jc w:val="center"/>
              <w:rPr>
                <w:kern w:val="0"/>
              </w:rPr>
            </w:pPr>
            <w:r>
              <w:t>评价情况</w:t>
            </w:r>
          </w:p>
        </w:tc>
        <w:tc>
          <w:tcPr>
            <w:tcW w:w="7238" w:type="dxa"/>
            <w:gridSpan w:val="3"/>
            <w:vAlign w:val="center"/>
          </w:tcPr>
          <w:p w14:paraId="5997A75F">
            <w:pPr>
              <w:autoSpaceDE w:val="0"/>
              <w:autoSpaceDN w:val="0"/>
              <w:adjustRightInd w:val="0"/>
              <w:snapToGrid w:val="0"/>
              <w:ind w:firstLine="0" w:firstLineChars="0"/>
            </w:pPr>
            <w:r>
              <w:rPr>
                <w:rFonts w:hint="eastAsia"/>
              </w:rPr>
              <w:t>规划环评文件名称：《新疆维吾尔自治区矿产资源总体规划（</w:t>
            </w:r>
            <w:r>
              <w:t>2021</w:t>
            </w:r>
            <w:r>
              <w:rPr>
                <w:rFonts w:hint="eastAsia"/>
              </w:rPr>
              <w:t>—</w:t>
            </w:r>
            <w:r>
              <w:t>2025</w:t>
            </w:r>
            <w:r>
              <w:rPr>
                <w:rFonts w:hint="eastAsia"/>
              </w:rPr>
              <w:t>年）环境影响报告书》；</w:t>
            </w:r>
          </w:p>
          <w:p w14:paraId="54D687F9">
            <w:pPr>
              <w:autoSpaceDE w:val="0"/>
              <w:autoSpaceDN w:val="0"/>
              <w:adjustRightInd w:val="0"/>
              <w:snapToGrid w:val="0"/>
              <w:ind w:firstLine="0" w:firstLineChars="0"/>
            </w:pPr>
            <w:r>
              <w:rPr>
                <w:rFonts w:hint="eastAsia"/>
              </w:rPr>
              <w:t>审查机关：生态环境部；</w:t>
            </w:r>
          </w:p>
          <w:p w14:paraId="0F5A3018">
            <w:pPr>
              <w:autoSpaceDE w:val="0"/>
              <w:autoSpaceDN w:val="0"/>
              <w:adjustRightInd w:val="0"/>
              <w:snapToGrid w:val="0"/>
              <w:ind w:firstLine="0" w:firstLineChars="0"/>
            </w:pPr>
            <w:r>
              <w:rPr>
                <w:rFonts w:hint="eastAsia"/>
              </w:rPr>
              <w:t>审查文件名称及文号：《关于〈新疆维吾尔自治区矿产资源总体规划（</w:t>
            </w:r>
            <w:r>
              <w:t>2021</w:t>
            </w:r>
            <w:r>
              <w:rPr>
                <w:rFonts w:hint="eastAsia"/>
              </w:rPr>
              <w:t>—</w:t>
            </w:r>
            <w:r>
              <w:t>2025</w:t>
            </w:r>
            <w:r>
              <w:rPr>
                <w:rFonts w:hint="eastAsia"/>
              </w:rPr>
              <w:t>年）环境影响报告书〉的审查意见》（环审〔</w:t>
            </w:r>
            <w:r>
              <w:t>2022</w:t>
            </w:r>
            <w:r>
              <w:rPr>
                <w:rFonts w:hint="eastAsia"/>
              </w:rPr>
              <w:t>〕</w:t>
            </w:r>
            <w:r>
              <w:t>124</w:t>
            </w:r>
            <w:r>
              <w:rPr>
                <w:rFonts w:hint="eastAsia"/>
              </w:rPr>
              <w:t>号）。</w:t>
            </w:r>
          </w:p>
          <w:p w14:paraId="2D33876B">
            <w:pPr>
              <w:autoSpaceDE w:val="0"/>
              <w:autoSpaceDN w:val="0"/>
              <w:adjustRightInd w:val="0"/>
              <w:snapToGrid w:val="0"/>
              <w:ind w:firstLine="0" w:firstLineChars="0"/>
              <w:rPr>
                <w:kern w:val="0"/>
              </w:rPr>
            </w:pPr>
            <w:r>
              <w:rPr>
                <w:rFonts w:hint="eastAsia"/>
              </w:rPr>
              <w:t>《新疆巴音郭楞蒙古自治州矿产资源规划(2021-2025年)环境影响篇章(2021年11月)》</w:t>
            </w:r>
          </w:p>
        </w:tc>
      </w:tr>
      <w:tr w14:paraId="7A09DD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77" w:type="dxa"/>
            <w:vAlign w:val="center"/>
          </w:tcPr>
          <w:p w14:paraId="2AAE99DF">
            <w:pPr>
              <w:autoSpaceDE w:val="0"/>
              <w:autoSpaceDN w:val="0"/>
              <w:adjustRightInd w:val="0"/>
              <w:snapToGrid w:val="0"/>
              <w:spacing w:line="240" w:lineRule="auto"/>
              <w:ind w:firstLine="0" w:firstLineChars="0"/>
              <w:jc w:val="center"/>
              <w:rPr>
                <w:kern w:val="0"/>
              </w:rPr>
            </w:pPr>
            <w:r>
              <w:rPr>
                <w:kern w:val="0"/>
              </w:rPr>
              <w:t>规划及规划环境影响评价符合性分析</w:t>
            </w:r>
          </w:p>
        </w:tc>
        <w:tc>
          <w:tcPr>
            <w:tcW w:w="7238" w:type="dxa"/>
            <w:gridSpan w:val="3"/>
            <w:vAlign w:val="center"/>
          </w:tcPr>
          <w:p w14:paraId="37DBA505">
            <w:pPr>
              <w:spacing w:line="240" w:lineRule="auto"/>
              <w:ind w:firstLine="0" w:firstLineChars="0"/>
              <w:jc w:val="center"/>
              <w:outlineLvl w:val="2"/>
              <w:rPr>
                <w:b/>
                <w:sz w:val="21"/>
                <w:szCs w:val="21"/>
              </w:rPr>
            </w:pPr>
            <w:r>
              <w:rPr>
                <w:rFonts w:hint="eastAsia"/>
                <w:b/>
                <w:sz w:val="21"/>
                <w:szCs w:val="21"/>
              </w:rPr>
              <w:t>表1-1本项目与《新疆维吾尔自治区矿产资源总体规划（2021—2025年）》相符性分析</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4057"/>
              <w:gridCol w:w="2275"/>
              <w:gridCol w:w="660"/>
            </w:tblGrid>
            <w:tr w14:paraId="7D6D5E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057" w:type="dxa"/>
                  <w:tcBorders>
                    <w:tl2br w:val="nil"/>
                    <w:tr2bl w:val="nil"/>
                  </w:tcBorders>
                  <w:vAlign w:val="center"/>
                </w:tcPr>
                <w:p w14:paraId="78D016E8">
                  <w:pPr>
                    <w:spacing w:line="240" w:lineRule="auto"/>
                    <w:ind w:firstLine="0" w:firstLineChars="0"/>
                    <w:jc w:val="center"/>
                    <w:rPr>
                      <w:sz w:val="21"/>
                      <w:szCs w:val="21"/>
                    </w:rPr>
                  </w:pPr>
                  <w:r>
                    <w:rPr>
                      <w:rFonts w:hint="eastAsia"/>
                      <w:sz w:val="21"/>
                      <w:szCs w:val="21"/>
                    </w:rPr>
                    <w:t>规划内容</w:t>
                  </w:r>
                </w:p>
              </w:tc>
              <w:tc>
                <w:tcPr>
                  <w:tcW w:w="2275" w:type="dxa"/>
                  <w:tcBorders>
                    <w:tl2br w:val="nil"/>
                    <w:tr2bl w:val="nil"/>
                  </w:tcBorders>
                  <w:vAlign w:val="center"/>
                </w:tcPr>
                <w:p w14:paraId="7E9C5933">
                  <w:pPr>
                    <w:spacing w:line="240" w:lineRule="auto"/>
                    <w:ind w:firstLine="0" w:firstLineChars="0"/>
                    <w:jc w:val="center"/>
                    <w:rPr>
                      <w:sz w:val="21"/>
                      <w:szCs w:val="21"/>
                    </w:rPr>
                  </w:pPr>
                  <w:r>
                    <w:rPr>
                      <w:rFonts w:hint="eastAsia"/>
                      <w:sz w:val="21"/>
                      <w:szCs w:val="21"/>
                    </w:rPr>
                    <w:t>本项目情况</w:t>
                  </w:r>
                </w:p>
              </w:tc>
              <w:tc>
                <w:tcPr>
                  <w:tcW w:w="660" w:type="dxa"/>
                  <w:tcBorders>
                    <w:tl2br w:val="nil"/>
                    <w:tr2bl w:val="nil"/>
                  </w:tcBorders>
                  <w:vAlign w:val="center"/>
                </w:tcPr>
                <w:p w14:paraId="7ACF34B3">
                  <w:pPr>
                    <w:spacing w:line="240" w:lineRule="auto"/>
                    <w:ind w:firstLine="0" w:firstLineChars="0"/>
                    <w:jc w:val="center"/>
                    <w:rPr>
                      <w:sz w:val="21"/>
                      <w:szCs w:val="21"/>
                    </w:rPr>
                  </w:pPr>
                  <w:r>
                    <w:rPr>
                      <w:rFonts w:hint="eastAsia" w:ascii="宋体" w:hAnsi="宋体"/>
                      <w:color w:val="000000"/>
                      <w:kern w:val="0"/>
                      <w:sz w:val="21"/>
                      <w:szCs w:val="21"/>
                    </w:rPr>
                    <w:t>符合性</w:t>
                  </w:r>
                </w:p>
              </w:tc>
            </w:tr>
            <w:tr w14:paraId="03E7F4C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057" w:type="dxa"/>
                  <w:tcBorders>
                    <w:tl2br w:val="nil"/>
                    <w:tr2bl w:val="nil"/>
                  </w:tcBorders>
                  <w:vAlign w:val="center"/>
                </w:tcPr>
                <w:p w14:paraId="40B5E8DB">
                  <w:pPr>
                    <w:spacing w:line="240" w:lineRule="auto"/>
                    <w:ind w:firstLine="0" w:firstLineChars="0"/>
                    <w:jc w:val="center"/>
                    <w:rPr>
                      <w:sz w:val="21"/>
                      <w:szCs w:val="21"/>
                    </w:rPr>
                  </w:pPr>
                  <w:r>
                    <w:rPr>
                      <w:rFonts w:hint="eastAsia"/>
                      <w:sz w:val="21"/>
                      <w:szCs w:val="21"/>
                    </w:rPr>
                    <w:t>落实国家能源资源安全战略，结合新疆实际，合理确定重点、限制、禁止勘查开采矿种。重点勘查开采矿种：石油、天然气、页岩气、煤层气、煤、地热等能源矿产，铁、铬、锰、铜、镍、钴、铅锌、金、锂、铍、钒、钛等金属矿产，以及钾盐、萤石、硅质原料等非金属矿产。限制开采矿种：砖瓦用粘土等矿产，严格控制钨、稀土等特定保护性开采矿产。“限粘”县市禁止新设砖瓦用粘土采矿权。限制开采矿种，除严格矿业权人准入条件外，应论证资源供需形势，对开采总量进行调控，同时严格资源环境承载力论证，保护环境。合理控制国家规定实行保护性开采的特定矿种开采强度。禁止开采矿种：禁止开采砷和放射性等有毒有害物质超过规定标准的煤炭项目，砂铁、汞、可耕地砖瓦用粘土等矿产。除和田地区外其他地区禁止新设砂金开采项目，严格砂金开发项目环境影响评价。</w:t>
                  </w:r>
                </w:p>
              </w:tc>
              <w:tc>
                <w:tcPr>
                  <w:tcW w:w="2275" w:type="dxa"/>
                  <w:tcBorders>
                    <w:tl2br w:val="nil"/>
                    <w:tr2bl w:val="nil"/>
                  </w:tcBorders>
                  <w:vAlign w:val="center"/>
                </w:tcPr>
                <w:p w14:paraId="5EC8AA0F">
                  <w:pPr>
                    <w:autoSpaceDE w:val="0"/>
                    <w:autoSpaceDN w:val="0"/>
                    <w:adjustRightInd w:val="0"/>
                    <w:snapToGrid w:val="0"/>
                    <w:spacing w:line="240" w:lineRule="auto"/>
                    <w:ind w:firstLine="0" w:firstLineChars="0"/>
                    <w:rPr>
                      <w:sz w:val="21"/>
                      <w:szCs w:val="21"/>
                    </w:rPr>
                  </w:pPr>
                  <w:r>
                    <w:rPr>
                      <w:sz w:val="21"/>
                      <w:szCs w:val="21"/>
                    </w:rPr>
                    <w:t>本次地质勘探工作主要针对</w:t>
                  </w:r>
                  <w:r>
                    <w:rPr>
                      <w:rFonts w:hint="eastAsia"/>
                      <w:sz w:val="21"/>
                      <w:szCs w:val="21"/>
                    </w:rPr>
                    <w:t>金矿</w:t>
                  </w:r>
                  <w:r>
                    <w:rPr>
                      <w:sz w:val="21"/>
                      <w:szCs w:val="21"/>
                    </w:rPr>
                    <w:t>进行勘查，属于重点勘查开采矿种，符合《新疆维吾尔自治区矿产资源总体规划（2021—2025年）》中的规划要求。</w:t>
                  </w:r>
                </w:p>
              </w:tc>
              <w:tc>
                <w:tcPr>
                  <w:tcW w:w="660" w:type="dxa"/>
                  <w:tcBorders>
                    <w:tl2br w:val="nil"/>
                    <w:tr2bl w:val="nil"/>
                  </w:tcBorders>
                  <w:vAlign w:val="center"/>
                </w:tcPr>
                <w:p w14:paraId="57B2546F">
                  <w:pPr>
                    <w:spacing w:line="240" w:lineRule="auto"/>
                    <w:ind w:firstLine="0" w:firstLineChars="0"/>
                    <w:jc w:val="center"/>
                    <w:rPr>
                      <w:sz w:val="21"/>
                      <w:szCs w:val="21"/>
                    </w:rPr>
                  </w:pPr>
                  <w:r>
                    <w:rPr>
                      <w:rFonts w:hint="eastAsia"/>
                      <w:sz w:val="21"/>
                      <w:szCs w:val="21"/>
                    </w:rPr>
                    <w:t>符合</w:t>
                  </w:r>
                </w:p>
              </w:tc>
            </w:tr>
            <w:tr w14:paraId="62C48A9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057" w:type="dxa"/>
                  <w:tcBorders>
                    <w:tl2br w:val="nil"/>
                    <w:tr2bl w:val="nil"/>
                  </w:tcBorders>
                  <w:vAlign w:val="center"/>
                </w:tcPr>
                <w:p w14:paraId="49B13D5B">
                  <w:pPr>
                    <w:spacing w:line="240" w:lineRule="auto"/>
                    <w:ind w:firstLine="0" w:firstLineChars="0"/>
                    <w:jc w:val="center"/>
                    <w:outlineLvl w:val="2"/>
                    <w:rPr>
                      <w:sz w:val="21"/>
                      <w:szCs w:val="21"/>
                    </w:rPr>
                  </w:pPr>
                  <w:r>
                    <w:rPr>
                      <w:sz w:val="21"/>
                      <w:szCs w:val="21"/>
                    </w:rPr>
                    <w:t>红线作为保障和维护区域生态安全的底线，应进一步优化矿业权设置和空间布局，依法依规对生态空间实施严格保护。与生态保护红线存在空间重叠的6个能源资源基地、24个国家规划矿区22个重点勘查区、32个重点开采区等，后续设置矿业权时，应进一步优化布局，确保满足生态保护红线管控要求。与大气环境优先保护区(自然保护区、森林公园、世界遗产地等)存在空间重叠的90个勘查规划区块、25个开采规划区块，以及与水环境优先保护区存在空间重叠的462个勘查规划区块、153个开采规划区块和与农用地优先保护区存在空间重叠的28个勘查规划区块、8个开采规划区块等，后续设置矿业权时，应进一步优化布局、强化管控措施，确保满足生态环境分区管控及相关环境保护要求。</w:t>
                  </w:r>
                </w:p>
              </w:tc>
              <w:tc>
                <w:tcPr>
                  <w:tcW w:w="2275" w:type="dxa"/>
                  <w:tcBorders>
                    <w:tl2br w:val="nil"/>
                    <w:tr2bl w:val="nil"/>
                  </w:tcBorders>
                  <w:vAlign w:val="center"/>
                </w:tcPr>
                <w:p w14:paraId="0090A8E3">
                  <w:pPr>
                    <w:spacing w:line="240" w:lineRule="auto"/>
                    <w:ind w:firstLine="0" w:firstLineChars="0"/>
                    <w:jc w:val="center"/>
                    <w:outlineLvl w:val="2"/>
                    <w:rPr>
                      <w:sz w:val="21"/>
                      <w:szCs w:val="21"/>
                    </w:rPr>
                  </w:pPr>
                  <w:r>
                    <w:rPr>
                      <w:sz w:val="21"/>
                      <w:szCs w:val="21"/>
                    </w:rPr>
                    <w:t>本项目不存在与自然保护区、森林公园、世界遗产地等空间重叠，项目区属于一般管控单元，符合生态保护红线要求。</w:t>
                  </w:r>
                </w:p>
              </w:tc>
              <w:tc>
                <w:tcPr>
                  <w:tcW w:w="660" w:type="dxa"/>
                  <w:tcBorders>
                    <w:tl2br w:val="nil"/>
                    <w:tr2bl w:val="nil"/>
                  </w:tcBorders>
                  <w:vAlign w:val="center"/>
                </w:tcPr>
                <w:p w14:paraId="69E2E9A8">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符合</w:t>
                  </w:r>
                </w:p>
              </w:tc>
            </w:tr>
            <w:tr w14:paraId="3F457FE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057" w:type="dxa"/>
                  <w:tcBorders>
                    <w:tl2br w:val="nil"/>
                    <w:tr2bl w:val="nil"/>
                  </w:tcBorders>
                  <w:vAlign w:val="center"/>
                </w:tcPr>
                <w:p w14:paraId="7A2EB6FF">
                  <w:pPr>
                    <w:spacing w:line="240" w:lineRule="auto"/>
                    <w:ind w:firstLine="0" w:firstLineChars="0"/>
                    <w:jc w:val="center"/>
                    <w:outlineLvl w:val="2"/>
                    <w:rPr>
                      <w:sz w:val="21"/>
                      <w:szCs w:val="21"/>
                    </w:rPr>
                  </w:pPr>
                  <w:r>
                    <w:rPr>
                      <w:sz w:val="21"/>
                      <w:szCs w:val="21"/>
                    </w:rPr>
                    <w:t>结合生态保护、饮用水水源保护区及水环境功能区水质保护及改善要求、土壤污染防治目标等，推进重点矿区建立生态、地表水、地下水、土壤等环境要素的长期监测监控体系，明确责任主体、强化资金保障，其中，在用尾矿库100%安装在线监测装置；组织开展主要矿种集中开采区域生态修复效果评估，并根据监测和评估结果增加和优化必要的保护措施。针对地表水环境及土壤环境累积影响、地下水环境质量下降、生态退化等情形，建立预警机制。</w:t>
                  </w:r>
                </w:p>
              </w:tc>
              <w:tc>
                <w:tcPr>
                  <w:tcW w:w="2275" w:type="dxa"/>
                  <w:tcBorders>
                    <w:tl2br w:val="nil"/>
                    <w:tr2bl w:val="nil"/>
                  </w:tcBorders>
                  <w:vAlign w:val="center"/>
                </w:tcPr>
                <w:p w14:paraId="4DA62901">
                  <w:pPr>
                    <w:spacing w:line="240" w:lineRule="auto"/>
                    <w:ind w:firstLine="0" w:firstLineChars="0"/>
                    <w:jc w:val="center"/>
                    <w:outlineLvl w:val="2"/>
                    <w:rPr>
                      <w:sz w:val="21"/>
                      <w:szCs w:val="21"/>
                    </w:rPr>
                  </w:pPr>
                  <w:r>
                    <w:rPr>
                      <w:sz w:val="21"/>
                      <w:szCs w:val="21"/>
                    </w:rPr>
                    <w:t>每个钻孔采用防渗膜塑料布及支架组装成简易沉淀池，每个规模为5m</w:t>
                  </w:r>
                  <w:r>
                    <w:rPr>
                      <w:sz w:val="21"/>
                      <w:szCs w:val="21"/>
                      <w:vertAlign w:val="superscript"/>
                    </w:rPr>
                    <w:t>3</w:t>
                  </w:r>
                  <w:r>
                    <w:rPr>
                      <w:sz w:val="21"/>
                      <w:szCs w:val="21"/>
                    </w:rPr>
                    <w:t>，生产废水经沉淀后循环使用；</w:t>
                  </w:r>
                  <w:r>
                    <w:rPr>
                      <w:rFonts w:hint="default" w:ascii="Times New Roman" w:hAnsi="Times New Roman" w:cs="Times New Roman" w:eastAsiaTheme="minorEastAsia"/>
                      <w:color w:val="auto"/>
                      <w:sz w:val="21"/>
                      <w:szCs w:val="21"/>
                      <w:lang w:val="en-US" w:eastAsia="zh-CN"/>
                    </w:rPr>
                    <w:t>生活污水排入一体化污水处理设施后，</w:t>
                  </w:r>
                  <w:r>
                    <w:rPr>
                      <w:rFonts w:hint="eastAsia" w:ascii="Times New Roman" w:hAnsi="Times New Roman" w:cs="Times New Roman" w:eastAsiaTheme="minorEastAsia"/>
                      <w:color w:val="auto"/>
                      <w:sz w:val="21"/>
                      <w:szCs w:val="21"/>
                      <w:lang w:val="en-US" w:eastAsia="zh-CN"/>
                    </w:rPr>
                    <w:t>用于洒水降尘和周边绿化</w:t>
                  </w:r>
                  <w:r>
                    <w:rPr>
                      <w:rFonts w:hint="default" w:ascii="Times New Roman" w:hAnsi="Times New Roman" w:cs="Times New Roman" w:eastAsiaTheme="minorEastAsia"/>
                      <w:color w:val="auto"/>
                      <w:sz w:val="21"/>
                      <w:szCs w:val="21"/>
                      <w:lang w:val="en-US" w:eastAsia="zh-CN"/>
                    </w:rPr>
                    <w:t>，不外排</w:t>
                  </w:r>
                  <w:r>
                    <w:rPr>
                      <w:rFonts w:hint="eastAsia" w:ascii="Times New Roman" w:hAnsi="Times New Roman" w:cs="Times New Roman" w:eastAsiaTheme="minorEastAsia"/>
                      <w:color w:val="auto"/>
                      <w:sz w:val="21"/>
                      <w:szCs w:val="21"/>
                      <w:lang w:val="en-US" w:eastAsia="zh-CN"/>
                    </w:rPr>
                    <w:t>。</w:t>
                  </w:r>
                  <w:r>
                    <w:rPr>
                      <w:sz w:val="21"/>
                      <w:szCs w:val="21"/>
                    </w:rPr>
                    <w:t>不会影响区域水环境质量。</w:t>
                  </w:r>
                </w:p>
              </w:tc>
              <w:tc>
                <w:tcPr>
                  <w:tcW w:w="660" w:type="dxa"/>
                  <w:tcBorders>
                    <w:tl2br w:val="nil"/>
                    <w:tr2bl w:val="nil"/>
                  </w:tcBorders>
                  <w:vAlign w:val="center"/>
                </w:tcPr>
                <w:p w14:paraId="04376974">
                  <w:pPr>
                    <w:spacing w:line="240" w:lineRule="auto"/>
                    <w:ind w:firstLine="0" w:firstLineChars="0"/>
                    <w:jc w:val="center"/>
                    <w:rPr>
                      <w:sz w:val="21"/>
                      <w:szCs w:val="21"/>
                    </w:rPr>
                  </w:pPr>
                  <w:r>
                    <w:rPr>
                      <w:rFonts w:hint="eastAsia"/>
                      <w:sz w:val="21"/>
                      <w:szCs w:val="21"/>
                      <w:lang w:val="en-US" w:eastAsia="zh-CN"/>
                    </w:rPr>
                    <w:t>符合</w:t>
                  </w:r>
                </w:p>
              </w:tc>
            </w:tr>
            <w:tr w14:paraId="4795FBB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057" w:type="dxa"/>
                  <w:tcBorders>
                    <w:tl2br w:val="nil"/>
                    <w:tr2bl w:val="nil"/>
                  </w:tcBorders>
                  <w:vAlign w:val="center"/>
                </w:tcPr>
                <w:p w14:paraId="7F2FA5B3">
                  <w:pPr>
                    <w:spacing w:line="240" w:lineRule="auto"/>
                    <w:ind w:firstLine="0" w:firstLineChars="0"/>
                    <w:jc w:val="center"/>
                    <w:outlineLvl w:val="2"/>
                    <w:rPr>
                      <w:sz w:val="21"/>
                      <w:szCs w:val="21"/>
                    </w:rPr>
                  </w:pPr>
                  <w:r>
                    <w:rPr>
                      <w:sz w:val="21"/>
                      <w:szCs w:val="21"/>
                    </w:rPr>
                    <w:t>审查意见中指出：严格环境准入，保护区域生态功能。按照新疆维吾尔自治区生态环境分区管控方案、生态环境保护规划等新要求，与大气环境优先保护区、水环境优先保护区、农用地优先保护区等存在空间重叠的现有矿业权、勘查规划区块、开采规划区块，应严格执行相应管控要求，控制勘查、开采活动范围和强度，严格执行绿色勘查、开采及矿山环境生态保护修复相关要求，确保生态系统结构和主要功能不受破坏。严格控制涉及生物多样性保护优先区域、国家重点生态功能区、国家重要生态功能区、水源涵养区、水土流失重点防治区等区域矿产资源开发活动，并采取相应保护措施，防止加剧对重点生态功能区的不良环境影响。</w:t>
                  </w:r>
                </w:p>
              </w:tc>
              <w:tc>
                <w:tcPr>
                  <w:tcW w:w="2275" w:type="dxa"/>
                  <w:tcBorders>
                    <w:tl2br w:val="nil"/>
                    <w:tr2bl w:val="nil"/>
                  </w:tcBorders>
                  <w:vAlign w:val="center"/>
                </w:tcPr>
                <w:p w14:paraId="5FC2BBEE">
                  <w:pPr>
                    <w:spacing w:line="240" w:lineRule="auto"/>
                    <w:ind w:firstLine="0" w:firstLineChars="0"/>
                    <w:jc w:val="center"/>
                    <w:outlineLvl w:val="2"/>
                    <w:rPr>
                      <w:sz w:val="21"/>
                      <w:szCs w:val="21"/>
                    </w:rPr>
                  </w:pPr>
                  <w:r>
                    <w:rPr>
                      <w:rFonts w:hint="eastAsia"/>
                      <w:sz w:val="21"/>
                      <w:szCs w:val="21"/>
                    </w:rPr>
                    <w:t>本项目已取得所在区域的探矿权，</w:t>
                  </w:r>
                  <w:r>
                    <w:rPr>
                      <w:sz w:val="21"/>
                      <w:szCs w:val="21"/>
                    </w:rPr>
                    <w:t>探矿证号：</w:t>
                  </w:r>
                  <w:r>
                    <w:rPr>
                      <w:rFonts w:hint="eastAsia"/>
                      <w:sz w:val="21"/>
                      <w:szCs w:val="21"/>
                    </w:rPr>
                    <w:t>T650000200</w:t>
                  </w:r>
                  <w:r>
                    <w:rPr>
                      <w:rFonts w:hint="eastAsia"/>
                      <w:sz w:val="21"/>
                      <w:szCs w:val="21"/>
                      <w:lang w:val="en-US" w:eastAsia="zh-CN"/>
                    </w:rPr>
                    <w:t>9054010030213（冰湖南一带）、</w:t>
                  </w:r>
                  <w:r>
                    <w:rPr>
                      <w:rFonts w:hint="eastAsia"/>
                      <w:sz w:val="21"/>
                      <w:szCs w:val="21"/>
                    </w:rPr>
                    <w:t>T650000200</w:t>
                  </w:r>
                  <w:r>
                    <w:rPr>
                      <w:rFonts w:hint="eastAsia"/>
                      <w:sz w:val="21"/>
                      <w:szCs w:val="21"/>
                      <w:lang w:val="en-US" w:eastAsia="zh-CN"/>
                    </w:rPr>
                    <w:t>8084010012695（萨阿尔明山南西区）、</w:t>
                  </w:r>
                  <w:r>
                    <w:rPr>
                      <w:rFonts w:hint="eastAsia"/>
                      <w:sz w:val="21"/>
                      <w:szCs w:val="21"/>
                    </w:rPr>
                    <w:t>T650000200</w:t>
                  </w:r>
                  <w:r>
                    <w:rPr>
                      <w:rFonts w:hint="eastAsia"/>
                      <w:sz w:val="21"/>
                      <w:szCs w:val="21"/>
                      <w:lang w:val="en-US" w:eastAsia="zh-CN"/>
                    </w:rPr>
                    <w:t>8124010024009（浩恩吐尔一带）</w:t>
                  </w:r>
                  <w:r>
                    <w:rPr>
                      <w:rFonts w:hint="eastAsia"/>
                      <w:sz w:val="21"/>
                      <w:szCs w:val="21"/>
                    </w:rPr>
                    <w:t>。项目不涉及生物多样性保护优先区域、国家重点生态功能区、国家重要生态功能区、水源涵养区。符合审查意见相关要求。</w:t>
                  </w:r>
                </w:p>
              </w:tc>
              <w:tc>
                <w:tcPr>
                  <w:tcW w:w="660" w:type="dxa"/>
                  <w:tcBorders>
                    <w:tl2br w:val="nil"/>
                    <w:tr2bl w:val="nil"/>
                  </w:tcBorders>
                  <w:vAlign w:val="center"/>
                </w:tcPr>
                <w:p w14:paraId="4D24C9A7">
                  <w:pPr>
                    <w:spacing w:line="240" w:lineRule="auto"/>
                    <w:ind w:firstLine="0" w:firstLineChars="0"/>
                    <w:jc w:val="center"/>
                    <w:rPr>
                      <w:sz w:val="21"/>
                      <w:szCs w:val="21"/>
                    </w:rPr>
                  </w:pPr>
                  <w:r>
                    <w:rPr>
                      <w:rFonts w:hint="eastAsia"/>
                      <w:sz w:val="21"/>
                      <w:szCs w:val="21"/>
                      <w:lang w:val="en-US" w:eastAsia="zh-CN"/>
                    </w:rPr>
                    <w:t>符合</w:t>
                  </w:r>
                </w:p>
              </w:tc>
            </w:tr>
          </w:tbl>
          <w:p w14:paraId="2E3272CC">
            <w:pPr>
              <w:spacing w:line="240" w:lineRule="auto"/>
              <w:ind w:firstLine="0" w:firstLineChars="0"/>
              <w:jc w:val="center"/>
              <w:outlineLvl w:val="2"/>
              <w:rPr>
                <w:sz w:val="21"/>
                <w:szCs w:val="21"/>
              </w:rPr>
            </w:pPr>
            <w:r>
              <w:rPr>
                <w:rFonts w:hint="eastAsia"/>
                <w:b/>
                <w:sz w:val="21"/>
                <w:szCs w:val="21"/>
              </w:rPr>
              <w:t>表1-2与《巴音郭楞蒙古自治州矿产资源总体规划（2021—2025年）》相符性分析</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4055"/>
              <w:gridCol w:w="2199"/>
              <w:gridCol w:w="737"/>
            </w:tblGrid>
            <w:tr w14:paraId="61FC35B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899" w:type="pct"/>
                  <w:tcBorders>
                    <w:tl2br w:val="nil"/>
                    <w:tr2bl w:val="nil"/>
                  </w:tcBorders>
                  <w:vAlign w:val="center"/>
                </w:tcPr>
                <w:p w14:paraId="4E011D4B">
                  <w:pPr>
                    <w:spacing w:line="240" w:lineRule="auto"/>
                    <w:ind w:firstLine="0" w:firstLineChars="0"/>
                    <w:jc w:val="center"/>
                    <w:rPr>
                      <w:sz w:val="21"/>
                      <w:szCs w:val="21"/>
                    </w:rPr>
                  </w:pPr>
                  <w:r>
                    <w:rPr>
                      <w:rFonts w:hint="eastAsia"/>
                      <w:sz w:val="21"/>
                      <w:szCs w:val="21"/>
                    </w:rPr>
                    <w:t>规划内容</w:t>
                  </w:r>
                </w:p>
              </w:tc>
              <w:tc>
                <w:tcPr>
                  <w:tcW w:w="1573" w:type="pct"/>
                  <w:tcBorders>
                    <w:tl2br w:val="nil"/>
                    <w:tr2bl w:val="nil"/>
                  </w:tcBorders>
                  <w:vAlign w:val="center"/>
                </w:tcPr>
                <w:p w14:paraId="6A46EC9C">
                  <w:pPr>
                    <w:spacing w:line="240" w:lineRule="auto"/>
                    <w:ind w:firstLine="0" w:firstLineChars="0"/>
                    <w:jc w:val="center"/>
                    <w:rPr>
                      <w:sz w:val="21"/>
                      <w:szCs w:val="21"/>
                    </w:rPr>
                  </w:pPr>
                  <w:r>
                    <w:rPr>
                      <w:rFonts w:hint="eastAsia"/>
                      <w:sz w:val="21"/>
                      <w:szCs w:val="21"/>
                    </w:rPr>
                    <w:t>本项目情况</w:t>
                  </w:r>
                </w:p>
              </w:tc>
              <w:tc>
                <w:tcPr>
                  <w:tcW w:w="527" w:type="pct"/>
                  <w:tcBorders>
                    <w:tl2br w:val="nil"/>
                    <w:tr2bl w:val="nil"/>
                  </w:tcBorders>
                  <w:vAlign w:val="center"/>
                </w:tcPr>
                <w:p w14:paraId="40C84689">
                  <w:pPr>
                    <w:spacing w:line="240" w:lineRule="auto"/>
                    <w:ind w:firstLine="0" w:firstLineChars="0"/>
                    <w:jc w:val="center"/>
                    <w:rPr>
                      <w:sz w:val="21"/>
                      <w:szCs w:val="21"/>
                    </w:rPr>
                  </w:pPr>
                  <w:r>
                    <w:rPr>
                      <w:rFonts w:hint="eastAsia" w:ascii="宋体" w:hAnsi="宋体"/>
                      <w:color w:val="000000"/>
                      <w:kern w:val="0"/>
                      <w:sz w:val="21"/>
                      <w:szCs w:val="21"/>
                    </w:rPr>
                    <w:t>符合性</w:t>
                  </w:r>
                </w:p>
              </w:tc>
            </w:tr>
            <w:tr w14:paraId="58D887C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899" w:type="pct"/>
                  <w:tcBorders>
                    <w:tl2br w:val="nil"/>
                    <w:tr2bl w:val="nil"/>
                  </w:tcBorders>
                  <w:vAlign w:val="center"/>
                </w:tcPr>
                <w:p w14:paraId="70F02D44">
                  <w:pPr>
                    <w:spacing w:line="240" w:lineRule="auto"/>
                    <w:ind w:firstLine="0" w:firstLineChars="0"/>
                    <w:jc w:val="center"/>
                    <w:rPr>
                      <w:sz w:val="21"/>
                      <w:szCs w:val="21"/>
                    </w:rPr>
                  </w:pPr>
                  <w:r>
                    <w:rPr>
                      <w:rFonts w:hint="eastAsia"/>
                      <w:sz w:val="21"/>
                      <w:szCs w:val="21"/>
                    </w:rPr>
                    <w:t>矿区生态保护修复：坚持尊重自然、顺应自然、保护自然，坚持节约优先、保护优先、自然恢复为主，把生态地质环境保护放在优先位置，推进矿产资源绿色勘查开发，最大限度减少对地质环境的破坏。</w:t>
                  </w:r>
                </w:p>
              </w:tc>
              <w:tc>
                <w:tcPr>
                  <w:tcW w:w="1573" w:type="pct"/>
                  <w:tcBorders>
                    <w:tl2br w:val="nil"/>
                    <w:tr2bl w:val="nil"/>
                  </w:tcBorders>
                  <w:vAlign w:val="center"/>
                </w:tcPr>
                <w:p w14:paraId="3A3D6FCF">
                  <w:pPr>
                    <w:spacing w:line="240" w:lineRule="auto"/>
                    <w:ind w:firstLine="0" w:firstLineChars="0"/>
                    <w:jc w:val="center"/>
                    <w:rPr>
                      <w:sz w:val="21"/>
                      <w:szCs w:val="21"/>
                    </w:rPr>
                  </w:pPr>
                  <w:r>
                    <w:rPr>
                      <w:sz w:val="21"/>
                      <w:szCs w:val="21"/>
                    </w:rPr>
                    <w:t>本次地质勘探工作严格管控道路、场地、驻地及施工各环节。在满足地质勘查目的前提下，实现对地质环境的破坏最小化。项目施工时，剥离表土临时堆放，待项目结束后进行表土回填及植被恢复，尽可能地恢复施工迹地原有使用功能。</w:t>
                  </w:r>
                </w:p>
              </w:tc>
              <w:tc>
                <w:tcPr>
                  <w:tcW w:w="527" w:type="pct"/>
                  <w:tcBorders>
                    <w:tl2br w:val="nil"/>
                    <w:tr2bl w:val="nil"/>
                  </w:tcBorders>
                  <w:vAlign w:val="center"/>
                </w:tcPr>
                <w:p w14:paraId="3C2D8318">
                  <w:pPr>
                    <w:autoSpaceDE w:val="0"/>
                    <w:autoSpaceDN w:val="0"/>
                    <w:adjustRightInd w:val="0"/>
                    <w:snapToGrid w:val="0"/>
                    <w:ind w:firstLine="0" w:firstLineChars="0"/>
                    <w:jc w:val="center"/>
                    <w:rPr>
                      <w:sz w:val="21"/>
                      <w:szCs w:val="21"/>
                    </w:rPr>
                  </w:pPr>
                  <w:r>
                    <w:rPr>
                      <w:rFonts w:hint="eastAsia"/>
                      <w:sz w:val="21"/>
                      <w:szCs w:val="21"/>
                    </w:rPr>
                    <w:t>符合</w:t>
                  </w:r>
                </w:p>
              </w:tc>
            </w:tr>
            <w:tr w14:paraId="3FB869B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899" w:type="pct"/>
                  <w:tcBorders>
                    <w:tl2br w:val="nil"/>
                    <w:tr2bl w:val="nil"/>
                  </w:tcBorders>
                  <w:vAlign w:val="center"/>
                </w:tcPr>
                <w:p w14:paraId="54786330">
                  <w:pPr>
                    <w:spacing w:line="240" w:lineRule="auto"/>
                    <w:ind w:firstLine="0" w:firstLineChars="0"/>
                    <w:jc w:val="center"/>
                    <w:rPr>
                      <w:sz w:val="21"/>
                      <w:szCs w:val="21"/>
                    </w:rPr>
                  </w:pPr>
                  <w:r>
                    <w:rPr>
                      <w:rFonts w:hint="eastAsia"/>
                      <w:sz w:val="21"/>
                      <w:szCs w:val="21"/>
                    </w:rPr>
                    <w:t>勘查项目要严格按照《绿色地质勘查工作规范》要求，将绿色勘查理念贯穿于地质勘查项目设计、实施、验收全过程，利用先进成熟的绿色勘查新理论、新方法、新技术、新工艺开展地质勘查。大力推广遥感、物探、浅钻</w:t>
                  </w:r>
                  <w:r>
                    <w:rPr>
                      <w:sz w:val="21"/>
                      <w:szCs w:val="21"/>
                    </w:rPr>
                    <w:t>(</w:t>
                  </w:r>
                  <w:r>
                    <w:rPr>
                      <w:rFonts w:hint="eastAsia"/>
                      <w:sz w:val="21"/>
                      <w:szCs w:val="21"/>
                    </w:rPr>
                    <w:t>以钻代槽</w:t>
                  </w:r>
                  <w:r>
                    <w:rPr>
                      <w:sz w:val="21"/>
                      <w:szCs w:val="21"/>
                    </w:rPr>
                    <w:t>)</w:t>
                  </w:r>
                  <w:r>
                    <w:rPr>
                      <w:rFonts w:hint="eastAsia"/>
                      <w:sz w:val="21"/>
                      <w:szCs w:val="21"/>
                    </w:rPr>
                    <w:t>等绿色勘查技术，鼓励采用组合式、便捷式钻探设备，减少使用对植被破坏较大的槽探、坑探、井探等勘查手段，减轻勘查活动对生态环境的扰动。总结绿色勘查实施成效及经验，形成可复制、能推广的绿色勘查新模式、新机制、新制度；积极申报绿色勘查示范项目，促进地质勘查和生态保护协调发展。</w:t>
                  </w:r>
                </w:p>
              </w:tc>
              <w:tc>
                <w:tcPr>
                  <w:tcW w:w="1573" w:type="pct"/>
                  <w:tcBorders>
                    <w:tl2br w:val="nil"/>
                    <w:tr2bl w:val="nil"/>
                  </w:tcBorders>
                  <w:vAlign w:val="center"/>
                </w:tcPr>
                <w:p w14:paraId="350D5D04">
                  <w:pPr>
                    <w:autoSpaceDE w:val="0"/>
                    <w:autoSpaceDN w:val="0"/>
                    <w:adjustRightInd w:val="0"/>
                    <w:snapToGrid w:val="0"/>
                    <w:spacing w:line="240" w:lineRule="auto"/>
                    <w:ind w:firstLine="0" w:firstLineChars="0"/>
                    <w:jc w:val="center"/>
                    <w:rPr>
                      <w:sz w:val="21"/>
                      <w:szCs w:val="21"/>
                    </w:rPr>
                  </w:pPr>
                  <w:r>
                    <w:rPr>
                      <w:sz w:val="21"/>
                      <w:szCs w:val="21"/>
                    </w:rPr>
                    <w:t>本项目按照《绿色地质勘查工作规范》要求，采用地质钻探等工作手段开展详查评价。通过运用高效、环保的方法、技术、设备等，在地质勘查各方面和全过程中减少或控制对生态环境的影响，开展绿色勘查，及时对开挖工程进行回填，最大限度减少人为破坏，减轻勘查活动对生态环境的扰动。</w:t>
                  </w:r>
                </w:p>
              </w:tc>
              <w:tc>
                <w:tcPr>
                  <w:tcW w:w="527" w:type="pct"/>
                  <w:tcBorders>
                    <w:tl2br w:val="nil"/>
                    <w:tr2bl w:val="nil"/>
                  </w:tcBorders>
                  <w:vAlign w:val="center"/>
                </w:tcPr>
                <w:p w14:paraId="73C8A527">
                  <w:pPr>
                    <w:autoSpaceDE w:val="0"/>
                    <w:autoSpaceDN w:val="0"/>
                    <w:adjustRightInd w:val="0"/>
                    <w:snapToGrid w:val="0"/>
                    <w:ind w:firstLine="0" w:firstLineChars="0"/>
                    <w:jc w:val="center"/>
                    <w:rPr>
                      <w:sz w:val="21"/>
                      <w:szCs w:val="21"/>
                    </w:rPr>
                  </w:pPr>
                  <w:r>
                    <w:rPr>
                      <w:rFonts w:hint="eastAsia"/>
                      <w:sz w:val="21"/>
                      <w:szCs w:val="21"/>
                    </w:rPr>
                    <w:t>符合</w:t>
                  </w:r>
                </w:p>
              </w:tc>
            </w:tr>
          </w:tbl>
          <w:p w14:paraId="5D3807F6">
            <w:pPr>
              <w:spacing w:line="240" w:lineRule="auto"/>
              <w:ind w:firstLine="0" w:firstLineChars="0"/>
              <w:jc w:val="center"/>
              <w:outlineLvl w:val="2"/>
              <w:rPr>
                <w:b/>
                <w:sz w:val="21"/>
                <w:szCs w:val="21"/>
              </w:rPr>
            </w:pPr>
            <w:r>
              <w:rPr>
                <w:rFonts w:hint="eastAsia"/>
                <w:b/>
                <w:sz w:val="21"/>
                <w:szCs w:val="21"/>
              </w:rPr>
              <w:t>表1-3与《新疆维吾尔自治区和静县矿产资源总体规划（2021～2025年）》相符性分析</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4055"/>
              <w:gridCol w:w="2199"/>
              <w:gridCol w:w="737"/>
            </w:tblGrid>
            <w:tr w14:paraId="71B2FC6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899" w:type="pct"/>
                  <w:tcBorders>
                    <w:tl2br w:val="nil"/>
                    <w:tr2bl w:val="nil"/>
                  </w:tcBorders>
                  <w:vAlign w:val="center"/>
                </w:tcPr>
                <w:p w14:paraId="476E6F4B">
                  <w:pPr>
                    <w:spacing w:line="240" w:lineRule="auto"/>
                    <w:ind w:firstLine="0" w:firstLineChars="0"/>
                    <w:jc w:val="center"/>
                    <w:rPr>
                      <w:sz w:val="21"/>
                      <w:szCs w:val="21"/>
                    </w:rPr>
                  </w:pPr>
                  <w:r>
                    <w:rPr>
                      <w:rFonts w:hint="eastAsia"/>
                      <w:sz w:val="21"/>
                      <w:szCs w:val="21"/>
                    </w:rPr>
                    <w:t>规划内容</w:t>
                  </w:r>
                </w:p>
              </w:tc>
              <w:tc>
                <w:tcPr>
                  <w:tcW w:w="1573" w:type="pct"/>
                  <w:tcBorders>
                    <w:tl2br w:val="nil"/>
                    <w:tr2bl w:val="nil"/>
                  </w:tcBorders>
                  <w:vAlign w:val="center"/>
                </w:tcPr>
                <w:p w14:paraId="5590E78E">
                  <w:pPr>
                    <w:spacing w:line="240" w:lineRule="auto"/>
                    <w:ind w:firstLine="0" w:firstLineChars="0"/>
                    <w:jc w:val="center"/>
                    <w:rPr>
                      <w:sz w:val="21"/>
                      <w:szCs w:val="21"/>
                    </w:rPr>
                  </w:pPr>
                  <w:r>
                    <w:rPr>
                      <w:rFonts w:hint="eastAsia"/>
                      <w:sz w:val="21"/>
                      <w:szCs w:val="21"/>
                    </w:rPr>
                    <w:t>本项目情况</w:t>
                  </w:r>
                </w:p>
              </w:tc>
              <w:tc>
                <w:tcPr>
                  <w:tcW w:w="527" w:type="pct"/>
                  <w:tcBorders>
                    <w:tl2br w:val="nil"/>
                    <w:tr2bl w:val="nil"/>
                  </w:tcBorders>
                  <w:vAlign w:val="center"/>
                </w:tcPr>
                <w:p w14:paraId="19B8FE25">
                  <w:pPr>
                    <w:spacing w:line="240" w:lineRule="auto"/>
                    <w:ind w:firstLine="0" w:firstLineChars="0"/>
                    <w:jc w:val="center"/>
                    <w:rPr>
                      <w:sz w:val="21"/>
                      <w:szCs w:val="21"/>
                    </w:rPr>
                  </w:pPr>
                  <w:r>
                    <w:rPr>
                      <w:rFonts w:hint="eastAsia" w:ascii="宋体" w:hAnsi="宋体"/>
                      <w:color w:val="000000"/>
                      <w:kern w:val="0"/>
                      <w:sz w:val="21"/>
                      <w:szCs w:val="21"/>
                    </w:rPr>
                    <w:t>符合性</w:t>
                  </w:r>
                </w:p>
              </w:tc>
            </w:tr>
            <w:tr w14:paraId="76E562C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899" w:type="pct"/>
                  <w:tcBorders>
                    <w:tl2br w:val="nil"/>
                    <w:tr2bl w:val="nil"/>
                  </w:tcBorders>
                  <w:vAlign w:val="center"/>
                </w:tcPr>
                <w:p w14:paraId="7D311267">
                  <w:pPr>
                    <w:spacing w:line="240" w:lineRule="auto"/>
                    <w:ind w:firstLine="0" w:firstLineChars="0"/>
                    <w:jc w:val="center"/>
                    <w:outlineLvl w:val="2"/>
                    <w:rPr>
                      <w:b/>
                      <w:sz w:val="21"/>
                      <w:szCs w:val="21"/>
                    </w:rPr>
                  </w:pPr>
                  <w:r>
                    <w:rPr>
                      <w:rFonts w:hint="eastAsia"/>
                      <w:sz w:val="21"/>
                      <w:szCs w:val="21"/>
                    </w:rPr>
                    <w:t>《新疆维吾尔自治区和静县矿产资源总体规划（2021～2025年）》提出重点勘查矿种：页岩气、煤、煤层气、地热等能源矿产，铁、铜、铅锌、镍、锡、金、银、锂、铍、铌、钽等金属矿产，萤石、硅质原料、菱镁矿等非金属矿产。</w:t>
                  </w:r>
                </w:p>
              </w:tc>
              <w:tc>
                <w:tcPr>
                  <w:tcW w:w="1573" w:type="pct"/>
                  <w:tcBorders>
                    <w:tl2br w:val="nil"/>
                    <w:tr2bl w:val="nil"/>
                  </w:tcBorders>
                  <w:vAlign w:val="center"/>
                </w:tcPr>
                <w:p w14:paraId="2AC2F428">
                  <w:pPr>
                    <w:spacing w:line="240" w:lineRule="auto"/>
                    <w:ind w:firstLine="0" w:firstLineChars="0"/>
                    <w:jc w:val="center"/>
                    <w:outlineLvl w:val="2"/>
                    <w:rPr>
                      <w:b/>
                      <w:sz w:val="21"/>
                      <w:szCs w:val="21"/>
                    </w:rPr>
                  </w:pPr>
                  <w:r>
                    <w:rPr>
                      <w:rFonts w:hint="eastAsia"/>
                      <w:sz w:val="21"/>
                      <w:szCs w:val="21"/>
                    </w:rPr>
                    <w:t>本次地质勘探工作主要针对</w:t>
                  </w:r>
                  <w:r>
                    <w:rPr>
                      <w:rFonts w:hint="eastAsia"/>
                      <w:color w:val="000000"/>
                      <w:sz w:val="21"/>
                      <w:szCs w:val="21"/>
                    </w:rPr>
                    <w:t>金矿</w:t>
                  </w:r>
                  <w:r>
                    <w:rPr>
                      <w:rFonts w:hint="eastAsia"/>
                      <w:sz w:val="21"/>
                      <w:szCs w:val="21"/>
                    </w:rPr>
                    <w:t>进行勘查，属于重点勘查矿种，符合《新疆维吾尔自治区和静县矿产资源总体规划</w:t>
                  </w:r>
                  <w:r>
                    <w:rPr>
                      <w:sz w:val="21"/>
                      <w:szCs w:val="21"/>
                    </w:rPr>
                    <w:t>(2021</w:t>
                  </w:r>
                  <w:r>
                    <w:rPr>
                      <w:rFonts w:hint="eastAsia"/>
                      <w:sz w:val="21"/>
                      <w:szCs w:val="21"/>
                    </w:rPr>
                    <w:t>～</w:t>
                  </w:r>
                  <w:r>
                    <w:rPr>
                      <w:sz w:val="21"/>
                      <w:szCs w:val="21"/>
                    </w:rPr>
                    <w:t>2025</w:t>
                  </w:r>
                  <w:r>
                    <w:rPr>
                      <w:rFonts w:hint="eastAsia"/>
                      <w:sz w:val="21"/>
                      <w:szCs w:val="21"/>
                    </w:rPr>
                    <w:t>年</w:t>
                  </w:r>
                  <w:r>
                    <w:rPr>
                      <w:sz w:val="21"/>
                      <w:szCs w:val="21"/>
                    </w:rPr>
                    <w:t>)</w:t>
                  </w:r>
                  <w:r>
                    <w:rPr>
                      <w:rFonts w:hint="eastAsia"/>
                      <w:sz w:val="21"/>
                      <w:szCs w:val="21"/>
                    </w:rPr>
                    <w:t>》的要求。</w:t>
                  </w:r>
                </w:p>
              </w:tc>
              <w:tc>
                <w:tcPr>
                  <w:tcW w:w="527" w:type="pct"/>
                  <w:tcBorders>
                    <w:tl2br w:val="nil"/>
                    <w:tr2bl w:val="nil"/>
                  </w:tcBorders>
                  <w:vAlign w:val="center"/>
                </w:tcPr>
                <w:p w14:paraId="79A64EC6">
                  <w:pPr>
                    <w:spacing w:line="240" w:lineRule="auto"/>
                    <w:ind w:firstLine="0" w:firstLineChars="0"/>
                    <w:jc w:val="center"/>
                    <w:outlineLvl w:val="2"/>
                    <w:rPr>
                      <w:sz w:val="21"/>
                      <w:szCs w:val="21"/>
                    </w:rPr>
                  </w:pPr>
                  <w:r>
                    <w:rPr>
                      <w:rFonts w:hint="eastAsia"/>
                      <w:sz w:val="21"/>
                      <w:szCs w:val="21"/>
                    </w:rPr>
                    <w:t>符合</w:t>
                  </w:r>
                </w:p>
              </w:tc>
            </w:tr>
            <w:tr w14:paraId="5B42F2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899" w:type="pct"/>
                  <w:tcBorders>
                    <w:tl2br w:val="nil"/>
                    <w:tr2bl w:val="nil"/>
                  </w:tcBorders>
                  <w:vAlign w:val="center"/>
                </w:tcPr>
                <w:p w14:paraId="68F694E1">
                  <w:pPr>
                    <w:spacing w:line="240" w:lineRule="auto"/>
                    <w:ind w:firstLine="0" w:firstLineChars="0"/>
                    <w:jc w:val="center"/>
                    <w:outlineLvl w:val="2"/>
                    <w:rPr>
                      <w:b/>
                      <w:sz w:val="21"/>
                      <w:szCs w:val="21"/>
                    </w:rPr>
                  </w:pPr>
                  <w:bookmarkStart w:id="0" w:name="_Toc369084192"/>
                  <w:r>
                    <w:rPr>
                      <w:rFonts w:hint="eastAsia"/>
                      <w:sz w:val="21"/>
                      <w:szCs w:val="21"/>
                    </w:rPr>
                    <w:t>进一步完善矿山地质环境保护与治理管理体系，全面落实矿山地质环境保护与治理恢复责任制，强化矿业权人主体责任，依法履行矿山地质环境保护与土地复垦义务，严格落实矿山地质环境保护与土地复垦方案。新建、生产矿山地质环境实现“边开采、边治理”，加强对矿山地质环境保护与治理规划执行情况的监督管理。加大露天矿山地质环境治理力度。完成和静县境内历史形成责任灭失非煤矿山采空区及和静县矿山地质环境保护与治理2025年规划目标。</w:t>
                  </w:r>
                  <w:bookmarkEnd w:id="0"/>
                </w:p>
              </w:tc>
              <w:tc>
                <w:tcPr>
                  <w:tcW w:w="1573" w:type="pct"/>
                  <w:tcBorders>
                    <w:tl2br w:val="nil"/>
                    <w:tr2bl w:val="nil"/>
                  </w:tcBorders>
                  <w:vAlign w:val="center"/>
                </w:tcPr>
                <w:p w14:paraId="12DF148F">
                  <w:pPr>
                    <w:spacing w:line="240" w:lineRule="auto"/>
                    <w:ind w:firstLine="0" w:firstLineChars="0"/>
                    <w:jc w:val="center"/>
                    <w:outlineLvl w:val="2"/>
                    <w:rPr>
                      <w:b/>
                      <w:sz w:val="21"/>
                      <w:szCs w:val="21"/>
                    </w:rPr>
                  </w:pPr>
                  <w:r>
                    <w:rPr>
                      <w:rFonts w:hint="eastAsia"/>
                      <w:sz w:val="21"/>
                      <w:szCs w:val="21"/>
                    </w:rPr>
                    <w:t>本项目勘查期占地为生活营地以及勘探作业占地，属于临时占地。生活营地与勘探区人员活动会造成表层土壤过于紧实，降低土壤的通透性和渗水性，对后期植物的生长会造成不良影响。待项目勘探期结束后，拆除临时生活营地，恢复原有地貌。</w:t>
                  </w:r>
                </w:p>
              </w:tc>
              <w:tc>
                <w:tcPr>
                  <w:tcW w:w="527" w:type="pct"/>
                  <w:tcBorders>
                    <w:tl2br w:val="nil"/>
                    <w:tr2bl w:val="nil"/>
                  </w:tcBorders>
                  <w:vAlign w:val="center"/>
                </w:tcPr>
                <w:p w14:paraId="0B1C2830">
                  <w:pPr>
                    <w:spacing w:line="240" w:lineRule="auto"/>
                    <w:ind w:firstLine="0" w:firstLineChars="0"/>
                    <w:jc w:val="center"/>
                    <w:outlineLvl w:val="2"/>
                    <w:rPr>
                      <w:sz w:val="21"/>
                      <w:szCs w:val="21"/>
                    </w:rPr>
                  </w:pPr>
                  <w:r>
                    <w:rPr>
                      <w:rFonts w:hint="eastAsia"/>
                      <w:sz w:val="21"/>
                      <w:szCs w:val="21"/>
                    </w:rPr>
                    <w:t>符合</w:t>
                  </w:r>
                </w:p>
              </w:tc>
            </w:tr>
          </w:tbl>
          <w:p w14:paraId="2CD5AB92">
            <w:pPr>
              <w:autoSpaceDE w:val="0"/>
              <w:autoSpaceDN w:val="0"/>
              <w:adjustRightInd w:val="0"/>
              <w:snapToGrid w:val="0"/>
              <w:ind w:firstLine="480"/>
            </w:pPr>
          </w:p>
        </w:tc>
      </w:tr>
      <w:tr w14:paraId="000B54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05" w:hRule="atLeast"/>
          <w:jc w:val="center"/>
        </w:trPr>
        <w:tc>
          <w:tcPr>
            <w:tcW w:w="1877" w:type="dxa"/>
            <w:vAlign w:val="center"/>
          </w:tcPr>
          <w:p w14:paraId="731D3358">
            <w:pPr>
              <w:autoSpaceDE w:val="0"/>
              <w:autoSpaceDN w:val="0"/>
              <w:adjustRightInd w:val="0"/>
              <w:snapToGrid w:val="0"/>
              <w:spacing w:line="240" w:lineRule="auto"/>
              <w:ind w:firstLine="0" w:firstLineChars="0"/>
              <w:rPr>
                <w:kern w:val="0"/>
              </w:rPr>
            </w:pPr>
            <w:r>
              <w:rPr>
                <w:rFonts w:hint="eastAsia" w:ascii="宋体" w:hAnsi="宋体" w:cs="宋体"/>
                <w:kern w:val="0"/>
                <w:szCs w:val="21"/>
              </w:rPr>
              <w:t>其他符合性分析</w:t>
            </w:r>
          </w:p>
        </w:tc>
        <w:tc>
          <w:tcPr>
            <w:tcW w:w="7238" w:type="dxa"/>
            <w:gridSpan w:val="3"/>
          </w:tcPr>
          <w:p w14:paraId="415C809A">
            <w:pPr>
              <w:pStyle w:val="20"/>
              <w:ind w:firstLine="482"/>
              <w:jc w:val="both"/>
            </w:pPr>
            <w:r>
              <w:t>1</w:t>
            </w:r>
            <w:r>
              <w:rPr>
                <w:rFonts w:hint="eastAsia"/>
              </w:rPr>
              <w:t>.</w:t>
            </w:r>
            <w:r>
              <w:t>产业政策符合性</w:t>
            </w:r>
          </w:p>
          <w:p w14:paraId="0791CA88">
            <w:pPr>
              <w:ind w:firstLine="480"/>
            </w:pPr>
            <w:r>
              <w:rPr>
                <w:rFonts w:hint="eastAsia"/>
                <w:snapToGrid w:val="0"/>
              </w:rPr>
              <w:t>本项目为陆地矿产资源地质勘查项目，已取得所在区域的探矿权，探矿证号：T6500002008114010018119。</w:t>
            </w:r>
            <w:r>
              <w:rPr>
                <w:snapToGrid w:val="0"/>
              </w:rPr>
              <w:t>根据</w:t>
            </w:r>
            <w:r>
              <w:rPr>
                <w:rFonts w:ascii="宋体" w:hAnsi="宋体"/>
                <w:color w:val="000000"/>
                <w:szCs w:val="22"/>
              </w:rPr>
              <w:t>《产业结构调整指导目录（</w:t>
            </w:r>
            <w:r>
              <w:t>20</w:t>
            </w:r>
            <w:r>
              <w:rPr>
                <w:rFonts w:hint="eastAsia"/>
              </w:rPr>
              <w:t>24</w:t>
            </w:r>
            <w:r>
              <w:t>年</w:t>
            </w:r>
            <w:r>
              <w:rPr>
                <w:rFonts w:ascii="宋体" w:hAnsi="宋体"/>
                <w:color w:val="000000"/>
                <w:szCs w:val="22"/>
              </w:rPr>
              <w:t>本）》</w:t>
            </w:r>
            <w:r>
              <w:rPr>
                <w:snapToGrid w:val="0"/>
              </w:rPr>
              <w:t>，</w:t>
            </w:r>
            <w:r>
              <w:rPr>
                <w:rFonts w:hint="eastAsia"/>
                <w:snapToGrid w:val="0"/>
              </w:rPr>
              <w:t>本项目为固体矿产地质勘探，不属于鼓励类、限制类、淘汰类项目，为允许类。</w:t>
            </w:r>
            <w:r>
              <w:rPr>
                <w:snapToGrid w:val="0"/>
              </w:rPr>
              <w:t>因此其建设符合国家产业政策要求。</w:t>
            </w:r>
            <w:r>
              <w:rPr>
                <w:rFonts w:hint="eastAsia"/>
                <w:snapToGrid w:val="0"/>
              </w:rPr>
              <w:t>本项目为金矿勘探项目，不在《新疆维吾尔自治区</w:t>
            </w:r>
            <w:r>
              <w:rPr>
                <w:snapToGrid w:val="0"/>
              </w:rPr>
              <w:t>28</w:t>
            </w:r>
            <w:r>
              <w:rPr>
                <w:rFonts w:hint="eastAsia"/>
                <w:snapToGrid w:val="0"/>
              </w:rPr>
              <w:t>个国家重点生态功能区县（市）产业准入负面清单（试行）》产业准入负面清单的禁止类和限制类中。综上所述，本项目符合产业政策。</w:t>
            </w:r>
          </w:p>
          <w:p w14:paraId="21A88F10">
            <w:pPr>
              <w:pStyle w:val="20"/>
              <w:ind w:firstLine="482"/>
              <w:jc w:val="both"/>
            </w:pPr>
            <w:r>
              <w:t>2</w:t>
            </w:r>
            <w:r>
              <w:rPr>
                <w:rFonts w:hint="eastAsia"/>
              </w:rPr>
              <w:t>.生态环境分区管控</w:t>
            </w:r>
            <w:r>
              <w:t>符合性</w:t>
            </w:r>
          </w:p>
          <w:p w14:paraId="0E91E006">
            <w:pPr>
              <w:pStyle w:val="20"/>
              <w:ind w:firstLine="482"/>
              <w:jc w:val="both"/>
            </w:pPr>
            <w:r>
              <w:rPr>
                <w:rFonts w:hint="eastAsia"/>
              </w:rPr>
              <w:t>2.1《新疆维吾尔自治区生态环境分区管控方案》符合性分析</w:t>
            </w:r>
          </w:p>
          <w:p w14:paraId="69FE4F3A">
            <w:pPr>
              <w:ind w:firstLine="480"/>
            </w:pPr>
            <w:r>
              <w:rPr>
                <w:rFonts w:hint="eastAsia"/>
              </w:rPr>
              <w:t>根据《关于印发〈新疆维吾尔自治区生态环境分区管控动态更新成果〉的通知》（新环环评发〔2024〕157号）。项目与自治区符合性分析见下表。</w:t>
            </w:r>
          </w:p>
          <w:p w14:paraId="15EE4EF3">
            <w:pPr>
              <w:pStyle w:val="33"/>
              <w:spacing w:before="120"/>
            </w:pPr>
            <w:r>
              <w:rPr>
                <w:rFonts w:hint="eastAsia"/>
              </w:rPr>
              <w:t>表</w:t>
            </w:r>
            <w:r>
              <w:t>1</w:t>
            </w:r>
            <w:r>
              <w:rPr>
                <w:rFonts w:hint="eastAsia"/>
              </w:rPr>
              <w:t>-5与新疆维吾尔自治区生态环境分区管控符合性分析</w:t>
            </w:r>
          </w:p>
          <w:tbl>
            <w:tblPr>
              <w:tblStyle w:val="23"/>
              <w:tblW w:w="497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286"/>
              <w:gridCol w:w="563"/>
              <w:gridCol w:w="4353"/>
              <w:gridCol w:w="1207"/>
              <w:gridCol w:w="551"/>
            </w:tblGrid>
            <w:tr w14:paraId="6066D5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609" w:type="pct"/>
                  <w:gridSpan w:val="2"/>
                  <w:vAlign w:val="center"/>
                </w:tcPr>
                <w:p w14:paraId="2868DCD7">
                  <w:pPr>
                    <w:pStyle w:val="31"/>
                  </w:pPr>
                  <w:r>
                    <w:rPr>
                      <w:rFonts w:hint="eastAsia"/>
                    </w:rPr>
                    <w:t>管控维度</w:t>
                  </w:r>
                </w:p>
              </w:tc>
              <w:tc>
                <w:tcPr>
                  <w:tcW w:w="3126" w:type="pct"/>
                  <w:vAlign w:val="center"/>
                </w:tcPr>
                <w:p w14:paraId="441F98F2">
                  <w:pPr>
                    <w:pStyle w:val="31"/>
                  </w:pPr>
                  <w:r>
                    <w:rPr>
                      <w:rFonts w:hint="eastAsia"/>
                    </w:rPr>
                    <w:t>管控要求</w:t>
                  </w:r>
                </w:p>
              </w:tc>
              <w:tc>
                <w:tcPr>
                  <w:tcW w:w="867" w:type="pct"/>
                  <w:vAlign w:val="center"/>
                </w:tcPr>
                <w:p w14:paraId="05076D7C">
                  <w:pPr>
                    <w:pStyle w:val="31"/>
                  </w:pPr>
                  <w:r>
                    <w:rPr>
                      <w:rFonts w:hint="eastAsia"/>
                    </w:rPr>
                    <w:t>本项目情况</w:t>
                  </w:r>
                </w:p>
              </w:tc>
              <w:tc>
                <w:tcPr>
                  <w:tcW w:w="396" w:type="pct"/>
                  <w:vAlign w:val="center"/>
                </w:tcPr>
                <w:p w14:paraId="74102779">
                  <w:pPr>
                    <w:pStyle w:val="31"/>
                  </w:pPr>
                  <w:r>
                    <w:rPr>
                      <w:rFonts w:hint="eastAsia"/>
                    </w:rPr>
                    <w:t>符合性</w:t>
                  </w:r>
                </w:p>
              </w:tc>
            </w:tr>
            <w:tr w14:paraId="53F663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restart"/>
                  <w:vAlign w:val="center"/>
                </w:tcPr>
                <w:p w14:paraId="73645512">
                  <w:pPr>
                    <w:pStyle w:val="31"/>
                  </w:pPr>
                  <w:r>
                    <w:rPr>
                      <w:rFonts w:hint="eastAsia"/>
                    </w:rPr>
                    <w:t>A1空间布局</w:t>
                  </w:r>
                </w:p>
              </w:tc>
              <w:tc>
                <w:tcPr>
                  <w:tcW w:w="404" w:type="pct"/>
                  <w:vMerge w:val="restart"/>
                  <w:vAlign w:val="center"/>
                </w:tcPr>
                <w:p w14:paraId="08D04C33">
                  <w:pPr>
                    <w:pStyle w:val="31"/>
                  </w:pPr>
                  <w:r>
                    <w:rPr>
                      <w:rFonts w:hint="eastAsia"/>
                    </w:rPr>
                    <w:t>A1.1禁止开发建设的活动</w:t>
                  </w:r>
                </w:p>
              </w:tc>
              <w:tc>
                <w:tcPr>
                  <w:tcW w:w="3126" w:type="pct"/>
                </w:tcPr>
                <w:p w14:paraId="2CB1CDDC">
                  <w:pPr>
                    <w:pStyle w:val="41"/>
                    <w:spacing w:before="10" w:line="263" w:lineRule="auto"/>
                    <w:ind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〔A1.1-1〕禁止新建、扩建《产业结构调整指导目录（2024年本）》中淘汰类项目。禁止引入《市场准入负面清单（202</w:t>
                  </w:r>
                  <w:r>
                    <w:rPr>
                      <w:rFonts w:hint="eastAsia" w:ascii="Times New Roman" w:hAnsi="Times New Roman" w:cs="Times New Roman"/>
                      <w:sz w:val="21"/>
                      <w:szCs w:val="22"/>
                      <w:lang w:val="en-US" w:eastAsia="zh-CN"/>
                    </w:rPr>
                    <w:t>5</w:t>
                  </w:r>
                  <w:r>
                    <w:rPr>
                      <w:rFonts w:hint="eastAsia" w:ascii="Times New Roman" w:hAnsi="Times New Roman" w:cs="Times New Roman"/>
                      <w:sz w:val="21"/>
                      <w:szCs w:val="22"/>
                      <w:lang w:eastAsia="zh-CN"/>
                    </w:rPr>
                    <w:t>年版）》禁止准入类事项。</w:t>
                  </w:r>
                </w:p>
              </w:tc>
              <w:tc>
                <w:tcPr>
                  <w:tcW w:w="867" w:type="pct"/>
                  <w:vMerge w:val="restart"/>
                  <w:vAlign w:val="center"/>
                </w:tcPr>
                <w:p w14:paraId="700580EF">
                  <w:pPr>
                    <w:pStyle w:val="31"/>
                  </w:pPr>
                  <w:r>
                    <w:rPr>
                      <w:rFonts w:hint="eastAsia"/>
                    </w:rPr>
                    <w:t>本项目为陆地矿产资源地质勘查项目</w:t>
                  </w:r>
                  <w:r>
                    <w:rPr>
                      <w:rStyle w:val="28"/>
                      <w:rFonts w:hint="eastAsia"/>
                    </w:rPr>
                    <w:t>，属于《产业结构调整指导目录(2024年本)》</w:t>
                  </w:r>
                  <w:r>
                    <w:rPr>
                      <w:rStyle w:val="28"/>
                      <w:rFonts w:hint="eastAsia"/>
                      <w:lang w:val="en-US" w:eastAsia="zh-CN"/>
                    </w:rPr>
                    <w:t>允许类</w:t>
                  </w:r>
                  <w:r>
                    <w:rPr>
                      <w:rStyle w:val="28"/>
                      <w:rFonts w:hint="eastAsia"/>
                    </w:rPr>
                    <w:t>项目，不属于《市场准入负面清单(202</w:t>
                  </w:r>
                  <w:r>
                    <w:rPr>
                      <w:rStyle w:val="28"/>
                      <w:rFonts w:hint="eastAsia"/>
                      <w:lang w:val="en-US" w:eastAsia="zh-CN"/>
                    </w:rPr>
                    <w:t>5</w:t>
                  </w:r>
                  <w:r>
                    <w:rPr>
                      <w:rStyle w:val="28"/>
                      <w:rFonts w:hint="eastAsia"/>
                    </w:rPr>
                    <w:t>年版)》禁止准入类事项，项目区不涉及湿地。</w:t>
                  </w:r>
                </w:p>
              </w:tc>
              <w:tc>
                <w:tcPr>
                  <w:tcW w:w="396" w:type="pct"/>
                  <w:vAlign w:val="center"/>
                </w:tcPr>
                <w:p w14:paraId="43344439">
                  <w:pPr>
                    <w:pStyle w:val="31"/>
                  </w:pPr>
                  <w:r>
                    <w:rPr>
                      <w:rFonts w:hint="eastAsia"/>
                    </w:rPr>
                    <w:t>符合</w:t>
                  </w:r>
                </w:p>
              </w:tc>
            </w:tr>
            <w:tr w14:paraId="42B201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02C39FA3">
                  <w:pPr>
                    <w:pStyle w:val="31"/>
                  </w:pPr>
                </w:p>
              </w:tc>
              <w:tc>
                <w:tcPr>
                  <w:tcW w:w="404" w:type="pct"/>
                  <w:vMerge w:val="continue"/>
                  <w:vAlign w:val="center"/>
                </w:tcPr>
                <w:p w14:paraId="4CE4A113">
                  <w:pPr>
                    <w:pStyle w:val="31"/>
                  </w:pPr>
                </w:p>
              </w:tc>
              <w:tc>
                <w:tcPr>
                  <w:tcW w:w="3126" w:type="pct"/>
                </w:tcPr>
                <w:p w14:paraId="3939E07B">
                  <w:pPr>
                    <w:pStyle w:val="41"/>
                    <w:spacing w:before="12" w:line="243" w:lineRule="auto"/>
                    <w:ind w:right="3"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〔A1.1-2〕禁止建设不符合国家和自治区环境保护标准的项目。</w:t>
                  </w:r>
                </w:p>
              </w:tc>
              <w:tc>
                <w:tcPr>
                  <w:tcW w:w="867" w:type="pct"/>
                  <w:vMerge w:val="continue"/>
                  <w:vAlign w:val="center"/>
                </w:tcPr>
                <w:p w14:paraId="4F138963">
                  <w:pPr>
                    <w:pStyle w:val="31"/>
                  </w:pPr>
                </w:p>
              </w:tc>
              <w:tc>
                <w:tcPr>
                  <w:tcW w:w="396" w:type="pct"/>
                  <w:vAlign w:val="center"/>
                </w:tcPr>
                <w:p w14:paraId="5748C7BF">
                  <w:pPr>
                    <w:pStyle w:val="31"/>
                  </w:pPr>
                  <w:r>
                    <w:rPr>
                      <w:rFonts w:hint="eastAsia"/>
                    </w:rPr>
                    <w:t>符合</w:t>
                  </w:r>
                </w:p>
              </w:tc>
            </w:tr>
            <w:tr w14:paraId="61D0DD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2631F3FB">
                  <w:pPr>
                    <w:pStyle w:val="31"/>
                  </w:pPr>
                </w:p>
              </w:tc>
              <w:tc>
                <w:tcPr>
                  <w:tcW w:w="404" w:type="pct"/>
                  <w:vMerge w:val="continue"/>
                  <w:vAlign w:val="center"/>
                </w:tcPr>
                <w:p w14:paraId="0154725B">
                  <w:pPr>
                    <w:pStyle w:val="31"/>
                  </w:pPr>
                </w:p>
              </w:tc>
              <w:tc>
                <w:tcPr>
                  <w:tcW w:w="3126" w:type="pct"/>
                </w:tcPr>
                <w:p w14:paraId="27C0E4DD">
                  <w:pPr>
                    <w:pStyle w:val="41"/>
                    <w:spacing w:before="14" w:line="259" w:lineRule="auto"/>
                    <w:ind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〔A1.1-3〕禁止在饮用水水源保护区、风景名胜区、自然保护区的核心区和缓冲区、城镇居民区、文化教育科学研究区等人口集中区域以及法律法规规定的其他禁止养殖区域建设畜禽养殖场、养殖小区。</w:t>
                  </w:r>
                </w:p>
              </w:tc>
              <w:tc>
                <w:tcPr>
                  <w:tcW w:w="867" w:type="pct"/>
                  <w:vMerge w:val="continue"/>
                  <w:vAlign w:val="center"/>
                </w:tcPr>
                <w:p w14:paraId="628A76C9">
                  <w:pPr>
                    <w:pStyle w:val="31"/>
                  </w:pPr>
                </w:p>
              </w:tc>
              <w:tc>
                <w:tcPr>
                  <w:tcW w:w="396" w:type="pct"/>
                  <w:vAlign w:val="center"/>
                </w:tcPr>
                <w:p w14:paraId="76A14754">
                  <w:pPr>
                    <w:pStyle w:val="31"/>
                  </w:pPr>
                  <w:r>
                    <w:rPr>
                      <w:rFonts w:hint="eastAsia"/>
                    </w:rPr>
                    <w:t>符合</w:t>
                  </w:r>
                </w:p>
              </w:tc>
            </w:tr>
            <w:tr w14:paraId="771025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39DB6B49">
                  <w:pPr>
                    <w:pStyle w:val="31"/>
                  </w:pPr>
                </w:p>
              </w:tc>
              <w:tc>
                <w:tcPr>
                  <w:tcW w:w="404" w:type="pct"/>
                  <w:vMerge w:val="continue"/>
                  <w:vAlign w:val="center"/>
                </w:tcPr>
                <w:p w14:paraId="48D86162">
                  <w:pPr>
                    <w:pStyle w:val="31"/>
                  </w:pPr>
                </w:p>
              </w:tc>
              <w:tc>
                <w:tcPr>
                  <w:tcW w:w="3126" w:type="pct"/>
                </w:tcPr>
                <w:p w14:paraId="4ADBBA08">
                  <w:pPr>
                    <w:pStyle w:val="41"/>
                    <w:spacing w:before="16" w:line="246" w:lineRule="auto"/>
                    <w:ind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〔A1.1-4〕禁止在水源涵养区、地下水源、饮用水源、自然保护区、风景名胜区、森林公园、重要湿地及人群密集区等生态敏感区域内进行煤炭、石油、天然气开发。</w:t>
                  </w:r>
                </w:p>
              </w:tc>
              <w:tc>
                <w:tcPr>
                  <w:tcW w:w="867" w:type="pct"/>
                  <w:vMerge w:val="continue"/>
                  <w:vAlign w:val="center"/>
                </w:tcPr>
                <w:p w14:paraId="2031750D">
                  <w:pPr>
                    <w:pStyle w:val="31"/>
                  </w:pPr>
                </w:p>
              </w:tc>
              <w:tc>
                <w:tcPr>
                  <w:tcW w:w="396" w:type="pct"/>
                  <w:vAlign w:val="center"/>
                </w:tcPr>
                <w:p w14:paraId="67F3A939">
                  <w:pPr>
                    <w:pStyle w:val="31"/>
                  </w:pPr>
                  <w:r>
                    <w:rPr>
                      <w:rFonts w:hint="eastAsia"/>
                    </w:rPr>
                    <w:t>符合</w:t>
                  </w:r>
                </w:p>
              </w:tc>
            </w:tr>
            <w:tr w14:paraId="3BB4B4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38CBC230">
                  <w:pPr>
                    <w:pStyle w:val="31"/>
                  </w:pPr>
                </w:p>
              </w:tc>
              <w:tc>
                <w:tcPr>
                  <w:tcW w:w="404" w:type="pct"/>
                  <w:vMerge w:val="continue"/>
                  <w:vAlign w:val="center"/>
                </w:tcPr>
                <w:p w14:paraId="553F0229">
                  <w:pPr>
                    <w:pStyle w:val="31"/>
                  </w:pPr>
                </w:p>
              </w:tc>
              <w:tc>
                <w:tcPr>
                  <w:tcW w:w="3126" w:type="pct"/>
                </w:tcPr>
                <w:p w14:paraId="139A608B">
                  <w:pPr>
                    <w:pStyle w:val="41"/>
                    <w:spacing w:before="17" w:line="259" w:lineRule="auto"/>
                    <w:ind w:right="1"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1.1-5〕禁止下列破坏湿地及其生态功能的行为：（一）开（围）垦、排干自然湿地，永久性截断自然湿地水源；（二）擅自填埋自然湿地，擅自采砂、采矿、取土；（三）排放不符合水污染物排放标准的工业废水、生活污水及其他污染湿地的废水、污水，倾倒、堆放、丢弃、遗撒固体废物；（四）过度放牧或者滥采野生植物，过度捕捞或者灭绝式捕捞，过度施肥、投药、投放饵料等污染湿地的种植养殖行为；（五）其他破坏湿地及其生态功能的行为。</w:t>
                  </w:r>
                </w:p>
              </w:tc>
              <w:tc>
                <w:tcPr>
                  <w:tcW w:w="867" w:type="pct"/>
                  <w:vMerge w:val="continue"/>
                  <w:vAlign w:val="center"/>
                </w:tcPr>
                <w:p w14:paraId="57F8646F">
                  <w:pPr>
                    <w:pStyle w:val="31"/>
                  </w:pPr>
                </w:p>
              </w:tc>
              <w:tc>
                <w:tcPr>
                  <w:tcW w:w="396" w:type="pct"/>
                  <w:vAlign w:val="center"/>
                </w:tcPr>
                <w:p w14:paraId="30D97B67">
                  <w:pPr>
                    <w:pStyle w:val="31"/>
                  </w:pPr>
                  <w:r>
                    <w:rPr>
                      <w:rFonts w:hint="eastAsia"/>
                    </w:rPr>
                    <w:t>符合</w:t>
                  </w:r>
                </w:p>
              </w:tc>
            </w:tr>
            <w:tr w14:paraId="3FC0E9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26201C27">
                  <w:pPr>
                    <w:pStyle w:val="31"/>
                  </w:pPr>
                </w:p>
              </w:tc>
              <w:tc>
                <w:tcPr>
                  <w:tcW w:w="404" w:type="pct"/>
                  <w:vMerge w:val="continue"/>
                  <w:vAlign w:val="center"/>
                </w:tcPr>
                <w:p w14:paraId="52FA2E1D">
                  <w:pPr>
                    <w:pStyle w:val="31"/>
                  </w:pPr>
                </w:p>
              </w:tc>
              <w:tc>
                <w:tcPr>
                  <w:tcW w:w="3126" w:type="pct"/>
                </w:tcPr>
                <w:p w14:paraId="2254F5E1">
                  <w:pPr>
                    <w:pStyle w:val="41"/>
                    <w:spacing w:before="5" w:line="258" w:lineRule="auto"/>
                    <w:ind w:right="3"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1.1-6〕禁止在自治区行政区域内引进能（水）耗不符合相关国家标准中准入值要求且污染物排放和环境风险防控不符合国家（地方）标准及有关产业准入条件的高污染（排放）、高能（水）耗、高环境风险的工业项目。</w:t>
                  </w:r>
                </w:p>
              </w:tc>
              <w:tc>
                <w:tcPr>
                  <w:tcW w:w="867" w:type="pct"/>
                  <w:vMerge w:val="restart"/>
                  <w:vAlign w:val="center"/>
                </w:tcPr>
                <w:p w14:paraId="320495F2">
                  <w:pPr>
                    <w:pStyle w:val="31"/>
                  </w:pPr>
                  <w:r>
                    <w:rPr>
                      <w:rFonts w:hint="eastAsia"/>
                    </w:rPr>
                    <w:t>本项目不属于工业项目，不涉及危险化学品、不涉及重金属。</w:t>
                  </w:r>
                </w:p>
              </w:tc>
              <w:tc>
                <w:tcPr>
                  <w:tcW w:w="396" w:type="pct"/>
                  <w:vAlign w:val="center"/>
                </w:tcPr>
                <w:p w14:paraId="1F77DE65">
                  <w:pPr>
                    <w:pStyle w:val="31"/>
                  </w:pPr>
                  <w:r>
                    <w:rPr>
                      <w:rFonts w:hint="eastAsia"/>
                    </w:rPr>
                    <w:t>符合</w:t>
                  </w:r>
                </w:p>
              </w:tc>
            </w:tr>
            <w:tr w14:paraId="0125F4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2B559531">
                  <w:pPr>
                    <w:pStyle w:val="31"/>
                  </w:pPr>
                </w:p>
              </w:tc>
              <w:tc>
                <w:tcPr>
                  <w:tcW w:w="404" w:type="pct"/>
                  <w:vMerge w:val="continue"/>
                  <w:vAlign w:val="center"/>
                </w:tcPr>
                <w:p w14:paraId="559F56A8">
                  <w:pPr>
                    <w:pStyle w:val="31"/>
                  </w:pPr>
                </w:p>
              </w:tc>
              <w:tc>
                <w:tcPr>
                  <w:tcW w:w="3126" w:type="pct"/>
                </w:tcPr>
                <w:p w14:paraId="0C43519A">
                  <w:pPr>
                    <w:pStyle w:val="41"/>
                    <w:spacing w:before="12" w:line="250" w:lineRule="auto"/>
                    <w:ind w:right="1"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1.1-7〕①坚决遏制高耗能高排放低水平项目盲目发展。严把高耗能高排放低水平项目准入关口，严格落实污染物排放区域削减要求，对不符合规定的项目坚决停批停建。依法依规淘汰落后产能和化解过剩产能。②重点行业企业纳入重污染天气绩效分级，制定“一厂一策”应急减排清单，实现应纳尽纳；引导重点企业在秋冬季安排停产检修计划，减少冬季和采暖期排放。推进重点行业深度治理，实施全工况脱硫脱硝提标改造，加大无组织排放治理力度，深度开展工业炉窑综合整治，全面提升电解铝、活性炭、硅冶炼、纯碱、电石、聚氯乙烯、石化等行业污染治理水平。</w:t>
                  </w:r>
                </w:p>
              </w:tc>
              <w:tc>
                <w:tcPr>
                  <w:tcW w:w="867" w:type="pct"/>
                  <w:vMerge w:val="continue"/>
                  <w:vAlign w:val="center"/>
                </w:tcPr>
                <w:p w14:paraId="01AB6216">
                  <w:pPr>
                    <w:pStyle w:val="31"/>
                  </w:pPr>
                </w:p>
              </w:tc>
              <w:tc>
                <w:tcPr>
                  <w:tcW w:w="396" w:type="pct"/>
                  <w:vAlign w:val="center"/>
                </w:tcPr>
                <w:p w14:paraId="498B6232">
                  <w:pPr>
                    <w:pStyle w:val="31"/>
                  </w:pPr>
                  <w:r>
                    <w:rPr>
                      <w:rFonts w:hint="eastAsia"/>
                    </w:rPr>
                    <w:t>符合</w:t>
                  </w:r>
                </w:p>
              </w:tc>
            </w:tr>
            <w:tr w14:paraId="064A98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1907F663">
                  <w:pPr>
                    <w:pStyle w:val="31"/>
                  </w:pPr>
                </w:p>
              </w:tc>
              <w:tc>
                <w:tcPr>
                  <w:tcW w:w="404" w:type="pct"/>
                  <w:vMerge w:val="continue"/>
                  <w:vAlign w:val="center"/>
                </w:tcPr>
                <w:p w14:paraId="0A0A34FC">
                  <w:pPr>
                    <w:pStyle w:val="31"/>
                  </w:pPr>
                </w:p>
              </w:tc>
              <w:tc>
                <w:tcPr>
                  <w:tcW w:w="3126" w:type="pct"/>
                </w:tcPr>
                <w:p w14:paraId="5E2F8C59">
                  <w:pPr>
                    <w:pStyle w:val="41"/>
                    <w:spacing w:before="1" w:line="250" w:lineRule="auto"/>
                    <w:ind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〔A1.1-8〕严格执行危险化学品“禁限控”目录，新建危险化学品生产项目必须进入一般或较低安全风险的化工园区（与其他行业生产装置配套建设的项目除外），引导其他石化化工项目在化工园区发展。</w:t>
                  </w:r>
                </w:p>
              </w:tc>
              <w:tc>
                <w:tcPr>
                  <w:tcW w:w="867" w:type="pct"/>
                  <w:vMerge w:val="continue"/>
                  <w:vAlign w:val="center"/>
                </w:tcPr>
                <w:p w14:paraId="2B705E44">
                  <w:pPr>
                    <w:pStyle w:val="31"/>
                  </w:pPr>
                </w:p>
              </w:tc>
              <w:tc>
                <w:tcPr>
                  <w:tcW w:w="396" w:type="pct"/>
                  <w:vAlign w:val="center"/>
                </w:tcPr>
                <w:p w14:paraId="6B65B964">
                  <w:pPr>
                    <w:pStyle w:val="31"/>
                  </w:pPr>
                  <w:r>
                    <w:rPr>
                      <w:rFonts w:hint="eastAsia"/>
                    </w:rPr>
                    <w:t>符合</w:t>
                  </w:r>
                </w:p>
              </w:tc>
            </w:tr>
            <w:tr w14:paraId="306B3C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67A67CFB">
                  <w:pPr>
                    <w:pStyle w:val="31"/>
                  </w:pPr>
                </w:p>
              </w:tc>
              <w:tc>
                <w:tcPr>
                  <w:tcW w:w="404" w:type="pct"/>
                  <w:vMerge w:val="continue"/>
                  <w:vAlign w:val="center"/>
                </w:tcPr>
                <w:p w14:paraId="68B7095E">
                  <w:pPr>
                    <w:pStyle w:val="31"/>
                  </w:pPr>
                </w:p>
              </w:tc>
              <w:tc>
                <w:tcPr>
                  <w:tcW w:w="3126" w:type="pct"/>
                </w:tcPr>
                <w:p w14:paraId="45434B6F">
                  <w:pPr>
                    <w:pStyle w:val="41"/>
                    <w:spacing w:before="7" w:line="250" w:lineRule="auto"/>
                    <w:ind w:right="3"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1.1-9〕严禁新建自治区《禁止、控制和限制危险化学品目录》中淘汰类、禁止类危险化学品化工项目。严格执行生态保护红线、永久基本农田管控要求，禁止新（改、扩）建化工项目违规占用生态保护红线和永久基本农田。在塔里木河、伊犁河、额尔齐斯河干流及主要支流岸线1公里范围内，除提升安全、环保、节能、智能化、产品质量水平的技术改造项目外，严格禁止新建、扩建化工项目，不得布局新的化工园区（含化工集中区）。</w:t>
                  </w:r>
                </w:p>
              </w:tc>
              <w:tc>
                <w:tcPr>
                  <w:tcW w:w="867" w:type="pct"/>
                  <w:vMerge w:val="continue"/>
                  <w:vAlign w:val="center"/>
                </w:tcPr>
                <w:p w14:paraId="6C93D159">
                  <w:pPr>
                    <w:pStyle w:val="31"/>
                  </w:pPr>
                </w:p>
              </w:tc>
              <w:tc>
                <w:tcPr>
                  <w:tcW w:w="396" w:type="pct"/>
                  <w:vAlign w:val="center"/>
                </w:tcPr>
                <w:p w14:paraId="2B4EAD85">
                  <w:pPr>
                    <w:pStyle w:val="31"/>
                  </w:pPr>
                  <w:r>
                    <w:rPr>
                      <w:rFonts w:hint="eastAsia"/>
                    </w:rPr>
                    <w:t>符合</w:t>
                  </w:r>
                </w:p>
              </w:tc>
            </w:tr>
            <w:tr w14:paraId="52B657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645635C4">
                  <w:pPr>
                    <w:pStyle w:val="31"/>
                  </w:pPr>
                </w:p>
              </w:tc>
              <w:tc>
                <w:tcPr>
                  <w:tcW w:w="404" w:type="pct"/>
                  <w:vMerge w:val="continue"/>
                  <w:vAlign w:val="center"/>
                </w:tcPr>
                <w:p w14:paraId="64D8A525">
                  <w:pPr>
                    <w:pStyle w:val="31"/>
                  </w:pPr>
                </w:p>
              </w:tc>
              <w:tc>
                <w:tcPr>
                  <w:tcW w:w="3126" w:type="pct"/>
                </w:tcPr>
                <w:p w14:paraId="1217FEA7">
                  <w:pPr>
                    <w:pStyle w:val="41"/>
                    <w:spacing w:line="250" w:lineRule="auto"/>
                    <w:ind w:right="1"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1.1-10〕推动涉重金属产业集中优化发展，禁止新建用汞的电石法（聚）氯乙烯生产工艺，新建、扩建的重有色金属冶炼、电镀、制革企业优先选择布设在依法合规设立并依法开展规划环境影响评价的产业园区。</w:t>
                  </w:r>
                </w:p>
              </w:tc>
              <w:tc>
                <w:tcPr>
                  <w:tcW w:w="867" w:type="pct"/>
                  <w:vMerge w:val="continue"/>
                  <w:vAlign w:val="center"/>
                </w:tcPr>
                <w:p w14:paraId="697EAAB0">
                  <w:pPr>
                    <w:pStyle w:val="31"/>
                  </w:pPr>
                </w:p>
              </w:tc>
              <w:tc>
                <w:tcPr>
                  <w:tcW w:w="396" w:type="pct"/>
                  <w:vAlign w:val="center"/>
                </w:tcPr>
                <w:p w14:paraId="714D7C15">
                  <w:pPr>
                    <w:pStyle w:val="31"/>
                  </w:pPr>
                  <w:r>
                    <w:rPr>
                      <w:rFonts w:hint="eastAsia"/>
                    </w:rPr>
                    <w:t>符合</w:t>
                  </w:r>
                </w:p>
              </w:tc>
            </w:tr>
            <w:tr w14:paraId="008412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4DEEF6B5">
                  <w:pPr>
                    <w:pStyle w:val="31"/>
                  </w:pPr>
                </w:p>
              </w:tc>
              <w:tc>
                <w:tcPr>
                  <w:tcW w:w="404" w:type="pct"/>
                  <w:vMerge w:val="continue"/>
                  <w:vAlign w:val="center"/>
                </w:tcPr>
                <w:p w14:paraId="6A3FD806">
                  <w:pPr>
                    <w:pStyle w:val="31"/>
                  </w:pPr>
                </w:p>
              </w:tc>
              <w:tc>
                <w:tcPr>
                  <w:tcW w:w="3126" w:type="pct"/>
                </w:tcPr>
                <w:p w14:paraId="625F8402">
                  <w:pPr>
                    <w:pStyle w:val="41"/>
                    <w:spacing w:line="251" w:lineRule="auto"/>
                    <w:ind w:right="1"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1.1-11〕国务院有关部门和青藏高原县级以上地方人民政府应当建立健全青藏高原雪山冰川冻土保护制度，加强对雪山冰川冻土的监测预警和系统保护。青藏高原省级人民政府应当将大型冰帽冰川、小规模冰川群等划入生态保护红线，对重要雪山冰川实施封禁保护，采取有效措施，严格控制人为扰动。青藏高原省级人民政府应当划定冻土区保护范围，加强对多年冻土区和中深季节冻土区的保护，严格控制多年冻土区资源开发，严格审批多年冻土区城镇规划和交通、管线、输变电等重大工程项目。青藏高原省级人民政府应当开展雪山冰川冻土与周边生态系统的协同保护，维持有利于雪山冰川冻土保护的自然生态环境。</w:t>
                  </w:r>
                </w:p>
              </w:tc>
              <w:tc>
                <w:tcPr>
                  <w:tcW w:w="867" w:type="pct"/>
                  <w:vAlign w:val="center"/>
                </w:tcPr>
                <w:p w14:paraId="43951C4B">
                  <w:pPr>
                    <w:pStyle w:val="31"/>
                  </w:pPr>
                  <w:r>
                    <w:rPr>
                      <w:rFonts w:hint="eastAsia"/>
                    </w:rPr>
                    <w:t>本项目不涉及</w:t>
                  </w:r>
                </w:p>
              </w:tc>
              <w:tc>
                <w:tcPr>
                  <w:tcW w:w="396" w:type="pct"/>
                  <w:vAlign w:val="center"/>
                </w:tcPr>
                <w:p w14:paraId="1CF2F948">
                  <w:pPr>
                    <w:pStyle w:val="31"/>
                  </w:pPr>
                  <w:r>
                    <w:rPr>
                      <w:rFonts w:hint="eastAsia"/>
                    </w:rPr>
                    <w:t>符合</w:t>
                  </w:r>
                </w:p>
              </w:tc>
            </w:tr>
            <w:tr w14:paraId="747DF3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43B3CC60">
                  <w:pPr>
                    <w:pStyle w:val="31"/>
                  </w:pPr>
                </w:p>
              </w:tc>
              <w:tc>
                <w:tcPr>
                  <w:tcW w:w="404" w:type="pct"/>
                  <w:vMerge w:val="restart"/>
                  <w:vAlign w:val="center"/>
                </w:tcPr>
                <w:p w14:paraId="63CFDAB1">
                  <w:pPr>
                    <w:pStyle w:val="31"/>
                  </w:pPr>
                  <w:r>
                    <w:rPr>
                      <w:rFonts w:hint="eastAsia"/>
                    </w:rPr>
                    <w:t>A2.1限制开发建设的活动</w:t>
                  </w:r>
                </w:p>
              </w:tc>
              <w:tc>
                <w:tcPr>
                  <w:tcW w:w="3126" w:type="pct"/>
                </w:tcPr>
                <w:p w14:paraId="50AF6042">
                  <w:pPr>
                    <w:pStyle w:val="41"/>
                    <w:spacing w:line="251" w:lineRule="auto"/>
                    <w:ind w:right="1"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〔A1.2-1〕严格控制缺水地区、水污染严重区域和敏感区域高耗水、高污染行业发展。</w:t>
                  </w:r>
                </w:p>
              </w:tc>
              <w:tc>
                <w:tcPr>
                  <w:tcW w:w="867" w:type="pct"/>
                  <w:vAlign w:val="center"/>
                </w:tcPr>
                <w:p w14:paraId="7FFC6214">
                  <w:pPr>
                    <w:pStyle w:val="31"/>
                  </w:pPr>
                  <w:r>
                    <w:rPr>
                      <w:rFonts w:hint="eastAsia"/>
                    </w:rPr>
                    <w:t>本项目不属于水污染严重区域和敏感区域高耗水、高污染行业发展。</w:t>
                  </w:r>
                </w:p>
              </w:tc>
              <w:tc>
                <w:tcPr>
                  <w:tcW w:w="396" w:type="pct"/>
                  <w:vAlign w:val="center"/>
                </w:tcPr>
                <w:p w14:paraId="4AB0D575">
                  <w:pPr>
                    <w:pStyle w:val="31"/>
                  </w:pPr>
                  <w:r>
                    <w:rPr>
                      <w:rFonts w:hint="eastAsia"/>
                    </w:rPr>
                    <w:t>符合</w:t>
                  </w:r>
                </w:p>
              </w:tc>
            </w:tr>
            <w:tr w14:paraId="2B54CF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5B9EB6B0">
                  <w:pPr>
                    <w:pStyle w:val="31"/>
                  </w:pPr>
                </w:p>
              </w:tc>
              <w:tc>
                <w:tcPr>
                  <w:tcW w:w="404" w:type="pct"/>
                  <w:vMerge w:val="continue"/>
                  <w:vAlign w:val="center"/>
                </w:tcPr>
                <w:p w14:paraId="6AF9D9B7">
                  <w:pPr>
                    <w:pStyle w:val="31"/>
                  </w:pPr>
                </w:p>
              </w:tc>
              <w:tc>
                <w:tcPr>
                  <w:tcW w:w="3126" w:type="pct"/>
                </w:tcPr>
                <w:p w14:paraId="019E6091">
                  <w:pPr>
                    <w:pStyle w:val="41"/>
                    <w:spacing w:before="5" w:line="257" w:lineRule="auto"/>
                    <w:ind w:right="5"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1.2-2〕建设项目用地原则上不得占用永久基本农田，确需占用永久基本农田的建设项目须符合《中华人民共和国基本农田保护条例》中相关要求，占用耕地、林地或草地的建设项目须按照国家、自治区相关补偿要求进行补偿。</w:t>
                  </w:r>
                </w:p>
              </w:tc>
              <w:tc>
                <w:tcPr>
                  <w:tcW w:w="867" w:type="pct"/>
                  <w:vAlign w:val="center"/>
                </w:tcPr>
                <w:p w14:paraId="460580DA">
                  <w:pPr>
                    <w:pStyle w:val="31"/>
                  </w:pPr>
                  <w:r>
                    <w:rPr>
                      <w:rFonts w:hint="eastAsia"/>
                    </w:rPr>
                    <w:t>本项目不占用耕地、林地</w:t>
                  </w:r>
                </w:p>
              </w:tc>
              <w:tc>
                <w:tcPr>
                  <w:tcW w:w="396" w:type="pct"/>
                  <w:vAlign w:val="center"/>
                </w:tcPr>
                <w:p w14:paraId="1A41129A">
                  <w:pPr>
                    <w:pStyle w:val="31"/>
                  </w:pPr>
                  <w:r>
                    <w:rPr>
                      <w:rFonts w:hint="eastAsia"/>
                    </w:rPr>
                    <w:t>符合</w:t>
                  </w:r>
                </w:p>
              </w:tc>
            </w:tr>
            <w:tr w14:paraId="12FF12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29236010">
                  <w:pPr>
                    <w:pStyle w:val="31"/>
                  </w:pPr>
                </w:p>
              </w:tc>
              <w:tc>
                <w:tcPr>
                  <w:tcW w:w="404" w:type="pct"/>
                  <w:vMerge w:val="continue"/>
                  <w:vAlign w:val="center"/>
                </w:tcPr>
                <w:p w14:paraId="288A86E0">
                  <w:pPr>
                    <w:pStyle w:val="31"/>
                  </w:pPr>
                </w:p>
              </w:tc>
              <w:tc>
                <w:tcPr>
                  <w:tcW w:w="3126" w:type="pct"/>
                </w:tcPr>
                <w:p w14:paraId="3F9DA182">
                  <w:pPr>
                    <w:pStyle w:val="41"/>
                    <w:spacing w:before="1" w:line="250" w:lineRule="auto"/>
                    <w:ind w:right="3"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〔A1.2-3〕以用途变更为住宅、公共管理与公共服务用地的地块为重点，严格建设用地准入管理和风险管控，未依法完成土壤污染状况调查或风险评估的地块，不得开工建设与风险管控和修复无关的项目。</w:t>
                  </w:r>
                </w:p>
              </w:tc>
              <w:tc>
                <w:tcPr>
                  <w:tcW w:w="867" w:type="pct"/>
                  <w:vAlign w:val="center"/>
                </w:tcPr>
                <w:p w14:paraId="3ACE8502">
                  <w:pPr>
                    <w:pStyle w:val="31"/>
                  </w:pPr>
                  <w:r>
                    <w:rPr>
                      <w:rFonts w:hint="eastAsia"/>
                    </w:rPr>
                    <w:t>本项目不涉及</w:t>
                  </w:r>
                </w:p>
              </w:tc>
              <w:tc>
                <w:tcPr>
                  <w:tcW w:w="396" w:type="pct"/>
                  <w:vAlign w:val="center"/>
                </w:tcPr>
                <w:p w14:paraId="56FB428B">
                  <w:pPr>
                    <w:pStyle w:val="31"/>
                  </w:pPr>
                  <w:r>
                    <w:rPr>
                      <w:rFonts w:hint="eastAsia"/>
                    </w:rPr>
                    <w:t>符合</w:t>
                  </w:r>
                </w:p>
              </w:tc>
            </w:tr>
            <w:tr w14:paraId="1D76CC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2495BF59">
                  <w:pPr>
                    <w:pStyle w:val="31"/>
                  </w:pPr>
                </w:p>
              </w:tc>
              <w:tc>
                <w:tcPr>
                  <w:tcW w:w="404" w:type="pct"/>
                  <w:vMerge w:val="continue"/>
                  <w:vAlign w:val="center"/>
                </w:tcPr>
                <w:p w14:paraId="69CDB8DC">
                  <w:pPr>
                    <w:pStyle w:val="31"/>
                  </w:pPr>
                </w:p>
              </w:tc>
              <w:tc>
                <w:tcPr>
                  <w:tcW w:w="3126" w:type="pct"/>
                </w:tcPr>
                <w:p w14:paraId="1B0CD30F">
                  <w:pPr>
                    <w:pStyle w:val="41"/>
                    <w:spacing w:line="250" w:lineRule="auto"/>
                    <w:ind w:right="3"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〔A1.2-4〕严格控制建设项目占用湿地。因国家和自治区重点建设工程、基础设施建设，以及重点公益性项目建设，确需占用湿地的，应当按照有关法律法规规定的权限和程序办理批准手续。</w:t>
                  </w:r>
                </w:p>
              </w:tc>
              <w:tc>
                <w:tcPr>
                  <w:tcW w:w="867" w:type="pct"/>
                  <w:vAlign w:val="center"/>
                </w:tcPr>
                <w:p w14:paraId="3BE1FA6B">
                  <w:pPr>
                    <w:pStyle w:val="31"/>
                  </w:pPr>
                  <w:r>
                    <w:rPr>
                      <w:rFonts w:hint="eastAsia"/>
                    </w:rPr>
                    <w:t>本项目不占用湿地</w:t>
                  </w:r>
                </w:p>
              </w:tc>
              <w:tc>
                <w:tcPr>
                  <w:tcW w:w="396" w:type="pct"/>
                  <w:vAlign w:val="center"/>
                </w:tcPr>
                <w:p w14:paraId="286FE26D">
                  <w:pPr>
                    <w:pStyle w:val="31"/>
                  </w:pPr>
                  <w:r>
                    <w:rPr>
                      <w:rFonts w:hint="eastAsia"/>
                    </w:rPr>
                    <w:t>符合</w:t>
                  </w:r>
                </w:p>
              </w:tc>
            </w:tr>
            <w:tr w14:paraId="08F76D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73E58F48">
                  <w:pPr>
                    <w:pStyle w:val="31"/>
                  </w:pPr>
                </w:p>
              </w:tc>
              <w:tc>
                <w:tcPr>
                  <w:tcW w:w="404" w:type="pct"/>
                  <w:vMerge w:val="continue"/>
                  <w:vAlign w:val="center"/>
                </w:tcPr>
                <w:p w14:paraId="2E91FAB5">
                  <w:pPr>
                    <w:pStyle w:val="31"/>
                  </w:pPr>
                </w:p>
              </w:tc>
              <w:tc>
                <w:tcPr>
                  <w:tcW w:w="3126" w:type="pct"/>
                </w:tcPr>
                <w:p w14:paraId="2E63561A">
                  <w:pPr>
                    <w:pStyle w:val="41"/>
                    <w:spacing w:before="2" w:line="249" w:lineRule="auto"/>
                    <w:ind w:right="5"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〔A1.2-5〕严格管控自然保护地范围内非生态活动，稳妥推进核心区内居民、耕地有序退出，矿权依法依规退出。</w:t>
                  </w:r>
                </w:p>
              </w:tc>
              <w:tc>
                <w:tcPr>
                  <w:tcW w:w="867" w:type="pct"/>
                  <w:vAlign w:val="center"/>
                </w:tcPr>
                <w:p w14:paraId="3FA4A513">
                  <w:pPr>
                    <w:pStyle w:val="31"/>
                  </w:pPr>
                  <w:r>
                    <w:rPr>
                      <w:rFonts w:hint="eastAsia"/>
                    </w:rPr>
                    <w:t>本项目不涉及</w:t>
                  </w:r>
                </w:p>
              </w:tc>
              <w:tc>
                <w:tcPr>
                  <w:tcW w:w="396" w:type="pct"/>
                  <w:vAlign w:val="center"/>
                </w:tcPr>
                <w:p w14:paraId="5B27F3C8">
                  <w:pPr>
                    <w:pStyle w:val="31"/>
                  </w:pPr>
                  <w:r>
                    <w:rPr>
                      <w:rFonts w:hint="eastAsia"/>
                    </w:rPr>
                    <w:t>符合</w:t>
                  </w:r>
                </w:p>
              </w:tc>
            </w:tr>
            <w:tr w14:paraId="757165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181378A7">
                  <w:pPr>
                    <w:pStyle w:val="31"/>
                  </w:pPr>
                </w:p>
              </w:tc>
              <w:tc>
                <w:tcPr>
                  <w:tcW w:w="404" w:type="pct"/>
                  <w:vMerge w:val="restart"/>
                  <w:vAlign w:val="center"/>
                </w:tcPr>
                <w:p w14:paraId="0F1CCEE3">
                  <w:pPr>
                    <w:pStyle w:val="31"/>
                  </w:pPr>
                  <w:r>
                    <w:rPr>
                      <w:rFonts w:hint="eastAsia"/>
                    </w:rPr>
                    <w:t>A1.3不符合空间布局要求活动的退出要求</w:t>
                  </w:r>
                </w:p>
              </w:tc>
              <w:tc>
                <w:tcPr>
                  <w:tcW w:w="3126" w:type="pct"/>
                </w:tcPr>
                <w:p w14:paraId="7ACA013A">
                  <w:pPr>
                    <w:pStyle w:val="41"/>
                    <w:spacing w:before="5" w:line="249" w:lineRule="auto"/>
                    <w:ind w:right="1"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〔A1.3-1〕任何单位和个人不得在水源涵养区、饮用水水源保护区内和河流、湖泊、水库周围建设重化工、涉重金属等工业污染项目；对已建成的工业污染项目，当地人民政府应当组织限期搬迁。</w:t>
                  </w:r>
                </w:p>
              </w:tc>
              <w:tc>
                <w:tcPr>
                  <w:tcW w:w="867" w:type="pct"/>
                  <w:vAlign w:val="center"/>
                </w:tcPr>
                <w:p w14:paraId="66C7B9EB">
                  <w:pPr>
                    <w:pStyle w:val="31"/>
                  </w:pPr>
                  <w:r>
                    <w:rPr>
                      <w:rFonts w:hint="eastAsia"/>
                    </w:rPr>
                    <w:t>本项目为陆地矿产资源地质勘查项目，不属于高污染项目</w:t>
                  </w:r>
                </w:p>
              </w:tc>
              <w:tc>
                <w:tcPr>
                  <w:tcW w:w="396" w:type="pct"/>
                  <w:vAlign w:val="center"/>
                </w:tcPr>
                <w:p w14:paraId="1D33826F">
                  <w:pPr>
                    <w:pStyle w:val="31"/>
                  </w:pPr>
                  <w:r>
                    <w:rPr>
                      <w:rFonts w:hint="eastAsia"/>
                    </w:rPr>
                    <w:t>符合</w:t>
                  </w:r>
                </w:p>
              </w:tc>
            </w:tr>
            <w:tr w14:paraId="76FCA5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550D7F2D">
                  <w:pPr>
                    <w:pStyle w:val="31"/>
                  </w:pPr>
                </w:p>
              </w:tc>
              <w:tc>
                <w:tcPr>
                  <w:tcW w:w="404" w:type="pct"/>
                  <w:vMerge w:val="continue"/>
                  <w:vAlign w:val="center"/>
                </w:tcPr>
                <w:p w14:paraId="5D195A87">
                  <w:pPr>
                    <w:pStyle w:val="31"/>
                  </w:pPr>
                </w:p>
              </w:tc>
              <w:tc>
                <w:tcPr>
                  <w:tcW w:w="3126" w:type="pct"/>
                </w:tcPr>
                <w:p w14:paraId="08CCC513">
                  <w:pPr>
                    <w:pStyle w:val="41"/>
                    <w:spacing w:before="3" w:line="256" w:lineRule="auto"/>
                    <w:ind w:right="8"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〔A1.3-2〕对不符合国家产业政策、严重污染水环境的生产项目全部予以取缔。</w:t>
                  </w:r>
                </w:p>
              </w:tc>
              <w:tc>
                <w:tcPr>
                  <w:tcW w:w="867" w:type="pct"/>
                  <w:vAlign w:val="center"/>
                </w:tcPr>
                <w:p w14:paraId="1B3383BA">
                  <w:pPr>
                    <w:pStyle w:val="31"/>
                  </w:pPr>
                  <w:r>
                    <w:rPr>
                      <w:rFonts w:hint="eastAsia"/>
                    </w:rPr>
                    <w:t>本项目不属于高污染项目</w:t>
                  </w:r>
                </w:p>
              </w:tc>
              <w:tc>
                <w:tcPr>
                  <w:tcW w:w="396" w:type="pct"/>
                  <w:vAlign w:val="center"/>
                </w:tcPr>
                <w:p w14:paraId="71B9BE27">
                  <w:pPr>
                    <w:pStyle w:val="31"/>
                  </w:pPr>
                  <w:r>
                    <w:rPr>
                      <w:rFonts w:hint="eastAsia"/>
                    </w:rPr>
                    <w:t>符合</w:t>
                  </w:r>
                </w:p>
              </w:tc>
            </w:tr>
            <w:tr w14:paraId="4683E1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225BA468">
                  <w:pPr>
                    <w:pStyle w:val="31"/>
                  </w:pPr>
                </w:p>
              </w:tc>
              <w:tc>
                <w:tcPr>
                  <w:tcW w:w="404" w:type="pct"/>
                  <w:vMerge w:val="continue"/>
                  <w:vAlign w:val="center"/>
                </w:tcPr>
                <w:p w14:paraId="239E002B">
                  <w:pPr>
                    <w:pStyle w:val="31"/>
                  </w:pPr>
                </w:p>
              </w:tc>
              <w:tc>
                <w:tcPr>
                  <w:tcW w:w="3126" w:type="pct"/>
                </w:tcPr>
                <w:p w14:paraId="35C2D862">
                  <w:pPr>
                    <w:pStyle w:val="41"/>
                    <w:spacing w:before="4" w:line="250" w:lineRule="auto"/>
                    <w:ind w:right="3"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1.3-3〕根据《产业结构调整指导目录》《限期淘汰产生严重污染环境的工业固体废物的落后生产工艺设备名录》等要求，配合有关部门依法淘汰烧结－鼓风炉5炼铅工艺炼铅等涉重金属落后产能和化解过剩产能。严格执行生态环境保护等相关法规标准，推动经整改仍达不到要求的产能依法依规关闭退出。</w:t>
                  </w:r>
                </w:p>
              </w:tc>
              <w:tc>
                <w:tcPr>
                  <w:tcW w:w="867" w:type="pct"/>
                  <w:vAlign w:val="center"/>
                </w:tcPr>
                <w:p w14:paraId="3BDA7E65">
                  <w:pPr>
                    <w:pStyle w:val="31"/>
                  </w:pPr>
                  <w:r>
                    <w:rPr>
                      <w:rFonts w:hint="eastAsia"/>
                    </w:rPr>
                    <w:t>本项目不涉及</w:t>
                  </w:r>
                </w:p>
              </w:tc>
              <w:tc>
                <w:tcPr>
                  <w:tcW w:w="396" w:type="pct"/>
                  <w:vAlign w:val="center"/>
                </w:tcPr>
                <w:p w14:paraId="028D46F5">
                  <w:pPr>
                    <w:pStyle w:val="31"/>
                  </w:pPr>
                  <w:r>
                    <w:rPr>
                      <w:rFonts w:hint="eastAsia"/>
                    </w:rPr>
                    <w:t>符合</w:t>
                  </w:r>
                </w:p>
              </w:tc>
            </w:tr>
            <w:tr w14:paraId="57D159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17178BC7">
                  <w:pPr>
                    <w:pStyle w:val="31"/>
                  </w:pPr>
                </w:p>
              </w:tc>
              <w:tc>
                <w:tcPr>
                  <w:tcW w:w="404" w:type="pct"/>
                  <w:vMerge w:val="continue"/>
                  <w:vAlign w:val="center"/>
                </w:tcPr>
                <w:p w14:paraId="79FBA216">
                  <w:pPr>
                    <w:pStyle w:val="31"/>
                  </w:pPr>
                </w:p>
              </w:tc>
              <w:tc>
                <w:tcPr>
                  <w:tcW w:w="3126" w:type="pct"/>
                </w:tcPr>
                <w:p w14:paraId="3099DAEC">
                  <w:pPr>
                    <w:pStyle w:val="41"/>
                    <w:spacing w:line="250" w:lineRule="auto"/>
                    <w:ind w:right="3"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〔A1.3-4〕城市建成区、重点流域内已建成投产化工企业和危险化学品生产企业应加快退城入园，搬入化工园区前企业不应实施改扩建工程扩大生产规模。</w:t>
                  </w:r>
                </w:p>
              </w:tc>
              <w:tc>
                <w:tcPr>
                  <w:tcW w:w="867" w:type="pct"/>
                  <w:vAlign w:val="center"/>
                </w:tcPr>
                <w:p w14:paraId="4A39DD9F">
                  <w:pPr>
                    <w:pStyle w:val="31"/>
                  </w:pPr>
                  <w:r>
                    <w:rPr>
                      <w:rFonts w:hint="eastAsia"/>
                    </w:rPr>
                    <w:t>本项目不涉及</w:t>
                  </w:r>
                </w:p>
              </w:tc>
              <w:tc>
                <w:tcPr>
                  <w:tcW w:w="396" w:type="pct"/>
                  <w:vAlign w:val="center"/>
                </w:tcPr>
                <w:p w14:paraId="2E98DCBD">
                  <w:pPr>
                    <w:pStyle w:val="31"/>
                  </w:pPr>
                  <w:r>
                    <w:rPr>
                      <w:rFonts w:hint="eastAsia"/>
                    </w:rPr>
                    <w:t>符合</w:t>
                  </w:r>
                </w:p>
              </w:tc>
            </w:tr>
            <w:tr w14:paraId="6930F2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23A4EA3B">
                  <w:pPr>
                    <w:pStyle w:val="31"/>
                  </w:pPr>
                </w:p>
              </w:tc>
              <w:tc>
                <w:tcPr>
                  <w:tcW w:w="404" w:type="pct"/>
                  <w:vMerge w:val="restart"/>
                  <w:vAlign w:val="center"/>
                </w:tcPr>
                <w:p w14:paraId="376240A2">
                  <w:pPr>
                    <w:pStyle w:val="31"/>
                  </w:pPr>
                  <w:r>
                    <w:rPr>
                      <w:rFonts w:hint="eastAsia"/>
                    </w:rPr>
                    <w:t>A1.4其他布局要求</w:t>
                  </w:r>
                </w:p>
              </w:tc>
              <w:tc>
                <w:tcPr>
                  <w:tcW w:w="3126" w:type="pct"/>
                </w:tcPr>
                <w:p w14:paraId="32BBBB2B">
                  <w:pPr>
                    <w:pStyle w:val="41"/>
                    <w:spacing w:before="4" w:line="250" w:lineRule="auto"/>
                    <w:ind w:right="3"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1.4-1〕一切开发建设活动应符合国家、自治区主体功能区规划、自治区和各地颁布实施的生态环境功能区划、国民经济发展规划、产业发展规划、国土空间规划等相关规划及重点生态功能区负面清单要求，符合区域或产业规划环评要求。</w:t>
                  </w:r>
                </w:p>
              </w:tc>
              <w:tc>
                <w:tcPr>
                  <w:tcW w:w="867" w:type="pct"/>
                  <w:vAlign w:val="center"/>
                </w:tcPr>
                <w:p w14:paraId="5B302EF8">
                  <w:pPr>
                    <w:pStyle w:val="31"/>
                  </w:pPr>
                  <w:r>
                    <w:rPr>
                      <w:rFonts w:hint="eastAsia"/>
                    </w:rPr>
                    <w:t>本项目不涉及</w:t>
                  </w:r>
                </w:p>
              </w:tc>
              <w:tc>
                <w:tcPr>
                  <w:tcW w:w="396" w:type="pct"/>
                  <w:vAlign w:val="center"/>
                </w:tcPr>
                <w:p w14:paraId="1F2119FE">
                  <w:pPr>
                    <w:pStyle w:val="31"/>
                  </w:pPr>
                  <w:r>
                    <w:rPr>
                      <w:rFonts w:hint="eastAsia"/>
                    </w:rPr>
                    <w:t>符合</w:t>
                  </w:r>
                </w:p>
              </w:tc>
            </w:tr>
            <w:tr w14:paraId="758D10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00FA8792">
                  <w:pPr>
                    <w:pStyle w:val="31"/>
                  </w:pPr>
                </w:p>
              </w:tc>
              <w:tc>
                <w:tcPr>
                  <w:tcW w:w="404" w:type="pct"/>
                  <w:vMerge w:val="continue"/>
                  <w:vAlign w:val="center"/>
                </w:tcPr>
                <w:p w14:paraId="73DB5FB0">
                  <w:pPr>
                    <w:pStyle w:val="31"/>
                  </w:pPr>
                </w:p>
              </w:tc>
              <w:tc>
                <w:tcPr>
                  <w:tcW w:w="3126" w:type="pct"/>
                </w:tcPr>
                <w:p w14:paraId="075B09A1">
                  <w:pPr>
                    <w:pStyle w:val="41"/>
                    <w:spacing w:before="4" w:line="250" w:lineRule="auto"/>
                    <w:ind w:right="3"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〔A1.4-2〕新建、扩建石化、化工、焦化、有色金属冶炼、平板玻璃项目应布设在依法合规设立并经规划环评的产业园区。</w:t>
                  </w:r>
                </w:p>
              </w:tc>
              <w:tc>
                <w:tcPr>
                  <w:tcW w:w="867" w:type="pct"/>
                  <w:vAlign w:val="center"/>
                </w:tcPr>
                <w:p w14:paraId="2AC0BDF8">
                  <w:pPr>
                    <w:pStyle w:val="31"/>
                  </w:pPr>
                  <w:r>
                    <w:rPr>
                      <w:rFonts w:hint="eastAsia"/>
                    </w:rPr>
                    <w:t>本项目不涉及</w:t>
                  </w:r>
                </w:p>
              </w:tc>
              <w:tc>
                <w:tcPr>
                  <w:tcW w:w="396" w:type="pct"/>
                  <w:vAlign w:val="center"/>
                </w:tcPr>
                <w:p w14:paraId="7BCF240C">
                  <w:pPr>
                    <w:pStyle w:val="31"/>
                  </w:pPr>
                  <w:r>
                    <w:rPr>
                      <w:rFonts w:hint="eastAsia"/>
                    </w:rPr>
                    <w:t>符合</w:t>
                  </w:r>
                </w:p>
              </w:tc>
            </w:tr>
            <w:tr w14:paraId="67A3D7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620C9DBD">
                  <w:pPr>
                    <w:pStyle w:val="31"/>
                  </w:pPr>
                </w:p>
              </w:tc>
              <w:tc>
                <w:tcPr>
                  <w:tcW w:w="404" w:type="pct"/>
                  <w:vMerge w:val="continue"/>
                  <w:vAlign w:val="center"/>
                </w:tcPr>
                <w:p w14:paraId="20BE5004">
                  <w:pPr>
                    <w:pStyle w:val="31"/>
                  </w:pPr>
                </w:p>
              </w:tc>
              <w:tc>
                <w:tcPr>
                  <w:tcW w:w="3126" w:type="pct"/>
                </w:tcPr>
                <w:p w14:paraId="77076D45">
                  <w:pPr>
                    <w:pStyle w:val="41"/>
                    <w:spacing w:before="4" w:line="250" w:lineRule="auto"/>
                    <w:ind w:right="3"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1.4-3〕危险化学品生产企业搬迁改造及新建化工项目必须进入国家及自治区各级人民政府正式批准设立，规划环评通过审查，规划通过审批且环保基础设施完善的工业园区，并符合国土空间规划、产业发展规划和生态红线管控要求。</w:t>
                  </w:r>
                </w:p>
              </w:tc>
              <w:tc>
                <w:tcPr>
                  <w:tcW w:w="867" w:type="pct"/>
                  <w:vAlign w:val="center"/>
                </w:tcPr>
                <w:p w14:paraId="1EEFBE53">
                  <w:pPr>
                    <w:pStyle w:val="31"/>
                  </w:pPr>
                  <w:r>
                    <w:rPr>
                      <w:rFonts w:hint="eastAsia"/>
                    </w:rPr>
                    <w:t>本项目不涉及</w:t>
                  </w:r>
                </w:p>
              </w:tc>
              <w:tc>
                <w:tcPr>
                  <w:tcW w:w="396" w:type="pct"/>
                  <w:vAlign w:val="center"/>
                </w:tcPr>
                <w:p w14:paraId="54F00039">
                  <w:pPr>
                    <w:pStyle w:val="31"/>
                  </w:pPr>
                  <w:r>
                    <w:rPr>
                      <w:rFonts w:hint="eastAsia"/>
                    </w:rPr>
                    <w:t>符合</w:t>
                  </w:r>
                </w:p>
              </w:tc>
            </w:tr>
            <w:tr w14:paraId="27C732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restart"/>
                  <w:vAlign w:val="center"/>
                </w:tcPr>
                <w:p w14:paraId="5EFB3448">
                  <w:pPr>
                    <w:pStyle w:val="31"/>
                  </w:pPr>
                  <w:r>
                    <w:rPr>
                      <w:rFonts w:hint="eastAsia"/>
                    </w:rPr>
                    <w:t>A2污染物排放管控</w:t>
                  </w:r>
                </w:p>
              </w:tc>
              <w:tc>
                <w:tcPr>
                  <w:tcW w:w="404" w:type="pct"/>
                  <w:vMerge w:val="restart"/>
                  <w:vAlign w:val="center"/>
                </w:tcPr>
                <w:p w14:paraId="1A3A4831">
                  <w:pPr>
                    <w:pStyle w:val="31"/>
                  </w:pPr>
                  <w:r>
                    <w:rPr>
                      <w:rFonts w:hint="eastAsia"/>
                    </w:rPr>
                    <w:t>A2.1污染物削减/代替要求</w:t>
                  </w:r>
                </w:p>
              </w:tc>
              <w:tc>
                <w:tcPr>
                  <w:tcW w:w="3126" w:type="pct"/>
                </w:tcPr>
                <w:p w14:paraId="61906FDF">
                  <w:pPr>
                    <w:pStyle w:val="41"/>
                    <w:spacing w:before="6" w:line="250" w:lineRule="auto"/>
                    <w:ind w:right="1"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2.1-1〕新、改、扩建重点行业建设项目应符合“三线一单”、产业政策、区域环评、规划环评和行业环境准入管控要求。重点区域的新、改、扩建重点行业建设项目应遵循重点重金属污染物排放“减量替代”原则。</w:t>
                  </w:r>
                </w:p>
              </w:tc>
              <w:tc>
                <w:tcPr>
                  <w:tcW w:w="867" w:type="pct"/>
                  <w:vAlign w:val="center"/>
                </w:tcPr>
                <w:p w14:paraId="3A38009C">
                  <w:pPr>
                    <w:pStyle w:val="31"/>
                  </w:pPr>
                  <w:r>
                    <w:rPr>
                      <w:rFonts w:hint="eastAsia"/>
                    </w:rPr>
                    <w:t>本项目符合和静县国土规划要求，项目不涉及总量指标</w:t>
                  </w:r>
                </w:p>
              </w:tc>
              <w:tc>
                <w:tcPr>
                  <w:tcW w:w="396" w:type="pct"/>
                  <w:vAlign w:val="center"/>
                </w:tcPr>
                <w:p w14:paraId="2D2070E2">
                  <w:pPr>
                    <w:ind w:firstLine="0" w:firstLineChars="0"/>
                    <w:rPr>
                      <w:sz w:val="21"/>
                      <w:szCs w:val="22"/>
                    </w:rPr>
                  </w:pPr>
                  <w:r>
                    <w:rPr>
                      <w:rFonts w:hint="eastAsia"/>
                      <w:sz w:val="21"/>
                      <w:szCs w:val="22"/>
                    </w:rPr>
                    <w:t>符合</w:t>
                  </w:r>
                </w:p>
              </w:tc>
            </w:tr>
            <w:tr w14:paraId="4013F0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6F99E7B3">
                  <w:pPr>
                    <w:pStyle w:val="31"/>
                  </w:pPr>
                </w:p>
              </w:tc>
              <w:tc>
                <w:tcPr>
                  <w:tcW w:w="404" w:type="pct"/>
                  <w:vMerge w:val="continue"/>
                  <w:vAlign w:val="center"/>
                </w:tcPr>
                <w:p w14:paraId="19CB753D">
                  <w:pPr>
                    <w:pStyle w:val="31"/>
                  </w:pPr>
                </w:p>
              </w:tc>
              <w:tc>
                <w:tcPr>
                  <w:tcW w:w="3126" w:type="pct"/>
                </w:tcPr>
                <w:p w14:paraId="48562D84">
                  <w:pPr>
                    <w:pStyle w:val="41"/>
                    <w:spacing w:before="4" w:line="249" w:lineRule="auto"/>
                    <w:ind w:right="3"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〔A2.1-2〕以石化、化工、涂装、医药、包装印刷、油品储运销等行业领域为重点，安全高效推进挥发性有机物综合治理，实施原辅材料和产品源头替代工程。</w:t>
                  </w:r>
                </w:p>
              </w:tc>
              <w:tc>
                <w:tcPr>
                  <w:tcW w:w="867" w:type="pct"/>
                  <w:vAlign w:val="center"/>
                </w:tcPr>
                <w:p w14:paraId="22450E3B">
                  <w:pPr>
                    <w:pStyle w:val="31"/>
                  </w:pPr>
                  <w:r>
                    <w:rPr>
                      <w:rFonts w:hint="eastAsia"/>
                    </w:rPr>
                    <w:t>本项目不涉及</w:t>
                  </w:r>
                </w:p>
              </w:tc>
              <w:tc>
                <w:tcPr>
                  <w:tcW w:w="396" w:type="pct"/>
                  <w:vAlign w:val="center"/>
                </w:tcPr>
                <w:p w14:paraId="20880270">
                  <w:pPr>
                    <w:ind w:firstLine="0" w:firstLineChars="0"/>
                    <w:rPr>
                      <w:sz w:val="21"/>
                      <w:szCs w:val="22"/>
                    </w:rPr>
                  </w:pPr>
                  <w:r>
                    <w:rPr>
                      <w:rFonts w:hint="eastAsia"/>
                      <w:sz w:val="21"/>
                      <w:szCs w:val="22"/>
                    </w:rPr>
                    <w:t>符合</w:t>
                  </w:r>
                </w:p>
              </w:tc>
            </w:tr>
            <w:tr w14:paraId="6DF64C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457B9022">
                  <w:pPr>
                    <w:pStyle w:val="31"/>
                  </w:pPr>
                </w:p>
              </w:tc>
              <w:tc>
                <w:tcPr>
                  <w:tcW w:w="404" w:type="pct"/>
                  <w:vMerge w:val="continue"/>
                  <w:vAlign w:val="center"/>
                </w:tcPr>
                <w:p w14:paraId="4FC6A20C">
                  <w:pPr>
                    <w:pStyle w:val="31"/>
                  </w:pPr>
                </w:p>
              </w:tc>
              <w:tc>
                <w:tcPr>
                  <w:tcW w:w="3126" w:type="pct"/>
                </w:tcPr>
                <w:p w14:paraId="52611D0D">
                  <w:pPr>
                    <w:pStyle w:val="41"/>
                    <w:spacing w:before="6" w:line="250" w:lineRule="auto"/>
                    <w:ind w:right="3"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2.1-3〕促进大气污染物与温室气体协同控制。实施污染物和温室气体协同控制，实现减污降碳协同效应。开展工业、农业温室气体和污染减排协同控制研究，减少温室气体和污染物排放。强化污水、垃圾等集中处置设施环境管理，协同控制氢氟碳化物、甲烷、氧化亚氮等温室气体。加强节约能源与大气污染防治协同有效衔接，促进大气污染防治协同增效。</w:t>
                  </w:r>
                </w:p>
              </w:tc>
              <w:tc>
                <w:tcPr>
                  <w:tcW w:w="867" w:type="pct"/>
                  <w:vAlign w:val="center"/>
                </w:tcPr>
                <w:p w14:paraId="444548D4">
                  <w:pPr>
                    <w:pStyle w:val="31"/>
                  </w:pPr>
                  <w:r>
                    <w:rPr>
                      <w:rFonts w:hint="eastAsia"/>
                    </w:rPr>
                    <w:t>勘探过程中产生的粉尘通过洒水抑尘的方式降低排放，对环境空气质量影响较小。</w:t>
                  </w:r>
                  <w:r>
                    <w:rPr>
                      <w:rFonts w:hint="eastAsia" w:ascii="宋体" w:hAnsi="宋体"/>
                      <w:snapToGrid w:val="0"/>
                      <w:color w:val="000000"/>
                      <w:kern w:val="0"/>
                      <w:szCs w:val="21"/>
                    </w:rPr>
                    <w:t>施工营地内设置一定数量的垃圾桶，施工中产生的废料、生活垃圾、钻孔岩屑、废包装物等固体废物及时清理，分类存储，回收利用，定期进行现场处置及外运。</w:t>
                  </w:r>
                </w:p>
              </w:tc>
              <w:tc>
                <w:tcPr>
                  <w:tcW w:w="396" w:type="pct"/>
                  <w:vAlign w:val="center"/>
                </w:tcPr>
                <w:p w14:paraId="76B24446">
                  <w:pPr>
                    <w:ind w:firstLine="0" w:firstLineChars="0"/>
                    <w:rPr>
                      <w:sz w:val="21"/>
                      <w:szCs w:val="22"/>
                    </w:rPr>
                  </w:pPr>
                  <w:r>
                    <w:rPr>
                      <w:rFonts w:hint="eastAsia"/>
                      <w:sz w:val="21"/>
                      <w:szCs w:val="22"/>
                    </w:rPr>
                    <w:t>符合</w:t>
                  </w:r>
                </w:p>
              </w:tc>
            </w:tr>
            <w:tr w14:paraId="29B763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108C4AD1">
                  <w:pPr>
                    <w:pStyle w:val="31"/>
                  </w:pPr>
                </w:p>
              </w:tc>
              <w:tc>
                <w:tcPr>
                  <w:tcW w:w="404" w:type="pct"/>
                  <w:vMerge w:val="continue"/>
                  <w:vAlign w:val="center"/>
                </w:tcPr>
                <w:p w14:paraId="59D0F99C">
                  <w:pPr>
                    <w:pStyle w:val="31"/>
                  </w:pPr>
                </w:p>
              </w:tc>
              <w:tc>
                <w:tcPr>
                  <w:tcW w:w="3126" w:type="pct"/>
                </w:tcPr>
                <w:p w14:paraId="7A6C4755">
                  <w:pPr>
                    <w:pStyle w:val="41"/>
                    <w:spacing w:before="3" w:line="256" w:lineRule="auto"/>
                    <w:ind w:right="193"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2.1-4〕严控建材、铸造、冶炼等行业无组织排放，推进石化、化工、涂装、医药、包装印刷、油品储运销等行业项目挥发性有机物（VOCs）防治。严格有色金属冶炼、石油加工、化工、焦化等行业项目的土壤、地下水污染防治措施要求。推进工业园区和企业集群建设涉VOCs“绿岛”项目，统筹规划建设一批集中涂装中心、活性炭集中处理中心、溶剂回收中心等，实现VOCs集中高效处理。</w:t>
                  </w:r>
                </w:p>
              </w:tc>
              <w:tc>
                <w:tcPr>
                  <w:tcW w:w="867" w:type="pct"/>
                  <w:vAlign w:val="center"/>
                </w:tcPr>
                <w:p w14:paraId="23CC5899">
                  <w:pPr>
                    <w:pStyle w:val="31"/>
                  </w:pPr>
                  <w:r>
                    <w:rPr>
                      <w:rFonts w:hint="eastAsia"/>
                    </w:rPr>
                    <w:t>本项目不涉及</w:t>
                  </w:r>
                </w:p>
              </w:tc>
              <w:tc>
                <w:tcPr>
                  <w:tcW w:w="396" w:type="pct"/>
                  <w:vAlign w:val="center"/>
                </w:tcPr>
                <w:p w14:paraId="53D15571">
                  <w:pPr>
                    <w:ind w:firstLine="0" w:firstLineChars="0"/>
                    <w:rPr>
                      <w:sz w:val="21"/>
                      <w:szCs w:val="22"/>
                    </w:rPr>
                  </w:pPr>
                  <w:r>
                    <w:rPr>
                      <w:rFonts w:hint="eastAsia"/>
                      <w:sz w:val="21"/>
                      <w:szCs w:val="22"/>
                    </w:rPr>
                    <w:t>符合</w:t>
                  </w:r>
                </w:p>
              </w:tc>
            </w:tr>
            <w:tr w14:paraId="471996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3A590EEF">
                  <w:pPr>
                    <w:pStyle w:val="31"/>
                  </w:pPr>
                </w:p>
              </w:tc>
              <w:tc>
                <w:tcPr>
                  <w:tcW w:w="404" w:type="pct"/>
                  <w:vMerge w:val="restart"/>
                  <w:vAlign w:val="center"/>
                </w:tcPr>
                <w:p w14:paraId="5E8998F2">
                  <w:pPr>
                    <w:pStyle w:val="31"/>
                  </w:pPr>
                  <w:r>
                    <w:rPr>
                      <w:rFonts w:hint="eastAsia"/>
                    </w:rPr>
                    <w:t>A2.2污染控制措施要求</w:t>
                  </w:r>
                </w:p>
              </w:tc>
              <w:tc>
                <w:tcPr>
                  <w:tcW w:w="3126" w:type="pct"/>
                </w:tcPr>
                <w:p w14:paraId="3FBC825A">
                  <w:pPr>
                    <w:pStyle w:val="41"/>
                    <w:spacing w:before="8" w:line="250" w:lineRule="auto"/>
                    <w:ind w:right="3"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2.2-1〕推动能源、钢铁、建材、有色、电力、化工等重点领域技术升级，控制工业过程温室气体排放，推动工业领域绿色低碳发展。积极鼓励发展二氧化碳捕集利用与封存等低碳技术。促进大气污染物与温室气体协同控制。实施污染物和温室气体协同控制，实现减污降碳协同效应。强化污水、垃圾等集中处置设施环境管理，协同控制氢氟碳化物、甲烷、氧化亚氮等温室气体。加强节约能源与大气污染防治协同有效衔接，促进大气污染防治协同增效。</w:t>
                  </w:r>
                </w:p>
              </w:tc>
              <w:tc>
                <w:tcPr>
                  <w:tcW w:w="867" w:type="pct"/>
                  <w:vAlign w:val="center"/>
                </w:tcPr>
                <w:p w14:paraId="26FF75C0">
                  <w:pPr>
                    <w:pStyle w:val="31"/>
                  </w:pPr>
                  <w:r>
                    <w:rPr>
                      <w:rFonts w:hint="eastAsia"/>
                    </w:rPr>
                    <w:t>本项目不涉及</w:t>
                  </w:r>
                </w:p>
              </w:tc>
              <w:tc>
                <w:tcPr>
                  <w:tcW w:w="396" w:type="pct"/>
                  <w:vAlign w:val="center"/>
                </w:tcPr>
                <w:p w14:paraId="5C589BE0">
                  <w:pPr>
                    <w:ind w:firstLine="0" w:firstLineChars="0"/>
                    <w:rPr>
                      <w:sz w:val="21"/>
                      <w:szCs w:val="22"/>
                    </w:rPr>
                  </w:pPr>
                  <w:r>
                    <w:rPr>
                      <w:rFonts w:hint="eastAsia"/>
                      <w:sz w:val="21"/>
                      <w:szCs w:val="22"/>
                    </w:rPr>
                    <w:t>符合</w:t>
                  </w:r>
                </w:p>
              </w:tc>
            </w:tr>
            <w:tr w14:paraId="6C1B22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42E14F89">
                  <w:pPr>
                    <w:pStyle w:val="31"/>
                  </w:pPr>
                </w:p>
              </w:tc>
              <w:tc>
                <w:tcPr>
                  <w:tcW w:w="404" w:type="pct"/>
                  <w:vMerge w:val="continue"/>
                  <w:vAlign w:val="center"/>
                </w:tcPr>
                <w:p w14:paraId="510743D4">
                  <w:pPr>
                    <w:pStyle w:val="31"/>
                  </w:pPr>
                </w:p>
              </w:tc>
              <w:tc>
                <w:tcPr>
                  <w:tcW w:w="3126" w:type="pct"/>
                </w:tcPr>
                <w:p w14:paraId="0128026E">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2.2-2〕实施重点行业氮氧化物等污染物深度治理。持续推进钢铁、水泥、焦化行业超低排放改造。推进玻璃、陶瓷、铸造、铁合金、有色、煤化和石化等行业采取清洁生产、提标改造、深度治理等综合措施。加强自备燃煤机组污染治理设施运行管控，确保按照超低排放标准运行。针对铸造、铁合金、焦化、水泥、砖瓦、石灰、耐火材料、金属冶炼以及煤化工、石油化工等行业，严格控制物料储存、输送及生产工艺过程无组织排放。重点涉气排放企业逐步取消烟气旁路，因安全生产无法取消的，安装在线监控系统。</w:t>
                  </w:r>
                </w:p>
              </w:tc>
              <w:tc>
                <w:tcPr>
                  <w:tcW w:w="867" w:type="pct"/>
                  <w:vAlign w:val="center"/>
                </w:tcPr>
                <w:p w14:paraId="36BFA84C">
                  <w:pPr>
                    <w:pStyle w:val="31"/>
                  </w:pPr>
                  <w:r>
                    <w:rPr>
                      <w:rFonts w:hint="eastAsia"/>
                    </w:rPr>
                    <w:t>本项目不涉及</w:t>
                  </w:r>
                </w:p>
              </w:tc>
              <w:tc>
                <w:tcPr>
                  <w:tcW w:w="396" w:type="pct"/>
                  <w:vAlign w:val="center"/>
                </w:tcPr>
                <w:p w14:paraId="7E87F6A1">
                  <w:pPr>
                    <w:ind w:firstLine="0" w:firstLineChars="0"/>
                    <w:rPr>
                      <w:sz w:val="21"/>
                      <w:szCs w:val="22"/>
                    </w:rPr>
                  </w:pPr>
                  <w:r>
                    <w:rPr>
                      <w:rFonts w:hint="eastAsia"/>
                      <w:sz w:val="21"/>
                      <w:szCs w:val="22"/>
                    </w:rPr>
                    <w:t>符合</w:t>
                  </w:r>
                </w:p>
              </w:tc>
            </w:tr>
            <w:tr w14:paraId="2F504F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0C1710AC">
                  <w:pPr>
                    <w:pStyle w:val="31"/>
                  </w:pPr>
                </w:p>
              </w:tc>
              <w:tc>
                <w:tcPr>
                  <w:tcW w:w="404" w:type="pct"/>
                  <w:vMerge w:val="continue"/>
                  <w:vAlign w:val="center"/>
                </w:tcPr>
                <w:p w14:paraId="5B634937">
                  <w:pPr>
                    <w:pStyle w:val="31"/>
                  </w:pPr>
                </w:p>
              </w:tc>
              <w:tc>
                <w:tcPr>
                  <w:tcW w:w="3126" w:type="pct"/>
                </w:tcPr>
                <w:p w14:paraId="4134D916">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2.2-3〕强化重点区域大气污染联防联控，合理确定产业布局，推动区域内统一产业准入和排放标准。实施水泥行业错峰生产，推进散煤整治、挥发性有机污染物综合治理、钢铁、水泥、焦化和燃煤工业锅炉行业超低排放改造、燃气锅炉低氮燃烧改造、工业园区内轨道运输（大宗货物“公转铁”）、柴油货车治理、锅炉炉窑综合治理等工程项目。全面推行绿色施工，持续推动城市建成区重污染企业搬迁或关闭退出。</w:t>
                  </w:r>
                </w:p>
              </w:tc>
              <w:tc>
                <w:tcPr>
                  <w:tcW w:w="867" w:type="pct"/>
                  <w:vAlign w:val="center"/>
                </w:tcPr>
                <w:p w14:paraId="0A42FE40">
                  <w:pPr>
                    <w:pStyle w:val="31"/>
                  </w:pPr>
                  <w:r>
                    <w:rPr>
                      <w:rFonts w:hint="eastAsia"/>
                    </w:rPr>
                    <w:t>本项目不涉及</w:t>
                  </w:r>
                </w:p>
              </w:tc>
              <w:tc>
                <w:tcPr>
                  <w:tcW w:w="396" w:type="pct"/>
                  <w:vAlign w:val="center"/>
                </w:tcPr>
                <w:p w14:paraId="3DFBF4F8">
                  <w:pPr>
                    <w:ind w:firstLine="0" w:firstLineChars="0"/>
                    <w:rPr>
                      <w:sz w:val="21"/>
                      <w:szCs w:val="22"/>
                    </w:rPr>
                  </w:pPr>
                  <w:r>
                    <w:rPr>
                      <w:rFonts w:hint="eastAsia"/>
                      <w:sz w:val="21"/>
                      <w:szCs w:val="22"/>
                    </w:rPr>
                    <w:t>符合</w:t>
                  </w:r>
                </w:p>
              </w:tc>
            </w:tr>
            <w:tr w14:paraId="2EB2B2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51B25DE0">
                  <w:pPr>
                    <w:pStyle w:val="31"/>
                  </w:pPr>
                </w:p>
              </w:tc>
              <w:tc>
                <w:tcPr>
                  <w:tcW w:w="404" w:type="pct"/>
                  <w:vMerge w:val="continue"/>
                  <w:vAlign w:val="center"/>
                </w:tcPr>
                <w:p w14:paraId="74F849F2">
                  <w:pPr>
                    <w:pStyle w:val="31"/>
                  </w:pPr>
                </w:p>
              </w:tc>
              <w:tc>
                <w:tcPr>
                  <w:tcW w:w="3126" w:type="pct"/>
                </w:tcPr>
                <w:p w14:paraId="51940C77">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〔A2.2-4〕强化用水定额管理。推进地下水超采综合治理。开展河湖生态流量（水量）确定工作，强化生态用水保障。</w:t>
                  </w:r>
                </w:p>
              </w:tc>
              <w:tc>
                <w:tcPr>
                  <w:tcW w:w="867" w:type="pct"/>
                  <w:vAlign w:val="center"/>
                </w:tcPr>
                <w:p w14:paraId="03CF17E7">
                  <w:pPr>
                    <w:pStyle w:val="31"/>
                  </w:pPr>
                  <w:r>
                    <w:rPr>
                      <w:rFonts w:hint="eastAsia"/>
                    </w:rPr>
                    <w:t>本项目不采用地下水</w:t>
                  </w:r>
                </w:p>
              </w:tc>
              <w:tc>
                <w:tcPr>
                  <w:tcW w:w="396" w:type="pct"/>
                  <w:vAlign w:val="center"/>
                </w:tcPr>
                <w:p w14:paraId="1962F7B7">
                  <w:pPr>
                    <w:ind w:firstLine="0" w:firstLineChars="0"/>
                    <w:rPr>
                      <w:sz w:val="21"/>
                      <w:szCs w:val="22"/>
                    </w:rPr>
                  </w:pPr>
                  <w:r>
                    <w:rPr>
                      <w:rFonts w:hint="eastAsia"/>
                      <w:sz w:val="21"/>
                      <w:szCs w:val="22"/>
                    </w:rPr>
                    <w:t>符合</w:t>
                  </w:r>
                </w:p>
              </w:tc>
            </w:tr>
            <w:tr w14:paraId="5F04E7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26B08D09">
                  <w:pPr>
                    <w:pStyle w:val="31"/>
                  </w:pPr>
                </w:p>
              </w:tc>
              <w:tc>
                <w:tcPr>
                  <w:tcW w:w="404" w:type="pct"/>
                  <w:vMerge w:val="continue"/>
                  <w:vAlign w:val="center"/>
                </w:tcPr>
                <w:p w14:paraId="0E789049">
                  <w:pPr>
                    <w:pStyle w:val="31"/>
                  </w:pPr>
                </w:p>
              </w:tc>
              <w:tc>
                <w:tcPr>
                  <w:tcW w:w="3126" w:type="pct"/>
                </w:tcPr>
                <w:p w14:paraId="23151AB7">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2.2-5〕持续推进伊犁河、额尔齐斯河、额敏河、玛纳斯河、乌伦古湖、博斯腾湖等流域生态治理，加强生态修复。推动重点行业、重点企业绿色发展，严格落实水污染物排放标准。加强农副食品加工、化工、印染、棉浆粕、粘胶纤维等企业综合治理和清洁化改造。</w:t>
                  </w:r>
                </w:p>
              </w:tc>
              <w:tc>
                <w:tcPr>
                  <w:tcW w:w="867" w:type="pct"/>
                  <w:vAlign w:val="center"/>
                </w:tcPr>
                <w:p w14:paraId="6182BCCD">
                  <w:pPr>
                    <w:pStyle w:val="31"/>
                  </w:pPr>
                  <w:r>
                    <w:rPr>
                      <w:rFonts w:hint="eastAsia"/>
                    </w:rPr>
                    <w:t>本项目不涉及</w:t>
                  </w:r>
                </w:p>
              </w:tc>
              <w:tc>
                <w:tcPr>
                  <w:tcW w:w="396" w:type="pct"/>
                  <w:vAlign w:val="center"/>
                </w:tcPr>
                <w:p w14:paraId="6824E85F">
                  <w:pPr>
                    <w:ind w:firstLine="0" w:firstLineChars="0"/>
                    <w:rPr>
                      <w:sz w:val="21"/>
                      <w:szCs w:val="22"/>
                    </w:rPr>
                  </w:pPr>
                  <w:r>
                    <w:rPr>
                      <w:rFonts w:hint="eastAsia"/>
                      <w:sz w:val="21"/>
                      <w:szCs w:val="22"/>
                    </w:rPr>
                    <w:t>符合</w:t>
                  </w:r>
                </w:p>
              </w:tc>
            </w:tr>
            <w:tr w14:paraId="3A20AB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0C0BC0F7">
                  <w:pPr>
                    <w:pStyle w:val="31"/>
                  </w:pPr>
                </w:p>
              </w:tc>
              <w:tc>
                <w:tcPr>
                  <w:tcW w:w="404" w:type="pct"/>
                  <w:vMerge w:val="continue"/>
                  <w:vAlign w:val="center"/>
                </w:tcPr>
                <w:p w14:paraId="205001FF">
                  <w:pPr>
                    <w:pStyle w:val="31"/>
                  </w:pPr>
                </w:p>
              </w:tc>
              <w:tc>
                <w:tcPr>
                  <w:tcW w:w="3126" w:type="pct"/>
                </w:tcPr>
                <w:p w14:paraId="375FEAC0">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2.2-6〕推进地表水与地下水协同防治。以傍河型地下水饮用水水源为重点，防范受污染河段侧渗和垂直补给对地下水污染。加强化学品生产企业、工业聚集区、矿山开采区等污染源的地表、地下协同防治与环境风险管控。加强工业污染防治。推动重点行业、重点企业绿色发展，严格落实水污染物排放标准和排污许可制度。加强农副食品加工、化工、印染、棉浆粕、粘胶纤维、制糖等企业综合治理和清洁化改造。支持企业积极实施节水技术改造，加强工业园区污水集中处理设施运行管理，加快再生水回用设施建设，提升园区水资源循环利用水平。</w:t>
                  </w:r>
                </w:p>
              </w:tc>
              <w:tc>
                <w:tcPr>
                  <w:tcW w:w="867" w:type="pct"/>
                  <w:vAlign w:val="center"/>
                </w:tcPr>
                <w:p w14:paraId="4035D71A">
                  <w:pPr>
                    <w:pStyle w:val="31"/>
                  </w:pPr>
                  <w:r>
                    <w:rPr>
                      <w:rFonts w:hint="eastAsia"/>
                    </w:rPr>
                    <w:t>本项目在每个钻孔采用防渗膜塑料布及支架组装成简易沉淀池</w:t>
                  </w:r>
                  <w:r>
                    <w:rPr>
                      <w:rStyle w:val="28"/>
                      <w:rFonts w:hint="eastAsia"/>
                      <w:lang w:eastAsia="zh-CN"/>
                    </w:rPr>
                    <w:t>（</w:t>
                  </w:r>
                  <w:r>
                    <w:rPr>
                      <w:rStyle w:val="28"/>
                      <w:rFonts w:hint="eastAsia"/>
                      <w:lang w:val="en-US" w:eastAsia="zh-CN"/>
                    </w:rPr>
                    <w:t>5m</w:t>
                  </w:r>
                  <w:r>
                    <w:rPr>
                      <w:rStyle w:val="28"/>
                      <w:rFonts w:hint="eastAsia"/>
                      <w:vertAlign w:val="superscript"/>
                      <w:lang w:val="en-US" w:eastAsia="zh-CN"/>
                    </w:rPr>
                    <w:t>3</w:t>
                  </w:r>
                  <w:r>
                    <w:rPr>
                      <w:rStyle w:val="28"/>
                      <w:rFonts w:hint="eastAsia"/>
                      <w:vertAlign w:val="baseline"/>
                      <w:lang w:val="en-US" w:eastAsia="zh-CN"/>
                    </w:rPr>
                    <w:t>，1</w:t>
                  </w:r>
                  <w:r>
                    <w:rPr>
                      <w:rFonts w:hint="eastAsia"/>
                      <w:lang w:val="en-US" w:eastAsia="zh-CN"/>
                    </w:rPr>
                    <w:t>个）</w:t>
                  </w:r>
                  <w:r>
                    <w:rPr>
                      <w:rFonts w:hint="eastAsia"/>
                      <w:lang w:eastAsia="zh-CN"/>
                    </w:rPr>
                    <w:t>，</w:t>
                  </w:r>
                  <w:r>
                    <w:rPr>
                      <w:rFonts w:hint="eastAsia"/>
                    </w:rPr>
                    <w:t>生产废水经沉淀后循环使用；</w:t>
                  </w:r>
                  <w:r>
                    <w:rPr>
                      <w:rFonts w:hint="default" w:ascii="Times New Roman" w:hAnsi="Times New Roman" w:cs="Times New Roman" w:eastAsiaTheme="minorEastAsia"/>
                      <w:color w:val="auto"/>
                      <w:sz w:val="21"/>
                      <w:szCs w:val="21"/>
                      <w:lang w:val="en-US" w:eastAsia="zh-CN"/>
                    </w:rPr>
                    <w:t>生活污水排入一体化污水处理设施后，</w:t>
                  </w:r>
                  <w:r>
                    <w:rPr>
                      <w:rFonts w:hint="eastAsia" w:ascii="Times New Roman" w:hAnsi="Times New Roman" w:cs="Times New Roman" w:eastAsiaTheme="minorEastAsia"/>
                      <w:color w:val="auto"/>
                      <w:sz w:val="21"/>
                      <w:szCs w:val="21"/>
                      <w:lang w:val="en-US" w:eastAsia="zh-CN"/>
                    </w:rPr>
                    <w:t>用于洒水降尘和周边绿化</w:t>
                  </w:r>
                  <w:r>
                    <w:rPr>
                      <w:rFonts w:hint="default" w:ascii="Times New Roman" w:hAnsi="Times New Roman" w:cs="Times New Roman" w:eastAsiaTheme="minorEastAsia"/>
                      <w:color w:val="auto"/>
                      <w:sz w:val="21"/>
                      <w:szCs w:val="21"/>
                      <w:lang w:val="en-US" w:eastAsia="zh-CN"/>
                    </w:rPr>
                    <w:t>，不外排</w:t>
                  </w:r>
                  <w:r>
                    <w:rPr>
                      <w:rFonts w:hint="eastAsia"/>
                    </w:rPr>
                    <w:t>。</w:t>
                  </w:r>
                </w:p>
              </w:tc>
              <w:tc>
                <w:tcPr>
                  <w:tcW w:w="396" w:type="pct"/>
                  <w:vAlign w:val="center"/>
                </w:tcPr>
                <w:p w14:paraId="1E7F77EF">
                  <w:pPr>
                    <w:ind w:firstLine="0" w:firstLineChars="0"/>
                    <w:rPr>
                      <w:sz w:val="21"/>
                      <w:szCs w:val="22"/>
                    </w:rPr>
                  </w:pPr>
                  <w:r>
                    <w:rPr>
                      <w:rFonts w:hint="eastAsia"/>
                      <w:sz w:val="21"/>
                      <w:szCs w:val="22"/>
                    </w:rPr>
                    <w:t>符合</w:t>
                  </w:r>
                </w:p>
              </w:tc>
            </w:tr>
            <w:tr w14:paraId="27F0C4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2812CBC1">
                  <w:pPr>
                    <w:pStyle w:val="31"/>
                  </w:pPr>
                </w:p>
              </w:tc>
              <w:tc>
                <w:tcPr>
                  <w:tcW w:w="404" w:type="pct"/>
                  <w:vMerge w:val="continue"/>
                  <w:vAlign w:val="center"/>
                </w:tcPr>
                <w:p w14:paraId="1483D80E">
                  <w:pPr>
                    <w:pStyle w:val="31"/>
                  </w:pPr>
                </w:p>
              </w:tc>
              <w:tc>
                <w:tcPr>
                  <w:tcW w:w="3126" w:type="pct"/>
                </w:tcPr>
                <w:p w14:paraId="5FE789A0">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2.2-7〕强化重点区域地下水环境风险管控，对化学品生产企业、工业集聚区、尾矿库、矿山开采区、危险废物处置场、垃圾填埋场等地下水污染源及周边区域，逐步开展地下水环境状况调查评估，加强风险管控。</w:t>
                  </w:r>
                </w:p>
              </w:tc>
              <w:tc>
                <w:tcPr>
                  <w:tcW w:w="867" w:type="pct"/>
                  <w:vAlign w:val="center"/>
                </w:tcPr>
                <w:p w14:paraId="44D7983D">
                  <w:pPr>
                    <w:pStyle w:val="31"/>
                  </w:pPr>
                  <w:r>
                    <w:rPr>
                      <w:rFonts w:hint="eastAsia"/>
                    </w:rPr>
                    <w:t>本项目不涉及</w:t>
                  </w:r>
                </w:p>
              </w:tc>
              <w:tc>
                <w:tcPr>
                  <w:tcW w:w="396" w:type="pct"/>
                  <w:vAlign w:val="center"/>
                </w:tcPr>
                <w:p w14:paraId="065D3B5B">
                  <w:pPr>
                    <w:ind w:firstLine="0" w:firstLineChars="0"/>
                    <w:rPr>
                      <w:sz w:val="21"/>
                      <w:szCs w:val="22"/>
                    </w:rPr>
                  </w:pPr>
                  <w:r>
                    <w:rPr>
                      <w:rFonts w:hint="eastAsia"/>
                      <w:sz w:val="21"/>
                      <w:szCs w:val="22"/>
                    </w:rPr>
                    <w:t>符合</w:t>
                  </w:r>
                </w:p>
              </w:tc>
            </w:tr>
            <w:tr w14:paraId="38AA06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6F1D6154">
                  <w:pPr>
                    <w:pStyle w:val="31"/>
                  </w:pPr>
                </w:p>
              </w:tc>
              <w:tc>
                <w:tcPr>
                  <w:tcW w:w="404" w:type="pct"/>
                  <w:vMerge w:val="continue"/>
                  <w:vAlign w:val="center"/>
                </w:tcPr>
                <w:p w14:paraId="01A7BE7A">
                  <w:pPr>
                    <w:pStyle w:val="31"/>
                  </w:pPr>
                </w:p>
              </w:tc>
              <w:tc>
                <w:tcPr>
                  <w:tcW w:w="3126" w:type="pct"/>
                </w:tcPr>
                <w:p w14:paraId="7AEB6614">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〔A2.2-8〕严控土壤重金属污染，加强油（气）田开发土壤污染防治，以历史遗留工业企业污染场地为重点，开展土壤污染风险管控与修复工程。</w:t>
                  </w:r>
                </w:p>
              </w:tc>
              <w:tc>
                <w:tcPr>
                  <w:tcW w:w="867" w:type="pct"/>
                  <w:vAlign w:val="center"/>
                </w:tcPr>
                <w:p w14:paraId="28957236">
                  <w:pPr>
                    <w:pStyle w:val="31"/>
                  </w:pPr>
                  <w:r>
                    <w:rPr>
                      <w:rFonts w:hint="eastAsia"/>
                    </w:rPr>
                    <w:t>本项目不涉及</w:t>
                  </w:r>
                </w:p>
              </w:tc>
              <w:tc>
                <w:tcPr>
                  <w:tcW w:w="396" w:type="pct"/>
                  <w:vAlign w:val="center"/>
                </w:tcPr>
                <w:p w14:paraId="5C86AF5D">
                  <w:pPr>
                    <w:ind w:firstLine="0" w:firstLineChars="0"/>
                    <w:rPr>
                      <w:sz w:val="21"/>
                      <w:szCs w:val="22"/>
                    </w:rPr>
                  </w:pPr>
                  <w:r>
                    <w:rPr>
                      <w:rFonts w:hint="eastAsia"/>
                      <w:sz w:val="21"/>
                      <w:szCs w:val="22"/>
                    </w:rPr>
                    <w:t>符合</w:t>
                  </w:r>
                </w:p>
              </w:tc>
            </w:tr>
            <w:tr w14:paraId="2F356D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1CF24483">
                  <w:pPr>
                    <w:pStyle w:val="31"/>
                  </w:pPr>
                </w:p>
              </w:tc>
              <w:tc>
                <w:tcPr>
                  <w:tcW w:w="404" w:type="pct"/>
                  <w:vMerge w:val="continue"/>
                  <w:vAlign w:val="center"/>
                </w:tcPr>
                <w:p w14:paraId="1DD47B4B">
                  <w:pPr>
                    <w:pStyle w:val="31"/>
                  </w:pPr>
                </w:p>
              </w:tc>
              <w:tc>
                <w:tcPr>
                  <w:tcW w:w="3126" w:type="pct"/>
                </w:tcPr>
                <w:p w14:paraId="4475F63E">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2.2-9〕加强种植业污染防治。深入推进化肥农药减量增效，全面推广测土配方施肥，引导推动有机肥、绿肥替代化肥，集成推广化肥减量增效技术模式，加强农药包装废弃物管理。实施农膜回收行动，健全农田废旧地膜回收利用体系，提高废旧地膜回收率。推进农作物秸秆综合利用，不断完善秸秆收储运用体系，形成布局合理、多元利用的秸秆综合利用格局。</w:t>
                  </w:r>
                </w:p>
              </w:tc>
              <w:tc>
                <w:tcPr>
                  <w:tcW w:w="867" w:type="pct"/>
                  <w:vAlign w:val="center"/>
                </w:tcPr>
                <w:p w14:paraId="12013E39">
                  <w:pPr>
                    <w:pStyle w:val="31"/>
                  </w:pPr>
                  <w:r>
                    <w:rPr>
                      <w:rFonts w:hint="eastAsia"/>
                    </w:rPr>
                    <w:t>本项目不涉及</w:t>
                  </w:r>
                </w:p>
              </w:tc>
              <w:tc>
                <w:tcPr>
                  <w:tcW w:w="396" w:type="pct"/>
                  <w:vAlign w:val="center"/>
                </w:tcPr>
                <w:p w14:paraId="3D6A6C26">
                  <w:pPr>
                    <w:ind w:firstLine="0" w:firstLineChars="0"/>
                    <w:rPr>
                      <w:sz w:val="21"/>
                      <w:szCs w:val="22"/>
                    </w:rPr>
                  </w:pPr>
                  <w:r>
                    <w:rPr>
                      <w:rFonts w:hint="eastAsia"/>
                      <w:sz w:val="21"/>
                      <w:szCs w:val="22"/>
                    </w:rPr>
                    <w:t>符合</w:t>
                  </w:r>
                </w:p>
              </w:tc>
            </w:tr>
            <w:tr w14:paraId="4F59F3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restart"/>
                  <w:vAlign w:val="center"/>
                </w:tcPr>
                <w:p w14:paraId="71351CD4">
                  <w:pPr>
                    <w:pStyle w:val="31"/>
                  </w:pPr>
                  <w:r>
                    <w:rPr>
                      <w:rFonts w:hint="eastAsia"/>
                    </w:rPr>
                    <w:t>A3环境风险防控</w:t>
                  </w:r>
                </w:p>
              </w:tc>
              <w:tc>
                <w:tcPr>
                  <w:tcW w:w="404" w:type="pct"/>
                  <w:vMerge w:val="restart"/>
                  <w:vAlign w:val="center"/>
                </w:tcPr>
                <w:p w14:paraId="2D205019">
                  <w:pPr>
                    <w:pStyle w:val="31"/>
                  </w:pPr>
                  <w:r>
                    <w:rPr>
                      <w:rFonts w:hint="eastAsia"/>
                    </w:rPr>
                    <w:t>A3.1人居环境要求</w:t>
                  </w:r>
                </w:p>
              </w:tc>
              <w:tc>
                <w:tcPr>
                  <w:tcW w:w="3126" w:type="pct"/>
                </w:tcPr>
                <w:p w14:paraId="5E0EC014">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〔A3.1-1〕建立和完善重污染天气兵地联合应急预案、预报预警应急机制和会商联动机制。“乌一昌一石”区域内可能影响相邻行政区域大气环境的项目，兵地间、城市间必须相互征求意见。</w:t>
                  </w:r>
                </w:p>
              </w:tc>
              <w:tc>
                <w:tcPr>
                  <w:tcW w:w="867" w:type="pct"/>
                  <w:vAlign w:val="center"/>
                </w:tcPr>
                <w:p w14:paraId="77575005">
                  <w:pPr>
                    <w:pStyle w:val="31"/>
                  </w:pPr>
                  <w:r>
                    <w:rPr>
                      <w:rFonts w:hint="eastAsia"/>
                    </w:rPr>
                    <w:t>本项目不涉及</w:t>
                  </w:r>
                </w:p>
              </w:tc>
              <w:tc>
                <w:tcPr>
                  <w:tcW w:w="396" w:type="pct"/>
                  <w:vAlign w:val="center"/>
                </w:tcPr>
                <w:p w14:paraId="18261A9F">
                  <w:pPr>
                    <w:ind w:firstLine="0" w:firstLineChars="0"/>
                    <w:rPr>
                      <w:sz w:val="21"/>
                      <w:szCs w:val="22"/>
                    </w:rPr>
                  </w:pPr>
                  <w:r>
                    <w:rPr>
                      <w:rFonts w:hint="eastAsia"/>
                      <w:sz w:val="21"/>
                      <w:szCs w:val="22"/>
                    </w:rPr>
                    <w:t>符合</w:t>
                  </w:r>
                </w:p>
              </w:tc>
            </w:tr>
            <w:tr w14:paraId="5D1ADE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7A7E2CB5">
                  <w:pPr>
                    <w:pStyle w:val="31"/>
                  </w:pPr>
                </w:p>
              </w:tc>
              <w:tc>
                <w:tcPr>
                  <w:tcW w:w="404" w:type="pct"/>
                  <w:vMerge w:val="continue"/>
                  <w:vAlign w:val="center"/>
                </w:tcPr>
                <w:p w14:paraId="5EF8FDC8">
                  <w:pPr>
                    <w:pStyle w:val="31"/>
                  </w:pPr>
                </w:p>
              </w:tc>
              <w:tc>
                <w:tcPr>
                  <w:tcW w:w="3126" w:type="pct"/>
                </w:tcPr>
                <w:p w14:paraId="036EC5A4">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3.1-2〕对跨国境河流、涉及县级及以上集中式饮用水水源地的河流、其他重要环境敏感目标的河流，建立健全流域上下游突发水污染事件联防联动机制，建立流域环境应急基础信息动态更新长效机制，绘制全流域“一河一策一图”。建立健全跨部门、跨区域的环境应急协调联动处置机制，强化流域上下游、兵地各部门协调，实施联合监测、联合执法、应急联动、信息共享，形成“政府引导、多元联动、社会参与、专业救援”的环境应急处置机制，持续开展应急综合演练，实现从被动应对到主动防控的重大转变。加强流域突发水环境事件应急能力建设，提升应急响应水平，加强监测预警、拦污控污、信息通报、协同处置、基础保障等工作，防范重大生态环境风险，坚决守住生态环境安全底线。</w:t>
                  </w:r>
                </w:p>
              </w:tc>
              <w:tc>
                <w:tcPr>
                  <w:tcW w:w="867" w:type="pct"/>
                  <w:vAlign w:val="center"/>
                </w:tcPr>
                <w:p w14:paraId="540099F8">
                  <w:pPr>
                    <w:pStyle w:val="31"/>
                  </w:pPr>
                  <w:r>
                    <w:rPr>
                      <w:rFonts w:hint="eastAsia"/>
                    </w:rPr>
                    <w:t>本项目不涉及</w:t>
                  </w:r>
                </w:p>
              </w:tc>
              <w:tc>
                <w:tcPr>
                  <w:tcW w:w="396" w:type="pct"/>
                  <w:vAlign w:val="center"/>
                </w:tcPr>
                <w:p w14:paraId="3C0A21B5">
                  <w:pPr>
                    <w:ind w:firstLine="0" w:firstLineChars="0"/>
                    <w:rPr>
                      <w:sz w:val="21"/>
                      <w:szCs w:val="22"/>
                    </w:rPr>
                  </w:pPr>
                  <w:r>
                    <w:rPr>
                      <w:rFonts w:hint="eastAsia"/>
                      <w:sz w:val="21"/>
                      <w:szCs w:val="22"/>
                    </w:rPr>
                    <w:t>符合</w:t>
                  </w:r>
                </w:p>
              </w:tc>
            </w:tr>
            <w:tr w14:paraId="7E8528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3DA6DD65">
                  <w:pPr>
                    <w:pStyle w:val="31"/>
                  </w:pPr>
                </w:p>
              </w:tc>
              <w:tc>
                <w:tcPr>
                  <w:tcW w:w="404" w:type="pct"/>
                  <w:vMerge w:val="continue"/>
                  <w:vAlign w:val="center"/>
                </w:tcPr>
                <w:p w14:paraId="4D2681C4">
                  <w:pPr>
                    <w:pStyle w:val="31"/>
                  </w:pPr>
                </w:p>
              </w:tc>
              <w:tc>
                <w:tcPr>
                  <w:tcW w:w="3126" w:type="pct"/>
                </w:tcPr>
                <w:p w14:paraId="73F31954">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〔A3.1-3〕强化重污染天气监测预报预警能力，建立和完善重污染天气兵地联合应急预案、预警应急机制和会商联动机制，加强轻、中度污染天气管控。</w:t>
                  </w:r>
                </w:p>
              </w:tc>
              <w:tc>
                <w:tcPr>
                  <w:tcW w:w="867" w:type="pct"/>
                  <w:vAlign w:val="center"/>
                </w:tcPr>
                <w:p w14:paraId="5ED12860">
                  <w:pPr>
                    <w:pStyle w:val="31"/>
                  </w:pPr>
                  <w:r>
                    <w:rPr>
                      <w:rFonts w:hint="eastAsia"/>
                    </w:rPr>
                    <w:t>本项目不涉及</w:t>
                  </w:r>
                </w:p>
              </w:tc>
              <w:tc>
                <w:tcPr>
                  <w:tcW w:w="396" w:type="pct"/>
                  <w:vAlign w:val="center"/>
                </w:tcPr>
                <w:p w14:paraId="4639A214">
                  <w:pPr>
                    <w:ind w:firstLine="0" w:firstLineChars="0"/>
                    <w:rPr>
                      <w:sz w:val="21"/>
                      <w:szCs w:val="22"/>
                    </w:rPr>
                  </w:pPr>
                  <w:r>
                    <w:rPr>
                      <w:rFonts w:hint="eastAsia"/>
                      <w:sz w:val="21"/>
                      <w:szCs w:val="22"/>
                    </w:rPr>
                    <w:t>符合</w:t>
                  </w:r>
                </w:p>
              </w:tc>
            </w:tr>
            <w:tr w14:paraId="6A89F1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3720EADF">
                  <w:pPr>
                    <w:pStyle w:val="31"/>
                  </w:pPr>
                </w:p>
              </w:tc>
              <w:tc>
                <w:tcPr>
                  <w:tcW w:w="404" w:type="pct"/>
                  <w:vMerge w:val="restart"/>
                  <w:vAlign w:val="center"/>
                </w:tcPr>
                <w:p w14:paraId="6063366A">
                  <w:pPr>
                    <w:pStyle w:val="31"/>
                  </w:pPr>
                  <w:r>
                    <w:rPr>
                      <w:rFonts w:hint="eastAsia"/>
                    </w:rPr>
                    <w:t>3.2联防联控要求</w:t>
                  </w:r>
                </w:p>
              </w:tc>
              <w:tc>
                <w:tcPr>
                  <w:tcW w:w="3126" w:type="pct"/>
                </w:tcPr>
                <w:p w14:paraId="2400BA67">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3.2-1〕提升饮用水安全保障水平。以县级及以上集中式饮用水水源地为重点，推进饮用水水源保护区规范化建设，统筹推进备用水源或应急水源建设。单一水源供水的重点城市于2025年底前基本完成备用水源或应急水源建设，有条件的地区开展兵地互为备用水源建设。梯次推进农村集中式饮用水水源保护区划定，到2025年，完成乡镇级集中式饮用水水源保护区划定与勘界立标。开展“千吨万人”农村饮用水水源保护区环境风险排查整治，加强农村水源水质监测，依法清理饮用水水源保护区内违法建筑和排污口，实施从水源到水龙头全过程监管。强化饮用水水源保护区环境应急管理，完善重大突发环境事件的物资和技术储备。针对汇水区、补给区存在兵地跨界的，建立统一的饮用水水源应急和执法机制，共享应急物资。</w:t>
                  </w:r>
                </w:p>
              </w:tc>
              <w:tc>
                <w:tcPr>
                  <w:tcW w:w="867" w:type="pct"/>
                  <w:vAlign w:val="center"/>
                </w:tcPr>
                <w:p w14:paraId="282F06EC">
                  <w:pPr>
                    <w:pStyle w:val="31"/>
                  </w:pPr>
                  <w:r>
                    <w:rPr>
                      <w:rFonts w:hint="eastAsia"/>
                    </w:rPr>
                    <w:t>本项目不涉及</w:t>
                  </w:r>
                </w:p>
              </w:tc>
              <w:tc>
                <w:tcPr>
                  <w:tcW w:w="396" w:type="pct"/>
                  <w:vAlign w:val="center"/>
                </w:tcPr>
                <w:p w14:paraId="4C09C2D9">
                  <w:pPr>
                    <w:ind w:firstLine="0" w:firstLineChars="0"/>
                    <w:rPr>
                      <w:sz w:val="21"/>
                      <w:szCs w:val="22"/>
                    </w:rPr>
                  </w:pPr>
                  <w:r>
                    <w:rPr>
                      <w:rFonts w:hint="eastAsia"/>
                      <w:sz w:val="21"/>
                      <w:szCs w:val="22"/>
                    </w:rPr>
                    <w:t>符合</w:t>
                  </w:r>
                </w:p>
              </w:tc>
            </w:tr>
            <w:tr w14:paraId="6D73F2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4213C249">
                  <w:pPr>
                    <w:pStyle w:val="31"/>
                  </w:pPr>
                </w:p>
              </w:tc>
              <w:tc>
                <w:tcPr>
                  <w:tcW w:w="404" w:type="pct"/>
                  <w:vMerge w:val="continue"/>
                  <w:vAlign w:val="center"/>
                </w:tcPr>
                <w:p w14:paraId="51E29047">
                  <w:pPr>
                    <w:pStyle w:val="31"/>
                  </w:pPr>
                </w:p>
              </w:tc>
              <w:tc>
                <w:tcPr>
                  <w:tcW w:w="3126" w:type="pct"/>
                </w:tcPr>
                <w:p w14:paraId="2C11F9A1">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〔A3.2-2〕依法推行农用地分类管理制度，强化受污染耕地安全利用和风险管控。因地制宜制定实施安全利用方案，鼓励采取种植结构调整等措施，确保受污染耕地全部实现安全利用。</w:t>
                  </w:r>
                </w:p>
              </w:tc>
              <w:tc>
                <w:tcPr>
                  <w:tcW w:w="867" w:type="pct"/>
                  <w:vAlign w:val="center"/>
                </w:tcPr>
                <w:p w14:paraId="7CEB6059">
                  <w:pPr>
                    <w:pStyle w:val="31"/>
                  </w:pPr>
                  <w:r>
                    <w:rPr>
                      <w:rFonts w:hint="eastAsia"/>
                    </w:rPr>
                    <w:t>本项目不涉及</w:t>
                  </w:r>
                </w:p>
              </w:tc>
              <w:tc>
                <w:tcPr>
                  <w:tcW w:w="396" w:type="pct"/>
                  <w:vAlign w:val="center"/>
                </w:tcPr>
                <w:p w14:paraId="06300624">
                  <w:pPr>
                    <w:ind w:firstLine="0" w:firstLineChars="0"/>
                    <w:rPr>
                      <w:sz w:val="21"/>
                      <w:szCs w:val="22"/>
                    </w:rPr>
                  </w:pPr>
                  <w:r>
                    <w:rPr>
                      <w:rFonts w:hint="eastAsia"/>
                      <w:sz w:val="21"/>
                      <w:szCs w:val="22"/>
                    </w:rPr>
                    <w:t>符合</w:t>
                  </w:r>
                </w:p>
              </w:tc>
            </w:tr>
            <w:tr w14:paraId="39481E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6D1D642D">
                  <w:pPr>
                    <w:pStyle w:val="31"/>
                  </w:pPr>
                </w:p>
              </w:tc>
              <w:tc>
                <w:tcPr>
                  <w:tcW w:w="404" w:type="pct"/>
                  <w:vMerge w:val="continue"/>
                  <w:vAlign w:val="center"/>
                </w:tcPr>
                <w:p w14:paraId="167826E9">
                  <w:pPr>
                    <w:pStyle w:val="31"/>
                  </w:pPr>
                </w:p>
              </w:tc>
              <w:tc>
                <w:tcPr>
                  <w:tcW w:w="3126" w:type="pct"/>
                </w:tcPr>
                <w:p w14:paraId="6920296F">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3.2-3〕加强新污染物多环境介质协同治理。排放重点管控新污染物的企事业单位应采取污染控制措施，达到相关污染物排放标准及环境质量目标要求；按照排污许可管理有关要求，依法申领排污许可证或填写排污登记表，并在其中载明执行的污染控制标准要求及采取的污染控制措施。排放重点管控新污染物的企事业单位和其他生产经营者应按照相关法律法规要求，对排放（污）口及其周边环境定期开展环境监测，评估环境风险，排查整治环境安全隐患，依法公开新污染物信息，采取措施防范环境风险。土壤污染重点监管单位应严格控制有毒有害物质排放，建立土壤污染隐患排查制度，防止有毒有害物质渗漏、流失、扬散。</w:t>
                  </w:r>
                </w:p>
              </w:tc>
              <w:tc>
                <w:tcPr>
                  <w:tcW w:w="867" w:type="pct"/>
                  <w:vAlign w:val="center"/>
                </w:tcPr>
                <w:p w14:paraId="503B0FD5">
                  <w:pPr>
                    <w:pStyle w:val="31"/>
                  </w:pPr>
                  <w:r>
                    <w:rPr>
                      <w:rFonts w:hint="eastAsia"/>
                    </w:rPr>
                    <w:t>本项目不涉及</w:t>
                  </w:r>
                </w:p>
              </w:tc>
              <w:tc>
                <w:tcPr>
                  <w:tcW w:w="396" w:type="pct"/>
                  <w:vAlign w:val="center"/>
                </w:tcPr>
                <w:p w14:paraId="223E8609">
                  <w:pPr>
                    <w:ind w:firstLine="0" w:firstLineChars="0"/>
                    <w:rPr>
                      <w:sz w:val="21"/>
                      <w:szCs w:val="22"/>
                    </w:rPr>
                  </w:pPr>
                  <w:r>
                    <w:rPr>
                      <w:rFonts w:hint="eastAsia"/>
                      <w:sz w:val="21"/>
                      <w:szCs w:val="22"/>
                    </w:rPr>
                    <w:t>符合</w:t>
                  </w:r>
                </w:p>
              </w:tc>
            </w:tr>
            <w:tr w14:paraId="011326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289F7D32">
                  <w:pPr>
                    <w:pStyle w:val="31"/>
                  </w:pPr>
                </w:p>
              </w:tc>
              <w:tc>
                <w:tcPr>
                  <w:tcW w:w="404" w:type="pct"/>
                  <w:vMerge w:val="continue"/>
                  <w:vAlign w:val="center"/>
                </w:tcPr>
                <w:p w14:paraId="660BC412">
                  <w:pPr>
                    <w:pStyle w:val="31"/>
                  </w:pPr>
                </w:p>
              </w:tc>
              <w:tc>
                <w:tcPr>
                  <w:tcW w:w="3126" w:type="pct"/>
                </w:tcPr>
                <w:p w14:paraId="7777BFF0">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3.2-4〕加强环境风险预警防控。加强涉危险废物企业、涉重金属企业、化工园区、集中式饮用水水源地及重点流域环境风险调查评估，实施分类分级风险管控，协同推进重点区域、流域生态环境污染综合防治、风险防控与生态修复。</w:t>
                  </w:r>
                </w:p>
              </w:tc>
              <w:tc>
                <w:tcPr>
                  <w:tcW w:w="867" w:type="pct"/>
                  <w:vAlign w:val="center"/>
                </w:tcPr>
                <w:p w14:paraId="6328B9EB">
                  <w:pPr>
                    <w:pStyle w:val="31"/>
                  </w:pPr>
                  <w:r>
                    <w:rPr>
                      <w:rFonts w:hint="eastAsia"/>
                    </w:rPr>
                    <w:t>本项目不涉及</w:t>
                  </w:r>
                </w:p>
              </w:tc>
              <w:tc>
                <w:tcPr>
                  <w:tcW w:w="396" w:type="pct"/>
                  <w:vAlign w:val="center"/>
                </w:tcPr>
                <w:p w14:paraId="506F48E5">
                  <w:pPr>
                    <w:ind w:firstLine="0" w:firstLineChars="0"/>
                    <w:rPr>
                      <w:sz w:val="21"/>
                      <w:szCs w:val="22"/>
                    </w:rPr>
                  </w:pPr>
                  <w:r>
                    <w:rPr>
                      <w:rFonts w:hint="eastAsia"/>
                      <w:sz w:val="21"/>
                      <w:szCs w:val="22"/>
                    </w:rPr>
                    <w:t>符合</w:t>
                  </w:r>
                </w:p>
              </w:tc>
            </w:tr>
            <w:tr w14:paraId="2536C0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36684250">
                  <w:pPr>
                    <w:pStyle w:val="31"/>
                  </w:pPr>
                </w:p>
              </w:tc>
              <w:tc>
                <w:tcPr>
                  <w:tcW w:w="404" w:type="pct"/>
                  <w:vMerge w:val="continue"/>
                  <w:vAlign w:val="center"/>
                </w:tcPr>
                <w:p w14:paraId="32B7E46E">
                  <w:pPr>
                    <w:pStyle w:val="31"/>
                  </w:pPr>
                </w:p>
              </w:tc>
              <w:tc>
                <w:tcPr>
                  <w:tcW w:w="3126" w:type="pct"/>
                </w:tcPr>
                <w:p w14:paraId="23D33CF2">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3.2-5〕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867" w:type="pct"/>
                  <w:vAlign w:val="center"/>
                </w:tcPr>
                <w:p w14:paraId="4324F38F">
                  <w:pPr>
                    <w:pStyle w:val="31"/>
                  </w:pPr>
                  <w:r>
                    <w:rPr>
                      <w:rFonts w:hint="eastAsia"/>
                    </w:rPr>
                    <w:t>本项目不涉及</w:t>
                  </w:r>
                </w:p>
              </w:tc>
              <w:tc>
                <w:tcPr>
                  <w:tcW w:w="396" w:type="pct"/>
                  <w:vAlign w:val="center"/>
                </w:tcPr>
                <w:p w14:paraId="7D8A9A70">
                  <w:pPr>
                    <w:ind w:firstLine="0" w:firstLineChars="0"/>
                    <w:rPr>
                      <w:sz w:val="21"/>
                      <w:szCs w:val="22"/>
                    </w:rPr>
                  </w:pPr>
                  <w:r>
                    <w:rPr>
                      <w:rFonts w:hint="eastAsia"/>
                      <w:sz w:val="21"/>
                      <w:szCs w:val="22"/>
                    </w:rPr>
                    <w:t>符合</w:t>
                  </w:r>
                </w:p>
              </w:tc>
            </w:tr>
            <w:tr w14:paraId="42EC3F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173F1756">
                  <w:pPr>
                    <w:pStyle w:val="31"/>
                  </w:pPr>
                </w:p>
              </w:tc>
              <w:tc>
                <w:tcPr>
                  <w:tcW w:w="404" w:type="pct"/>
                  <w:vMerge w:val="continue"/>
                  <w:vAlign w:val="center"/>
                </w:tcPr>
                <w:p w14:paraId="2F857B06">
                  <w:pPr>
                    <w:pStyle w:val="31"/>
                  </w:pPr>
                </w:p>
              </w:tc>
              <w:tc>
                <w:tcPr>
                  <w:tcW w:w="3126" w:type="pct"/>
                </w:tcPr>
                <w:p w14:paraId="2C4E4D26">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3.2-6〕强化兵地联防联控联治，落实兵地统一规划、统一政策、统一标准、统一要求、统一推进的防治管理措施，完善重大项目环境影响评价区域会商、重污染天气兵地联合应急联动机制。建立兵地生态环境联合执法和联合监测长效机制。</w:t>
                  </w:r>
                </w:p>
              </w:tc>
              <w:tc>
                <w:tcPr>
                  <w:tcW w:w="867" w:type="pct"/>
                  <w:vAlign w:val="center"/>
                </w:tcPr>
                <w:p w14:paraId="54CFB6F2">
                  <w:pPr>
                    <w:pStyle w:val="31"/>
                  </w:pPr>
                  <w:r>
                    <w:rPr>
                      <w:rFonts w:hint="eastAsia"/>
                    </w:rPr>
                    <w:t>本项目不涉及</w:t>
                  </w:r>
                </w:p>
              </w:tc>
              <w:tc>
                <w:tcPr>
                  <w:tcW w:w="396" w:type="pct"/>
                  <w:vAlign w:val="center"/>
                </w:tcPr>
                <w:p w14:paraId="36905B7F">
                  <w:pPr>
                    <w:ind w:firstLine="0" w:firstLineChars="0"/>
                    <w:rPr>
                      <w:sz w:val="21"/>
                      <w:szCs w:val="22"/>
                    </w:rPr>
                  </w:pPr>
                  <w:r>
                    <w:rPr>
                      <w:rFonts w:hint="eastAsia"/>
                      <w:sz w:val="21"/>
                      <w:szCs w:val="22"/>
                    </w:rPr>
                    <w:t>符合</w:t>
                  </w:r>
                </w:p>
              </w:tc>
            </w:tr>
            <w:tr w14:paraId="236731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restart"/>
                  <w:vAlign w:val="center"/>
                </w:tcPr>
                <w:p w14:paraId="6A074323">
                  <w:pPr>
                    <w:pStyle w:val="31"/>
                  </w:pPr>
                  <w:r>
                    <w:rPr>
                      <w:rFonts w:hint="eastAsia"/>
                    </w:rPr>
                    <w:t>A4资源利用要求</w:t>
                  </w:r>
                </w:p>
              </w:tc>
              <w:tc>
                <w:tcPr>
                  <w:tcW w:w="404" w:type="pct"/>
                  <w:vMerge w:val="restart"/>
                  <w:vAlign w:val="center"/>
                </w:tcPr>
                <w:p w14:paraId="67CBB44D">
                  <w:pPr>
                    <w:pStyle w:val="31"/>
                  </w:pPr>
                  <w:r>
                    <w:rPr>
                      <w:rFonts w:hint="eastAsia"/>
                    </w:rPr>
                    <w:t>A4.1水资源</w:t>
                  </w:r>
                </w:p>
              </w:tc>
              <w:tc>
                <w:tcPr>
                  <w:tcW w:w="3126" w:type="pct"/>
                </w:tcPr>
                <w:p w14:paraId="252DA977">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〔A4.1-1〕自治区用水总量2025年、2030年控制在国家下达的指标内。</w:t>
                  </w:r>
                </w:p>
              </w:tc>
              <w:tc>
                <w:tcPr>
                  <w:tcW w:w="867" w:type="pct"/>
                  <w:vAlign w:val="center"/>
                </w:tcPr>
                <w:p w14:paraId="18C78855">
                  <w:pPr>
                    <w:pStyle w:val="41"/>
                    <w:spacing w:before="1" w:line="251" w:lineRule="auto"/>
                    <w:ind w:right="49" w:firstLine="0" w:firstLineChars="0"/>
                    <w:jc w:val="center"/>
                    <w:rPr>
                      <w:rFonts w:ascii="Times New Roman" w:hAnsi="Times New Roman" w:cs="Times New Roman"/>
                      <w:sz w:val="21"/>
                      <w:szCs w:val="22"/>
                      <w:lang w:eastAsia="zh-CN"/>
                    </w:rPr>
                  </w:pPr>
                  <w:r>
                    <w:rPr>
                      <w:rFonts w:hint="eastAsia" w:ascii="Times New Roman" w:hAnsi="Times New Roman" w:cs="Times New Roman"/>
                      <w:sz w:val="21"/>
                      <w:szCs w:val="22"/>
                      <w:lang w:eastAsia="zh-CN"/>
                    </w:rPr>
                    <w:t>本项目施工期有少量生活用水和施工用水，用水总量符合指标要求</w:t>
                  </w:r>
                </w:p>
              </w:tc>
              <w:tc>
                <w:tcPr>
                  <w:tcW w:w="396" w:type="pct"/>
                  <w:vAlign w:val="center"/>
                </w:tcPr>
                <w:p w14:paraId="4FA4A8F8">
                  <w:pPr>
                    <w:ind w:firstLine="0" w:firstLineChars="0"/>
                    <w:rPr>
                      <w:sz w:val="21"/>
                      <w:szCs w:val="22"/>
                    </w:rPr>
                  </w:pPr>
                  <w:r>
                    <w:rPr>
                      <w:rFonts w:hint="eastAsia"/>
                      <w:sz w:val="21"/>
                      <w:szCs w:val="22"/>
                    </w:rPr>
                    <w:t>符合</w:t>
                  </w:r>
                </w:p>
              </w:tc>
            </w:tr>
            <w:tr w14:paraId="0B5429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529" w:hRule="atLeast"/>
                <w:jc w:val="center"/>
              </w:trPr>
              <w:tc>
                <w:tcPr>
                  <w:tcW w:w="205" w:type="pct"/>
                  <w:vMerge w:val="continue"/>
                  <w:vAlign w:val="center"/>
                </w:tcPr>
                <w:p w14:paraId="27DDFEC7">
                  <w:pPr>
                    <w:pStyle w:val="31"/>
                  </w:pPr>
                </w:p>
              </w:tc>
              <w:tc>
                <w:tcPr>
                  <w:tcW w:w="404" w:type="pct"/>
                  <w:vMerge w:val="continue"/>
                  <w:vAlign w:val="center"/>
                </w:tcPr>
                <w:p w14:paraId="1585A910">
                  <w:pPr>
                    <w:pStyle w:val="31"/>
                  </w:pPr>
                </w:p>
              </w:tc>
              <w:tc>
                <w:tcPr>
                  <w:tcW w:w="3126" w:type="pct"/>
                </w:tcPr>
                <w:p w14:paraId="1D404D80">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〔A4.1-2〕加大城镇污水再生利用工程建设力度，推进区域再生水循环利用，到2025年，城市生活污水再生利用率力争达到60%。</w:t>
                  </w:r>
                </w:p>
                <w:p w14:paraId="7D3D17F6">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〔A4.1-3〕加强农村水利基础设施建设，推进农村供水保障工程，农村自来水普及率、集中供水率分别达到99.3%、99.7%。</w:t>
                  </w:r>
                </w:p>
              </w:tc>
              <w:tc>
                <w:tcPr>
                  <w:tcW w:w="867" w:type="pct"/>
                  <w:vAlign w:val="center"/>
                </w:tcPr>
                <w:p w14:paraId="7628A111">
                  <w:pPr>
                    <w:pStyle w:val="31"/>
                  </w:pPr>
                  <w:r>
                    <w:rPr>
                      <w:rFonts w:hint="default" w:ascii="Times New Roman" w:hAnsi="Times New Roman" w:cs="Times New Roman" w:eastAsiaTheme="minorEastAsia"/>
                      <w:color w:val="auto"/>
                      <w:sz w:val="21"/>
                      <w:szCs w:val="21"/>
                      <w:lang w:val="en-US" w:eastAsia="zh-CN"/>
                    </w:rPr>
                    <w:t>生活污水排入一体化污水处理设施后，</w:t>
                  </w:r>
                  <w:r>
                    <w:rPr>
                      <w:rFonts w:hint="eastAsia" w:ascii="Times New Roman" w:hAnsi="Times New Roman" w:cs="Times New Roman" w:eastAsiaTheme="minorEastAsia"/>
                      <w:color w:val="auto"/>
                      <w:sz w:val="21"/>
                      <w:szCs w:val="21"/>
                      <w:lang w:val="en-US" w:eastAsia="zh-CN"/>
                    </w:rPr>
                    <w:t>用于洒水降尘和周边绿化</w:t>
                  </w:r>
                  <w:r>
                    <w:rPr>
                      <w:rFonts w:hint="default" w:ascii="Times New Roman" w:hAnsi="Times New Roman" w:cs="Times New Roman" w:eastAsiaTheme="minorEastAsia"/>
                      <w:color w:val="auto"/>
                      <w:sz w:val="21"/>
                      <w:szCs w:val="21"/>
                      <w:lang w:val="en-US" w:eastAsia="zh-CN"/>
                    </w:rPr>
                    <w:t>，不外排</w:t>
                  </w:r>
                  <w:r>
                    <w:rPr>
                      <w:rFonts w:hint="eastAsia" w:ascii="Times New Roman" w:hAnsi="Times New Roman" w:cs="Times New Roman" w:eastAsiaTheme="minorEastAsia"/>
                      <w:color w:val="auto"/>
                      <w:sz w:val="21"/>
                      <w:szCs w:val="21"/>
                      <w:lang w:val="en-US" w:eastAsia="zh-CN"/>
                    </w:rPr>
                    <w:t>。</w:t>
                  </w:r>
                </w:p>
              </w:tc>
              <w:tc>
                <w:tcPr>
                  <w:tcW w:w="396" w:type="pct"/>
                  <w:vAlign w:val="center"/>
                </w:tcPr>
                <w:p w14:paraId="35F877B0">
                  <w:pPr>
                    <w:ind w:firstLine="0" w:firstLineChars="0"/>
                    <w:rPr>
                      <w:sz w:val="21"/>
                      <w:szCs w:val="22"/>
                    </w:rPr>
                  </w:pPr>
                  <w:r>
                    <w:rPr>
                      <w:rFonts w:hint="eastAsia"/>
                      <w:sz w:val="21"/>
                      <w:szCs w:val="22"/>
                    </w:rPr>
                    <w:t>符合</w:t>
                  </w:r>
                </w:p>
              </w:tc>
            </w:tr>
            <w:tr w14:paraId="729205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63D5CD75">
                  <w:pPr>
                    <w:pStyle w:val="31"/>
                  </w:pPr>
                </w:p>
              </w:tc>
              <w:tc>
                <w:tcPr>
                  <w:tcW w:w="404" w:type="pct"/>
                  <w:vMerge w:val="continue"/>
                  <w:vAlign w:val="center"/>
                </w:tcPr>
                <w:p w14:paraId="5BDA7CE4">
                  <w:pPr>
                    <w:pStyle w:val="31"/>
                  </w:pPr>
                </w:p>
              </w:tc>
              <w:tc>
                <w:tcPr>
                  <w:tcW w:w="3126" w:type="pct"/>
                </w:tcPr>
                <w:p w14:paraId="54F08DE1">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〔A4.1-4〕地下水资源利用实行总量控制和水位控制。取用地下水资源，应当按照国家和自治区有关规定申请取水许可。地下水利用应当以浅层地下水为主。</w:t>
                  </w:r>
                </w:p>
              </w:tc>
              <w:tc>
                <w:tcPr>
                  <w:tcW w:w="867" w:type="pct"/>
                  <w:vAlign w:val="center"/>
                </w:tcPr>
                <w:p w14:paraId="64D8DE88">
                  <w:pPr>
                    <w:pStyle w:val="31"/>
                  </w:pPr>
                  <w:r>
                    <w:rPr>
                      <w:rFonts w:hint="eastAsia"/>
                    </w:rPr>
                    <w:t>本项目不涉及</w:t>
                  </w:r>
                </w:p>
              </w:tc>
              <w:tc>
                <w:tcPr>
                  <w:tcW w:w="396" w:type="pct"/>
                  <w:vAlign w:val="center"/>
                </w:tcPr>
                <w:p w14:paraId="48204636">
                  <w:pPr>
                    <w:ind w:firstLine="0" w:firstLineChars="0"/>
                    <w:rPr>
                      <w:sz w:val="21"/>
                      <w:szCs w:val="22"/>
                    </w:rPr>
                  </w:pPr>
                  <w:r>
                    <w:rPr>
                      <w:rFonts w:hint="eastAsia"/>
                      <w:sz w:val="21"/>
                      <w:szCs w:val="22"/>
                    </w:rPr>
                    <w:t>符合</w:t>
                  </w:r>
                </w:p>
              </w:tc>
            </w:tr>
            <w:tr w14:paraId="0DE3C5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6B88B323">
                  <w:pPr>
                    <w:pStyle w:val="31"/>
                  </w:pPr>
                </w:p>
              </w:tc>
              <w:tc>
                <w:tcPr>
                  <w:tcW w:w="404" w:type="pct"/>
                  <w:vAlign w:val="center"/>
                </w:tcPr>
                <w:p w14:paraId="4DE6A200">
                  <w:pPr>
                    <w:pStyle w:val="31"/>
                  </w:pPr>
                  <w:r>
                    <w:rPr>
                      <w:rFonts w:hint="eastAsia"/>
                    </w:rPr>
                    <w:t>A4.2土地资源</w:t>
                  </w:r>
                </w:p>
              </w:tc>
              <w:tc>
                <w:tcPr>
                  <w:tcW w:w="3126" w:type="pct"/>
                </w:tcPr>
                <w:p w14:paraId="5D23B34C">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〔A4.2-1〕土地资源上线指标控制在最终批复的国土空间规划控制指标内。</w:t>
                  </w:r>
                </w:p>
              </w:tc>
              <w:tc>
                <w:tcPr>
                  <w:tcW w:w="867" w:type="pct"/>
                  <w:vAlign w:val="center"/>
                </w:tcPr>
                <w:p w14:paraId="2461CC04">
                  <w:pPr>
                    <w:pStyle w:val="31"/>
                  </w:pPr>
                  <w:r>
                    <w:rPr>
                      <w:rFonts w:hint="eastAsia"/>
                    </w:rPr>
                    <w:t>本项目土地资源上线指标符合要求</w:t>
                  </w:r>
                </w:p>
              </w:tc>
              <w:tc>
                <w:tcPr>
                  <w:tcW w:w="396" w:type="pct"/>
                  <w:vAlign w:val="center"/>
                </w:tcPr>
                <w:p w14:paraId="6C1DD9C6">
                  <w:pPr>
                    <w:ind w:firstLine="0" w:firstLineChars="0"/>
                    <w:rPr>
                      <w:sz w:val="21"/>
                      <w:szCs w:val="22"/>
                    </w:rPr>
                  </w:pPr>
                  <w:r>
                    <w:rPr>
                      <w:rFonts w:hint="eastAsia"/>
                      <w:sz w:val="21"/>
                      <w:szCs w:val="22"/>
                    </w:rPr>
                    <w:t>符合</w:t>
                  </w:r>
                </w:p>
              </w:tc>
            </w:tr>
            <w:tr w14:paraId="1D2A33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782714C1">
                  <w:pPr>
                    <w:pStyle w:val="31"/>
                  </w:pPr>
                </w:p>
              </w:tc>
              <w:tc>
                <w:tcPr>
                  <w:tcW w:w="404" w:type="pct"/>
                  <w:vMerge w:val="restart"/>
                  <w:vAlign w:val="center"/>
                </w:tcPr>
                <w:p w14:paraId="04D72F3F">
                  <w:pPr>
                    <w:pStyle w:val="31"/>
                  </w:pPr>
                  <w:r>
                    <w:rPr>
                      <w:rFonts w:hint="eastAsia"/>
                    </w:rPr>
                    <w:t>A4.3能源利用</w:t>
                  </w:r>
                </w:p>
              </w:tc>
              <w:tc>
                <w:tcPr>
                  <w:tcW w:w="3126" w:type="pct"/>
                </w:tcPr>
                <w:p w14:paraId="157D0328">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〔A4.3-1〕单位地区生产总值二氧化碳排放降低水平完成国家下达指标。</w:t>
                  </w:r>
                </w:p>
                <w:p w14:paraId="32024C98">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〔A4.3-2〕到2025年，自治区万元国内生产总值能耗比2020年下降14.5%。</w:t>
                  </w:r>
                </w:p>
                <w:p w14:paraId="416BC6BE">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〔A4.3-3〕到2025年，非化石能源占一次能源消费比重达18%以上。</w:t>
                  </w:r>
                </w:p>
              </w:tc>
              <w:tc>
                <w:tcPr>
                  <w:tcW w:w="867" w:type="pct"/>
                  <w:vAlign w:val="center"/>
                </w:tcPr>
                <w:p w14:paraId="401E0D67">
                  <w:pPr>
                    <w:pStyle w:val="31"/>
                  </w:pPr>
                  <w:r>
                    <w:rPr>
                      <w:rFonts w:hint="eastAsia"/>
                    </w:rPr>
                    <w:t>本项目不涉及</w:t>
                  </w:r>
                </w:p>
              </w:tc>
              <w:tc>
                <w:tcPr>
                  <w:tcW w:w="396" w:type="pct"/>
                  <w:vAlign w:val="center"/>
                </w:tcPr>
                <w:p w14:paraId="37A083E5">
                  <w:pPr>
                    <w:ind w:firstLine="0" w:firstLineChars="0"/>
                    <w:rPr>
                      <w:sz w:val="21"/>
                      <w:szCs w:val="22"/>
                    </w:rPr>
                  </w:pPr>
                  <w:r>
                    <w:rPr>
                      <w:rFonts w:hint="eastAsia"/>
                      <w:sz w:val="21"/>
                      <w:szCs w:val="22"/>
                    </w:rPr>
                    <w:t>符合</w:t>
                  </w:r>
                </w:p>
              </w:tc>
            </w:tr>
            <w:tr w14:paraId="1C9045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2EC5BF6E">
                  <w:pPr>
                    <w:pStyle w:val="31"/>
                  </w:pPr>
                </w:p>
              </w:tc>
              <w:tc>
                <w:tcPr>
                  <w:tcW w:w="404" w:type="pct"/>
                  <w:vMerge w:val="continue"/>
                  <w:vAlign w:val="center"/>
                </w:tcPr>
                <w:p w14:paraId="101590E3">
                  <w:pPr>
                    <w:pStyle w:val="31"/>
                  </w:pPr>
                </w:p>
              </w:tc>
              <w:tc>
                <w:tcPr>
                  <w:tcW w:w="3126" w:type="pct"/>
                </w:tcPr>
                <w:p w14:paraId="7A99CE0F">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〔A4.3-4〕鼓励使用清洁能源或电厂热力、工业余热等替代锅炉、炉窑燃料用煤。</w:t>
                  </w:r>
                </w:p>
              </w:tc>
              <w:tc>
                <w:tcPr>
                  <w:tcW w:w="867" w:type="pct"/>
                  <w:vAlign w:val="center"/>
                </w:tcPr>
                <w:p w14:paraId="10A72B6D">
                  <w:pPr>
                    <w:pStyle w:val="31"/>
                  </w:pPr>
                  <w:r>
                    <w:rPr>
                      <w:rFonts w:hint="eastAsia"/>
                    </w:rPr>
                    <w:t>本项目不涉及</w:t>
                  </w:r>
                </w:p>
              </w:tc>
              <w:tc>
                <w:tcPr>
                  <w:tcW w:w="396" w:type="pct"/>
                  <w:vAlign w:val="center"/>
                </w:tcPr>
                <w:p w14:paraId="5AB676CE">
                  <w:pPr>
                    <w:ind w:firstLine="0" w:firstLineChars="0"/>
                    <w:rPr>
                      <w:sz w:val="21"/>
                      <w:szCs w:val="22"/>
                    </w:rPr>
                  </w:pPr>
                  <w:r>
                    <w:rPr>
                      <w:rFonts w:hint="eastAsia"/>
                      <w:sz w:val="21"/>
                      <w:szCs w:val="22"/>
                    </w:rPr>
                    <w:t>符合</w:t>
                  </w:r>
                </w:p>
              </w:tc>
            </w:tr>
            <w:tr w14:paraId="269D37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59F8DB42">
                  <w:pPr>
                    <w:pStyle w:val="31"/>
                  </w:pPr>
                </w:p>
              </w:tc>
              <w:tc>
                <w:tcPr>
                  <w:tcW w:w="404" w:type="pct"/>
                  <w:vMerge w:val="continue"/>
                  <w:vAlign w:val="center"/>
                </w:tcPr>
                <w:p w14:paraId="6C8A66EA">
                  <w:pPr>
                    <w:pStyle w:val="31"/>
                  </w:pPr>
                </w:p>
              </w:tc>
              <w:tc>
                <w:tcPr>
                  <w:tcW w:w="3126" w:type="pct"/>
                </w:tcPr>
                <w:p w14:paraId="6A7B4E80">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〔A4.3-5〕以碳达峰碳中和工作为引领，着力提高能源资源利用效率。引导重点行业深入实施清洁生产改造，钢铁、建材、石油化工等重点行业以及其他行业重点用能单位持续开展节能降耗。</w:t>
                  </w:r>
                </w:p>
              </w:tc>
              <w:tc>
                <w:tcPr>
                  <w:tcW w:w="867" w:type="pct"/>
                  <w:vAlign w:val="center"/>
                </w:tcPr>
                <w:p w14:paraId="22ECD0BF">
                  <w:pPr>
                    <w:pStyle w:val="31"/>
                  </w:pPr>
                  <w:r>
                    <w:rPr>
                      <w:rFonts w:hint="eastAsia"/>
                    </w:rPr>
                    <w:t>本项目不涉及</w:t>
                  </w:r>
                </w:p>
              </w:tc>
              <w:tc>
                <w:tcPr>
                  <w:tcW w:w="396" w:type="pct"/>
                  <w:vAlign w:val="center"/>
                </w:tcPr>
                <w:p w14:paraId="07BD2768">
                  <w:pPr>
                    <w:ind w:firstLine="0" w:firstLineChars="0"/>
                    <w:rPr>
                      <w:sz w:val="21"/>
                      <w:szCs w:val="22"/>
                    </w:rPr>
                  </w:pPr>
                  <w:r>
                    <w:rPr>
                      <w:rFonts w:hint="eastAsia"/>
                      <w:sz w:val="21"/>
                      <w:szCs w:val="22"/>
                    </w:rPr>
                    <w:t>符合</w:t>
                  </w:r>
                </w:p>
              </w:tc>
            </w:tr>
            <w:tr w14:paraId="5B9046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03C34146">
                  <w:pPr>
                    <w:pStyle w:val="31"/>
                  </w:pPr>
                </w:p>
              </w:tc>
              <w:tc>
                <w:tcPr>
                  <w:tcW w:w="404" w:type="pct"/>
                  <w:vMerge w:val="continue"/>
                  <w:vAlign w:val="center"/>
                </w:tcPr>
                <w:p w14:paraId="2B436736">
                  <w:pPr>
                    <w:pStyle w:val="31"/>
                  </w:pPr>
                </w:p>
              </w:tc>
              <w:tc>
                <w:tcPr>
                  <w:tcW w:w="3126" w:type="pct"/>
                </w:tcPr>
                <w:p w14:paraId="023F9C3D">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〔A4.3-6〕深入推进碳达峰碳中和行动。推动能源清洁低碳转型，加强能耗“双控”管理，优化能源消费结构。新增原料用能不纳入能源消费总量控制。持续推进散煤整治。</w:t>
                  </w:r>
                </w:p>
              </w:tc>
              <w:tc>
                <w:tcPr>
                  <w:tcW w:w="867" w:type="pct"/>
                  <w:vAlign w:val="center"/>
                </w:tcPr>
                <w:p w14:paraId="488BF3A1">
                  <w:pPr>
                    <w:pStyle w:val="31"/>
                  </w:pPr>
                  <w:r>
                    <w:rPr>
                      <w:rFonts w:hint="eastAsia"/>
                    </w:rPr>
                    <w:t>本项目不涉及</w:t>
                  </w:r>
                </w:p>
              </w:tc>
              <w:tc>
                <w:tcPr>
                  <w:tcW w:w="396" w:type="pct"/>
                  <w:vAlign w:val="center"/>
                </w:tcPr>
                <w:p w14:paraId="0288E151">
                  <w:pPr>
                    <w:ind w:firstLine="0" w:firstLineChars="0"/>
                    <w:rPr>
                      <w:sz w:val="21"/>
                      <w:szCs w:val="22"/>
                    </w:rPr>
                  </w:pPr>
                  <w:r>
                    <w:rPr>
                      <w:rFonts w:hint="eastAsia"/>
                      <w:sz w:val="21"/>
                      <w:szCs w:val="22"/>
                    </w:rPr>
                    <w:t>符合</w:t>
                  </w:r>
                </w:p>
              </w:tc>
            </w:tr>
            <w:tr w14:paraId="569C94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0F8A9E09">
                  <w:pPr>
                    <w:pStyle w:val="31"/>
                  </w:pPr>
                </w:p>
              </w:tc>
              <w:tc>
                <w:tcPr>
                  <w:tcW w:w="404" w:type="pct"/>
                  <w:vAlign w:val="center"/>
                </w:tcPr>
                <w:p w14:paraId="78425711">
                  <w:pPr>
                    <w:pStyle w:val="31"/>
                  </w:pPr>
                  <w:r>
                    <w:rPr>
                      <w:rFonts w:hint="eastAsia"/>
                    </w:rPr>
                    <w:t>A4.4禁燃区要求</w:t>
                  </w:r>
                </w:p>
              </w:tc>
              <w:tc>
                <w:tcPr>
                  <w:tcW w:w="3126" w:type="pct"/>
                </w:tcPr>
                <w:p w14:paraId="029049D4">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〔A4.4-1〕在禁燃区内，禁止销售、燃用高污染燃料；禁止新建、扩建燃用高污染燃料的设施。已建成的，应当在规定期限内改用清洁能源。</w:t>
                  </w:r>
                </w:p>
              </w:tc>
              <w:tc>
                <w:tcPr>
                  <w:tcW w:w="867" w:type="pct"/>
                  <w:vAlign w:val="center"/>
                </w:tcPr>
                <w:p w14:paraId="58AA5D92">
                  <w:pPr>
                    <w:pStyle w:val="31"/>
                  </w:pPr>
                  <w:r>
                    <w:rPr>
                      <w:rFonts w:hint="eastAsia"/>
                    </w:rPr>
                    <w:t>本项目不涉及</w:t>
                  </w:r>
                </w:p>
              </w:tc>
              <w:tc>
                <w:tcPr>
                  <w:tcW w:w="396" w:type="pct"/>
                  <w:vAlign w:val="center"/>
                </w:tcPr>
                <w:p w14:paraId="73B9AC22">
                  <w:pPr>
                    <w:ind w:firstLine="0" w:firstLineChars="0"/>
                    <w:rPr>
                      <w:sz w:val="21"/>
                      <w:szCs w:val="22"/>
                    </w:rPr>
                  </w:pPr>
                  <w:r>
                    <w:rPr>
                      <w:rFonts w:hint="eastAsia"/>
                      <w:sz w:val="21"/>
                      <w:szCs w:val="22"/>
                    </w:rPr>
                    <w:t>符合</w:t>
                  </w:r>
                </w:p>
              </w:tc>
            </w:tr>
            <w:tr w14:paraId="6911FA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57B85D45">
                  <w:pPr>
                    <w:pStyle w:val="31"/>
                  </w:pPr>
                </w:p>
              </w:tc>
              <w:tc>
                <w:tcPr>
                  <w:tcW w:w="404" w:type="pct"/>
                  <w:vMerge w:val="restart"/>
                  <w:vAlign w:val="center"/>
                </w:tcPr>
                <w:p w14:paraId="45780973">
                  <w:pPr>
                    <w:pStyle w:val="31"/>
                  </w:pPr>
                  <w:r>
                    <w:rPr>
                      <w:rFonts w:hint="eastAsia"/>
                    </w:rPr>
                    <w:t>A4.5资源综合利用</w:t>
                  </w:r>
                </w:p>
              </w:tc>
              <w:tc>
                <w:tcPr>
                  <w:tcW w:w="3126" w:type="pct"/>
                </w:tcPr>
                <w:p w14:paraId="2D6C80C9">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4.5-1〕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逆向回收”等模式。以尾矿和共伴生矿、煤矸石、炉渣、粉煤灰、脱硫石膏、冶炼渣、建筑垃圾等为重点，持续推进固体废物综合利用和环境整治，不断提高大宗固体废物资源化利用水平。推行生活垃圾分类，加快建设县（市）生活垃圾处理设施，到2025年，全疆城市生活垃圾无害化处理率达到99%以上。</w:t>
                  </w:r>
                </w:p>
              </w:tc>
              <w:tc>
                <w:tcPr>
                  <w:tcW w:w="867" w:type="pct"/>
                  <w:vMerge w:val="restart"/>
                  <w:vAlign w:val="center"/>
                </w:tcPr>
                <w:p w14:paraId="1B49F35A">
                  <w:pPr>
                    <w:pStyle w:val="31"/>
                  </w:pPr>
                  <w:r>
                    <w:rPr>
                      <w:rFonts w:hint="eastAsia"/>
                      <w:color w:val="000000"/>
                    </w:rPr>
                    <w:t>本项目采取了有效的污染防治措施；施工营地内设置一定数量的垃圾桶，施工中产生的废料、生活垃圾、钻孔渣土等固体废物及时清理，分类存储，回收利用，定期进行现场处置及外运。</w:t>
                  </w:r>
                </w:p>
              </w:tc>
              <w:tc>
                <w:tcPr>
                  <w:tcW w:w="396" w:type="pct"/>
                  <w:vAlign w:val="center"/>
                </w:tcPr>
                <w:p w14:paraId="077071D4">
                  <w:pPr>
                    <w:ind w:firstLine="0" w:firstLineChars="0"/>
                    <w:rPr>
                      <w:sz w:val="21"/>
                      <w:szCs w:val="22"/>
                    </w:rPr>
                  </w:pPr>
                  <w:r>
                    <w:rPr>
                      <w:rFonts w:hint="eastAsia"/>
                      <w:sz w:val="21"/>
                      <w:szCs w:val="22"/>
                    </w:rPr>
                    <w:t>符合</w:t>
                  </w:r>
                </w:p>
              </w:tc>
            </w:tr>
            <w:tr w14:paraId="5FCD39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70E2D01F">
                  <w:pPr>
                    <w:pStyle w:val="31"/>
                  </w:pPr>
                </w:p>
              </w:tc>
              <w:tc>
                <w:tcPr>
                  <w:tcW w:w="404" w:type="pct"/>
                  <w:vMerge w:val="continue"/>
                  <w:vAlign w:val="center"/>
                </w:tcPr>
                <w:p w14:paraId="3F8100B3">
                  <w:pPr>
                    <w:pStyle w:val="31"/>
                  </w:pPr>
                </w:p>
              </w:tc>
              <w:tc>
                <w:tcPr>
                  <w:tcW w:w="3126" w:type="pct"/>
                </w:tcPr>
                <w:p w14:paraId="49588A49">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4.5-2〕推动工业固废按元素价值综合开发利用，加快推进尾矿（共伴生矿）、粉煤灰、煤矸石、冶炼渣、工业副产石膏、赤泥、化工废渣等工业固废在有价组分提取、建材生产、市政设施建设、井下充填、生态修复、土壤治理等领域的规模化利用。着力提升工业固废在生产纤维材料、微晶玻璃、超细化填料、低碳水泥、固废基高性能混凝土、预制件、节能型建筑材料等领域的高值化利用水平。</w:t>
                  </w:r>
                </w:p>
              </w:tc>
              <w:tc>
                <w:tcPr>
                  <w:tcW w:w="867" w:type="pct"/>
                  <w:vMerge w:val="continue"/>
                  <w:vAlign w:val="center"/>
                </w:tcPr>
                <w:p w14:paraId="35DDC3A6">
                  <w:pPr>
                    <w:pStyle w:val="31"/>
                  </w:pPr>
                </w:p>
              </w:tc>
              <w:tc>
                <w:tcPr>
                  <w:tcW w:w="396" w:type="pct"/>
                  <w:vAlign w:val="center"/>
                </w:tcPr>
                <w:p w14:paraId="2AF5A7E1">
                  <w:pPr>
                    <w:ind w:firstLine="0" w:firstLineChars="0"/>
                    <w:rPr>
                      <w:sz w:val="21"/>
                      <w:szCs w:val="22"/>
                    </w:rPr>
                  </w:pPr>
                  <w:r>
                    <w:rPr>
                      <w:rFonts w:hint="eastAsia"/>
                      <w:sz w:val="21"/>
                      <w:szCs w:val="22"/>
                    </w:rPr>
                    <w:t>符合</w:t>
                  </w:r>
                </w:p>
              </w:tc>
            </w:tr>
            <w:tr w14:paraId="4801E7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34DF8DDA">
                  <w:pPr>
                    <w:pStyle w:val="31"/>
                  </w:pPr>
                </w:p>
              </w:tc>
              <w:tc>
                <w:tcPr>
                  <w:tcW w:w="404" w:type="pct"/>
                  <w:vMerge w:val="continue"/>
                  <w:vAlign w:val="center"/>
                </w:tcPr>
                <w:p w14:paraId="55FF4D2F">
                  <w:pPr>
                    <w:pStyle w:val="31"/>
                  </w:pPr>
                </w:p>
              </w:tc>
              <w:tc>
                <w:tcPr>
                  <w:tcW w:w="3126" w:type="pct"/>
                </w:tcPr>
                <w:p w14:paraId="3D730AF2">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4.5-3〕结合工业领域减污降碳要求，加快探索钢铁、有色、化工、建材等重点行业工业固体废物减量化路径，全面推行清洁生产。全面推进绿色矿山、“无废”矿区建设，推广尾矿等大宗工业固体废物环境友好型井下充填回填，减少尾矿库贮存量。推动大宗工业固体废物在提取有价组分、生产建材、筑路、生态修复、土壤治理等领域的规模化利用。</w:t>
                  </w:r>
                </w:p>
              </w:tc>
              <w:tc>
                <w:tcPr>
                  <w:tcW w:w="867" w:type="pct"/>
                  <w:vAlign w:val="center"/>
                </w:tcPr>
                <w:p w14:paraId="754B924D">
                  <w:pPr>
                    <w:pStyle w:val="31"/>
                  </w:pPr>
                  <w:r>
                    <w:rPr>
                      <w:rFonts w:hint="eastAsia"/>
                    </w:rPr>
                    <w:t>本项目不涉及</w:t>
                  </w:r>
                </w:p>
              </w:tc>
              <w:tc>
                <w:tcPr>
                  <w:tcW w:w="396" w:type="pct"/>
                  <w:vAlign w:val="center"/>
                </w:tcPr>
                <w:p w14:paraId="3C239CC0">
                  <w:pPr>
                    <w:ind w:firstLine="0" w:firstLineChars="0"/>
                    <w:rPr>
                      <w:sz w:val="21"/>
                      <w:szCs w:val="22"/>
                    </w:rPr>
                  </w:pPr>
                  <w:r>
                    <w:rPr>
                      <w:rFonts w:hint="eastAsia"/>
                      <w:sz w:val="21"/>
                      <w:szCs w:val="22"/>
                    </w:rPr>
                    <w:t>符合</w:t>
                  </w:r>
                </w:p>
              </w:tc>
            </w:tr>
            <w:tr w14:paraId="14701C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14:paraId="56D7A655">
                  <w:pPr>
                    <w:pStyle w:val="31"/>
                  </w:pPr>
                </w:p>
              </w:tc>
              <w:tc>
                <w:tcPr>
                  <w:tcW w:w="404" w:type="pct"/>
                  <w:vMerge w:val="continue"/>
                  <w:vAlign w:val="center"/>
                </w:tcPr>
                <w:p w14:paraId="69CA9F9C">
                  <w:pPr>
                    <w:pStyle w:val="31"/>
                  </w:pPr>
                </w:p>
              </w:tc>
              <w:tc>
                <w:tcPr>
                  <w:tcW w:w="3126" w:type="pct"/>
                </w:tcPr>
                <w:p w14:paraId="49793414">
                  <w:pPr>
                    <w:pStyle w:val="41"/>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4.5-4〕发展生态种植、生态养殖，建立农业循环经济发展模式，促进农业固体废物综合利用。鼓励和引导农民采用增施有机肥秸秆还田、种植绿肥等技术，持续减少化肥农药使用比例。加大畜禽粪污和秸秆资源化利用先进技术和新型市场模式的集成推广，推动形成长效运行机制。</w:t>
                  </w:r>
                </w:p>
              </w:tc>
              <w:tc>
                <w:tcPr>
                  <w:tcW w:w="867" w:type="pct"/>
                  <w:vAlign w:val="center"/>
                </w:tcPr>
                <w:p w14:paraId="6B9D2AF0">
                  <w:pPr>
                    <w:pStyle w:val="31"/>
                  </w:pPr>
                  <w:r>
                    <w:rPr>
                      <w:rFonts w:hint="eastAsia"/>
                    </w:rPr>
                    <w:t>本项目不涉及</w:t>
                  </w:r>
                </w:p>
              </w:tc>
              <w:tc>
                <w:tcPr>
                  <w:tcW w:w="396" w:type="pct"/>
                  <w:vAlign w:val="center"/>
                </w:tcPr>
                <w:p w14:paraId="5D7D1E05">
                  <w:pPr>
                    <w:ind w:firstLine="0" w:firstLineChars="0"/>
                    <w:rPr>
                      <w:sz w:val="21"/>
                      <w:szCs w:val="22"/>
                    </w:rPr>
                  </w:pPr>
                  <w:r>
                    <w:rPr>
                      <w:rFonts w:hint="eastAsia"/>
                      <w:sz w:val="21"/>
                      <w:szCs w:val="22"/>
                    </w:rPr>
                    <w:t>符合</w:t>
                  </w:r>
                </w:p>
              </w:tc>
            </w:tr>
          </w:tbl>
          <w:p w14:paraId="6E9E503E">
            <w:pPr>
              <w:pStyle w:val="33"/>
              <w:spacing w:before="120"/>
            </w:pPr>
            <w:r>
              <w:rPr>
                <w:rFonts w:hint="eastAsia"/>
              </w:rPr>
              <w:t>表</w:t>
            </w:r>
            <w:r>
              <w:t>1</w:t>
            </w:r>
            <w:r>
              <w:rPr>
                <w:rFonts w:hint="eastAsia"/>
              </w:rPr>
              <w:t>-7本项目与天山南坡片区总体管控要求符合性分析一览表</w:t>
            </w:r>
          </w:p>
          <w:tbl>
            <w:tblPr>
              <w:tblStyle w:val="23"/>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
              <w:gridCol w:w="3777"/>
              <w:gridCol w:w="1663"/>
              <w:gridCol w:w="624"/>
            </w:tblGrid>
            <w:tr w14:paraId="6268EB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3" w:type="pct"/>
                  <w:vMerge w:val="restart"/>
                  <w:vAlign w:val="center"/>
                </w:tcPr>
                <w:p w14:paraId="0375846E">
                  <w:pPr>
                    <w:spacing w:line="240" w:lineRule="auto"/>
                    <w:ind w:firstLine="0" w:firstLineChars="0"/>
                    <w:jc w:val="center"/>
                    <w:rPr>
                      <w:rFonts w:hint="eastAsia" w:ascii="宋体" w:hAnsi="宋体"/>
                      <w:color w:val="000000"/>
                      <w:kern w:val="0"/>
                      <w:sz w:val="21"/>
                      <w:szCs w:val="21"/>
                    </w:rPr>
                  </w:pPr>
                  <w:r>
                    <w:rPr>
                      <w:rFonts w:hint="eastAsia" w:ascii="宋体" w:hAnsi="宋体"/>
                      <w:color w:val="000000"/>
                      <w:kern w:val="0"/>
                      <w:sz w:val="21"/>
                      <w:szCs w:val="21"/>
                    </w:rPr>
                    <w:t>天山南坡片区总体管控要求</w:t>
                  </w:r>
                </w:p>
              </w:tc>
              <w:tc>
                <w:tcPr>
                  <w:tcW w:w="2700" w:type="pct"/>
                  <w:vAlign w:val="center"/>
                </w:tcPr>
                <w:p w14:paraId="1D120246">
                  <w:pPr>
                    <w:spacing w:line="240" w:lineRule="auto"/>
                    <w:ind w:firstLine="0" w:firstLineChars="0"/>
                    <w:jc w:val="center"/>
                    <w:rPr>
                      <w:rFonts w:hint="eastAsia" w:ascii="宋体" w:hAnsi="宋体"/>
                      <w:color w:val="000000"/>
                      <w:kern w:val="0"/>
                      <w:sz w:val="21"/>
                      <w:szCs w:val="21"/>
                    </w:rPr>
                  </w:pPr>
                  <w:r>
                    <w:rPr>
                      <w:rFonts w:hint="eastAsia" w:ascii="宋体" w:hAnsi="宋体"/>
                      <w:color w:val="000000"/>
                      <w:kern w:val="0"/>
                      <w:sz w:val="21"/>
                      <w:szCs w:val="21"/>
                    </w:rPr>
                    <w:t>管控要求</w:t>
                  </w:r>
                </w:p>
              </w:tc>
              <w:tc>
                <w:tcPr>
                  <w:tcW w:w="1189" w:type="pct"/>
                  <w:vAlign w:val="center"/>
                </w:tcPr>
                <w:p w14:paraId="314E088B">
                  <w:pPr>
                    <w:spacing w:line="240" w:lineRule="auto"/>
                    <w:ind w:firstLine="0" w:firstLineChars="0"/>
                    <w:jc w:val="center"/>
                    <w:rPr>
                      <w:rFonts w:hint="eastAsia" w:ascii="宋体" w:hAnsi="宋体"/>
                      <w:color w:val="000000"/>
                      <w:kern w:val="0"/>
                      <w:sz w:val="21"/>
                      <w:szCs w:val="21"/>
                    </w:rPr>
                  </w:pPr>
                  <w:r>
                    <w:rPr>
                      <w:rFonts w:hint="eastAsia" w:ascii="宋体" w:hAnsi="宋体"/>
                      <w:color w:val="000000"/>
                      <w:kern w:val="0"/>
                      <w:sz w:val="21"/>
                      <w:szCs w:val="21"/>
                    </w:rPr>
                    <w:t>本项目</w:t>
                  </w:r>
                </w:p>
              </w:tc>
              <w:tc>
                <w:tcPr>
                  <w:tcW w:w="446" w:type="pct"/>
                  <w:vAlign w:val="center"/>
                </w:tcPr>
                <w:p w14:paraId="0F160409">
                  <w:pPr>
                    <w:spacing w:line="240" w:lineRule="auto"/>
                    <w:ind w:firstLine="0" w:firstLineChars="0"/>
                    <w:jc w:val="center"/>
                    <w:rPr>
                      <w:rFonts w:hint="eastAsia" w:ascii="宋体" w:hAnsi="宋体"/>
                      <w:color w:val="000000"/>
                      <w:kern w:val="0"/>
                      <w:sz w:val="21"/>
                      <w:szCs w:val="21"/>
                    </w:rPr>
                  </w:pPr>
                  <w:r>
                    <w:rPr>
                      <w:rFonts w:hint="eastAsia" w:ascii="宋体" w:hAnsi="宋体"/>
                      <w:color w:val="000000"/>
                      <w:kern w:val="0"/>
                      <w:sz w:val="21"/>
                      <w:szCs w:val="21"/>
                    </w:rPr>
                    <w:t>符合性</w:t>
                  </w:r>
                </w:p>
              </w:tc>
            </w:tr>
            <w:tr w14:paraId="0128F5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82" w:type="dxa"/>
                  <w:vMerge w:val="continue"/>
                  <w:vAlign w:val="center"/>
                </w:tcPr>
                <w:p w14:paraId="0C5297DD">
                  <w:pPr>
                    <w:widowControl/>
                    <w:spacing w:line="240" w:lineRule="auto"/>
                    <w:ind w:firstLine="0" w:firstLineChars="0"/>
                    <w:jc w:val="left"/>
                    <w:rPr>
                      <w:rFonts w:hint="eastAsia" w:ascii="宋体" w:hAnsi="宋体"/>
                      <w:color w:val="000000"/>
                      <w:kern w:val="0"/>
                      <w:sz w:val="21"/>
                      <w:szCs w:val="21"/>
                    </w:rPr>
                  </w:pPr>
                </w:p>
              </w:tc>
              <w:tc>
                <w:tcPr>
                  <w:tcW w:w="2700" w:type="pct"/>
                  <w:vAlign w:val="center"/>
                </w:tcPr>
                <w:p w14:paraId="749797C4">
                  <w:pPr>
                    <w:spacing w:line="240" w:lineRule="auto"/>
                    <w:ind w:firstLine="0" w:firstLineChars="0"/>
                    <w:jc w:val="center"/>
                    <w:rPr>
                      <w:rFonts w:hint="eastAsia" w:ascii="宋体" w:hAnsi="宋体"/>
                      <w:color w:val="000000"/>
                      <w:kern w:val="0"/>
                      <w:sz w:val="21"/>
                      <w:szCs w:val="21"/>
                    </w:rPr>
                  </w:pPr>
                  <w:r>
                    <w:rPr>
                      <w:rFonts w:hint="eastAsia" w:ascii="宋体" w:hAnsi="宋体"/>
                      <w:color w:val="000000"/>
                      <w:kern w:val="0"/>
                      <w:sz w:val="21"/>
                      <w:szCs w:val="21"/>
                    </w:rPr>
                    <w:t>切实保护托木尔峰和天山南坡中段冰雪水源及生物多样性保护生态功能区内的托木尔峰自然景观、高山冰川、野生动物、森林和草原，合理利用天然草地，稳步推进草原减牧，加强保护区管理，维护自然景观和生物多样性。</w:t>
                  </w:r>
                </w:p>
              </w:tc>
              <w:tc>
                <w:tcPr>
                  <w:tcW w:w="1189" w:type="pct"/>
                  <w:vAlign w:val="center"/>
                </w:tcPr>
                <w:p w14:paraId="146E6941">
                  <w:pPr>
                    <w:spacing w:line="240" w:lineRule="auto"/>
                    <w:ind w:firstLine="0" w:firstLineChars="0"/>
                    <w:jc w:val="center"/>
                    <w:rPr>
                      <w:rFonts w:hint="eastAsia" w:ascii="宋体" w:hAnsi="宋体"/>
                      <w:color w:val="000000"/>
                      <w:kern w:val="0"/>
                      <w:sz w:val="21"/>
                      <w:szCs w:val="21"/>
                    </w:rPr>
                  </w:pPr>
                  <w:r>
                    <w:rPr>
                      <w:rFonts w:hint="eastAsia" w:ascii="宋体" w:hAnsi="宋体"/>
                      <w:color w:val="000000"/>
                      <w:kern w:val="0"/>
                      <w:sz w:val="21"/>
                      <w:szCs w:val="21"/>
                    </w:rPr>
                    <w:t>本项目在托木尔峰和天山南坡中段冰雪水源及生物多样性保护生态功能区</w:t>
                  </w:r>
                </w:p>
              </w:tc>
              <w:tc>
                <w:tcPr>
                  <w:tcW w:w="446" w:type="pct"/>
                  <w:vAlign w:val="center"/>
                </w:tcPr>
                <w:p w14:paraId="6E6D5648">
                  <w:pPr>
                    <w:spacing w:line="240" w:lineRule="auto"/>
                    <w:ind w:firstLine="0" w:firstLineChars="0"/>
                    <w:jc w:val="center"/>
                    <w:rPr>
                      <w:rFonts w:hint="eastAsia" w:ascii="宋体" w:hAnsi="宋体"/>
                      <w:color w:val="000000"/>
                      <w:kern w:val="0"/>
                      <w:sz w:val="21"/>
                      <w:szCs w:val="21"/>
                    </w:rPr>
                  </w:pPr>
                  <w:r>
                    <w:rPr>
                      <w:rFonts w:hint="eastAsia" w:ascii="宋体" w:hAnsi="宋体"/>
                      <w:color w:val="000000"/>
                      <w:kern w:val="0"/>
                      <w:sz w:val="21"/>
                      <w:szCs w:val="21"/>
                    </w:rPr>
                    <w:t>符合</w:t>
                  </w:r>
                </w:p>
              </w:tc>
            </w:tr>
            <w:tr w14:paraId="3B22BF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82" w:type="dxa"/>
                  <w:vMerge w:val="continue"/>
                  <w:vAlign w:val="center"/>
                </w:tcPr>
                <w:p w14:paraId="4E1C8D07">
                  <w:pPr>
                    <w:widowControl/>
                    <w:spacing w:line="240" w:lineRule="auto"/>
                    <w:ind w:firstLine="0" w:firstLineChars="0"/>
                    <w:jc w:val="left"/>
                    <w:rPr>
                      <w:rFonts w:hint="eastAsia" w:ascii="宋体" w:hAnsi="宋体"/>
                      <w:color w:val="000000"/>
                      <w:kern w:val="0"/>
                      <w:sz w:val="21"/>
                      <w:szCs w:val="21"/>
                    </w:rPr>
                  </w:pPr>
                </w:p>
              </w:tc>
              <w:tc>
                <w:tcPr>
                  <w:tcW w:w="2700" w:type="pct"/>
                  <w:vAlign w:val="center"/>
                </w:tcPr>
                <w:p w14:paraId="20667A6E">
                  <w:pPr>
                    <w:spacing w:line="240" w:lineRule="auto"/>
                    <w:ind w:firstLine="0" w:firstLineChars="0"/>
                    <w:jc w:val="center"/>
                    <w:rPr>
                      <w:rFonts w:hint="eastAsia" w:ascii="宋体" w:hAnsi="宋体"/>
                      <w:color w:val="000000"/>
                      <w:kern w:val="0"/>
                      <w:sz w:val="21"/>
                      <w:szCs w:val="21"/>
                    </w:rPr>
                  </w:pPr>
                  <w:r>
                    <w:rPr>
                      <w:rFonts w:hint="eastAsia" w:ascii="宋体" w:hAnsi="宋体"/>
                      <w:snapToGrid w:val="0"/>
                      <w:color w:val="000000"/>
                      <w:kern w:val="0"/>
                      <w:sz w:val="21"/>
                      <w:szCs w:val="21"/>
                    </w:rPr>
                    <w:t>重点做好塔里木盆地北缘荒漠化防治。加强荒漠植被及河岸荒漠林保护，规范油气勘探开发作业，建立油田和公路扰动区域工程与生物相结合的防风固沙体系，逐步形成生态屏障。</w:t>
                  </w:r>
                </w:p>
              </w:tc>
              <w:tc>
                <w:tcPr>
                  <w:tcW w:w="1189" w:type="pct"/>
                  <w:vAlign w:val="center"/>
                </w:tcPr>
                <w:p w14:paraId="4B959170">
                  <w:pPr>
                    <w:spacing w:line="240" w:lineRule="auto"/>
                    <w:ind w:firstLine="0" w:firstLineChars="0"/>
                    <w:jc w:val="center"/>
                    <w:rPr>
                      <w:rFonts w:hint="eastAsia" w:ascii="宋体" w:hAnsi="宋体"/>
                      <w:color w:val="000000"/>
                      <w:kern w:val="0"/>
                      <w:sz w:val="21"/>
                      <w:szCs w:val="21"/>
                    </w:rPr>
                  </w:pPr>
                  <w:r>
                    <w:rPr>
                      <w:rFonts w:hint="eastAsia" w:ascii="宋体" w:hAnsi="宋体"/>
                      <w:snapToGrid w:val="0"/>
                      <w:color w:val="000000"/>
                      <w:kern w:val="0"/>
                      <w:sz w:val="21"/>
                      <w:szCs w:val="21"/>
                    </w:rPr>
                    <w:t>本项目不涉及油气勘探开发</w:t>
                  </w:r>
                </w:p>
              </w:tc>
              <w:tc>
                <w:tcPr>
                  <w:tcW w:w="446" w:type="pct"/>
                  <w:vAlign w:val="center"/>
                </w:tcPr>
                <w:p w14:paraId="7C559695">
                  <w:pPr>
                    <w:spacing w:line="240" w:lineRule="auto"/>
                    <w:ind w:firstLine="0" w:firstLineChars="0"/>
                    <w:jc w:val="center"/>
                    <w:rPr>
                      <w:rFonts w:hint="eastAsia" w:ascii="宋体" w:hAnsi="宋体"/>
                      <w:color w:val="000000"/>
                      <w:kern w:val="0"/>
                      <w:sz w:val="21"/>
                      <w:szCs w:val="21"/>
                    </w:rPr>
                  </w:pPr>
                  <w:r>
                    <w:rPr>
                      <w:rFonts w:hint="eastAsia" w:ascii="宋体" w:hAnsi="宋体"/>
                      <w:color w:val="000000"/>
                      <w:kern w:val="0"/>
                      <w:sz w:val="21"/>
                      <w:szCs w:val="21"/>
                    </w:rPr>
                    <w:t>符合</w:t>
                  </w:r>
                </w:p>
              </w:tc>
            </w:tr>
            <w:tr w14:paraId="056D5A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82" w:type="dxa"/>
                  <w:vMerge w:val="continue"/>
                  <w:vAlign w:val="center"/>
                </w:tcPr>
                <w:p w14:paraId="3DFF4EEF">
                  <w:pPr>
                    <w:widowControl/>
                    <w:spacing w:line="240" w:lineRule="auto"/>
                    <w:ind w:firstLine="0" w:firstLineChars="0"/>
                    <w:jc w:val="left"/>
                    <w:rPr>
                      <w:rFonts w:hint="eastAsia" w:ascii="宋体" w:hAnsi="宋体"/>
                      <w:color w:val="000000"/>
                      <w:kern w:val="0"/>
                      <w:sz w:val="21"/>
                      <w:szCs w:val="21"/>
                    </w:rPr>
                  </w:pPr>
                </w:p>
              </w:tc>
              <w:tc>
                <w:tcPr>
                  <w:tcW w:w="2700" w:type="pct"/>
                  <w:vAlign w:val="center"/>
                </w:tcPr>
                <w:p w14:paraId="10CA334C">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推进塔里木河流域用水结构调整，维护塔里木河、博斯腾湖基本生态用水</w:t>
                  </w:r>
                </w:p>
              </w:tc>
              <w:tc>
                <w:tcPr>
                  <w:tcW w:w="1189" w:type="pct"/>
                  <w:vAlign w:val="center"/>
                </w:tcPr>
                <w:p w14:paraId="4F9DCDB2">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本项目不涉及塔里木河、博斯腾湖生态用水</w:t>
                  </w:r>
                </w:p>
              </w:tc>
              <w:tc>
                <w:tcPr>
                  <w:tcW w:w="446" w:type="pct"/>
                  <w:vAlign w:val="center"/>
                </w:tcPr>
                <w:p w14:paraId="2C44CDFB">
                  <w:pPr>
                    <w:spacing w:line="240" w:lineRule="auto"/>
                    <w:ind w:firstLine="0" w:firstLineChars="0"/>
                    <w:jc w:val="center"/>
                    <w:rPr>
                      <w:rFonts w:hint="eastAsia" w:ascii="宋体" w:hAnsi="宋体"/>
                      <w:color w:val="000000"/>
                      <w:kern w:val="0"/>
                      <w:sz w:val="21"/>
                      <w:szCs w:val="21"/>
                    </w:rPr>
                  </w:pPr>
                  <w:r>
                    <w:rPr>
                      <w:rFonts w:hint="eastAsia" w:ascii="宋体" w:hAnsi="宋体"/>
                      <w:color w:val="000000"/>
                      <w:kern w:val="0"/>
                      <w:sz w:val="21"/>
                      <w:szCs w:val="21"/>
                    </w:rPr>
                    <w:t>符合</w:t>
                  </w:r>
                </w:p>
              </w:tc>
            </w:tr>
            <w:tr w14:paraId="582F53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82" w:type="dxa"/>
                  <w:vMerge w:val="continue"/>
                  <w:vAlign w:val="center"/>
                </w:tcPr>
                <w:p w14:paraId="7B6C1F9F">
                  <w:pPr>
                    <w:widowControl/>
                    <w:spacing w:line="240" w:lineRule="auto"/>
                    <w:ind w:firstLine="0" w:firstLineChars="0"/>
                    <w:jc w:val="left"/>
                    <w:rPr>
                      <w:rFonts w:hint="eastAsia" w:ascii="宋体" w:hAnsi="宋体"/>
                      <w:color w:val="000000"/>
                      <w:kern w:val="0"/>
                      <w:sz w:val="21"/>
                      <w:szCs w:val="21"/>
                    </w:rPr>
                  </w:pPr>
                </w:p>
              </w:tc>
              <w:tc>
                <w:tcPr>
                  <w:tcW w:w="2700" w:type="pct"/>
                  <w:vAlign w:val="center"/>
                </w:tcPr>
                <w:p w14:paraId="7C9EED1D">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加强塔里木河流域水环境风险管控。加大博斯腾湖污染源头达标排放治理和监督力度，实施博斯腾湖综合治理。</w:t>
                  </w:r>
                </w:p>
              </w:tc>
              <w:tc>
                <w:tcPr>
                  <w:tcW w:w="1189" w:type="pct"/>
                  <w:vAlign w:val="center"/>
                </w:tcPr>
                <w:p w14:paraId="1D5F3D0B">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本项目不涉及</w:t>
                  </w:r>
                </w:p>
              </w:tc>
              <w:tc>
                <w:tcPr>
                  <w:tcW w:w="446" w:type="pct"/>
                  <w:vAlign w:val="center"/>
                </w:tcPr>
                <w:p w14:paraId="28624124">
                  <w:pPr>
                    <w:spacing w:line="240" w:lineRule="auto"/>
                    <w:ind w:firstLine="0" w:firstLineChars="0"/>
                    <w:jc w:val="center"/>
                    <w:rPr>
                      <w:rFonts w:hint="eastAsia" w:ascii="宋体" w:hAnsi="宋体"/>
                      <w:color w:val="000000"/>
                      <w:kern w:val="0"/>
                      <w:sz w:val="21"/>
                      <w:szCs w:val="21"/>
                    </w:rPr>
                  </w:pPr>
                  <w:r>
                    <w:rPr>
                      <w:rFonts w:hint="eastAsia" w:ascii="宋体" w:hAnsi="宋体"/>
                      <w:color w:val="000000"/>
                      <w:kern w:val="0"/>
                      <w:sz w:val="21"/>
                      <w:szCs w:val="21"/>
                    </w:rPr>
                    <w:t>符合</w:t>
                  </w:r>
                </w:p>
              </w:tc>
            </w:tr>
            <w:tr w14:paraId="4CC012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82" w:type="dxa"/>
                  <w:vMerge w:val="continue"/>
                  <w:vAlign w:val="center"/>
                </w:tcPr>
                <w:p w14:paraId="1C0E224E">
                  <w:pPr>
                    <w:widowControl/>
                    <w:spacing w:line="240" w:lineRule="auto"/>
                    <w:ind w:firstLine="0" w:firstLineChars="0"/>
                    <w:jc w:val="left"/>
                    <w:rPr>
                      <w:rFonts w:hint="eastAsia" w:ascii="宋体" w:hAnsi="宋体"/>
                      <w:color w:val="000000"/>
                      <w:kern w:val="0"/>
                      <w:sz w:val="21"/>
                      <w:szCs w:val="21"/>
                    </w:rPr>
                  </w:pPr>
                </w:p>
              </w:tc>
              <w:tc>
                <w:tcPr>
                  <w:tcW w:w="2700" w:type="pct"/>
                  <w:vAlign w:val="center"/>
                </w:tcPr>
                <w:p w14:paraId="1B396C75">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加强油（气）资源开发区土壤环境污染综合整治。强化涉重金属行业污染防控与工业废物处理处置。</w:t>
                  </w:r>
                </w:p>
              </w:tc>
              <w:tc>
                <w:tcPr>
                  <w:tcW w:w="1189" w:type="pct"/>
                  <w:vAlign w:val="center"/>
                </w:tcPr>
                <w:p w14:paraId="553B1044">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本项目不涉及油气开发，不涉及重金属排放</w:t>
                  </w:r>
                </w:p>
              </w:tc>
              <w:tc>
                <w:tcPr>
                  <w:tcW w:w="446" w:type="pct"/>
                  <w:vAlign w:val="center"/>
                </w:tcPr>
                <w:p w14:paraId="3CF1B601">
                  <w:pPr>
                    <w:spacing w:line="240" w:lineRule="auto"/>
                    <w:ind w:firstLine="0" w:firstLineChars="0"/>
                    <w:jc w:val="center"/>
                    <w:rPr>
                      <w:rFonts w:hint="eastAsia" w:ascii="宋体" w:hAnsi="宋体"/>
                      <w:color w:val="000000"/>
                      <w:kern w:val="0"/>
                      <w:sz w:val="21"/>
                      <w:szCs w:val="21"/>
                    </w:rPr>
                  </w:pPr>
                  <w:r>
                    <w:rPr>
                      <w:rFonts w:hint="eastAsia" w:ascii="宋体" w:hAnsi="宋体"/>
                      <w:color w:val="000000"/>
                      <w:kern w:val="0"/>
                      <w:sz w:val="21"/>
                      <w:szCs w:val="21"/>
                    </w:rPr>
                    <w:t>符合</w:t>
                  </w:r>
                </w:p>
              </w:tc>
            </w:tr>
          </w:tbl>
          <w:p w14:paraId="5FFC16C9">
            <w:pPr>
              <w:pStyle w:val="41"/>
              <w:spacing w:before="34" w:line="385" w:lineRule="auto"/>
              <w:ind w:left="29" w:firstLine="482"/>
              <w:rPr>
                <w:rFonts w:ascii="Times New Roman" w:hAnsi="Times New Roman" w:cs="Times New Roman"/>
                <w:b/>
                <w:bCs/>
                <w:sz w:val="24"/>
                <w:szCs w:val="32"/>
                <w:lang w:eastAsia="zh-CN"/>
              </w:rPr>
            </w:pPr>
            <w:r>
              <w:rPr>
                <w:rFonts w:hint="eastAsia" w:ascii="Times New Roman" w:hAnsi="Times New Roman" w:cs="Times New Roman"/>
                <w:b/>
                <w:bCs/>
                <w:sz w:val="24"/>
                <w:szCs w:val="32"/>
                <w:lang w:eastAsia="zh-CN"/>
              </w:rPr>
              <w:t>2.2本项目与巴音郭楞蒙古自治州生态环境分区管控方案符合性分析</w:t>
            </w:r>
          </w:p>
          <w:p w14:paraId="35F4497A">
            <w:pPr>
              <w:pStyle w:val="41"/>
              <w:spacing w:before="34" w:line="385" w:lineRule="auto"/>
              <w:ind w:left="29" w:firstLine="468"/>
              <w:rPr>
                <w:rFonts w:hint="eastAsia"/>
                <w:spacing w:val="-6"/>
                <w:sz w:val="24"/>
                <w:szCs w:val="24"/>
                <w:lang w:eastAsia="zh-CN"/>
              </w:rPr>
            </w:pPr>
            <w:r>
              <w:rPr>
                <w:spacing w:val="-3"/>
                <w:sz w:val="24"/>
                <w:szCs w:val="24"/>
                <w:lang w:eastAsia="zh-CN"/>
              </w:rPr>
              <w:t>本工程建设地点位于新疆维吾尔自治区</w:t>
            </w:r>
            <w:r>
              <w:rPr>
                <w:rFonts w:hint="eastAsia"/>
                <w:spacing w:val="-3"/>
                <w:sz w:val="24"/>
                <w:szCs w:val="24"/>
                <w:lang w:eastAsia="zh-CN"/>
              </w:rPr>
              <w:t>和静县</w:t>
            </w:r>
            <w:r>
              <w:rPr>
                <w:spacing w:val="-3"/>
                <w:sz w:val="24"/>
                <w:szCs w:val="24"/>
                <w:lang w:eastAsia="zh-CN"/>
              </w:rPr>
              <w:t>，根据《巴音郭楞蒙</w:t>
            </w:r>
            <w:r>
              <w:rPr>
                <w:spacing w:val="1"/>
                <w:sz w:val="24"/>
                <w:szCs w:val="24"/>
                <w:lang w:eastAsia="zh-CN"/>
              </w:rPr>
              <w:t>古自治州生态环境分区管控动态更新成果（</w:t>
            </w:r>
            <w:r>
              <w:rPr>
                <w:rFonts w:ascii="Times New Roman" w:hAnsi="Times New Roman" w:eastAsia="Times New Roman" w:cs="Times New Roman"/>
                <w:spacing w:val="1"/>
                <w:sz w:val="24"/>
                <w:szCs w:val="24"/>
                <w:lang w:eastAsia="zh-CN"/>
              </w:rPr>
              <w:t>2023</w:t>
            </w:r>
            <w:r>
              <w:rPr>
                <w:spacing w:val="1"/>
                <w:sz w:val="24"/>
                <w:szCs w:val="24"/>
                <w:lang w:eastAsia="zh-CN"/>
              </w:rPr>
              <w:t>年）》</w:t>
            </w:r>
            <w:r>
              <w:rPr>
                <w:spacing w:val="-2"/>
                <w:sz w:val="24"/>
                <w:szCs w:val="24"/>
                <w:lang w:eastAsia="zh-CN"/>
              </w:rPr>
              <w:t>（巴政办发〔</w:t>
            </w:r>
            <w:r>
              <w:rPr>
                <w:rFonts w:ascii="Times New Roman" w:hAnsi="Times New Roman" w:eastAsia="Times New Roman" w:cs="Times New Roman"/>
                <w:spacing w:val="-2"/>
                <w:sz w:val="24"/>
                <w:szCs w:val="24"/>
                <w:lang w:eastAsia="zh-CN"/>
              </w:rPr>
              <w:t>2024</w:t>
            </w:r>
            <w:r>
              <w:rPr>
                <w:spacing w:val="-2"/>
                <w:sz w:val="24"/>
                <w:szCs w:val="24"/>
                <w:lang w:eastAsia="zh-CN"/>
              </w:rPr>
              <w:t>〕</w:t>
            </w:r>
            <w:r>
              <w:rPr>
                <w:rFonts w:ascii="Times New Roman" w:hAnsi="Times New Roman" w:eastAsia="Times New Roman" w:cs="Times New Roman"/>
                <w:spacing w:val="-2"/>
                <w:sz w:val="24"/>
                <w:szCs w:val="24"/>
                <w:lang w:eastAsia="zh-CN"/>
              </w:rPr>
              <w:t>32</w:t>
            </w:r>
            <w:r>
              <w:rPr>
                <w:spacing w:val="-2"/>
                <w:sz w:val="24"/>
                <w:szCs w:val="24"/>
                <w:lang w:eastAsia="zh-CN"/>
              </w:rPr>
              <w:t>号</w:t>
            </w:r>
            <w:r>
              <w:rPr>
                <w:spacing w:val="12"/>
                <w:sz w:val="24"/>
                <w:szCs w:val="24"/>
                <w:lang w:eastAsia="zh-CN"/>
              </w:rPr>
              <w:t>），</w:t>
            </w:r>
            <w:r>
              <w:rPr>
                <w:spacing w:val="-2"/>
                <w:sz w:val="24"/>
                <w:szCs w:val="24"/>
                <w:lang w:eastAsia="zh-CN"/>
              </w:rPr>
              <w:t>本工程所在环境管控单元管控要求详见</w:t>
            </w:r>
            <w:r>
              <w:rPr>
                <w:spacing w:val="-6"/>
                <w:sz w:val="24"/>
                <w:szCs w:val="24"/>
                <w:lang w:eastAsia="zh-CN"/>
              </w:rPr>
              <w:t>下表。</w:t>
            </w:r>
          </w:p>
          <w:p w14:paraId="69316307">
            <w:pPr>
              <w:adjustRightInd w:val="0"/>
              <w:snapToGrid w:val="0"/>
              <w:spacing w:line="240" w:lineRule="auto"/>
              <w:ind w:firstLine="0" w:firstLineChars="0"/>
              <w:jc w:val="center"/>
              <w:rPr>
                <w:b/>
                <w:kern w:val="0"/>
                <w:sz w:val="21"/>
                <w:szCs w:val="20"/>
              </w:rPr>
            </w:pPr>
            <w:r>
              <w:rPr>
                <w:rFonts w:hint="eastAsia"/>
                <w:b/>
                <w:kern w:val="0"/>
                <w:sz w:val="21"/>
                <w:szCs w:val="20"/>
              </w:rPr>
              <w:t>表1-8巴音郭楞蒙古自治州生态环境准入清单符合性分析</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73"/>
              <w:gridCol w:w="491"/>
              <w:gridCol w:w="3659"/>
              <w:gridCol w:w="1537"/>
              <w:gridCol w:w="632"/>
            </w:tblGrid>
            <w:tr w14:paraId="166178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64" w:type="dxa"/>
                  <w:gridSpan w:val="2"/>
                  <w:tcBorders>
                    <w:tl2br w:val="nil"/>
                    <w:tr2bl w:val="nil"/>
                  </w:tcBorders>
                  <w:vAlign w:val="center"/>
                </w:tcPr>
                <w:p w14:paraId="6914500E">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环境管控单元编码</w:t>
                  </w:r>
                </w:p>
              </w:tc>
              <w:tc>
                <w:tcPr>
                  <w:tcW w:w="3659" w:type="dxa"/>
                  <w:tcBorders>
                    <w:tl2br w:val="nil"/>
                    <w:tr2bl w:val="nil"/>
                  </w:tcBorders>
                  <w:vAlign w:val="center"/>
                </w:tcPr>
                <w:p w14:paraId="63D76231">
                  <w:pPr>
                    <w:spacing w:line="240" w:lineRule="auto"/>
                    <w:ind w:firstLine="0" w:firstLineChars="0"/>
                    <w:jc w:val="center"/>
                    <w:rPr>
                      <w:rFonts w:hint="eastAsia" w:ascii="宋体" w:hAnsi="宋体"/>
                      <w:snapToGrid w:val="0"/>
                      <w:color w:val="000000"/>
                      <w:kern w:val="0"/>
                      <w:sz w:val="21"/>
                      <w:szCs w:val="21"/>
                    </w:rPr>
                  </w:pPr>
                  <w:r>
                    <w:rPr>
                      <w:snapToGrid w:val="0"/>
                      <w:color w:val="000000"/>
                      <w:kern w:val="0"/>
                      <w:sz w:val="21"/>
                      <w:szCs w:val="21"/>
                    </w:rPr>
                    <w:t>ZH6528</w:t>
                  </w:r>
                  <w:r>
                    <w:rPr>
                      <w:rFonts w:hint="eastAsia"/>
                      <w:snapToGrid w:val="0"/>
                      <w:color w:val="000000"/>
                      <w:kern w:val="0"/>
                      <w:sz w:val="21"/>
                      <w:szCs w:val="21"/>
                    </w:rPr>
                    <w:t>2730001</w:t>
                  </w:r>
                </w:p>
              </w:tc>
              <w:tc>
                <w:tcPr>
                  <w:tcW w:w="1537" w:type="dxa"/>
                  <w:vMerge w:val="restart"/>
                  <w:tcBorders>
                    <w:tl2br w:val="nil"/>
                    <w:tr2bl w:val="nil"/>
                  </w:tcBorders>
                  <w:vAlign w:val="center"/>
                </w:tcPr>
                <w:p w14:paraId="18BCC549">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本工程情况</w:t>
                  </w:r>
                </w:p>
              </w:tc>
              <w:tc>
                <w:tcPr>
                  <w:tcW w:w="632" w:type="dxa"/>
                  <w:vMerge w:val="restart"/>
                  <w:tcBorders>
                    <w:tl2br w:val="nil"/>
                    <w:tr2bl w:val="nil"/>
                  </w:tcBorders>
                  <w:vAlign w:val="center"/>
                </w:tcPr>
                <w:p w14:paraId="18268551">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相符性分析</w:t>
                  </w:r>
                </w:p>
              </w:tc>
            </w:tr>
            <w:tr w14:paraId="552D92F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64" w:type="dxa"/>
                  <w:gridSpan w:val="2"/>
                  <w:tcBorders>
                    <w:tl2br w:val="nil"/>
                    <w:tr2bl w:val="nil"/>
                  </w:tcBorders>
                  <w:vAlign w:val="center"/>
                </w:tcPr>
                <w:p w14:paraId="73EEEEA8">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环境管控单元名称</w:t>
                  </w:r>
                </w:p>
              </w:tc>
              <w:tc>
                <w:tcPr>
                  <w:tcW w:w="3659" w:type="dxa"/>
                  <w:tcBorders>
                    <w:tl2br w:val="nil"/>
                    <w:tr2bl w:val="nil"/>
                  </w:tcBorders>
                  <w:vAlign w:val="center"/>
                </w:tcPr>
                <w:p w14:paraId="3589B10A">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和静县一般管控区</w:t>
                  </w:r>
                </w:p>
              </w:tc>
              <w:tc>
                <w:tcPr>
                  <w:tcW w:w="1537" w:type="dxa"/>
                  <w:vMerge w:val="continue"/>
                  <w:tcBorders>
                    <w:tl2br w:val="nil"/>
                    <w:tr2bl w:val="nil"/>
                  </w:tcBorders>
                  <w:vAlign w:val="center"/>
                </w:tcPr>
                <w:p w14:paraId="743992B9">
                  <w:pPr>
                    <w:spacing w:line="240" w:lineRule="auto"/>
                    <w:ind w:firstLine="0" w:firstLineChars="0"/>
                    <w:jc w:val="center"/>
                    <w:rPr>
                      <w:rFonts w:hint="eastAsia" w:ascii="宋体" w:hAnsi="宋体"/>
                      <w:snapToGrid w:val="0"/>
                      <w:color w:val="000000"/>
                      <w:kern w:val="0"/>
                      <w:sz w:val="21"/>
                      <w:szCs w:val="21"/>
                    </w:rPr>
                  </w:pPr>
                </w:p>
              </w:tc>
              <w:tc>
                <w:tcPr>
                  <w:tcW w:w="632" w:type="dxa"/>
                  <w:vMerge w:val="continue"/>
                  <w:tcBorders>
                    <w:tl2br w:val="nil"/>
                    <w:tr2bl w:val="nil"/>
                  </w:tcBorders>
                  <w:vAlign w:val="center"/>
                </w:tcPr>
                <w:p w14:paraId="027D9E51">
                  <w:pPr>
                    <w:spacing w:line="240" w:lineRule="auto"/>
                    <w:ind w:firstLine="0" w:firstLineChars="0"/>
                    <w:jc w:val="center"/>
                    <w:rPr>
                      <w:rFonts w:hint="eastAsia" w:ascii="宋体" w:hAnsi="宋体"/>
                      <w:snapToGrid w:val="0"/>
                      <w:color w:val="000000"/>
                      <w:kern w:val="0"/>
                      <w:sz w:val="21"/>
                      <w:szCs w:val="21"/>
                    </w:rPr>
                  </w:pPr>
                </w:p>
              </w:tc>
            </w:tr>
            <w:tr w14:paraId="6B595AA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64" w:type="dxa"/>
                  <w:gridSpan w:val="2"/>
                  <w:tcBorders>
                    <w:tl2br w:val="nil"/>
                    <w:tr2bl w:val="nil"/>
                  </w:tcBorders>
                  <w:vAlign w:val="center"/>
                </w:tcPr>
                <w:p w14:paraId="2DA11FE1">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环境管控单元类别</w:t>
                  </w:r>
                </w:p>
              </w:tc>
              <w:tc>
                <w:tcPr>
                  <w:tcW w:w="3659" w:type="dxa"/>
                  <w:tcBorders>
                    <w:tl2br w:val="nil"/>
                    <w:tr2bl w:val="nil"/>
                  </w:tcBorders>
                  <w:vAlign w:val="center"/>
                </w:tcPr>
                <w:p w14:paraId="36211CD0">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一般管控单元</w:t>
                  </w:r>
                </w:p>
              </w:tc>
              <w:tc>
                <w:tcPr>
                  <w:tcW w:w="1537" w:type="dxa"/>
                  <w:vMerge w:val="continue"/>
                  <w:tcBorders>
                    <w:tl2br w:val="nil"/>
                    <w:tr2bl w:val="nil"/>
                  </w:tcBorders>
                  <w:vAlign w:val="center"/>
                </w:tcPr>
                <w:p w14:paraId="31E1438E">
                  <w:pPr>
                    <w:spacing w:line="240" w:lineRule="auto"/>
                    <w:ind w:firstLine="0" w:firstLineChars="0"/>
                    <w:jc w:val="center"/>
                    <w:rPr>
                      <w:rFonts w:hint="eastAsia" w:ascii="宋体" w:hAnsi="宋体"/>
                      <w:snapToGrid w:val="0"/>
                      <w:color w:val="000000"/>
                      <w:kern w:val="0"/>
                      <w:sz w:val="21"/>
                      <w:szCs w:val="21"/>
                    </w:rPr>
                  </w:pPr>
                </w:p>
              </w:tc>
              <w:tc>
                <w:tcPr>
                  <w:tcW w:w="632" w:type="dxa"/>
                  <w:vMerge w:val="continue"/>
                  <w:tcBorders>
                    <w:tl2br w:val="nil"/>
                    <w:tr2bl w:val="nil"/>
                  </w:tcBorders>
                  <w:vAlign w:val="center"/>
                </w:tcPr>
                <w:p w14:paraId="0AEA44AC">
                  <w:pPr>
                    <w:spacing w:line="240" w:lineRule="auto"/>
                    <w:ind w:firstLine="0" w:firstLineChars="0"/>
                    <w:jc w:val="center"/>
                    <w:rPr>
                      <w:rFonts w:hint="eastAsia" w:ascii="宋体" w:hAnsi="宋体"/>
                      <w:snapToGrid w:val="0"/>
                      <w:color w:val="000000"/>
                      <w:kern w:val="0"/>
                      <w:sz w:val="21"/>
                      <w:szCs w:val="21"/>
                    </w:rPr>
                  </w:pPr>
                </w:p>
              </w:tc>
            </w:tr>
            <w:tr w14:paraId="09E24C1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73" w:type="dxa"/>
                  <w:vMerge w:val="restart"/>
                  <w:tcBorders>
                    <w:tl2br w:val="nil"/>
                    <w:tr2bl w:val="nil"/>
                  </w:tcBorders>
                  <w:vAlign w:val="center"/>
                </w:tcPr>
                <w:p w14:paraId="5D34C6D0">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管控要求</w:t>
                  </w:r>
                </w:p>
              </w:tc>
              <w:tc>
                <w:tcPr>
                  <w:tcW w:w="491" w:type="dxa"/>
                  <w:tcBorders>
                    <w:tl2br w:val="nil"/>
                    <w:tr2bl w:val="nil"/>
                  </w:tcBorders>
                  <w:vAlign w:val="center"/>
                </w:tcPr>
                <w:p w14:paraId="039DDA16">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空间布局约束</w:t>
                  </w:r>
                </w:p>
              </w:tc>
              <w:tc>
                <w:tcPr>
                  <w:tcW w:w="3659" w:type="dxa"/>
                  <w:tcBorders>
                    <w:tl2br w:val="nil"/>
                    <w:tr2bl w:val="nil"/>
                  </w:tcBorders>
                  <w:vAlign w:val="center"/>
                </w:tcPr>
                <w:p w14:paraId="678A007C">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1.强化畜禽粪污资源化利用，改善养殖场通风环境，提高畜禽粪污综合利用率，减少氨挥发排放。鼓励和支持散养密集区实行畜禽粪污分户收集、集中处理。</w:t>
                  </w:r>
                </w:p>
                <w:p w14:paraId="455BE174">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2.严格控制林地、草地、园地农药使用量，禁止使用高毒、高残留农药。</w:t>
                  </w:r>
                </w:p>
                <w:p w14:paraId="75B2361B">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3.加强种植业污染防治。推广应用科学施肥、病虫害绿色防控和综合防治等技术；加强农药包装废弃物管理；实施农膜回收行动，推进农作物秸秆综合利用，健全回收利用体系，提高废旧地膜回收率。</w:t>
                  </w:r>
                </w:p>
                <w:p w14:paraId="621CF9A7">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4.对化学品生产企业、工业集聚区、尾矿库、矿山开采区、危险废物处置场、垃圾填埋场等地下水污染源及周边区域，逐步开展地下水环境状况调查评估，加强风险管控。</w:t>
                  </w:r>
                </w:p>
                <w:p w14:paraId="7093762F">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5.严控土壤重金属污染，加强油（气）田开发土壤污染防治，以历史遗留工业企业污染场地为重点，开展土壤污染风险管控与修复工程。</w:t>
                  </w:r>
                </w:p>
                <w:p w14:paraId="476E1245">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6.因地制宜推进农村厕所革命，分类分区推进农村生活污水治理，全面提升农村生活垃圾治理水平，建立健全农村人居环境长效管护机制。实施化肥农药减量增效行动和农膜回收、秸秆综合利用行动。加强种养结合，整县推进畜禽粪污资源化利用。</w:t>
                  </w:r>
                </w:p>
                <w:p w14:paraId="561D6E74">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7.金属和非金属矿山采选企业新建、改建、扩建执行《新疆维吾尔自治区重点行业环境准入条件（修订）》相关要求。</w:t>
                  </w:r>
                </w:p>
              </w:tc>
              <w:tc>
                <w:tcPr>
                  <w:tcW w:w="1537" w:type="dxa"/>
                  <w:tcBorders>
                    <w:tl2br w:val="nil"/>
                    <w:tr2bl w:val="nil"/>
                  </w:tcBorders>
                  <w:vAlign w:val="center"/>
                </w:tcPr>
                <w:p w14:paraId="2461B720">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本项目位于</w:t>
                  </w:r>
                  <w:r>
                    <w:rPr>
                      <w:rFonts w:hint="eastAsia" w:ascii="宋体" w:hAnsi="宋体"/>
                      <w:snapToGrid w:val="0"/>
                      <w:color w:val="000000"/>
                      <w:kern w:val="0"/>
                      <w:sz w:val="21"/>
                      <w:szCs w:val="21"/>
                      <w:lang w:eastAsia="zh-CN"/>
                    </w:rPr>
                    <w:t>和静县287°方向直线距离约130千米处</w:t>
                  </w:r>
                  <w:r>
                    <w:rPr>
                      <w:rFonts w:hint="eastAsia" w:ascii="宋体" w:hAnsi="宋体"/>
                      <w:snapToGrid w:val="0"/>
                      <w:color w:val="000000"/>
                      <w:kern w:val="0"/>
                      <w:sz w:val="21"/>
                      <w:szCs w:val="21"/>
                    </w:rPr>
                    <w:t>，隶属巴音郭楞蒙古自治州和静县管辖。项目采用了边开挖、边回填、边复垦的勘探方式减少水土流失，勘探过程中产生的粉尘通过洒水抑尘的方式降低排放，对环境空气质量影响较小，不会降低区域环境空气质量，不属于严重污染大气环境的项目。</w:t>
                  </w:r>
                </w:p>
              </w:tc>
              <w:tc>
                <w:tcPr>
                  <w:tcW w:w="632" w:type="dxa"/>
                  <w:tcBorders>
                    <w:tl2br w:val="nil"/>
                    <w:tr2bl w:val="nil"/>
                  </w:tcBorders>
                  <w:vAlign w:val="center"/>
                </w:tcPr>
                <w:p w14:paraId="6CB41F78">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符合</w:t>
                  </w:r>
                </w:p>
              </w:tc>
            </w:tr>
            <w:tr w14:paraId="645A0CE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73" w:type="dxa"/>
                  <w:vMerge w:val="continue"/>
                  <w:tcBorders>
                    <w:tl2br w:val="nil"/>
                    <w:tr2bl w:val="nil"/>
                  </w:tcBorders>
                  <w:vAlign w:val="center"/>
                </w:tcPr>
                <w:p w14:paraId="2EE420DA">
                  <w:pPr>
                    <w:spacing w:line="240" w:lineRule="auto"/>
                    <w:ind w:firstLine="0" w:firstLineChars="0"/>
                    <w:jc w:val="center"/>
                    <w:rPr>
                      <w:rFonts w:hint="eastAsia" w:ascii="宋体" w:hAnsi="宋体"/>
                      <w:snapToGrid w:val="0"/>
                      <w:color w:val="000000"/>
                      <w:kern w:val="0"/>
                      <w:sz w:val="21"/>
                      <w:szCs w:val="21"/>
                    </w:rPr>
                  </w:pPr>
                </w:p>
              </w:tc>
              <w:tc>
                <w:tcPr>
                  <w:tcW w:w="491" w:type="dxa"/>
                  <w:tcBorders>
                    <w:tl2br w:val="nil"/>
                    <w:tr2bl w:val="nil"/>
                  </w:tcBorders>
                  <w:vAlign w:val="center"/>
                </w:tcPr>
                <w:p w14:paraId="7FFF8A31">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污染物排放管控</w:t>
                  </w:r>
                </w:p>
              </w:tc>
              <w:tc>
                <w:tcPr>
                  <w:tcW w:w="3659" w:type="dxa"/>
                  <w:tcBorders>
                    <w:tl2br w:val="nil"/>
                    <w:tr2bl w:val="nil"/>
                  </w:tcBorders>
                  <w:vAlign w:val="center"/>
                </w:tcPr>
                <w:p w14:paraId="63CE35F7">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1.加强对矿山、油田等矿产资源开采影响区域内未利用地的环境监管，发现土壤污染问题的，要坚决查处，并及时督促有关单位采取有效防治措施消除或减轻污染。</w:t>
                  </w:r>
                </w:p>
                <w:p w14:paraId="422C544C">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2.对排查出的危库和病库以及风险评估有严重环境安全隐患的尾矿库，要求企业完善污染治理设施、进行治理和修复。全面整治历史遗留尾矿库，完善覆膜、压土、排洪、堤坝加固等隐患治理和闭库措施。</w:t>
                  </w:r>
                </w:p>
                <w:p w14:paraId="44D9FAE5">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3.依法推行农用地分类管理制度，强化受污染耕地安全利用和风险管控。因地制宜制定实施安全利用方案，鼓励采取种植结构调整等措施，确保受污染耕地全部实现安全利用。</w:t>
                  </w:r>
                </w:p>
                <w:p w14:paraId="374165BE">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4.矿山采选污染物排放执行相应行业标准。稳步推进废水循环利用技术改造升级。采选产生废水排放有行业标准的执行行业标准，否则执行《污水综合排放标准》（GB8978）。采选活动矿石转运、破碎、筛分等粉尘产生工序，应配备抑尘、除尘设备，除尘效率不低于99%，有效控制无组织粉尘排放。采选矿各环节废气排放有行业标准的执行行业标准，否则执行《大气污染物综合排放标准》（GB16297）。一般固体废弃物应根据《一般工业固体废物贮存、处置场污染控制标准》（GB18599）进行管理，属危险废物的按危险废物相关要求依法进行管理，其贮存设施须符合《危险废物贮存污染控制标准》（GB18597）。矿山生态环境保护和恢复要达到《矿山生态环境保护与恢复治理技术规范》（HJ651）及其他有关环保法律法规的相关要求。</w:t>
                  </w:r>
                </w:p>
              </w:tc>
              <w:tc>
                <w:tcPr>
                  <w:tcW w:w="1537" w:type="dxa"/>
                  <w:tcBorders>
                    <w:tl2br w:val="nil"/>
                    <w:tr2bl w:val="nil"/>
                  </w:tcBorders>
                  <w:vAlign w:val="center"/>
                </w:tcPr>
                <w:p w14:paraId="64679793">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勘探过程中产生的粉尘通过洒水抑尘的方式降低排放，对环境空气质量影响较小，不会降低区域环境空气质量，勘查期颗粒物执行《大气污染物综合排放标准》</w:t>
                  </w:r>
                  <w:r>
                    <w:rPr>
                      <w:snapToGrid w:val="0"/>
                      <w:color w:val="000000"/>
                      <w:kern w:val="0"/>
                      <w:sz w:val="21"/>
                      <w:szCs w:val="21"/>
                    </w:rPr>
                    <w:t>（GB16297）</w:t>
                  </w:r>
                  <w:r>
                    <w:rPr>
                      <w:rFonts w:hint="eastAsia" w:ascii="宋体" w:hAnsi="宋体"/>
                      <w:snapToGrid w:val="0"/>
                      <w:color w:val="000000"/>
                      <w:kern w:val="0"/>
                      <w:sz w:val="21"/>
                      <w:szCs w:val="21"/>
                    </w:rPr>
                    <w:t>中颗粒物无组织排放浓度限值，施工营地内设置一定数量的垃圾桶，施工中产生的废料、生活垃圾、钻孔渣土等固体废物及时清理，分类存储，回收利用，定期进行现场处置及外运。符合该管控单元的污染物排放管控要求。</w:t>
                  </w:r>
                </w:p>
              </w:tc>
              <w:tc>
                <w:tcPr>
                  <w:tcW w:w="632" w:type="dxa"/>
                  <w:tcBorders>
                    <w:tl2br w:val="nil"/>
                    <w:tr2bl w:val="nil"/>
                  </w:tcBorders>
                  <w:vAlign w:val="center"/>
                </w:tcPr>
                <w:p w14:paraId="7BFDC8B7">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符合</w:t>
                  </w:r>
                </w:p>
              </w:tc>
            </w:tr>
            <w:tr w14:paraId="2E847F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73" w:type="dxa"/>
                  <w:vMerge w:val="continue"/>
                  <w:tcBorders>
                    <w:tl2br w:val="nil"/>
                    <w:tr2bl w:val="nil"/>
                  </w:tcBorders>
                  <w:vAlign w:val="center"/>
                </w:tcPr>
                <w:p w14:paraId="1866F37D">
                  <w:pPr>
                    <w:spacing w:line="240" w:lineRule="auto"/>
                    <w:ind w:firstLine="0" w:firstLineChars="0"/>
                    <w:jc w:val="center"/>
                    <w:rPr>
                      <w:rFonts w:hint="eastAsia" w:ascii="宋体" w:hAnsi="宋体"/>
                      <w:snapToGrid w:val="0"/>
                      <w:color w:val="000000"/>
                      <w:kern w:val="0"/>
                      <w:sz w:val="21"/>
                      <w:szCs w:val="21"/>
                    </w:rPr>
                  </w:pPr>
                </w:p>
              </w:tc>
              <w:tc>
                <w:tcPr>
                  <w:tcW w:w="491" w:type="dxa"/>
                  <w:tcBorders>
                    <w:tl2br w:val="nil"/>
                    <w:tr2bl w:val="nil"/>
                  </w:tcBorders>
                  <w:vAlign w:val="center"/>
                </w:tcPr>
                <w:p w14:paraId="6A3C164C">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环境风险防控</w:t>
                  </w:r>
                </w:p>
              </w:tc>
              <w:tc>
                <w:tcPr>
                  <w:tcW w:w="3659" w:type="dxa"/>
                  <w:tcBorders>
                    <w:tl2br w:val="nil"/>
                    <w:tr2bl w:val="nil"/>
                  </w:tcBorders>
                  <w:vAlign w:val="center"/>
                </w:tcPr>
                <w:p w14:paraId="1603AB0A">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1.推广渠道防渗、管道输水、喷灌、微灌等节水灌溉技术，完善灌溉用水计量设施。推进规模化高效节水灌溉，推广农作物节水抗旱技术。建立灌区墒情测报网络，提高农业用水效率，降低农业用水比重。</w:t>
                  </w:r>
                </w:p>
                <w:p w14:paraId="4DE89DC6">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2.定期对企业及周边土壤进行监测；对不符合法律法规和相关标准要求的，应当根据监测结果，要求运营单位采取相应改进措施。土壤环境监管重点行业企业拆除生产设施设备、构筑物和污染治理设施，要事先制定残留污染物清理和安全处置方案，并报所在地县级生态环境、工业和信息化部门备案；要严格按照有关规定实施安全处理处置，防范拆除活动污染土壤。</w:t>
                  </w:r>
                </w:p>
              </w:tc>
              <w:tc>
                <w:tcPr>
                  <w:tcW w:w="1537" w:type="dxa"/>
                  <w:tcBorders>
                    <w:tl2br w:val="nil"/>
                    <w:tr2bl w:val="nil"/>
                  </w:tcBorders>
                  <w:vAlign w:val="center"/>
                </w:tcPr>
                <w:p w14:paraId="5D90D0B3">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项目不涉及重点流域、饮用水源等环境敏感区域，勘查期建立健全的环境管理制度，防范环境污染事故发生。符合该管控单元环境风险防控要求。</w:t>
                  </w:r>
                </w:p>
              </w:tc>
              <w:tc>
                <w:tcPr>
                  <w:tcW w:w="632" w:type="dxa"/>
                  <w:tcBorders>
                    <w:tl2br w:val="nil"/>
                    <w:tr2bl w:val="nil"/>
                  </w:tcBorders>
                  <w:vAlign w:val="center"/>
                </w:tcPr>
                <w:p w14:paraId="714913B9">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符合</w:t>
                  </w:r>
                </w:p>
              </w:tc>
            </w:tr>
            <w:tr w14:paraId="605C584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73" w:type="dxa"/>
                  <w:vMerge w:val="continue"/>
                  <w:tcBorders>
                    <w:tl2br w:val="nil"/>
                    <w:tr2bl w:val="nil"/>
                  </w:tcBorders>
                  <w:vAlign w:val="center"/>
                </w:tcPr>
                <w:p w14:paraId="04C8E94B">
                  <w:pPr>
                    <w:spacing w:line="240" w:lineRule="auto"/>
                    <w:ind w:firstLine="0" w:firstLineChars="0"/>
                    <w:jc w:val="center"/>
                    <w:rPr>
                      <w:rFonts w:hint="eastAsia" w:ascii="宋体" w:hAnsi="宋体"/>
                      <w:snapToGrid w:val="0"/>
                      <w:color w:val="000000"/>
                      <w:kern w:val="0"/>
                      <w:sz w:val="21"/>
                      <w:szCs w:val="21"/>
                    </w:rPr>
                  </w:pPr>
                </w:p>
              </w:tc>
              <w:tc>
                <w:tcPr>
                  <w:tcW w:w="491" w:type="dxa"/>
                  <w:tcBorders>
                    <w:tl2br w:val="nil"/>
                    <w:tr2bl w:val="nil"/>
                  </w:tcBorders>
                  <w:vAlign w:val="center"/>
                </w:tcPr>
                <w:p w14:paraId="5BEDBC48">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资源利用效率</w:t>
                  </w:r>
                </w:p>
              </w:tc>
              <w:tc>
                <w:tcPr>
                  <w:tcW w:w="3659" w:type="dxa"/>
                  <w:tcBorders>
                    <w:tl2br w:val="nil"/>
                    <w:tr2bl w:val="nil"/>
                  </w:tcBorders>
                  <w:vAlign w:val="center"/>
                </w:tcPr>
                <w:p w14:paraId="3CBEA767">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1.强化畜禽粪污资源化利用，改善养殖场通风环境，提高畜禽粪污综合利用率，减少氨挥发排放。鼓励和支持散养密集区实行畜禽粪污分户收集、集中处理。</w:t>
                  </w:r>
                </w:p>
                <w:p w14:paraId="0862038F">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2.严格控制林地、草地、园地农药使用量，禁止使用高毒、高残留农药。</w:t>
                  </w:r>
                </w:p>
                <w:p w14:paraId="3F237AC7">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3.对化学品生产企业、工业集聚区、尾矿库、矿山开采区、危险废物处置场、垃圾填埋场等地下水污染源及周边区域，逐步开展地下水环境状况调查评估，加强风险管控。</w:t>
                  </w:r>
                </w:p>
                <w:p w14:paraId="0E7CDDDA">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4.严控土壤重金属污染，加强油（气）田开发土壤污染防治，以历史遗留工业企业污染场地为重点，开展土壤污染风险管控与修复工程。</w:t>
                  </w:r>
                </w:p>
                <w:p w14:paraId="09AEB9C5">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5.因地制宜推进农村厕所革命，分类分区推进农村生活污水治理，全面提升农村生活垃圾治理水平，建立健全农村人居环境长效管护机制。实施化肥农药减量增效行动和农膜回收、秸秆综合利用行动。加强种养结合，整县推进畜禽粪污资源化利用。</w:t>
                  </w:r>
                </w:p>
                <w:p w14:paraId="7F0C0665">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6.废石综合回用、尾矿砂利用率参考《新疆维吾尔自治区重点行业环境准入条件（修订）》等相关文件要求。</w:t>
                  </w:r>
                </w:p>
              </w:tc>
              <w:tc>
                <w:tcPr>
                  <w:tcW w:w="1537" w:type="dxa"/>
                  <w:tcBorders>
                    <w:tl2br w:val="nil"/>
                    <w:tr2bl w:val="nil"/>
                  </w:tcBorders>
                  <w:vAlign w:val="center"/>
                </w:tcPr>
                <w:p w14:paraId="4959C6A4">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本项目产生的土石方在勘探期结束后全部回填至开挖地。符合该管控单元资源利用效率要求。</w:t>
                  </w:r>
                </w:p>
              </w:tc>
              <w:tc>
                <w:tcPr>
                  <w:tcW w:w="632" w:type="dxa"/>
                  <w:tcBorders>
                    <w:tl2br w:val="nil"/>
                    <w:tr2bl w:val="nil"/>
                  </w:tcBorders>
                  <w:vAlign w:val="center"/>
                </w:tcPr>
                <w:p w14:paraId="311DD63A">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符合</w:t>
                  </w:r>
                </w:p>
              </w:tc>
            </w:tr>
          </w:tbl>
          <w:p w14:paraId="239128F7">
            <w:pPr>
              <w:pStyle w:val="20"/>
              <w:ind w:firstLine="482"/>
            </w:pPr>
            <w:r>
              <w:rPr>
                <w:rFonts w:hint="eastAsia"/>
              </w:rPr>
              <w:t>3.与自治区、巴州生态环境规划的符合性分析</w:t>
            </w:r>
          </w:p>
          <w:p w14:paraId="4FB73CC4">
            <w:pPr>
              <w:spacing w:before="120" w:beforeLines="50" w:line="240" w:lineRule="auto"/>
              <w:ind w:firstLine="0" w:firstLineChars="0"/>
              <w:jc w:val="center"/>
              <w:textAlignment w:val="center"/>
              <w:rPr>
                <w:b/>
                <w:color w:val="000000"/>
                <w:sz w:val="21"/>
              </w:rPr>
            </w:pPr>
            <w:r>
              <w:rPr>
                <w:rFonts w:hint="eastAsia"/>
                <w:b/>
                <w:color w:val="000000"/>
                <w:sz w:val="21"/>
                <w:szCs w:val="22"/>
              </w:rPr>
              <w:t>表</w:t>
            </w:r>
            <w:r>
              <w:rPr>
                <w:b/>
                <w:color w:val="000000"/>
                <w:sz w:val="21"/>
                <w:szCs w:val="22"/>
              </w:rPr>
              <w:t>1</w:t>
            </w:r>
            <w:r>
              <w:rPr>
                <w:rFonts w:hint="eastAsia"/>
                <w:b/>
                <w:color w:val="000000"/>
                <w:sz w:val="21"/>
                <w:szCs w:val="22"/>
              </w:rPr>
              <w:t>-9环境规划符合性分析</w:t>
            </w:r>
          </w:p>
          <w:tbl>
            <w:tblPr>
              <w:tblStyle w:val="23"/>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2496"/>
              <w:gridCol w:w="2036"/>
              <w:gridCol w:w="447"/>
            </w:tblGrid>
            <w:tr w14:paraId="54722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Align w:val="center"/>
                </w:tcPr>
                <w:p w14:paraId="27ABA0F7">
                  <w:pPr>
                    <w:spacing w:line="240" w:lineRule="auto"/>
                    <w:ind w:firstLine="0" w:firstLineChars="0"/>
                    <w:jc w:val="center"/>
                    <w:textAlignment w:val="center"/>
                    <w:rPr>
                      <w:color w:val="000000"/>
                      <w:sz w:val="21"/>
                      <w:szCs w:val="22"/>
                    </w:rPr>
                  </w:pPr>
                  <w:bookmarkStart w:id="1" w:name="_Hlk97245357"/>
                  <w:r>
                    <w:rPr>
                      <w:rFonts w:hint="eastAsia"/>
                      <w:color w:val="000000"/>
                      <w:sz w:val="21"/>
                      <w:szCs w:val="22"/>
                    </w:rPr>
                    <w:t>规划</w:t>
                  </w:r>
                </w:p>
              </w:tc>
              <w:tc>
                <w:tcPr>
                  <w:tcW w:w="1784" w:type="pct"/>
                  <w:vAlign w:val="center"/>
                </w:tcPr>
                <w:p w14:paraId="24D8A402">
                  <w:pPr>
                    <w:spacing w:line="240" w:lineRule="auto"/>
                    <w:ind w:firstLine="0" w:firstLineChars="0"/>
                    <w:jc w:val="center"/>
                    <w:textAlignment w:val="center"/>
                    <w:rPr>
                      <w:color w:val="000000"/>
                      <w:sz w:val="21"/>
                      <w:szCs w:val="22"/>
                    </w:rPr>
                  </w:pPr>
                  <w:r>
                    <w:rPr>
                      <w:rFonts w:hint="eastAsia"/>
                      <w:color w:val="000000"/>
                      <w:sz w:val="21"/>
                      <w:szCs w:val="22"/>
                    </w:rPr>
                    <w:t>规划要求</w:t>
                  </w:r>
                </w:p>
              </w:tc>
              <w:tc>
                <w:tcPr>
                  <w:tcW w:w="1455" w:type="pct"/>
                  <w:vAlign w:val="center"/>
                </w:tcPr>
                <w:p w14:paraId="0EC6F6AA">
                  <w:pPr>
                    <w:spacing w:line="240" w:lineRule="auto"/>
                    <w:ind w:firstLine="0" w:firstLineChars="0"/>
                    <w:jc w:val="center"/>
                    <w:textAlignment w:val="center"/>
                    <w:rPr>
                      <w:color w:val="000000"/>
                      <w:sz w:val="21"/>
                      <w:szCs w:val="22"/>
                    </w:rPr>
                  </w:pPr>
                  <w:r>
                    <w:rPr>
                      <w:rFonts w:hint="eastAsia"/>
                      <w:color w:val="000000"/>
                      <w:sz w:val="21"/>
                      <w:szCs w:val="22"/>
                    </w:rPr>
                    <w:t>本项目情况</w:t>
                  </w:r>
                </w:p>
              </w:tc>
              <w:tc>
                <w:tcPr>
                  <w:tcW w:w="319" w:type="pct"/>
                  <w:vAlign w:val="center"/>
                </w:tcPr>
                <w:p w14:paraId="5A56C7D1">
                  <w:pPr>
                    <w:spacing w:line="240" w:lineRule="auto"/>
                    <w:ind w:firstLine="0" w:firstLineChars="0"/>
                    <w:jc w:val="center"/>
                    <w:textAlignment w:val="center"/>
                    <w:rPr>
                      <w:color w:val="000000"/>
                      <w:sz w:val="21"/>
                      <w:szCs w:val="22"/>
                    </w:rPr>
                  </w:pPr>
                  <w:r>
                    <w:rPr>
                      <w:rFonts w:hint="eastAsia"/>
                      <w:color w:val="000000"/>
                      <w:sz w:val="21"/>
                      <w:szCs w:val="22"/>
                    </w:rPr>
                    <w:t>符合性</w:t>
                  </w:r>
                </w:p>
              </w:tc>
            </w:tr>
            <w:tr w14:paraId="47BE8D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Align w:val="center"/>
                </w:tcPr>
                <w:p w14:paraId="3794B4D2">
                  <w:pPr>
                    <w:spacing w:line="240" w:lineRule="auto"/>
                    <w:ind w:firstLine="0" w:firstLineChars="0"/>
                    <w:jc w:val="center"/>
                    <w:textAlignment w:val="center"/>
                    <w:rPr>
                      <w:color w:val="000000"/>
                      <w:sz w:val="21"/>
                      <w:szCs w:val="22"/>
                    </w:rPr>
                  </w:pPr>
                  <w:r>
                    <w:rPr>
                      <w:rFonts w:hint="eastAsia"/>
                      <w:color w:val="000000"/>
                      <w:sz w:val="21"/>
                      <w:szCs w:val="22"/>
                    </w:rPr>
                    <w:t>新疆维吾尔自治区国民经济和社会发展第十四个五年规划和</w:t>
                  </w:r>
                  <w:r>
                    <w:rPr>
                      <w:color w:val="000000"/>
                      <w:sz w:val="21"/>
                      <w:szCs w:val="22"/>
                    </w:rPr>
                    <w:t>2035</w:t>
                  </w:r>
                  <w:r>
                    <w:rPr>
                      <w:rFonts w:hint="eastAsia"/>
                      <w:color w:val="000000"/>
                      <w:sz w:val="21"/>
                      <w:szCs w:val="22"/>
                    </w:rPr>
                    <w:t>年远景目标纲要</w:t>
                  </w:r>
                </w:p>
              </w:tc>
              <w:tc>
                <w:tcPr>
                  <w:tcW w:w="1784" w:type="pct"/>
                  <w:vAlign w:val="center"/>
                </w:tcPr>
                <w:p w14:paraId="2C07BBB2">
                  <w:pPr>
                    <w:spacing w:line="240" w:lineRule="auto"/>
                    <w:ind w:firstLine="0" w:firstLineChars="0"/>
                    <w:jc w:val="center"/>
                    <w:textAlignment w:val="center"/>
                    <w:rPr>
                      <w:color w:val="000000"/>
                      <w:sz w:val="21"/>
                      <w:szCs w:val="22"/>
                    </w:rPr>
                  </w:pPr>
                  <w:r>
                    <w:rPr>
                      <w:rFonts w:hint="eastAsia"/>
                      <w:color w:val="000000"/>
                      <w:sz w:val="21"/>
                      <w:szCs w:val="22"/>
                    </w:rPr>
                    <w:t>按照“深化北疆东疆，加快南疆勘查”的总体思路，开展重点成矿区带地质调查和矿产勘查，做好矿产资源开发利用储备。贯彻新发展理念，建设绿色矿山，实现可持续发展。</w:t>
                  </w:r>
                </w:p>
              </w:tc>
              <w:tc>
                <w:tcPr>
                  <w:tcW w:w="1455" w:type="pct"/>
                  <w:vAlign w:val="center"/>
                </w:tcPr>
                <w:p w14:paraId="16BF5F70">
                  <w:pPr>
                    <w:spacing w:line="240" w:lineRule="auto"/>
                    <w:ind w:firstLine="0" w:firstLineChars="0"/>
                    <w:jc w:val="center"/>
                    <w:textAlignment w:val="center"/>
                    <w:rPr>
                      <w:color w:val="000000"/>
                      <w:sz w:val="21"/>
                      <w:szCs w:val="22"/>
                    </w:rPr>
                  </w:pPr>
                  <w:r>
                    <w:rPr>
                      <w:rFonts w:hint="eastAsia"/>
                      <w:color w:val="000000"/>
                      <w:sz w:val="21"/>
                      <w:szCs w:val="22"/>
                    </w:rPr>
                    <w:t>本项目为固体矿产地质勘探，符合新疆维吾尔自治区国民经济和社会发展第十四个五年规划和</w:t>
                  </w:r>
                  <w:r>
                    <w:rPr>
                      <w:color w:val="000000"/>
                      <w:sz w:val="21"/>
                      <w:szCs w:val="22"/>
                    </w:rPr>
                    <w:t>2035</w:t>
                  </w:r>
                  <w:r>
                    <w:rPr>
                      <w:rFonts w:hint="eastAsia"/>
                      <w:color w:val="000000"/>
                      <w:sz w:val="21"/>
                      <w:szCs w:val="22"/>
                    </w:rPr>
                    <w:t>年远景目标纲要。</w:t>
                  </w:r>
                </w:p>
              </w:tc>
              <w:tc>
                <w:tcPr>
                  <w:tcW w:w="319" w:type="pct"/>
                  <w:vAlign w:val="center"/>
                </w:tcPr>
                <w:p w14:paraId="13D21CC5">
                  <w:pPr>
                    <w:spacing w:line="240" w:lineRule="auto"/>
                    <w:ind w:firstLine="0" w:firstLineChars="0"/>
                    <w:jc w:val="center"/>
                    <w:textAlignment w:val="center"/>
                    <w:rPr>
                      <w:color w:val="000000"/>
                      <w:sz w:val="21"/>
                      <w:szCs w:val="22"/>
                    </w:rPr>
                  </w:pPr>
                  <w:r>
                    <w:rPr>
                      <w:rFonts w:hint="eastAsia"/>
                      <w:color w:val="000000"/>
                      <w:sz w:val="21"/>
                      <w:szCs w:val="22"/>
                    </w:rPr>
                    <w:t>符合</w:t>
                  </w:r>
                </w:p>
              </w:tc>
            </w:tr>
            <w:tr w14:paraId="5A120B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Align w:val="center"/>
                </w:tcPr>
                <w:p w14:paraId="7DC302F8">
                  <w:pPr>
                    <w:spacing w:line="240" w:lineRule="auto"/>
                    <w:ind w:firstLine="0" w:firstLineChars="0"/>
                    <w:jc w:val="center"/>
                    <w:textAlignment w:val="center"/>
                    <w:rPr>
                      <w:color w:val="000000"/>
                      <w:sz w:val="21"/>
                      <w:szCs w:val="22"/>
                    </w:rPr>
                  </w:pPr>
                  <w:r>
                    <w:rPr>
                      <w:rFonts w:hint="eastAsia"/>
                      <w:color w:val="000000"/>
                      <w:sz w:val="21"/>
                      <w:szCs w:val="22"/>
                    </w:rPr>
                    <w:t>巴音郭楞蒙古自治州国民经济和社会发展第十四个五年规划和二〇三五年远景目标纲要</w:t>
                  </w:r>
                </w:p>
              </w:tc>
              <w:tc>
                <w:tcPr>
                  <w:tcW w:w="1784" w:type="pct"/>
                  <w:vAlign w:val="center"/>
                </w:tcPr>
                <w:p w14:paraId="59A1EA20">
                  <w:pPr>
                    <w:spacing w:line="240" w:lineRule="auto"/>
                    <w:ind w:firstLine="0" w:firstLineChars="0"/>
                    <w:jc w:val="center"/>
                    <w:textAlignment w:val="center"/>
                    <w:rPr>
                      <w:color w:val="000000"/>
                      <w:sz w:val="21"/>
                      <w:szCs w:val="22"/>
                    </w:rPr>
                  </w:pPr>
                  <w:r>
                    <w:rPr>
                      <w:rFonts w:hint="eastAsia"/>
                      <w:color w:val="000000"/>
                      <w:sz w:val="21"/>
                      <w:szCs w:val="22"/>
                    </w:rPr>
                    <w:t>加强矿产资源循环利用，大力推进绿色矿山和绿色矿区发展示范区建设；推动绿色矿山建设，加大矿山开采修复治理，实现“边开采、边治理”；加强防风固沙绿化工程建设，加强扬尘、露天矿山综合治理；</w:t>
                  </w:r>
                </w:p>
              </w:tc>
              <w:tc>
                <w:tcPr>
                  <w:tcW w:w="1455" w:type="pct"/>
                  <w:vAlign w:val="center"/>
                </w:tcPr>
                <w:p w14:paraId="39FF8155">
                  <w:pPr>
                    <w:spacing w:line="240" w:lineRule="auto"/>
                    <w:ind w:firstLine="0" w:firstLineChars="0"/>
                    <w:jc w:val="center"/>
                    <w:textAlignment w:val="center"/>
                    <w:rPr>
                      <w:color w:val="000000"/>
                      <w:sz w:val="21"/>
                      <w:szCs w:val="22"/>
                    </w:rPr>
                  </w:pPr>
                  <w:r>
                    <w:rPr>
                      <w:rFonts w:hint="eastAsia"/>
                      <w:color w:val="000000"/>
                      <w:sz w:val="21"/>
                      <w:szCs w:val="22"/>
                    </w:rPr>
                    <w:t>本项目主要为固体矿产地质勘探，符合巴音郭楞蒙古自治州国民经济和社会发展第十四个五年规划和二〇三五年远景目标纲要</w:t>
                  </w:r>
                </w:p>
              </w:tc>
              <w:tc>
                <w:tcPr>
                  <w:tcW w:w="319" w:type="pct"/>
                  <w:vAlign w:val="center"/>
                </w:tcPr>
                <w:p w14:paraId="26750EC6">
                  <w:pPr>
                    <w:spacing w:line="240" w:lineRule="auto"/>
                    <w:ind w:firstLine="0" w:firstLineChars="0"/>
                    <w:jc w:val="center"/>
                    <w:textAlignment w:val="center"/>
                    <w:rPr>
                      <w:color w:val="000000"/>
                      <w:sz w:val="21"/>
                      <w:szCs w:val="22"/>
                    </w:rPr>
                  </w:pPr>
                  <w:r>
                    <w:rPr>
                      <w:rFonts w:hint="eastAsia"/>
                      <w:color w:val="000000"/>
                      <w:sz w:val="21"/>
                      <w:szCs w:val="22"/>
                    </w:rPr>
                    <w:t>符合</w:t>
                  </w:r>
                </w:p>
              </w:tc>
            </w:tr>
            <w:tr w14:paraId="1C523E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Align w:val="center"/>
                </w:tcPr>
                <w:p w14:paraId="15C0AF8C">
                  <w:pPr>
                    <w:spacing w:line="240" w:lineRule="auto"/>
                    <w:ind w:firstLine="0" w:firstLineChars="0"/>
                    <w:jc w:val="center"/>
                    <w:textAlignment w:val="center"/>
                    <w:rPr>
                      <w:color w:val="000000"/>
                      <w:sz w:val="21"/>
                      <w:szCs w:val="22"/>
                    </w:rPr>
                  </w:pPr>
                  <w:r>
                    <w:rPr>
                      <w:rFonts w:hint="eastAsia"/>
                      <w:color w:val="000000"/>
                      <w:sz w:val="21"/>
                      <w:szCs w:val="22"/>
                    </w:rPr>
                    <w:t>和静县国民经济和社会发展第十四个五年规划和</w:t>
                  </w:r>
                  <w:r>
                    <w:rPr>
                      <w:color w:val="000000"/>
                      <w:sz w:val="21"/>
                      <w:szCs w:val="22"/>
                    </w:rPr>
                    <w:t>2035</w:t>
                  </w:r>
                  <w:r>
                    <w:rPr>
                      <w:rFonts w:hint="eastAsia"/>
                      <w:color w:val="000000"/>
                      <w:sz w:val="21"/>
                      <w:szCs w:val="22"/>
                    </w:rPr>
                    <w:t>年远景目标</w:t>
                  </w:r>
                </w:p>
              </w:tc>
              <w:tc>
                <w:tcPr>
                  <w:tcW w:w="1784" w:type="pct"/>
                  <w:vAlign w:val="center"/>
                </w:tcPr>
                <w:p w14:paraId="05BF2085">
                  <w:pPr>
                    <w:spacing w:line="240" w:lineRule="auto"/>
                    <w:ind w:firstLine="0" w:firstLineChars="0"/>
                    <w:jc w:val="center"/>
                    <w:textAlignment w:val="center"/>
                    <w:rPr>
                      <w:color w:val="000000"/>
                      <w:sz w:val="21"/>
                      <w:szCs w:val="22"/>
                    </w:rPr>
                  </w:pPr>
                  <w:r>
                    <w:rPr>
                      <w:color w:val="000000"/>
                      <w:sz w:val="21"/>
                      <w:szCs w:val="22"/>
                    </w:rPr>
                    <w:t>坚决守住生态保护红线、环境质量底线、自然资源利用上线和生态环境准入清单</w:t>
                  </w:r>
                  <w:r>
                    <w:rPr>
                      <w:rFonts w:hint="eastAsia"/>
                      <w:color w:val="000000"/>
                      <w:sz w:val="21"/>
                      <w:szCs w:val="22"/>
                    </w:rPr>
                    <w:t>。</w:t>
                  </w:r>
                  <w:r>
                    <w:rPr>
                      <w:color w:val="000000"/>
                      <w:sz w:val="21"/>
                      <w:szCs w:val="22"/>
                    </w:rPr>
                    <w:t>健全国土空间开发保护制度，提升国土空间治理体系和治理能力现代化水平，基本形成生产空间集约高效、生活空间宜居适度、生态空间山清水秀，安全和谐、富有竞争力和可持续发展的国土空间格局。</w:t>
                  </w:r>
                </w:p>
              </w:tc>
              <w:tc>
                <w:tcPr>
                  <w:tcW w:w="1455" w:type="pct"/>
                  <w:vAlign w:val="center"/>
                </w:tcPr>
                <w:p w14:paraId="70A1845D">
                  <w:pPr>
                    <w:spacing w:line="240" w:lineRule="auto"/>
                    <w:ind w:firstLine="0" w:firstLineChars="0"/>
                    <w:jc w:val="center"/>
                    <w:textAlignment w:val="center"/>
                    <w:rPr>
                      <w:color w:val="000000"/>
                      <w:sz w:val="21"/>
                      <w:szCs w:val="22"/>
                    </w:rPr>
                  </w:pPr>
                  <w:r>
                    <w:rPr>
                      <w:rFonts w:hint="eastAsia"/>
                      <w:color w:val="000000"/>
                      <w:sz w:val="21"/>
                      <w:szCs w:val="22"/>
                    </w:rPr>
                    <w:t>本项目主要为固体矿产地质勘探，符合和静县国民经济和社会发展第十四个五年规划和</w:t>
                  </w:r>
                  <w:r>
                    <w:rPr>
                      <w:color w:val="000000"/>
                      <w:sz w:val="21"/>
                      <w:szCs w:val="22"/>
                    </w:rPr>
                    <w:t>2035</w:t>
                  </w:r>
                  <w:r>
                    <w:rPr>
                      <w:rFonts w:hint="eastAsia"/>
                      <w:color w:val="000000"/>
                      <w:sz w:val="21"/>
                      <w:szCs w:val="22"/>
                    </w:rPr>
                    <w:t>年远景目标</w:t>
                  </w:r>
                </w:p>
              </w:tc>
              <w:tc>
                <w:tcPr>
                  <w:tcW w:w="319" w:type="pct"/>
                  <w:vAlign w:val="center"/>
                </w:tcPr>
                <w:p w14:paraId="4A94C1C4">
                  <w:pPr>
                    <w:spacing w:line="240" w:lineRule="auto"/>
                    <w:ind w:firstLine="0" w:firstLineChars="0"/>
                    <w:jc w:val="center"/>
                    <w:textAlignment w:val="center"/>
                    <w:rPr>
                      <w:color w:val="000000"/>
                      <w:sz w:val="21"/>
                      <w:szCs w:val="22"/>
                    </w:rPr>
                  </w:pPr>
                  <w:r>
                    <w:rPr>
                      <w:rFonts w:hint="eastAsia"/>
                      <w:color w:val="000000"/>
                      <w:sz w:val="21"/>
                      <w:szCs w:val="22"/>
                    </w:rPr>
                    <w:t>符合</w:t>
                  </w:r>
                </w:p>
              </w:tc>
            </w:tr>
            <w:tr w14:paraId="1D8CC8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Align w:val="center"/>
                </w:tcPr>
                <w:p w14:paraId="4D008C50">
                  <w:pPr>
                    <w:spacing w:line="240" w:lineRule="auto"/>
                    <w:ind w:firstLine="0" w:firstLineChars="0"/>
                    <w:jc w:val="center"/>
                    <w:textAlignment w:val="center"/>
                    <w:rPr>
                      <w:color w:val="000000"/>
                      <w:sz w:val="21"/>
                      <w:szCs w:val="22"/>
                    </w:rPr>
                  </w:pPr>
                  <w:r>
                    <w:rPr>
                      <w:rFonts w:hint="eastAsia"/>
                      <w:color w:val="000000"/>
                      <w:sz w:val="21"/>
                      <w:szCs w:val="22"/>
                    </w:rPr>
                    <w:t>新疆生态环境保护</w:t>
                  </w:r>
                  <w:r>
                    <w:rPr>
                      <w:color w:val="000000"/>
                      <w:sz w:val="21"/>
                      <w:szCs w:val="22"/>
                    </w:rPr>
                    <w:t>“</w:t>
                  </w:r>
                  <w:r>
                    <w:rPr>
                      <w:rFonts w:hint="eastAsia"/>
                      <w:color w:val="000000"/>
                      <w:sz w:val="21"/>
                      <w:szCs w:val="22"/>
                    </w:rPr>
                    <w:t>十四五</w:t>
                  </w:r>
                  <w:r>
                    <w:rPr>
                      <w:color w:val="000000"/>
                      <w:sz w:val="21"/>
                      <w:szCs w:val="22"/>
                    </w:rPr>
                    <w:t>”</w:t>
                  </w:r>
                  <w:r>
                    <w:rPr>
                      <w:rFonts w:hint="eastAsia"/>
                      <w:color w:val="000000"/>
                      <w:sz w:val="21"/>
                      <w:szCs w:val="22"/>
                    </w:rPr>
                    <w:t>规划</w:t>
                  </w:r>
                </w:p>
              </w:tc>
              <w:tc>
                <w:tcPr>
                  <w:tcW w:w="1784" w:type="pct"/>
                  <w:vAlign w:val="center"/>
                </w:tcPr>
                <w:p w14:paraId="053B2209">
                  <w:pPr>
                    <w:spacing w:line="240" w:lineRule="auto"/>
                    <w:ind w:firstLine="0" w:firstLineChars="0"/>
                    <w:jc w:val="center"/>
                    <w:textAlignment w:val="center"/>
                    <w:rPr>
                      <w:color w:val="000000"/>
                      <w:sz w:val="21"/>
                      <w:szCs w:val="22"/>
                    </w:rPr>
                  </w:pPr>
                  <w:r>
                    <w:rPr>
                      <w:rFonts w:hint="eastAsia"/>
                      <w:color w:val="000000"/>
                      <w:sz w:val="21"/>
                      <w:szCs w:val="22"/>
                    </w:rPr>
                    <w:t>全面推进绿色矿山建设，规范绿色矿山第三方评估，推广矿产资源节约与综合利用先进技术；充分运用新型、高效的防尘、降尘、除尘技术，加强矿山粉尘治理。</w:t>
                  </w:r>
                </w:p>
              </w:tc>
              <w:tc>
                <w:tcPr>
                  <w:tcW w:w="1455" w:type="pct"/>
                  <w:vAlign w:val="center"/>
                </w:tcPr>
                <w:p w14:paraId="43DB0234">
                  <w:pPr>
                    <w:spacing w:line="240" w:lineRule="auto"/>
                    <w:ind w:firstLine="0" w:firstLineChars="0"/>
                    <w:jc w:val="center"/>
                    <w:textAlignment w:val="center"/>
                    <w:rPr>
                      <w:color w:val="000000"/>
                      <w:sz w:val="21"/>
                      <w:szCs w:val="22"/>
                    </w:rPr>
                  </w:pPr>
                  <w:r>
                    <w:rPr>
                      <w:rFonts w:hint="eastAsia"/>
                      <w:color w:val="000000"/>
                      <w:sz w:val="21"/>
                      <w:szCs w:val="22"/>
                    </w:rPr>
                    <w:t>本项目主要为固体矿产地质勘探，在严格落实各项污染防治措施的前提下，项目建设对环境影响较小。项目符合新疆生态环境保护</w:t>
                  </w:r>
                  <w:r>
                    <w:rPr>
                      <w:color w:val="000000"/>
                      <w:sz w:val="21"/>
                      <w:szCs w:val="22"/>
                    </w:rPr>
                    <w:t>“</w:t>
                  </w:r>
                  <w:r>
                    <w:rPr>
                      <w:rFonts w:hint="eastAsia"/>
                      <w:color w:val="000000"/>
                      <w:sz w:val="21"/>
                      <w:szCs w:val="22"/>
                    </w:rPr>
                    <w:t>十四五</w:t>
                  </w:r>
                  <w:r>
                    <w:rPr>
                      <w:color w:val="000000"/>
                      <w:sz w:val="21"/>
                      <w:szCs w:val="22"/>
                    </w:rPr>
                    <w:t>”</w:t>
                  </w:r>
                  <w:r>
                    <w:rPr>
                      <w:rFonts w:hint="eastAsia"/>
                      <w:color w:val="000000"/>
                      <w:sz w:val="21"/>
                      <w:szCs w:val="22"/>
                    </w:rPr>
                    <w:t>规划。</w:t>
                  </w:r>
                </w:p>
              </w:tc>
              <w:tc>
                <w:tcPr>
                  <w:tcW w:w="319" w:type="pct"/>
                  <w:vAlign w:val="center"/>
                </w:tcPr>
                <w:p w14:paraId="5B750662">
                  <w:pPr>
                    <w:spacing w:line="240" w:lineRule="auto"/>
                    <w:ind w:firstLine="0" w:firstLineChars="0"/>
                    <w:jc w:val="center"/>
                    <w:textAlignment w:val="center"/>
                    <w:rPr>
                      <w:color w:val="000000"/>
                      <w:sz w:val="21"/>
                      <w:szCs w:val="22"/>
                    </w:rPr>
                  </w:pPr>
                  <w:r>
                    <w:rPr>
                      <w:rFonts w:hint="eastAsia"/>
                      <w:color w:val="000000"/>
                      <w:sz w:val="21"/>
                      <w:szCs w:val="22"/>
                    </w:rPr>
                    <w:t>符合</w:t>
                  </w:r>
                </w:p>
              </w:tc>
            </w:tr>
            <w:tr w14:paraId="6CB1D5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Align w:val="center"/>
                </w:tcPr>
                <w:p w14:paraId="3A18D483">
                  <w:pPr>
                    <w:spacing w:line="240" w:lineRule="auto"/>
                    <w:ind w:firstLine="0" w:firstLineChars="0"/>
                    <w:jc w:val="center"/>
                    <w:textAlignment w:val="center"/>
                    <w:rPr>
                      <w:color w:val="000000"/>
                      <w:sz w:val="21"/>
                      <w:szCs w:val="22"/>
                    </w:rPr>
                  </w:pPr>
                  <w:r>
                    <w:rPr>
                      <w:rFonts w:hint="eastAsia"/>
                      <w:color w:val="000000"/>
                      <w:sz w:val="21"/>
                      <w:szCs w:val="22"/>
                    </w:rPr>
                    <w:t>新疆维吾尔自治区环境保护条例</w:t>
                  </w:r>
                </w:p>
              </w:tc>
              <w:tc>
                <w:tcPr>
                  <w:tcW w:w="1784" w:type="pct"/>
                  <w:vAlign w:val="center"/>
                </w:tcPr>
                <w:p w14:paraId="755762E5">
                  <w:pPr>
                    <w:spacing w:line="240" w:lineRule="auto"/>
                    <w:ind w:firstLine="0" w:firstLineChars="0"/>
                    <w:jc w:val="center"/>
                    <w:textAlignment w:val="center"/>
                    <w:rPr>
                      <w:color w:val="000000"/>
                      <w:sz w:val="21"/>
                      <w:szCs w:val="22"/>
                    </w:rPr>
                  </w:pPr>
                  <w:r>
                    <w:rPr>
                      <w:rFonts w:hint="eastAsia"/>
                      <w:color w:val="000000"/>
                      <w:sz w:val="21"/>
                      <w:szCs w:val="22"/>
                      <w:shd w:val="clear" w:color="auto" w:fill="FFFFFF"/>
                    </w:rPr>
                    <w:t>第四十七条矿产资源勘探、开发单位，应当对矿产资源勘探、开发产生的尾矿、煤矸石、粉煤灰、冶炼渣以及脱硫、脱硝、除尘等产生的固体废物的堆存场所进行整治，完善防扬散、防流失、防渗漏等设施；造成环境污染的，应当采取有效措施进行生态修复；</w:t>
                  </w:r>
                </w:p>
              </w:tc>
              <w:tc>
                <w:tcPr>
                  <w:tcW w:w="1455" w:type="pct"/>
                  <w:vAlign w:val="center"/>
                </w:tcPr>
                <w:p w14:paraId="43DAB2AD">
                  <w:pPr>
                    <w:spacing w:line="240" w:lineRule="auto"/>
                    <w:ind w:firstLine="0" w:firstLineChars="0"/>
                    <w:jc w:val="center"/>
                    <w:textAlignment w:val="center"/>
                    <w:rPr>
                      <w:color w:val="000000"/>
                      <w:sz w:val="21"/>
                      <w:szCs w:val="22"/>
                    </w:rPr>
                  </w:pPr>
                  <w:r>
                    <w:rPr>
                      <w:rFonts w:hint="eastAsia"/>
                      <w:color w:val="000000"/>
                      <w:sz w:val="21"/>
                      <w:szCs w:val="22"/>
                    </w:rPr>
                    <w:t>本项目采取了有效的污染防治措施；施工营地内设置一定数量的垃圾桶，施工中产生的废料、生活垃圾、钻孔渣土等固体废物及时清理，分类存储，回收利用，定期进行现场处置及外运。项目符合新疆维吾尔自治区环境保护条例。</w:t>
                  </w:r>
                </w:p>
              </w:tc>
              <w:tc>
                <w:tcPr>
                  <w:tcW w:w="319" w:type="pct"/>
                  <w:vAlign w:val="center"/>
                </w:tcPr>
                <w:p w14:paraId="5D37A093">
                  <w:pPr>
                    <w:spacing w:line="240" w:lineRule="auto"/>
                    <w:ind w:firstLine="0" w:firstLineChars="0"/>
                    <w:jc w:val="center"/>
                    <w:textAlignment w:val="center"/>
                    <w:rPr>
                      <w:color w:val="000000"/>
                      <w:sz w:val="21"/>
                      <w:szCs w:val="22"/>
                    </w:rPr>
                  </w:pPr>
                  <w:r>
                    <w:rPr>
                      <w:rFonts w:hint="eastAsia"/>
                      <w:color w:val="000000"/>
                      <w:sz w:val="21"/>
                      <w:szCs w:val="22"/>
                    </w:rPr>
                    <w:t>符合</w:t>
                  </w:r>
                </w:p>
              </w:tc>
            </w:tr>
            <w:tr w14:paraId="54D8D3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Align w:val="center"/>
                </w:tcPr>
                <w:p w14:paraId="05D0A6A6">
                  <w:pPr>
                    <w:spacing w:line="240" w:lineRule="auto"/>
                    <w:ind w:firstLine="0" w:firstLineChars="0"/>
                    <w:jc w:val="center"/>
                    <w:textAlignment w:val="center"/>
                    <w:rPr>
                      <w:color w:val="000000"/>
                      <w:sz w:val="21"/>
                      <w:szCs w:val="22"/>
                    </w:rPr>
                  </w:pPr>
                  <w:r>
                    <w:rPr>
                      <w:rFonts w:hint="eastAsia"/>
                      <w:color w:val="000000"/>
                      <w:sz w:val="21"/>
                      <w:szCs w:val="22"/>
                    </w:rPr>
                    <w:t>新疆维吾尔自治区生态功能区划</w:t>
                  </w:r>
                </w:p>
              </w:tc>
              <w:tc>
                <w:tcPr>
                  <w:tcW w:w="1784" w:type="pct"/>
                  <w:vAlign w:val="center"/>
                </w:tcPr>
                <w:p w14:paraId="00B004E0">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保护托木尔峰自然景观、保护高山冰川、保护野生动物；保护森林和草原、草地减牧、森林禁伐、禁猎、加强保护区管理；合理利用天然草地，维护自然景观和生物多样性</w:t>
                  </w:r>
                </w:p>
              </w:tc>
              <w:tc>
                <w:tcPr>
                  <w:tcW w:w="1455" w:type="pct"/>
                  <w:vAlign w:val="center"/>
                </w:tcPr>
                <w:p w14:paraId="2E6C35D2">
                  <w:pPr>
                    <w:spacing w:line="240" w:lineRule="auto"/>
                    <w:ind w:firstLine="0" w:firstLineChars="0"/>
                    <w:jc w:val="center"/>
                    <w:textAlignment w:val="center"/>
                    <w:rPr>
                      <w:color w:val="000000"/>
                      <w:sz w:val="21"/>
                      <w:szCs w:val="22"/>
                    </w:rPr>
                  </w:pPr>
                  <w:r>
                    <w:rPr>
                      <w:rFonts w:hint="eastAsia"/>
                      <w:color w:val="000000"/>
                      <w:sz w:val="21"/>
                      <w:szCs w:val="22"/>
                    </w:rPr>
                    <w:t>本项目评价区域属于</w:t>
                  </w:r>
                  <w:r>
                    <w:rPr>
                      <w:rFonts w:hint="eastAsia"/>
                      <w:color w:val="000000"/>
                      <w:sz w:val="21"/>
                      <w:szCs w:val="22"/>
                    </w:rPr>
                    <w:fldChar w:fldCharType="begin"/>
                  </w:r>
                  <w:r>
                    <w:rPr>
                      <w:rFonts w:hint="eastAsia"/>
                      <w:color w:val="000000"/>
                      <w:sz w:val="21"/>
                      <w:szCs w:val="22"/>
                    </w:rPr>
                    <w:instrText xml:space="preserve"> = 3 \* ROMAN </w:instrText>
                  </w:r>
                  <w:r>
                    <w:rPr>
                      <w:rFonts w:hint="eastAsia"/>
                      <w:color w:val="000000"/>
                      <w:sz w:val="21"/>
                      <w:szCs w:val="22"/>
                    </w:rPr>
                    <w:fldChar w:fldCharType="separate"/>
                  </w:r>
                  <w:r>
                    <w:rPr>
                      <w:rFonts w:hint="eastAsia"/>
                      <w:color w:val="000000"/>
                      <w:sz w:val="21"/>
                      <w:szCs w:val="22"/>
                    </w:rPr>
                    <w:t>III</w:t>
                  </w:r>
                  <w:r>
                    <w:rPr>
                      <w:rFonts w:hint="eastAsia"/>
                      <w:color w:val="000000"/>
                      <w:sz w:val="21"/>
                      <w:szCs w:val="22"/>
                    </w:rPr>
                    <w:fldChar w:fldCharType="end"/>
                  </w:r>
                  <w:r>
                    <w:rPr>
                      <w:rFonts w:hint="eastAsia"/>
                      <w:color w:val="000000"/>
                      <w:sz w:val="21"/>
                      <w:szCs w:val="22"/>
                    </w:rPr>
                    <w:t>3天山南坡草原牧业、绿洲农业生态亚区-42．托木尔峰和天山南坡中段冰雪水源及生物多样性保护生态功能区。项目区域不涉及托木尔峰自然景观、冰川等区域；周边无野生动植物保护区域；符合新疆维吾尔自治区生态功能区划要求</w:t>
                  </w:r>
                </w:p>
              </w:tc>
              <w:tc>
                <w:tcPr>
                  <w:tcW w:w="319" w:type="pct"/>
                  <w:vAlign w:val="center"/>
                </w:tcPr>
                <w:p w14:paraId="72796CEE">
                  <w:pPr>
                    <w:spacing w:line="240" w:lineRule="auto"/>
                    <w:ind w:firstLine="0" w:firstLineChars="0"/>
                    <w:jc w:val="center"/>
                    <w:textAlignment w:val="center"/>
                    <w:rPr>
                      <w:color w:val="000000"/>
                      <w:sz w:val="21"/>
                      <w:szCs w:val="22"/>
                    </w:rPr>
                  </w:pPr>
                  <w:r>
                    <w:rPr>
                      <w:rFonts w:hint="eastAsia"/>
                      <w:color w:val="000000"/>
                      <w:sz w:val="21"/>
                      <w:szCs w:val="22"/>
                    </w:rPr>
                    <w:t>符合</w:t>
                  </w:r>
                </w:p>
              </w:tc>
            </w:tr>
            <w:tr w14:paraId="0625CE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Align w:val="center"/>
                </w:tcPr>
                <w:p w14:paraId="49F58D9B">
                  <w:pPr>
                    <w:spacing w:line="240" w:lineRule="auto"/>
                    <w:ind w:firstLine="0" w:firstLineChars="0"/>
                    <w:jc w:val="center"/>
                    <w:textAlignment w:val="center"/>
                    <w:rPr>
                      <w:color w:val="000000"/>
                      <w:sz w:val="21"/>
                      <w:szCs w:val="22"/>
                    </w:rPr>
                  </w:pPr>
                  <w:r>
                    <w:rPr>
                      <w:rFonts w:hint="eastAsia"/>
                      <w:color w:val="000000"/>
                      <w:sz w:val="21"/>
                      <w:szCs w:val="22"/>
                    </w:rPr>
                    <w:t>新疆维吾尔自治区主体功能区规划</w:t>
                  </w:r>
                </w:p>
              </w:tc>
              <w:tc>
                <w:tcPr>
                  <w:tcW w:w="1784" w:type="pct"/>
                  <w:vAlign w:val="center"/>
                </w:tcPr>
                <w:p w14:paraId="01906633">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根据主体功能区开发的理念，结合新疆独特的自然地理状况和新时期跨越式发展的需要，本规划将新疆国土空间划分为重点开发、限制开发和禁止开发区域；按开发内容，分为城市化地区、农产品主产区和重点生态功能区</w:t>
                  </w:r>
                </w:p>
              </w:tc>
              <w:tc>
                <w:tcPr>
                  <w:tcW w:w="1455" w:type="pct"/>
                  <w:vAlign w:val="center"/>
                </w:tcPr>
                <w:p w14:paraId="4572DBFA">
                  <w:pPr>
                    <w:spacing w:line="240" w:lineRule="auto"/>
                    <w:ind w:firstLine="0" w:firstLineChars="0"/>
                    <w:jc w:val="center"/>
                    <w:textAlignment w:val="center"/>
                    <w:rPr>
                      <w:color w:val="000000"/>
                      <w:sz w:val="21"/>
                      <w:szCs w:val="22"/>
                    </w:rPr>
                  </w:pPr>
                  <w:r>
                    <w:rPr>
                      <w:rFonts w:hint="eastAsia"/>
                      <w:color w:val="000000"/>
                      <w:sz w:val="21"/>
                      <w:szCs w:val="22"/>
                    </w:rPr>
                    <w:t>本项目位于和静县，属于天山南坡产业带重点开发区域，本项目为固体矿产地质勘探，符合新疆维吾尔自治区主体功能区规划空间管控要求</w:t>
                  </w:r>
                </w:p>
              </w:tc>
              <w:tc>
                <w:tcPr>
                  <w:tcW w:w="319" w:type="pct"/>
                  <w:vAlign w:val="center"/>
                </w:tcPr>
                <w:p w14:paraId="73379037">
                  <w:pPr>
                    <w:spacing w:line="240" w:lineRule="auto"/>
                    <w:ind w:firstLine="0" w:firstLineChars="0"/>
                    <w:jc w:val="center"/>
                    <w:textAlignment w:val="center"/>
                    <w:rPr>
                      <w:color w:val="000000"/>
                      <w:sz w:val="21"/>
                      <w:szCs w:val="22"/>
                    </w:rPr>
                  </w:pPr>
                  <w:r>
                    <w:rPr>
                      <w:rFonts w:hint="eastAsia"/>
                      <w:color w:val="000000"/>
                      <w:sz w:val="21"/>
                      <w:szCs w:val="22"/>
                    </w:rPr>
                    <w:t>符合</w:t>
                  </w:r>
                </w:p>
              </w:tc>
            </w:tr>
            <w:tr w14:paraId="2DEC9D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Align w:val="center"/>
                </w:tcPr>
                <w:p w14:paraId="05FAC15C">
                  <w:pPr>
                    <w:spacing w:line="240" w:lineRule="auto"/>
                    <w:ind w:firstLine="0" w:firstLineChars="0"/>
                    <w:jc w:val="center"/>
                    <w:textAlignment w:val="center"/>
                    <w:rPr>
                      <w:color w:val="000000"/>
                      <w:sz w:val="21"/>
                      <w:szCs w:val="22"/>
                    </w:rPr>
                  </w:pPr>
                  <w:r>
                    <w:rPr>
                      <w:rFonts w:hint="eastAsia"/>
                      <w:color w:val="000000"/>
                      <w:sz w:val="21"/>
                      <w:szCs w:val="22"/>
                    </w:rPr>
                    <w:t>关于重点区域执行大气污染物特别排放限值的公告</w:t>
                  </w:r>
                </w:p>
              </w:tc>
              <w:tc>
                <w:tcPr>
                  <w:tcW w:w="1784" w:type="pct"/>
                  <w:vAlign w:val="center"/>
                </w:tcPr>
                <w:p w14:paraId="0F30BCDE">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自治区大气污染防治重点区域内的火电、钢铁、水泥、石化行业和燃煤锅炉执行大气污染物特别排放限值，对重点区域和重点行业的污染物排放标准进行了更严格的约束和规定，二氧化硫及氮氧化物排放将减少一半以上。</w:t>
                  </w:r>
                </w:p>
              </w:tc>
              <w:tc>
                <w:tcPr>
                  <w:tcW w:w="1455" w:type="pct"/>
                  <w:vAlign w:val="center"/>
                </w:tcPr>
                <w:p w14:paraId="46E4C507">
                  <w:pPr>
                    <w:spacing w:line="240" w:lineRule="auto"/>
                    <w:ind w:firstLine="0" w:firstLineChars="0"/>
                    <w:jc w:val="center"/>
                    <w:textAlignment w:val="center"/>
                    <w:rPr>
                      <w:color w:val="000000"/>
                      <w:sz w:val="21"/>
                      <w:szCs w:val="22"/>
                    </w:rPr>
                  </w:pPr>
                  <w:r>
                    <w:rPr>
                      <w:rFonts w:hint="eastAsia"/>
                      <w:color w:val="000000"/>
                      <w:sz w:val="21"/>
                      <w:szCs w:val="22"/>
                    </w:rPr>
                    <w:t>本项目位于和静县，不在大气污染防治重点区域。</w:t>
                  </w:r>
                </w:p>
              </w:tc>
              <w:tc>
                <w:tcPr>
                  <w:tcW w:w="319" w:type="pct"/>
                  <w:vAlign w:val="center"/>
                </w:tcPr>
                <w:p w14:paraId="7810F933">
                  <w:pPr>
                    <w:spacing w:line="240" w:lineRule="auto"/>
                    <w:ind w:firstLine="0" w:firstLineChars="0"/>
                    <w:jc w:val="center"/>
                    <w:textAlignment w:val="center"/>
                    <w:rPr>
                      <w:color w:val="000000"/>
                      <w:sz w:val="21"/>
                      <w:szCs w:val="22"/>
                    </w:rPr>
                  </w:pPr>
                  <w:r>
                    <w:rPr>
                      <w:rFonts w:hint="eastAsia"/>
                      <w:color w:val="000000"/>
                      <w:sz w:val="21"/>
                      <w:szCs w:val="22"/>
                    </w:rPr>
                    <w:t>符合</w:t>
                  </w:r>
                </w:p>
              </w:tc>
            </w:tr>
            <w:tr w14:paraId="67764B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Align w:val="center"/>
                </w:tcPr>
                <w:p w14:paraId="71CCDF30">
                  <w:pPr>
                    <w:spacing w:line="240" w:lineRule="auto"/>
                    <w:ind w:firstLine="0" w:firstLineChars="0"/>
                    <w:jc w:val="center"/>
                    <w:textAlignment w:val="center"/>
                    <w:rPr>
                      <w:color w:val="000000"/>
                      <w:sz w:val="21"/>
                      <w:szCs w:val="22"/>
                    </w:rPr>
                  </w:pPr>
                  <w:r>
                    <w:rPr>
                      <w:rFonts w:hint="eastAsia"/>
                      <w:color w:val="000000"/>
                      <w:sz w:val="21"/>
                      <w:szCs w:val="22"/>
                    </w:rPr>
                    <w:t>《新疆维吾尔自治区重点行业环境准入条件（2024年）》</w:t>
                  </w:r>
                </w:p>
              </w:tc>
              <w:tc>
                <w:tcPr>
                  <w:tcW w:w="1784" w:type="pct"/>
                  <w:vAlign w:val="center"/>
                </w:tcPr>
                <w:p w14:paraId="0F89435B">
                  <w:pPr>
                    <w:spacing w:line="240" w:lineRule="auto"/>
                    <w:ind w:firstLine="0" w:firstLineChars="0"/>
                    <w:jc w:val="center"/>
                    <w:textAlignment w:val="center"/>
                    <w:rPr>
                      <w:color w:val="000000"/>
                      <w:sz w:val="21"/>
                      <w:szCs w:val="22"/>
                      <w:shd w:val="clear" w:color="auto" w:fill="FFFFFF"/>
                    </w:rPr>
                  </w:pPr>
                  <w:r>
                    <w:rPr>
                      <w:color w:val="000000"/>
                      <w:sz w:val="21"/>
                      <w:szCs w:val="22"/>
                      <w:shd w:val="clear" w:color="auto" w:fill="FFFFFF"/>
                    </w:rPr>
                    <w:t>禁止在自然保护区、世界自然遗产地、风景名胜区、自然公园（森林公园、地质公园、湿地公园、沙漠公园等）、重要湿地、饮用水水源保护区等依法划定禁止开发建设的环境敏感区</w:t>
                  </w:r>
                  <w:r>
                    <w:rPr>
                      <w:rFonts w:hint="eastAsia"/>
                      <w:color w:val="000000"/>
                      <w:sz w:val="21"/>
                      <w:szCs w:val="22"/>
                      <w:shd w:val="clear" w:color="auto" w:fill="FFFFFF"/>
                    </w:rPr>
                    <w:t>及其他</w:t>
                  </w:r>
                  <w:r>
                    <w:rPr>
                      <w:color w:val="000000"/>
                      <w:sz w:val="21"/>
                      <w:szCs w:val="22"/>
                      <w:shd w:val="clear" w:color="auto" w:fill="FFFFFF"/>
                    </w:rPr>
                    <w:t>法律法规规章禁止的区域进行污染环境的任何开发活动。</w:t>
                  </w:r>
                </w:p>
              </w:tc>
              <w:tc>
                <w:tcPr>
                  <w:tcW w:w="1455" w:type="pct"/>
                  <w:vAlign w:val="center"/>
                </w:tcPr>
                <w:p w14:paraId="6BD23D2C">
                  <w:pPr>
                    <w:spacing w:line="240" w:lineRule="auto"/>
                    <w:ind w:firstLine="0" w:firstLineChars="0"/>
                    <w:jc w:val="center"/>
                    <w:textAlignment w:val="center"/>
                    <w:rPr>
                      <w:color w:val="000000"/>
                      <w:sz w:val="21"/>
                      <w:szCs w:val="22"/>
                    </w:rPr>
                  </w:pPr>
                  <w:r>
                    <w:rPr>
                      <w:color w:val="000000"/>
                      <w:sz w:val="21"/>
                      <w:szCs w:val="22"/>
                    </w:rPr>
                    <w:t>根据现场勘查，勘探区不涉及自然保护区、世界自然遗产地、风景名胜区、森林公园、地质公园、重要湿地、饮用水水源保护区等重点保护区域，因此本项目选址符合《新疆维吾尔自治区重点行业生态环境准入条件（2024年）》的相关要求。</w:t>
                  </w:r>
                </w:p>
              </w:tc>
              <w:tc>
                <w:tcPr>
                  <w:tcW w:w="319" w:type="pct"/>
                  <w:vAlign w:val="center"/>
                </w:tcPr>
                <w:p w14:paraId="05997751">
                  <w:pPr>
                    <w:spacing w:line="240" w:lineRule="auto"/>
                    <w:ind w:firstLine="0" w:firstLineChars="0"/>
                    <w:jc w:val="center"/>
                    <w:textAlignment w:val="center"/>
                    <w:rPr>
                      <w:color w:val="000000"/>
                      <w:sz w:val="21"/>
                      <w:szCs w:val="22"/>
                    </w:rPr>
                  </w:pPr>
                  <w:r>
                    <w:rPr>
                      <w:rFonts w:hint="eastAsia"/>
                      <w:color w:val="000000"/>
                      <w:sz w:val="21"/>
                      <w:szCs w:val="22"/>
                    </w:rPr>
                    <w:t>符合</w:t>
                  </w:r>
                </w:p>
              </w:tc>
            </w:tr>
            <w:tr w14:paraId="467FFF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Align w:val="center"/>
                </w:tcPr>
                <w:p w14:paraId="11917047">
                  <w:pPr>
                    <w:spacing w:line="240" w:lineRule="auto"/>
                    <w:ind w:firstLine="0" w:firstLineChars="0"/>
                    <w:jc w:val="center"/>
                    <w:textAlignment w:val="center"/>
                    <w:rPr>
                      <w:color w:val="000000"/>
                      <w:sz w:val="21"/>
                      <w:szCs w:val="22"/>
                    </w:rPr>
                  </w:pPr>
                  <w:r>
                    <w:rPr>
                      <w:rFonts w:hint="eastAsia"/>
                      <w:color w:val="000000"/>
                      <w:sz w:val="21"/>
                      <w:szCs w:val="22"/>
                    </w:rPr>
                    <w:t>《中华人民共和国草原法》</w:t>
                  </w:r>
                </w:p>
              </w:tc>
              <w:tc>
                <w:tcPr>
                  <w:tcW w:w="1784" w:type="pct"/>
                  <w:vAlign w:val="center"/>
                </w:tcPr>
                <w:p w14:paraId="078A5CD4">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第五十五条除抢险救灾和牧民搬迁的机动车辆外，禁止机动车辆离开道路在草原上行驶，破坏草原植被；因从事地质勘探、科学考察等活动确需离开道路在草原上行驶的，应当事先向所在地县级人民政府草原行政主管部门报告行驶区域和行驶路线，并按照报告的行驶区域和行驶路线在草原上行驶。</w:t>
                  </w:r>
                </w:p>
              </w:tc>
              <w:tc>
                <w:tcPr>
                  <w:tcW w:w="1455" w:type="pct"/>
                  <w:vAlign w:val="center"/>
                </w:tcPr>
                <w:p w14:paraId="24B552A3">
                  <w:pPr>
                    <w:spacing w:line="240" w:lineRule="auto"/>
                    <w:ind w:firstLine="0" w:firstLineChars="0"/>
                    <w:jc w:val="center"/>
                    <w:textAlignment w:val="center"/>
                    <w:rPr>
                      <w:color w:val="000000"/>
                      <w:szCs w:val="22"/>
                    </w:rPr>
                  </w:pPr>
                  <w:r>
                    <w:rPr>
                      <w:rFonts w:hint="eastAsia"/>
                      <w:color w:val="000000"/>
                      <w:sz w:val="21"/>
                      <w:szCs w:val="22"/>
                      <w:shd w:val="clear" w:color="auto" w:fill="FFFFFF"/>
                    </w:rPr>
                    <w:t>本项目属于地质勘探活动，普查区外交通较为方便，到矿区有简易道路车辆可以行驶，可供探矿期临时使用。</w:t>
                  </w:r>
                </w:p>
              </w:tc>
              <w:tc>
                <w:tcPr>
                  <w:tcW w:w="319" w:type="pct"/>
                  <w:vAlign w:val="center"/>
                </w:tcPr>
                <w:p w14:paraId="58643E23">
                  <w:pPr>
                    <w:spacing w:line="240" w:lineRule="auto"/>
                    <w:ind w:firstLine="0" w:firstLineChars="0"/>
                    <w:jc w:val="center"/>
                    <w:textAlignment w:val="center"/>
                    <w:rPr>
                      <w:color w:val="000000"/>
                      <w:sz w:val="21"/>
                      <w:szCs w:val="22"/>
                    </w:rPr>
                  </w:pPr>
                  <w:r>
                    <w:rPr>
                      <w:rFonts w:hint="eastAsia"/>
                      <w:color w:val="000000"/>
                      <w:sz w:val="21"/>
                      <w:szCs w:val="22"/>
                    </w:rPr>
                    <w:t>符合</w:t>
                  </w:r>
                </w:p>
              </w:tc>
            </w:tr>
            <w:tr w14:paraId="31749C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Align w:val="center"/>
                </w:tcPr>
                <w:p w14:paraId="183FE11A">
                  <w:pPr>
                    <w:spacing w:line="240" w:lineRule="auto"/>
                    <w:ind w:firstLine="0" w:firstLineChars="0"/>
                    <w:jc w:val="center"/>
                    <w:textAlignment w:val="center"/>
                    <w:rPr>
                      <w:color w:val="000000"/>
                      <w:sz w:val="21"/>
                      <w:szCs w:val="22"/>
                    </w:rPr>
                  </w:pPr>
                  <w:r>
                    <w:rPr>
                      <w:rFonts w:hint="eastAsia"/>
                      <w:color w:val="000000"/>
                      <w:sz w:val="21"/>
                      <w:szCs w:val="22"/>
                    </w:rPr>
                    <w:t>《矿山生态环境保护与污染防治技术政策》</w:t>
                  </w:r>
                </w:p>
              </w:tc>
              <w:tc>
                <w:tcPr>
                  <w:tcW w:w="1784" w:type="pct"/>
                  <w:vAlign w:val="center"/>
                </w:tcPr>
                <w:p w14:paraId="123D3504">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矿产资源的开发应贯彻“污染防治与生态环境保护并重，生态环境保护与生态环境建设并举；以及预防为主、防治结合、过程控制、综合治理”的指导方针。矿产资源的开发应推行循环经济的“污染物减量、资源再利用和循环利用”的技术原则。</w:t>
                  </w:r>
                </w:p>
              </w:tc>
              <w:tc>
                <w:tcPr>
                  <w:tcW w:w="1455" w:type="pct"/>
                  <w:vAlign w:val="center"/>
                </w:tcPr>
                <w:p w14:paraId="3AE7F6F5">
                  <w:pPr>
                    <w:spacing w:line="240" w:lineRule="auto"/>
                    <w:ind w:firstLine="0" w:firstLineChars="0"/>
                    <w:jc w:val="center"/>
                    <w:textAlignment w:val="center"/>
                    <w:rPr>
                      <w:color w:val="000000"/>
                      <w:sz w:val="21"/>
                      <w:szCs w:val="22"/>
                    </w:rPr>
                  </w:pPr>
                  <w:r>
                    <w:rPr>
                      <w:rFonts w:hint="eastAsia"/>
                      <w:color w:val="000000"/>
                      <w:sz w:val="21"/>
                      <w:szCs w:val="22"/>
                      <w:shd w:val="clear" w:color="auto" w:fill="FFFFFF"/>
                    </w:rPr>
                    <w:t>本项目属于矿产资源勘查项目，不涉及矿产资源的开采，勘探区采用了边开挖、边回填、边复垦的勘探方式，探槽开挖的临时弃土就地堆放在探槽一侧，工程完成后立即回填。符合《矿山生态环境保护与污染防治技术政策》的要求。</w:t>
                  </w:r>
                </w:p>
              </w:tc>
              <w:tc>
                <w:tcPr>
                  <w:tcW w:w="319" w:type="pct"/>
                  <w:vAlign w:val="center"/>
                </w:tcPr>
                <w:p w14:paraId="0CF6767B">
                  <w:pPr>
                    <w:spacing w:line="240" w:lineRule="auto"/>
                    <w:ind w:firstLine="0" w:firstLineChars="0"/>
                    <w:jc w:val="center"/>
                    <w:textAlignment w:val="center"/>
                    <w:rPr>
                      <w:color w:val="000000"/>
                      <w:sz w:val="21"/>
                      <w:szCs w:val="22"/>
                    </w:rPr>
                  </w:pPr>
                  <w:r>
                    <w:rPr>
                      <w:rFonts w:hint="eastAsia"/>
                      <w:color w:val="000000"/>
                      <w:sz w:val="21"/>
                      <w:szCs w:val="22"/>
                    </w:rPr>
                    <w:t>符合</w:t>
                  </w:r>
                </w:p>
              </w:tc>
            </w:tr>
            <w:tr w14:paraId="0F6B4B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Merge w:val="restart"/>
                  <w:vAlign w:val="center"/>
                </w:tcPr>
                <w:p w14:paraId="7DFAB680">
                  <w:pPr>
                    <w:spacing w:line="240" w:lineRule="auto"/>
                    <w:ind w:firstLine="0" w:firstLineChars="0"/>
                    <w:jc w:val="center"/>
                    <w:textAlignment w:val="center"/>
                    <w:rPr>
                      <w:color w:val="000000"/>
                      <w:sz w:val="21"/>
                      <w:szCs w:val="22"/>
                    </w:rPr>
                  </w:pPr>
                  <w:r>
                    <w:rPr>
                      <w:rFonts w:hint="eastAsia"/>
                      <w:color w:val="000000"/>
                      <w:sz w:val="21"/>
                      <w:szCs w:val="22"/>
                    </w:rPr>
                    <w:t>自然资源部、国家林草局《关于〈在新一轮找矿突破战略行动中全面实施绿色勘查〉的通知》</w:t>
                  </w:r>
                </w:p>
              </w:tc>
              <w:tc>
                <w:tcPr>
                  <w:tcW w:w="1784" w:type="pct"/>
                  <w:vAlign w:val="center"/>
                </w:tcPr>
                <w:p w14:paraId="2C4C3BAF">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地质勘查全行业要深入学习贯彻习近平生态文明思想，牢固树立和践行“绿水青山就是金山银山”的理念，全面实施绿色勘查，严格执行绿色勘查有关标准规范，全面提升绿色勘查技术方法、装备水平，高质量完成新一轮找矿突破战略行动目标。</w:t>
                  </w:r>
                </w:p>
              </w:tc>
              <w:tc>
                <w:tcPr>
                  <w:tcW w:w="1455" w:type="pct"/>
                  <w:vAlign w:val="center"/>
                </w:tcPr>
                <w:p w14:paraId="055B383F">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本项目在地质勘查工作中，通过合理选择有利于生态环境保护的技术方法、手段和设备等，在道路施工和场地平整、驻地建设、勘查施工、环境修复等方面实施管控，在满足地质勘查目的前提下，实现对生态环境扰动最小化，推动地质勘查绿色高质量发展。</w:t>
                  </w:r>
                </w:p>
              </w:tc>
              <w:tc>
                <w:tcPr>
                  <w:tcW w:w="319" w:type="pct"/>
                  <w:vMerge w:val="restart"/>
                  <w:vAlign w:val="center"/>
                </w:tcPr>
                <w:p w14:paraId="2227FCBD">
                  <w:pPr>
                    <w:spacing w:line="240" w:lineRule="auto"/>
                    <w:ind w:firstLine="0" w:firstLineChars="0"/>
                    <w:jc w:val="center"/>
                    <w:textAlignment w:val="center"/>
                    <w:rPr>
                      <w:color w:val="000000"/>
                      <w:sz w:val="21"/>
                      <w:szCs w:val="22"/>
                    </w:rPr>
                  </w:pPr>
                  <w:r>
                    <w:rPr>
                      <w:rFonts w:hint="eastAsia"/>
                      <w:color w:val="000000"/>
                      <w:sz w:val="21"/>
                      <w:szCs w:val="22"/>
                    </w:rPr>
                    <w:t>符合</w:t>
                  </w:r>
                </w:p>
              </w:tc>
            </w:tr>
            <w:tr w14:paraId="714D34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Merge w:val="continue"/>
                  <w:vAlign w:val="center"/>
                </w:tcPr>
                <w:p w14:paraId="0BCB2668">
                  <w:pPr>
                    <w:spacing w:line="240" w:lineRule="auto"/>
                    <w:ind w:firstLine="0" w:firstLineChars="0"/>
                    <w:jc w:val="center"/>
                    <w:textAlignment w:val="center"/>
                    <w:rPr>
                      <w:color w:val="000000"/>
                      <w:sz w:val="21"/>
                      <w:szCs w:val="22"/>
                    </w:rPr>
                  </w:pPr>
                </w:p>
              </w:tc>
              <w:tc>
                <w:tcPr>
                  <w:tcW w:w="1784" w:type="pct"/>
                  <w:vAlign w:val="center"/>
                </w:tcPr>
                <w:p w14:paraId="4A3B7FCC">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新出让的探矿权，要将矿业权人绿色勘查义务在合同中载明，并在勘查实施方案评审中，对绿色勘查措施进行严格把关，促进矿业权人落实绿色勘查各项规定和要求。</w:t>
                  </w:r>
                </w:p>
              </w:tc>
              <w:tc>
                <w:tcPr>
                  <w:tcW w:w="1455" w:type="pct"/>
                  <w:vAlign w:val="center"/>
                </w:tcPr>
                <w:p w14:paraId="196AA21D">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本项目坚持绿色勘查原则。工作全过程始终坚持绿色发展理念和生态环境保护的原则。</w:t>
                  </w:r>
                </w:p>
              </w:tc>
              <w:tc>
                <w:tcPr>
                  <w:tcW w:w="319" w:type="pct"/>
                  <w:vMerge w:val="continue"/>
                  <w:vAlign w:val="center"/>
                </w:tcPr>
                <w:p w14:paraId="1365DB28">
                  <w:pPr>
                    <w:spacing w:line="240" w:lineRule="auto"/>
                    <w:ind w:firstLine="0" w:firstLineChars="0"/>
                    <w:jc w:val="center"/>
                    <w:textAlignment w:val="center"/>
                    <w:rPr>
                      <w:color w:val="000000"/>
                      <w:sz w:val="21"/>
                      <w:szCs w:val="22"/>
                    </w:rPr>
                  </w:pPr>
                </w:p>
              </w:tc>
            </w:tr>
            <w:tr w14:paraId="25BF63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Merge w:val="continue"/>
                  <w:vAlign w:val="center"/>
                </w:tcPr>
                <w:p w14:paraId="792D62C0">
                  <w:pPr>
                    <w:spacing w:line="240" w:lineRule="auto"/>
                    <w:ind w:firstLine="0" w:firstLineChars="0"/>
                    <w:jc w:val="center"/>
                    <w:textAlignment w:val="center"/>
                    <w:rPr>
                      <w:color w:val="000000"/>
                      <w:sz w:val="21"/>
                      <w:szCs w:val="22"/>
                    </w:rPr>
                  </w:pPr>
                </w:p>
              </w:tc>
              <w:tc>
                <w:tcPr>
                  <w:tcW w:w="1784" w:type="pct"/>
                  <w:vAlign w:val="center"/>
                </w:tcPr>
                <w:p w14:paraId="3610B1E5">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各地要严格落实好生态环境保护有关规定和要求，勘查工作结束后，项目承担单位要及时撤除各项设施，严格按照废弃物清理有关国家标准清理施工现场各种废物、垃圾等，严格按照绿色勘查有关标准规范和勘查实施方案要求处理新建道路、施工产生的坑、沟等，严格按照森林、草原、湿地、防沙治沙有关法律法规和标准规范在规定时间内做好复绿、复植等。</w:t>
                  </w:r>
                </w:p>
              </w:tc>
              <w:tc>
                <w:tcPr>
                  <w:tcW w:w="1455" w:type="pct"/>
                  <w:vAlign w:val="center"/>
                </w:tcPr>
                <w:p w14:paraId="7DA3D743">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在勘查结束后按照相关要求撤除各项设施，清理施工现场各种废物、垃圾，及时对开挖工程进行回填，开展植被恢复工作，最大限度减少人为破坏。坚持因地制宜。基于勘查区植被覆盖情况，自然修复能力等差异情况，采用适宜的勘查手段、环境保护和恢复措施，分类实施绿色勘查。</w:t>
                  </w:r>
                </w:p>
              </w:tc>
              <w:tc>
                <w:tcPr>
                  <w:tcW w:w="319" w:type="pct"/>
                  <w:vMerge w:val="continue"/>
                  <w:vAlign w:val="center"/>
                </w:tcPr>
                <w:p w14:paraId="5E7F0A54">
                  <w:pPr>
                    <w:spacing w:line="240" w:lineRule="auto"/>
                    <w:ind w:firstLine="0" w:firstLineChars="0"/>
                    <w:jc w:val="center"/>
                    <w:textAlignment w:val="center"/>
                    <w:rPr>
                      <w:color w:val="000000"/>
                      <w:sz w:val="21"/>
                      <w:szCs w:val="22"/>
                    </w:rPr>
                  </w:pPr>
                </w:p>
              </w:tc>
            </w:tr>
            <w:tr w14:paraId="3701A1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70" w:hRule="atLeast"/>
              </w:trPr>
              <w:tc>
                <w:tcPr>
                  <w:tcW w:w="1439" w:type="pct"/>
                  <w:vMerge w:val="continue"/>
                  <w:vAlign w:val="center"/>
                </w:tcPr>
                <w:p w14:paraId="659AC6B3">
                  <w:pPr>
                    <w:spacing w:line="240" w:lineRule="auto"/>
                    <w:ind w:firstLine="0" w:firstLineChars="0"/>
                    <w:jc w:val="center"/>
                    <w:textAlignment w:val="center"/>
                    <w:rPr>
                      <w:color w:val="000000"/>
                      <w:sz w:val="21"/>
                      <w:szCs w:val="22"/>
                    </w:rPr>
                  </w:pPr>
                </w:p>
              </w:tc>
              <w:tc>
                <w:tcPr>
                  <w:tcW w:w="1784" w:type="pct"/>
                  <w:vAlign w:val="center"/>
                </w:tcPr>
                <w:p w14:paraId="03590002">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地勘单位和矿山企业要在新一轮找矿突破战略行动有关地质勘查项目实施中，优先采用遥感、物探、化探等对环境影响小的地质勘查方法，必要的坑探、槽探、钻探、硐探要符合绿色勘查有关标准规范。在森林、草原、湿地地区尽可能减少使用坑探、槽探，鼓励使用以钻代槽、一基多孔等探矿手段。</w:t>
                  </w:r>
                </w:p>
              </w:tc>
              <w:tc>
                <w:tcPr>
                  <w:tcW w:w="1455" w:type="pct"/>
                  <w:vAlign w:val="center"/>
                </w:tcPr>
                <w:p w14:paraId="6715518E">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本项目施工布置及施工遵循“从已知到未知，由表及里，由浅入深，由稀到密”原则。前期充分收集已有地质资料，运用地理信息系统（GIS）、遥感（RS）等技术，进行综合分析和研究，优化勘查工作布局，减少不必要的勘查活动对环境的影响。采用地质、槽探、钻探等工作手段开展详查评价。通过运用高效、环保的方法、技术、设备等，在地质勘查各方面和全过程中减少或控制对生态环境的影响。</w:t>
                  </w:r>
                </w:p>
              </w:tc>
              <w:tc>
                <w:tcPr>
                  <w:tcW w:w="319" w:type="pct"/>
                  <w:vMerge w:val="continue"/>
                  <w:vAlign w:val="center"/>
                </w:tcPr>
                <w:p w14:paraId="1719DE9C">
                  <w:pPr>
                    <w:spacing w:line="240" w:lineRule="auto"/>
                    <w:ind w:firstLine="0" w:firstLineChars="0"/>
                    <w:jc w:val="center"/>
                    <w:textAlignment w:val="center"/>
                    <w:rPr>
                      <w:color w:val="000000"/>
                      <w:sz w:val="21"/>
                      <w:szCs w:val="22"/>
                    </w:rPr>
                  </w:pPr>
                </w:p>
              </w:tc>
            </w:tr>
            <w:tr w14:paraId="37C47D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Align w:val="center"/>
                </w:tcPr>
                <w:p w14:paraId="77454E49">
                  <w:pPr>
                    <w:spacing w:line="240" w:lineRule="auto"/>
                    <w:ind w:firstLine="0" w:firstLineChars="0"/>
                    <w:jc w:val="center"/>
                    <w:textAlignment w:val="center"/>
                    <w:rPr>
                      <w:color w:val="000000"/>
                      <w:sz w:val="21"/>
                      <w:szCs w:val="22"/>
                    </w:rPr>
                  </w:pPr>
                  <w:r>
                    <w:rPr>
                      <w:rFonts w:hint="eastAsia"/>
                      <w:color w:val="000000"/>
                      <w:sz w:val="21"/>
                      <w:szCs w:val="22"/>
                    </w:rPr>
                    <w:t>《绿色地质勘查工作规范》（</w:t>
                  </w:r>
                  <w:r>
                    <w:rPr>
                      <w:color w:val="000000"/>
                      <w:sz w:val="21"/>
                      <w:szCs w:val="22"/>
                    </w:rPr>
                    <w:t>DZ/T0374-2021</w:t>
                  </w:r>
                  <w:r>
                    <w:rPr>
                      <w:rFonts w:hint="eastAsia"/>
                      <w:color w:val="000000"/>
                      <w:sz w:val="21"/>
                      <w:szCs w:val="22"/>
                    </w:rPr>
                    <w:t>）</w:t>
                  </w:r>
                </w:p>
              </w:tc>
              <w:tc>
                <w:tcPr>
                  <w:tcW w:w="1784" w:type="pct"/>
                  <w:vAlign w:val="center"/>
                </w:tcPr>
                <w:p w14:paraId="64FBD516">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编制地质勘查设计前，应就地质勘查工作部署对水、大气、声、土壤、野生动植物、自然遗迹和人文遗迹等的环境影响进行分析，确定主要的环境影响因素，制定环境保护、环境修复措施，编制经费预算，作为绿色勘查内容体现在勘查设计中，可以单独成章，也可以融入到相关章节</w:t>
                  </w:r>
                </w:p>
              </w:tc>
              <w:tc>
                <w:tcPr>
                  <w:tcW w:w="1455" w:type="pct"/>
                  <w:vAlign w:val="center"/>
                </w:tcPr>
                <w:p w14:paraId="5A31AB74">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本项目在地质勘查前，编制环境影响评价文件，其中对环境保护相关内容进行了分析，并制定对应环保措施，符合要求</w:t>
                  </w:r>
                </w:p>
              </w:tc>
              <w:tc>
                <w:tcPr>
                  <w:tcW w:w="319" w:type="pct"/>
                  <w:vAlign w:val="center"/>
                </w:tcPr>
                <w:p w14:paraId="1F51AF9D">
                  <w:pPr>
                    <w:spacing w:line="240" w:lineRule="auto"/>
                    <w:ind w:firstLine="0" w:firstLineChars="0"/>
                    <w:jc w:val="center"/>
                    <w:textAlignment w:val="center"/>
                    <w:rPr>
                      <w:color w:val="000000"/>
                      <w:sz w:val="21"/>
                      <w:szCs w:val="22"/>
                    </w:rPr>
                  </w:pPr>
                  <w:r>
                    <w:rPr>
                      <w:rFonts w:hint="eastAsia"/>
                      <w:color w:val="000000"/>
                      <w:sz w:val="21"/>
                      <w:szCs w:val="22"/>
                    </w:rPr>
                    <w:t>符合</w:t>
                  </w:r>
                </w:p>
              </w:tc>
            </w:tr>
            <w:bookmarkEnd w:id="1"/>
          </w:tbl>
          <w:p w14:paraId="6F8D3DC6">
            <w:pPr>
              <w:ind w:firstLine="0" w:firstLineChars="0"/>
              <w:rPr>
                <w:b/>
                <w:color w:val="000000"/>
              </w:rPr>
            </w:pPr>
          </w:p>
        </w:tc>
      </w:tr>
    </w:tbl>
    <w:p w14:paraId="337FCDAF">
      <w:pPr>
        <w:pStyle w:val="4"/>
        <w:rPr>
          <w:snapToGrid w:val="0"/>
        </w:rPr>
      </w:pPr>
      <w:r>
        <w:rPr>
          <w:rFonts w:hint="eastAsia"/>
          <w:snapToGrid w:val="0"/>
        </w:rPr>
        <w:t>二、建设内容</w:t>
      </w:r>
    </w:p>
    <w:tbl>
      <w:tblPr>
        <w:tblStyle w:val="23"/>
        <w:tblW w:w="92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250"/>
      </w:tblGrid>
      <w:tr w14:paraId="17A105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43" w:hRule="atLeast"/>
          <w:jc w:val="center"/>
        </w:trPr>
        <w:tc>
          <w:tcPr>
            <w:tcW w:w="456" w:type="dxa"/>
            <w:vAlign w:val="center"/>
          </w:tcPr>
          <w:p w14:paraId="725C916D">
            <w:pPr>
              <w:spacing w:line="240" w:lineRule="auto"/>
              <w:ind w:firstLine="0" w:firstLineChars="0"/>
              <w:jc w:val="center"/>
            </w:pPr>
            <w:r>
              <w:rPr>
                <w:rFonts w:hint="eastAsia"/>
              </w:rPr>
              <w:t>地</w:t>
            </w:r>
          </w:p>
          <w:p w14:paraId="2ACBE45E">
            <w:pPr>
              <w:spacing w:line="240" w:lineRule="auto"/>
              <w:ind w:firstLine="0" w:firstLineChars="0"/>
              <w:jc w:val="center"/>
            </w:pPr>
            <w:r>
              <w:rPr>
                <w:rFonts w:hint="eastAsia"/>
              </w:rPr>
              <w:t>理</w:t>
            </w:r>
          </w:p>
          <w:p w14:paraId="1E7882BA">
            <w:pPr>
              <w:spacing w:line="240" w:lineRule="auto"/>
              <w:ind w:firstLine="0" w:firstLineChars="0"/>
              <w:jc w:val="center"/>
            </w:pPr>
            <w:r>
              <w:rPr>
                <w:rFonts w:hint="eastAsia"/>
              </w:rPr>
              <w:t>位</w:t>
            </w:r>
          </w:p>
          <w:p w14:paraId="78E6D995">
            <w:pPr>
              <w:spacing w:line="240" w:lineRule="auto"/>
              <w:ind w:firstLine="0" w:firstLineChars="0"/>
              <w:jc w:val="center"/>
            </w:pPr>
            <w:r>
              <w:rPr>
                <w:rFonts w:hint="eastAsia"/>
              </w:rPr>
              <w:t>置</w:t>
            </w:r>
          </w:p>
        </w:tc>
        <w:tc>
          <w:tcPr>
            <w:tcW w:w="8790" w:type="dxa"/>
          </w:tcPr>
          <w:p w14:paraId="68924515">
            <w:pPr>
              <w:ind w:firstLine="480"/>
            </w:pPr>
            <w:r>
              <w:rPr>
                <w:rFonts w:hint="default" w:ascii="Times New Roman" w:hAnsi="Times New Roman" w:cs="Times New Roman"/>
              </w:rPr>
              <w:t>项目区位于</w:t>
            </w:r>
            <w:r>
              <w:rPr>
                <w:rFonts w:hint="eastAsia" w:cs="Times New Roman"/>
                <w:lang w:eastAsia="zh-CN"/>
              </w:rPr>
              <w:t>和静县287°方向直线距离约130千米处</w:t>
            </w:r>
            <w:r>
              <w:rPr>
                <w:rFonts w:hint="default" w:ascii="Times New Roman" w:hAnsi="Times New Roman" w:cs="Times New Roman"/>
              </w:rPr>
              <w:t>，行政区划隶属巴音郭楞蒙古自治州和静县管辖</w:t>
            </w:r>
            <w:r>
              <w:rPr>
                <w:rFonts w:hint="eastAsia"/>
              </w:rPr>
              <w:t>。</w:t>
            </w:r>
            <w:r>
              <w:t>项目范围包括</w:t>
            </w:r>
            <w:r>
              <w:rPr>
                <w:rFonts w:hint="eastAsia"/>
                <w:lang w:eastAsia="zh-CN"/>
              </w:rPr>
              <w:t>：</w:t>
            </w:r>
            <w:r>
              <w:t>《新疆和静县冰湖南一带金矿勘探》《新疆和静县萨阿尔明山南西区金矿勘探》《新疆和静县萨阿尔明山浩恩吐尔一带金矿勘探》三个探矿权</w:t>
            </w:r>
            <w:r>
              <w:rPr>
                <w:rFonts w:hint="eastAsia"/>
                <w:lang w:eastAsia="zh-CN"/>
              </w:rPr>
              <w:t>，</w:t>
            </w:r>
            <w:r>
              <w:t>总面积</w:t>
            </w:r>
            <w:r>
              <w:rPr>
                <w:rFonts w:hint="eastAsia"/>
                <w:lang w:val="en-US" w:eastAsia="zh-CN"/>
              </w:rPr>
              <w:t>36.8</w:t>
            </w:r>
            <w:r>
              <w:t>平方千米，具体矿权设置信息如下：</w:t>
            </w:r>
          </w:p>
          <w:p w14:paraId="4BC86C18">
            <w:pPr>
              <w:ind w:firstLine="560"/>
            </w:pPr>
            <w:r>
              <w:t>1、新疆和静县冰湖南一带金矿勘探</w:t>
            </w:r>
          </w:p>
          <w:p w14:paraId="4ECEE4C5">
            <w:pPr>
              <w:ind w:firstLine="560"/>
            </w:pPr>
            <w:r>
              <w:t>证号：T6500002009054010030213；</w:t>
            </w:r>
          </w:p>
          <w:p w14:paraId="3C0CA74A">
            <w:pPr>
              <w:ind w:firstLine="560"/>
            </w:pPr>
            <w:r>
              <w:t>图幅号：K45E009004；</w:t>
            </w:r>
          </w:p>
          <w:p w14:paraId="50038537">
            <w:pPr>
              <w:ind w:firstLine="560"/>
            </w:pPr>
            <w:r>
              <w:t>勘查面积：2.08平方公里；</w:t>
            </w:r>
          </w:p>
          <w:p w14:paraId="272ADF49">
            <w:pPr>
              <w:ind w:firstLine="560"/>
            </w:pPr>
            <w:r>
              <w:t>有效期限：202</w:t>
            </w:r>
            <w:r>
              <w:rPr>
                <w:rFonts w:hint="eastAsia"/>
                <w:lang w:val="en-US" w:eastAsia="zh-CN"/>
              </w:rPr>
              <w:t>4</w:t>
            </w:r>
            <w:r>
              <w:t>年</w:t>
            </w:r>
            <w:r>
              <w:rPr>
                <w:rFonts w:hint="eastAsia"/>
                <w:lang w:val="en-US" w:eastAsia="zh-CN"/>
              </w:rPr>
              <w:t>7</w:t>
            </w:r>
            <w:r>
              <w:t>月</w:t>
            </w:r>
            <w:r>
              <w:rPr>
                <w:rFonts w:hint="eastAsia"/>
                <w:lang w:val="en-US" w:eastAsia="zh-CN"/>
              </w:rPr>
              <w:t>5</w:t>
            </w:r>
            <w:r>
              <w:t>日至2026年8月23日。</w:t>
            </w:r>
          </w:p>
          <w:p w14:paraId="2A4B971B">
            <w:pPr>
              <w:ind w:firstLine="560"/>
            </w:pPr>
            <w:r>
              <w:t>其拐点坐标（经纬度）如下：</w:t>
            </w:r>
          </w:p>
          <w:p w14:paraId="657C24A3">
            <w:pPr>
              <w:pStyle w:val="33"/>
              <w:spacing w:before="120"/>
            </w:pPr>
            <w:r>
              <w:t>新疆和静县冰湖南一带金矿勘探</w:t>
            </w:r>
            <w:r>
              <w:rPr>
                <w:rFonts w:hint="eastAsia"/>
                <w:lang w:val="en-US" w:eastAsia="zh-CN"/>
              </w:rPr>
              <w:t>-</w:t>
            </w:r>
            <w:r>
              <w:rPr>
                <w:rFonts w:hint="eastAsia"/>
              </w:rPr>
              <w:t>探矿权范围拐点坐标</w:t>
            </w:r>
          </w:p>
          <w:tbl>
            <w:tblPr>
              <w:tblStyle w:val="23"/>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44"/>
              <w:gridCol w:w="3578"/>
              <w:gridCol w:w="3580"/>
            </w:tblGrid>
            <w:tr w14:paraId="38501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24" w:type="pct"/>
                  <w:vMerge w:val="restart"/>
                  <w:vAlign w:val="center"/>
                </w:tcPr>
                <w:p w14:paraId="59EDF4C2">
                  <w:pPr>
                    <w:pStyle w:val="38"/>
                    <w:rPr>
                      <w:rFonts w:ascii="Times New Roman" w:hAnsi="Times New Roman" w:cs="Times New Roman"/>
                    </w:rPr>
                  </w:pPr>
                  <w:r>
                    <w:rPr>
                      <w:rFonts w:hint="default" w:ascii="Times New Roman" w:hAnsi="Times New Roman" w:cs="Times New Roman"/>
                    </w:rPr>
                    <w:t>拐点序号</w:t>
                  </w:r>
                </w:p>
              </w:tc>
              <w:tc>
                <w:tcPr>
                  <w:tcW w:w="3975" w:type="pct"/>
                  <w:gridSpan w:val="2"/>
                  <w:vAlign w:val="center"/>
                </w:tcPr>
                <w:p w14:paraId="7F31FD6C">
                  <w:pPr>
                    <w:pStyle w:val="38"/>
                    <w:rPr>
                      <w:rFonts w:ascii="Times New Roman" w:hAnsi="Times New Roman" w:cs="Times New Roman"/>
                    </w:rPr>
                  </w:pPr>
                  <w:r>
                    <w:rPr>
                      <w:rFonts w:hint="default" w:ascii="Times New Roman" w:hAnsi="Times New Roman" w:cs="Times New Roman"/>
                    </w:rPr>
                    <w:t>地理坐标（CGCS2000坐标系）</w:t>
                  </w:r>
                </w:p>
              </w:tc>
            </w:tr>
            <w:tr w14:paraId="4ED02D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24" w:type="pct"/>
                  <w:vMerge w:val="continue"/>
                  <w:vAlign w:val="center"/>
                </w:tcPr>
                <w:p w14:paraId="5B098893">
                  <w:pPr>
                    <w:pStyle w:val="38"/>
                    <w:rPr>
                      <w:rFonts w:ascii="Times New Roman" w:hAnsi="Times New Roman" w:cs="Times New Roman"/>
                    </w:rPr>
                  </w:pPr>
                </w:p>
              </w:tc>
              <w:tc>
                <w:tcPr>
                  <w:tcW w:w="1987" w:type="pct"/>
                  <w:vAlign w:val="center"/>
                </w:tcPr>
                <w:p w14:paraId="502A70CB">
                  <w:pPr>
                    <w:pStyle w:val="38"/>
                    <w:rPr>
                      <w:rFonts w:ascii="Times New Roman" w:hAnsi="Times New Roman" w:cs="Times New Roman"/>
                    </w:rPr>
                  </w:pPr>
                  <w:r>
                    <w:rPr>
                      <w:rFonts w:hint="default" w:ascii="Times New Roman" w:hAnsi="Times New Roman" w:cs="Times New Roman"/>
                    </w:rPr>
                    <w:t>经度</w:t>
                  </w:r>
                </w:p>
              </w:tc>
              <w:tc>
                <w:tcPr>
                  <w:tcW w:w="1988" w:type="pct"/>
                  <w:vAlign w:val="center"/>
                </w:tcPr>
                <w:p w14:paraId="4BB493A2">
                  <w:pPr>
                    <w:pStyle w:val="38"/>
                    <w:rPr>
                      <w:rFonts w:ascii="Times New Roman" w:hAnsi="Times New Roman" w:cs="Times New Roman"/>
                    </w:rPr>
                  </w:pPr>
                  <w:r>
                    <w:rPr>
                      <w:rFonts w:hint="default" w:ascii="Times New Roman" w:hAnsi="Times New Roman" w:cs="Times New Roman"/>
                    </w:rPr>
                    <w:t>纬度</w:t>
                  </w:r>
                </w:p>
              </w:tc>
            </w:tr>
            <w:tr w14:paraId="4B0324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24" w:type="pct"/>
                  <w:vAlign w:val="center"/>
                </w:tcPr>
                <w:p w14:paraId="6C9E69AE">
                  <w:pPr>
                    <w:pStyle w:val="38"/>
                    <w:rPr>
                      <w:rFonts w:ascii="Times New Roman" w:hAnsi="Times New Roman" w:cs="Times New Roman"/>
                    </w:rPr>
                  </w:pPr>
                  <w:r>
                    <w:rPr>
                      <w:rFonts w:ascii="Times New Roman" w:hAnsi="Times New Roman" w:cs="Times New Roman"/>
                    </w:rPr>
                    <w:t>001</w:t>
                  </w:r>
                </w:p>
              </w:tc>
              <w:tc>
                <w:tcPr>
                  <w:tcW w:w="1987" w:type="pct"/>
                  <w:vAlign w:val="center"/>
                </w:tcPr>
                <w:p w14:paraId="48190A64">
                  <w:pPr>
                    <w:pStyle w:val="38"/>
                    <w:rPr>
                      <w:rFonts w:hint="default" w:ascii="Times New Roman" w:hAnsi="Times New Roman" w:cs="Times New Roman"/>
                    </w:rPr>
                  </w:pPr>
                  <w:r>
                    <w:rPr>
                      <w:rFonts w:hint="default" w:ascii="Times New Roman" w:hAnsi="Times New Roman" w:cs="Times New Roman"/>
                    </w:rPr>
                    <w:t>84°54'14.000"</w:t>
                  </w:r>
                </w:p>
              </w:tc>
              <w:tc>
                <w:tcPr>
                  <w:tcW w:w="1988" w:type="pct"/>
                  <w:vAlign w:val="center"/>
                </w:tcPr>
                <w:p w14:paraId="40746C7E">
                  <w:pPr>
                    <w:pStyle w:val="38"/>
                    <w:rPr>
                      <w:rFonts w:hint="default" w:ascii="Times New Roman" w:hAnsi="Times New Roman" w:cs="Times New Roman"/>
                    </w:rPr>
                  </w:pPr>
                  <w:r>
                    <w:rPr>
                      <w:rFonts w:hint="default" w:ascii="Times New Roman" w:hAnsi="Times New Roman" w:cs="Times New Roman"/>
                    </w:rPr>
                    <w:t>42°40'01.000"</w:t>
                  </w:r>
                </w:p>
              </w:tc>
            </w:tr>
            <w:tr w14:paraId="30F76B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24" w:type="pct"/>
                  <w:vAlign w:val="center"/>
                </w:tcPr>
                <w:p w14:paraId="7F2C2331">
                  <w:pPr>
                    <w:pStyle w:val="38"/>
                    <w:rPr>
                      <w:rFonts w:ascii="Times New Roman" w:hAnsi="Times New Roman" w:cs="Times New Roman"/>
                    </w:rPr>
                  </w:pPr>
                  <w:r>
                    <w:rPr>
                      <w:rFonts w:ascii="Times New Roman" w:hAnsi="Times New Roman" w:cs="Times New Roman"/>
                    </w:rPr>
                    <w:t>002</w:t>
                  </w:r>
                </w:p>
              </w:tc>
              <w:tc>
                <w:tcPr>
                  <w:tcW w:w="1987" w:type="pct"/>
                  <w:vAlign w:val="center"/>
                </w:tcPr>
                <w:p w14:paraId="10C81314">
                  <w:pPr>
                    <w:pStyle w:val="38"/>
                    <w:rPr>
                      <w:rFonts w:hint="default" w:ascii="Times New Roman" w:hAnsi="Times New Roman" w:cs="Times New Roman"/>
                    </w:rPr>
                  </w:pPr>
                  <w:r>
                    <w:rPr>
                      <w:rFonts w:hint="default" w:ascii="Times New Roman" w:hAnsi="Times New Roman" w:cs="Times New Roman"/>
                    </w:rPr>
                    <w:t>84°54'59.000"</w:t>
                  </w:r>
                </w:p>
              </w:tc>
              <w:tc>
                <w:tcPr>
                  <w:tcW w:w="1988" w:type="pct"/>
                  <w:vAlign w:val="center"/>
                </w:tcPr>
                <w:p w14:paraId="4D6C0BB6">
                  <w:pPr>
                    <w:pStyle w:val="38"/>
                    <w:rPr>
                      <w:rFonts w:hint="default" w:ascii="Times New Roman" w:hAnsi="Times New Roman" w:cs="Times New Roman"/>
                    </w:rPr>
                  </w:pPr>
                  <w:r>
                    <w:rPr>
                      <w:rFonts w:hint="default" w:ascii="Times New Roman" w:hAnsi="Times New Roman" w:cs="Times New Roman"/>
                    </w:rPr>
                    <w:t>42°40'01.000"</w:t>
                  </w:r>
                </w:p>
              </w:tc>
            </w:tr>
            <w:tr w14:paraId="136102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24" w:type="pct"/>
                  <w:vAlign w:val="center"/>
                </w:tcPr>
                <w:p w14:paraId="0AB23101">
                  <w:pPr>
                    <w:pStyle w:val="38"/>
                    <w:rPr>
                      <w:rFonts w:ascii="Times New Roman" w:hAnsi="Times New Roman" w:cs="Times New Roman"/>
                    </w:rPr>
                  </w:pPr>
                  <w:r>
                    <w:rPr>
                      <w:rFonts w:ascii="Times New Roman" w:hAnsi="Times New Roman" w:cs="Times New Roman"/>
                    </w:rPr>
                    <w:t>003</w:t>
                  </w:r>
                </w:p>
              </w:tc>
              <w:tc>
                <w:tcPr>
                  <w:tcW w:w="1987" w:type="pct"/>
                  <w:vAlign w:val="center"/>
                </w:tcPr>
                <w:p w14:paraId="0C9A1EF1">
                  <w:pPr>
                    <w:pStyle w:val="38"/>
                    <w:rPr>
                      <w:rFonts w:hint="default" w:ascii="Times New Roman" w:hAnsi="Times New Roman" w:cs="Times New Roman"/>
                    </w:rPr>
                  </w:pPr>
                  <w:r>
                    <w:rPr>
                      <w:rFonts w:hint="default" w:ascii="Times New Roman" w:hAnsi="Times New Roman" w:cs="Times New Roman"/>
                    </w:rPr>
                    <w:t>84°54'59.000"</w:t>
                  </w:r>
                </w:p>
              </w:tc>
              <w:tc>
                <w:tcPr>
                  <w:tcW w:w="1988" w:type="pct"/>
                  <w:vAlign w:val="center"/>
                </w:tcPr>
                <w:p w14:paraId="33F25DE9">
                  <w:pPr>
                    <w:pStyle w:val="38"/>
                    <w:rPr>
                      <w:rFonts w:hint="default" w:ascii="Times New Roman" w:hAnsi="Times New Roman" w:cs="Times New Roman"/>
                    </w:rPr>
                  </w:pPr>
                  <w:r>
                    <w:rPr>
                      <w:rFonts w:hint="default" w:ascii="Times New Roman" w:hAnsi="Times New Roman" w:cs="Times New Roman"/>
                    </w:rPr>
                    <w:t>42°38'55.000"</w:t>
                  </w:r>
                </w:p>
              </w:tc>
            </w:tr>
            <w:tr w14:paraId="4DECA3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24" w:type="pct"/>
                  <w:vAlign w:val="center"/>
                </w:tcPr>
                <w:p w14:paraId="37876E34">
                  <w:pPr>
                    <w:pStyle w:val="38"/>
                    <w:rPr>
                      <w:rFonts w:ascii="Times New Roman" w:hAnsi="Times New Roman" w:cs="Times New Roman"/>
                    </w:rPr>
                  </w:pPr>
                  <w:r>
                    <w:rPr>
                      <w:rFonts w:ascii="Times New Roman" w:hAnsi="Times New Roman" w:cs="Times New Roman"/>
                    </w:rPr>
                    <w:t>004</w:t>
                  </w:r>
                </w:p>
              </w:tc>
              <w:tc>
                <w:tcPr>
                  <w:tcW w:w="1987" w:type="pct"/>
                  <w:vAlign w:val="center"/>
                </w:tcPr>
                <w:p w14:paraId="440C40D4">
                  <w:pPr>
                    <w:pStyle w:val="38"/>
                    <w:rPr>
                      <w:rFonts w:hint="default" w:ascii="Times New Roman" w:hAnsi="Times New Roman" w:cs="Times New Roman"/>
                    </w:rPr>
                  </w:pPr>
                  <w:r>
                    <w:rPr>
                      <w:rFonts w:hint="default" w:ascii="Times New Roman" w:hAnsi="Times New Roman" w:cs="Times New Roman"/>
                    </w:rPr>
                    <w:t>84°54'14.000"</w:t>
                  </w:r>
                </w:p>
              </w:tc>
              <w:tc>
                <w:tcPr>
                  <w:tcW w:w="1988" w:type="pct"/>
                  <w:vAlign w:val="center"/>
                </w:tcPr>
                <w:p w14:paraId="0E9DF174">
                  <w:pPr>
                    <w:pStyle w:val="38"/>
                    <w:rPr>
                      <w:rFonts w:hint="default" w:ascii="Times New Roman" w:hAnsi="Times New Roman" w:cs="Times New Roman"/>
                    </w:rPr>
                  </w:pPr>
                  <w:r>
                    <w:rPr>
                      <w:rFonts w:hint="default" w:ascii="Times New Roman" w:hAnsi="Times New Roman" w:cs="Times New Roman"/>
                    </w:rPr>
                    <w:t>42°38'55.000"</w:t>
                  </w:r>
                </w:p>
              </w:tc>
            </w:tr>
          </w:tbl>
          <w:p w14:paraId="40146C17">
            <w:pPr>
              <w:ind w:firstLine="560"/>
            </w:pPr>
            <w:r>
              <w:t>2、新疆和静县萨阿尔明山南西区金矿勘探</w:t>
            </w:r>
          </w:p>
          <w:p w14:paraId="410F6D9F">
            <w:pPr>
              <w:ind w:firstLine="560"/>
            </w:pPr>
            <w:r>
              <w:t>证号：T65000020084010012695</w:t>
            </w:r>
          </w:p>
          <w:p w14:paraId="5A00D0E3">
            <w:pPr>
              <w:ind w:firstLine="560"/>
            </w:pPr>
            <w:r>
              <w:t>图幅号：K45E009004</w:t>
            </w:r>
          </w:p>
          <w:p w14:paraId="6137F688">
            <w:pPr>
              <w:ind w:firstLine="560"/>
            </w:pPr>
            <w:r>
              <w:t>勘查面积：13.1</w:t>
            </w:r>
            <w:r>
              <w:rPr>
                <w:rFonts w:hint="eastAsia"/>
                <w:lang w:val="en-US" w:eastAsia="zh-CN"/>
              </w:rPr>
              <w:t>6</w:t>
            </w:r>
            <w:r>
              <w:t>平方公里</w:t>
            </w:r>
          </w:p>
          <w:p w14:paraId="773F53F8">
            <w:pPr>
              <w:ind w:firstLine="560"/>
            </w:pPr>
            <w:r>
              <w:t>有效期限：2021年8月23日至2026年8月23日。</w:t>
            </w:r>
          </w:p>
          <w:p w14:paraId="6631DAFE">
            <w:pPr>
              <w:ind w:firstLine="560"/>
            </w:pPr>
            <w:r>
              <w:t>其拐点坐标（经纬度）如下：</w:t>
            </w:r>
          </w:p>
          <w:p w14:paraId="7E78C512">
            <w:pPr>
              <w:pStyle w:val="33"/>
              <w:spacing w:before="120"/>
            </w:pPr>
            <w:r>
              <w:t>新疆和静县萨阿尔明山南西区金矿勘探</w:t>
            </w:r>
            <w:r>
              <w:rPr>
                <w:rFonts w:hint="eastAsia"/>
                <w:lang w:val="en-US" w:eastAsia="zh-CN"/>
              </w:rPr>
              <w:t>-</w:t>
            </w:r>
            <w:r>
              <w:rPr>
                <w:rFonts w:hint="eastAsia"/>
              </w:rPr>
              <w:t>探矿权范围拐点坐标</w:t>
            </w:r>
          </w:p>
          <w:tbl>
            <w:tblPr>
              <w:tblStyle w:val="23"/>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44"/>
              <w:gridCol w:w="3578"/>
              <w:gridCol w:w="3580"/>
            </w:tblGrid>
            <w:tr w14:paraId="5930DA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24" w:type="pct"/>
                  <w:vMerge w:val="restart"/>
                  <w:vAlign w:val="center"/>
                </w:tcPr>
                <w:p w14:paraId="161A982C">
                  <w:pPr>
                    <w:pStyle w:val="38"/>
                    <w:rPr>
                      <w:rFonts w:ascii="Times New Roman" w:hAnsi="Times New Roman" w:cs="Times New Roman"/>
                    </w:rPr>
                  </w:pPr>
                  <w:r>
                    <w:rPr>
                      <w:rFonts w:hint="default" w:ascii="Times New Roman" w:hAnsi="Times New Roman" w:cs="Times New Roman"/>
                    </w:rPr>
                    <w:t>拐点序号</w:t>
                  </w:r>
                </w:p>
              </w:tc>
              <w:tc>
                <w:tcPr>
                  <w:tcW w:w="3975" w:type="pct"/>
                  <w:gridSpan w:val="2"/>
                  <w:vAlign w:val="center"/>
                </w:tcPr>
                <w:p w14:paraId="0EDB8799">
                  <w:pPr>
                    <w:pStyle w:val="38"/>
                    <w:rPr>
                      <w:rFonts w:ascii="Times New Roman" w:hAnsi="Times New Roman" w:cs="Times New Roman"/>
                    </w:rPr>
                  </w:pPr>
                  <w:r>
                    <w:rPr>
                      <w:rFonts w:hint="default" w:ascii="Times New Roman" w:hAnsi="Times New Roman" w:cs="Times New Roman"/>
                    </w:rPr>
                    <w:t>地理坐标（CGCS2000坐标系）</w:t>
                  </w:r>
                </w:p>
              </w:tc>
            </w:tr>
            <w:tr w14:paraId="61724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24" w:type="pct"/>
                  <w:vMerge w:val="continue"/>
                  <w:vAlign w:val="center"/>
                </w:tcPr>
                <w:p w14:paraId="5C2FB4DD">
                  <w:pPr>
                    <w:pStyle w:val="38"/>
                    <w:rPr>
                      <w:rFonts w:ascii="Times New Roman" w:hAnsi="Times New Roman" w:cs="Times New Roman"/>
                    </w:rPr>
                  </w:pPr>
                </w:p>
              </w:tc>
              <w:tc>
                <w:tcPr>
                  <w:tcW w:w="1987" w:type="pct"/>
                  <w:vAlign w:val="center"/>
                </w:tcPr>
                <w:p w14:paraId="35A2335A">
                  <w:pPr>
                    <w:pStyle w:val="38"/>
                    <w:rPr>
                      <w:rFonts w:ascii="Times New Roman" w:hAnsi="Times New Roman" w:cs="Times New Roman"/>
                    </w:rPr>
                  </w:pPr>
                  <w:r>
                    <w:rPr>
                      <w:rFonts w:hint="default" w:ascii="Times New Roman" w:hAnsi="Times New Roman" w:cs="Times New Roman"/>
                    </w:rPr>
                    <w:t>经度</w:t>
                  </w:r>
                </w:p>
              </w:tc>
              <w:tc>
                <w:tcPr>
                  <w:tcW w:w="1988" w:type="pct"/>
                  <w:vAlign w:val="center"/>
                </w:tcPr>
                <w:p w14:paraId="7DBE98B2">
                  <w:pPr>
                    <w:pStyle w:val="38"/>
                    <w:rPr>
                      <w:rFonts w:ascii="Times New Roman" w:hAnsi="Times New Roman" w:cs="Times New Roman"/>
                    </w:rPr>
                  </w:pPr>
                  <w:r>
                    <w:rPr>
                      <w:rFonts w:hint="default" w:ascii="Times New Roman" w:hAnsi="Times New Roman" w:cs="Times New Roman"/>
                    </w:rPr>
                    <w:t>纬度</w:t>
                  </w:r>
                </w:p>
              </w:tc>
            </w:tr>
            <w:tr w14:paraId="6CF132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24" w:type="pct"/>
                  <w:vAlign w:val="center"/>
                </w:tcPr>
                <w:p w14:paraId="66905DA6">
                  <w:pPr>
                    <w:pStyle w:val="38"/>
                    <w:rPr>
                      <w:rFonts w:ascii="Times New Roman" w:hAnsi="Times New Roman" w:cs="Times New Roman"/>
                    </w:rPr>
                  </w:pPr>
                  <w:r>
                    <w:rPr>
                      <w:rFonts w:ascii="Times New Roman" w:hAnsi="Times New Roman" w:cs="Times New Roman"/>
                    </w:rPr>
                    <w:t>001</w:t>
                  </w:r>
                </w:p>
              </w:tc>
              <w:tc>
                <w:tcPr>
                  <w:tcW w:w="1987" w:type="pct"/>
                  <w:vAlign w:val="center"/>
                </w:tcPr>
                <w:p w14:paraId="489989EC">
                  <w:pPr>
                    <w:pStyle w:val="38"/>
                    <w:rPr>
                      <w:rFonts w:hint="default" w:ascii="Times New Roman" w:hAnsi="Times New Roman" w:cs="Times New Roman"/>
                    </w:rPr>
                  </w:pPr>
                  <w:r>
                    <w:rPr>
                      <w:rFonts w:hint="default" w:ascii="Times New Roman" w:hAnsi="Times New Roman" w:cs="Times New Roman"/>
                    </w:rPr>
                    <w:t>84°54'59.000"</w:t>
                  </w:r>
                </w:p>
              </w:tc>
              <w:tc>
                <w:tcPr>
                  <w:tcW w:w="1988" w:type="pct"/>
                  <w:vAlign w:val="center"/>
                </w:tcPr>
                <w:p w14:paraId="6296751F">
                  <w:pPr>
                    <w:pStyle w:val="38"/>
                    <w:rPr>
                      <w:rFonts w:hint="default" w:ascii="Times New Roman" w:hAnsi="Times New Roman" w:cs="Times New Roman"/>
                    </w:rPr>
                  </w:pPr>
                  <w:r>
                    <w:rPr>
                      <w:rFonts w:hint="default" w:ascii="Times New Roman" w:hAnsi="Times New Roman" w:cs="Times New Roman"/>
                    </w:rPr>
                    <w:t>42°40'01.000"</w:t>
                  </w:r>
                </w:p>
              </w:tc>
            </w:tr>
            <w:tr w14:paraId="306978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24" w:type="pct"/>
                  <w:vAlign w:val="center"/>
                </w:tcPr>
                <w:p w14:paraId="6712A11F">
                  <w:pPr>
                    <w:pStyle w:val="38"/>
                    <w:rPr>
                      <w:rFonts w:ascii="Times New Roman" w:hAnsi="Times New Roman" w:cs="Times New Roman"/>
                    </w:rPr>
                  </w:pPr>
                  <w:r>
                    <w:rPr>
                      <w:rFonts w:ascii="Times New Roman" w:hAnsi="Times New Roman" w:cs="Times New Roman"/>
                    </w:rPr>
                    <w:t>002</w:t>
                  </w:r>
                </w:p>
              </w:tc>
              <w:tc>
                <w:tcPr>
                  <w:tcW w:w="1987" w:type="pct"/>
                  <w:vAlign w:val="center"/>
                </w:tcPr>
                <w:p w14:paraId="1BA99EAE">
                  <w:pPr>
                    <w:pStyle w:val="38"/>
                    <w:rPr>
                      <w:rFonts w:hint="default" w:ascii="Times New Roman" w:hAnsi="Times New Roman" w:cs="Times New Roman"/>
                    </w:rPr>
                  </w:pPr>
                  <w:r>
                    <w:rPr>
                      <w:rFonts w:hint="default" w:ascii="Times New Roman" w:hAnsi="Times New Roman" w:cs="Times New Roman"/>
                    </w:rPr>
                    <w:t>84°57'17.000"</w:t>
                  </w:r>
                </w:p>
              </w:tc>
              <w:tc>
                <w:tcPr>
                  <w:tcW w:w="1988" w:type="pct"/>
                  <w:vAlign w:val="center"/>
                </w:tcPr>
                <w:p w14:paraId="4355C3AB">
                  <w:pPr>
                    <w:pStyle w:val="38"/>
                    <w:rPr>
                      <w:rFonts w:hint="default" w:ascii="Times New Roman" w:hAnsi="Times New Roman" w:cs="Times New Roman"/>
                    </w:rPr>
                  </w:pPr>
                  <w:r>
                    <w:rPr>
                      <w:rFonts w:hint="default" w:ascii="Times New Roman" w:hAnsi="Times New Roman" w:cs="Times New Roman"/>
                    </w:rPr>
                    <w:t>42°40'01.000"</w:t>
                  </w:r>
                </w:p>
              </w:tc>
            </w:tr>
            <w:tr w14:paraId="2EE9D1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24" w:type="pct"/>
                  <w:vAlign w:val="center"/>
                </w:tcPr>
                <w:p w14:paraId="49E97B05">
                  <w:pPr>
                    <w:pStyle w:val="38"/>
                    <w:rPr>
                      <w:rFonts w:ascii="Times New Roman" w:hAnsi="Times New Roman" w:cs="Times New Roman"/>
                    </w:rPr>
                  </w:pPr>
                  <w:r>
                    <w:rPr>
                      <w:rFonts w:ascii="Times New Roman" w:hAnsi="Times New Roman" w:cs="Times New Roman"/>
                    </w:rPr>
                    <w:t>003</w:t>
                  </w:r>
                </w:p>
              </w:tc>
              <w:tc>
                <w:tcPr>
                  <w:tcW w:w="1987" w:type="pct"/>
                  <w:vAlign w:val="center"/>
                </w:tcPr>
                <w:p w14:paraId="63276502">
                  <w:pPr>
                    <w:pStyle w:val="38"/>
                    <w:rPr>
                      <w:rFonts w:hint="default" w:ascii="Times New Roman" w:hAnsi="Times New Roman" w:cs="Times New Roman"/>
                    </w:rPr>
                  </w:pPr>
                  <w:r>
                    <w:rPr>
                      <w:rFonts w:hint="default" w:ascii="Times New Roman" w:hAnsi="Times New Roman" w:cs="Times New Roman"/>
                    </w:rPr>
                    <w:t>84°57'17.000"</w:t>
                  </w:r>
                </w:p>
              </w:tc>
              <w:tc>
                <w:tcPr>
                  <w:tcW w:w="1988" w:type="pct"/>
                  <w:vAlign w:val="center"/>
                </w:tcPr>
                <w:p w14:paraId="78DB11DA">
                  <w:pPr>
                    <w:pStyle w:val="38"/>
                    <w:rPr>
                      <w:rFonts w:hint="default" w:ascii="Times New Roman" w:hAnsi="Times New Roman" w:cs="Times New Roman"/>
                    </w:rPr>
                  </w:pPr>
                  <w:r>
                    <w:rPr>
                      <w:rFonts w:hint="default" w:ascii="Times New Roman" w:hAnsi="Times New Roman" w:cs="Times New Roman"/>
                    </w:rPr>
                    <w:t>42°39'17.000"</w:t>
                  </w:r>
                </w:p>
              </w:tc>
            </w:tr>
            <w:tr w14:paraId="4A5A1C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24" w:type="pct"/>
                  <w:vAlign w:val="center"/>
                </w:tcPr>
                <w:p w14:paraId="776263D5">
                  <w:pPr>
                    <w:pStyle w:val="38"/>
                    <w:rPr>
                      <w:rFonts w:ascii="Times New Roman" w:hAnsi="Times New Roman" w:cs="Times New Roman"/>
                    </w:rPr>
                  </w:pPr>
                  <w:r>
                    <w:rPr>
                      <w:rFonts w:ascii="Times New Roman" w:hAnsi="Times New Roman" w:cs="Times New Roman"/>
                    </w:rPr>
                    <w:t>004</w:t>
                  </w:r>
                </w:p>
              </w:tc>
              <w:tc>
                <w:tcPr>
                  <w:tcW w:w="1987" w:type="pct"/>
                  <w:vAlign w:val="center"/>
                </w:tcPr>
                <w:p w14:paraId="6A5C834B">
                  <w:pPr>
                    <w:pStyle w:val="38"/>
                    <w:rPr>
                      <w:rFonts w:hint="default" w:ascii="Times New Roman" w:hAnsi="Times New Roman" w:cs="Times New Roman"/>
                    </w:rPr>
                  </w:pPr>
                  <w:r>
                    <w:rPr>
                      <w:rFonts w:hint="default" w:ascii="Times New Roman" w:hAnsi="Times New Roman" w:cs="Times New Roman"/>
                    </w:rPr>
                    <w:t>84°59'41.000"</w:t>
                  </w:r>
                </w:p>
              </w:tc>
              <w:tc>
                <w:tcPr>
                  <w:tcW w:w="1988" w:type="pct"/>
                  <w:vAlign w:val="center"/>
                </w:tcPr>
                <w:p w14:paraId="0377961C">
                  <w:pPr>
                    <w:pStyle w:val="38"/>
                    <w:rPr>
                      <w:rFonts w:hint="default" w:ascii="Times New Roman" w:hAnsi="Times New Roman" w:cs="Times New Roman"/>
                    </w:rPr>
                  </w:pPr>
                  <w:r>
                    <w:rPr>
                      <w:rFonts w:hint="default" w:ascii="Times New Roman" w:hAnsi="Times New Roman" w:cs="Times New Roman"/>
                    </w:rPr>
                    <w:t>42°39'17.000"</w:t>
                  </w:r>
                </w:p>
              </w:tc>
            </w:tr>
            <w:tr w14:paraId="08B433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24" w:type="pct"/>
                  <w:vAlign w:val="center"/>
                </w:tcPr>
                <w:p w14:paraId="50AC6089">
                  <w:pPr>
                    <w:pStyle w:val="38"/>
                    <w:rPr>
                      <w:rFonts w:hint="eastAsia" w:ascii="Times New Roman" w:hAnsi="Times New Roman" w:eastAsia="宋体" w:cs="Times New Roman"/>
                      <w:lang w:eastAsia="zh-CN"/>
                    </w:rPr>
                  </w:pPr>
                  <w:r>
                    <w:rPr>
                      <w:rFonts w:ascii="Times New Roman" w:hAnsi="Times New Roman" w:cs="Times New Roman"/>
                    </w:rPr>
                    <w:t>00</w:t>
                  </w:r>
                  <w:r>
                    <w:rPr>
                      <w:rFonts w:hint="eastAsia" w:cs="Times New Roman"/>
                      <w:lang w:val="en-US" w:eastAsia="zh-CN"/>
                    </w:rPr>
                    <w:t>5</w:t>
                  </w:r>
                </w:p>
              </w:tc>
              <w:tc>
                <w:tcPr>
                  <w:tcW w:w="1987" w:type="pct"/>
                  <w:vAlign w:val="center"/>
                </w:tcPr>
                <w:p w14:paraId="3101DF1E">
                  <w:pPr>
                    <w:pStyle w:val="38"/>
                    <w:rPr>
                      <w:rFonts w:hint="default" w:ascii="Times New Roman" w:hAnsi="Times New Roman" w:cs="Times New Roman"/>
                    </w:rPr>
                  </w:pPr>
                  <w:r>
                    <w:rPr>
                      <w:rFonts w:hint="default" w:ascii="Times New Roman" w:hAnsi="Times New Roman" w:cs="Times New Roman"/>
                    </w:rPr>
                    <w:t>84°59'41.000"</w:t>
                  </w:r>
                </w:p>
              </w:tc>
              <w:tc>
                <w:tcPr>
                  <w:tcW w:w="1988" w:type="pct"/>
                  <w:vAlign w:val="center"/>
                </w:tcPr>
                <w:p w14:paraId="7ECD30C9">
                  <w:pPr>
                    <w:pStyle w:val="38"/>
                    <w:rPr>
                      <w:rFonts w:hint="default" w:ascii="Times New Roman" w:hAnsi="Times New Roman" w:cs="Times New Roman"/>
                    </w:rPr>
                  </w:pPr>
                  <w:r>
                    <w:rPr>
                      <w:rFonts w:hint="default" w:ascii="Times New Roman" w:hAnsi="Times New Roman" w:cs="Times New Roman"/>
                    </w:rPr>
                    <w:t>42°38'32.000"</w:t>
                  </w:r>
                </w:p>
              </w:tc>
            </w:tr>
            <w:tr w14:paraId="010126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24" w:type="pct"/>
                  <w:vAlign w:val="center"/>
                </w:tcPr>
                <w:p w14:paraId="3A579712">
                  <w:pPr>
                    <w:pStyle w:val="38"/>
                    <w:rPr>
                      <w:rFonts w:hint="eastAsia" w:ascii="Times New Roman" w:hAnsi="Times New Roman" w:eastAsia="宋体" w:cs="Times New Roman"/>
                      <w:lang w:eastAsia="zh-CN"/>
                    </w:rPr>
                  </w:pPr>
                  <w:r>
                    <w:rPr>
                      <w:rFonts w:ascii="Times New Roman" w:hAnsi="Times New Roman" w:cs="Times New Roman"/>
                    </w:rPr>
                    <w:t>00</w:t>
                  </w:r>
                  <w:r>
                    <w:rPr>
                      <w:rFonts w:hint="eastAsia" w:cs="Times New Roman"/>
                      <w:lang w:val="en-US" w:eastAsia="zh-CN"/>
                    </w:rPr>
                    <w:t>6</w:t>
                  </w:r>
                </w:p>
              </w:tc>
              <w:tc>
                <w:tcPr>
                  <w:tcW w:w="1987" w:type="pct"/>
                  <w:vAlign w:val="center"/>
                </w:tcPr>
                <w:p w14:paraId="464CF264">
                  <w:pPr>
                    <w:pStyle w:val="38"/>
                    <w:rPr>
                      <w:rFonts w:hint="default" w:ascii="Times New Roman" w:hAnsi="Times New Roman" w:cs="Times New Roman"/>
                    </w:rPr>
                  </w:pPr>
                  <w:r>
                    <w:rPr>
                      <w:rFonts w:hint="default" w:ascii="Times New Roman" w:hAnsi="Times New Roman" w:cs="Times New Roman"/>
                    </w:rPr>
                    <w:t>84°54'59.000”</w:t>
                  </w:r>
                </w:p>
              </w:tc>
              <w:tc>
                <w:tcPr>
                  <w:tcW w:w="1988" w:type="pct"/>
                  <w:vAlign w:val="center"/>
                </w:tcPr>
                <w:p w14:paraId="5B314040">
                  <w:pPr>
                    <w:pStyle w:val="38"/>
                    <w:rPr>
                      <w:rFonts w:hint="default" w:ascii="Times New Roman" w:hAnsi="Times New Roman" w:cs="Times New Roman"/>
                    </w:rPr>
                  </w:pPr>
                  <w:r>
                    <w:rPr>
                      <w:rFonts w:hint="default" w:ascii="Times New Roman" w:hAnsi="Times New Roman" w:cs="Times New Roman"/>
                    </w:rPr>
                    <w:t>42°38’32.000"</w:t>
                  </w:r>
                </w:p>
              </w:tc>
            </w:tr>
          </w:tbl>
          <w:p w14:paraId="0BE91505">
            <w:pPr>
              <w:ind w:firstLine="560"/>
            </w:pPr>
            <w:r>
              <w:t>3、</w:t>
            </w:r>
            <w:r>
              <w:rPr>
                <w:sz w:val="24"/>
              </w:rPr>
              <w:drawing>
                <wp:anchor distT="0" distB="0" distL="114300" distR="114300" simplePos="0" relativeHeight="251664384" behindDoc="1" locked="0" layoutInCell="1" allowOverlap="1">
                  <wp:simplePos x="0" y="0"/>
                  <wp:positionH relativeFrom="column">
                    <wp:posOffset>8791575</wp:posOffset>
                  </wp:positionH>
                  <wp:positionV relativeFrom="paragraph">
                    <wp:posOffset>1350645</wp:posOffset>
                  </wp:positionV>
                  <wp:extent cx="855345" cy="876935"/>
                  <wp:effectExtent l="9525" t="9525" r="11430" b="27940"/>
                  <wp:wrapNone/>
                  <wp:docPr id="18" name="图片 2" descr="和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和静"/>
                          <pic:cNvPicPr>
                            <a:picLocks noChangeAspect="1"/>
                          </pic:cNvPicPr>
                        </pic:nvPicPr>
                        <pic:blipFill>
                          <a:blip r:embed="rId8"/>
                          <a:stretch>
                            <a:fillRect/>
                          </a:stretch>
                        </pic:blipFill>
                        <pic:spPr>
                          <a:xfrm>
                            <a:off x="0" y="0"/>
                            <a:ext cx="855345" cy="876935"/>
                          </a:xfrm>
                          <a:prstGeom prst="rect">
                            <a:avLst/>
                          </a:prstGeom>
                          <a:noFill/>
                          <a:ln w="9525" cap="flat" cmpd="sng">
                            <a:solidFill>
                              <a:srgbClr val="000000"/>
                            </a:solidFill>
                            <a:prstDash val="solid"/>
                            <a:miter/>
                            <a:headEnd type="none" w="med" len="med"/>
                            <a:tailEnd type="none" w="med" len="med"/>
                          </a:ln>
                        </pic:spPr>
                      </pic:pic>
                    </a:graphicData>
                  </a:graphic>
                </wp:anchor>
              </w:drawing>
            </w:r>
            <w:r>
              <w:t>新疆和静县萨阿尔明山浩恩吐尔一带金矿勘探</w:t>
            </w:r>
          </w:p>
          <w:p w14:paraId="648F6A8A">
            <w:pPr>
              <w:ind w:firstLine="560"/>
            </w:pPr>
            <w:r>
              <w:t>证号：T6500002008124010024009</w:t>
            </w:r>
          </w:p>
          <w:p w14:paraId="590E7BFA">
            <w:pPr>
              <w:ind w:firstLine="560"/>
            </w:pPr>
            <w:r>
              <w:t>图幅号：K45E009004</w:t>
            </w:r>
          </w:p>
          <w:p w14:paraId="2F893044">
            <w:pPr>
              <w:ind w:firstLine="560"/>
            </w:pPr>
            <w:r>
              <w:t>勘查面积：21.</w:t>
            </w:r>
            <w:r>
              <w:rPr>
                <w:rFonts w:hint="eastAsia"/>
                <w:lang w:val="en-US" w:eastAsia="zh-CN"/>
              </w:rPr>
              <w:t>56</w:t>
            </w:r>
            <w:r>
              <w:t>平方公里</w:t>
            </w:r>
          </w:p>
          <w:p w14:paraId="321C8405">
            <w:pPr>
              <w:ind w:firstLine="560"/>
            </w:pPr>
            <w:r>
              <w:t>有效期限：2021年6月7日至2026年6月7日。</w:t>
            </w:r>
          </w:p>
          <w:p w14:paraId="5A535339">
            <w:pPr>
              <w:ind w:firstLine="560"/>
            </w:pPr>
            <w:r>
              <w:t>其拐点坐标（经纬度），主要拐点如下：</w:t>
            </w:r>
          </w:p>
          <w:p w14:paraId="572EBD4C">
            <w:pPr>
              <w:pStyle w:val="33"/>
              <w:spacing w:before="120"/>
            </w:pPr>
            <w:r>
              <w:rPr>
                <w:rFonts w:hint="eastAsia"/>
              </w:rPr>
              <w:t>探矿权范围拐点坐标</w:t>
            </w:r>
          </w:p>
          <w:tbl>
            <w:tblPr>
              <w:tblStyle w:val="23"/>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44"/>
              <w:gridCol w:w="3578"/>
              <w:gridCol w:w="3580"/>
            </w:tblGrid>
            <w:tr w14:paraId="3512D5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24" w:type="pct"/>
                  <w:vMerge w:val="restart"/>
                  <w:vAlign w:val="center"/>
                </w:tcPr>
                <w:p w14:paraId="75F8E195">
                  <w:pPr>
                    <w:pStyle w:val="38"/>
                    <w:rPr>
                      <w:rFonts w:ascii="Times New Roman" w:hAnsi="Times New Roman" w:cs="Times New Roman"/>
                    </w:rPr>
                  </w:pPr>
                  <w:r>
                    <w:rPr>
                      <w:rFonts w:hint="default" w:ascii="Times New Roman" w:hAnsi="Times New Roman" w:cs="Times New Roman"/>
                    </w:rPr>
                    <w:t>拐点序号</w:t>
                  </w:r>
                </w:p>
              </w:tc>
              <w:tc>
                <w:tcPr>
                  <w:tcW w:w="3975" w:type="pct"/>
                  <w:gridSpan w:val="2"/>
                  <w:vAlign w:val="center"/>
                </w:tcPr>
                <w:p w14:paraId="57EDA095">
                  <w:pPr>
                    <w:pStyle w:val="38"/>
                    <w:rPr>
                      <w:rFonts w:ascii="Times New Roman" w:hAnsi="Times New Roman" w:cs="Times New Roman"/>
                    </w:rPr>
                  </w:pPr>
                  <w:r>
                    <w:rPr>
                      <w:rFonts w:hint="default" w:ascii="Times New Roman" w:hAnsi="Times New Roman" w:cs="Times New Roman"/>
                    </w:rPr>
                    <w:t>地理坐标（CGCS2000坐标系）</w:t>
                  </w:r>
                </w:p>
              </w:tc>
            </w:tr>
            <w:tr w14:paraId="59EFEA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24" w:type="pct"/>
                  <w:vMerge w:val="continue"/>
                  <w:vAlign w:val="center"/>
                </w:tcPr>
                <w:p w14:paraId="355BB952">
                  <w:pPr>
                    <w:pStyle w:val="38"/>
                    <w:rPr>
                      <w:rFonts w:ascii="Times New Roman" w:hAnsi="Times New Roman" w:cs="Times New Roman"/>
                    </w:rPr>
                  </w:pPr>
                </w:p>
              </w:tc>
              <w:tc>
                <w:tcPr>
                  <w:tcW w:w="1987" w:type="pct"/>
                  <w:vAlign w:val="center"/>
                </w:tcPr>
                <w:p w14:paraId="572EEA16">
                  <w:pPr>
                    <w:pStyle w:val="38"/>
                    <w:rPr>
                      <w:rFonts w:ascii="Times New Roman" w:hAnsi="Times New Roman" w:cs="Times New Roman"/>
                    </w:rPr>
                  </w:pPr>
                  <w:r>
                    <w:rPr>
                      <w:rFonts w:hint="default" w:ascii="Times New Roman" w:hAnsi="Times New Roman" w:cs="Times New Roman"/>
                    </w:rPr>
                    <w:t>经度</w:t>
                  </w:r>
                </w:p>
              </w:tc>
              <w:tc>
                <w:tcPr>
                  <w:tcW w:w="1988" w:type="pct"/>
                  <w:vAlign w:val="center"/>
                </w:tcPr>
                <w:p w14:paraId="220A1459">
                  <w:pPr>
                    <w:pStyle w:val="38"/>
                    <w:rPr>
                      <w:rFonts w:ascii="Times New Roman" w:hAnsi="Times New Roman" w:cs="Times New Roman"/>
                    </w:rPr>
                  </w:pPr>
                  <w:r>
                    <w:rPr>
                      <w:rFonts w:hint="default" w:ascii="Times New Roman" w:hAnsi="Times New Roman" w:cs="Times New Roman"/>
                    </w:rPr>
                    <w:t>纬度</w:t>
                  </w:r>
                </w:p>
              </w:tc>
            </w:tr>
            <w:tr w14:paraId="2598B1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24" w:type="pct"/>
                  <w:vAlign w:val="center"/>
                </w:tcPr>
                <w:p w14:paraId="64C96271">
                  <w:pPr>
                    <w:pStyle w:val="38"/>
                    <w:rPr>
                      <w:rFonts w:ascii="Times New Roman" w:hAnsi="Times New Roman" w:cs="Times New Roman"/>
                    </w:rPr>
                  </w:pPr>
                  <w:r>
                    <w:rPr>
                      <w:rFonts w:ascii="Times New Roman" w:hAnsi="Times New Roman" w:cs="Times New Roman"/>
                    </w:rPr>
                    <w:t>001</w:t>
                  </w:r>
                </w:p>
              </w:tc>
              <w:tc>
                <w:tcPr>
                  <w:tcW w:w="1987" w:type="pct"/>
                  <w:vAlign w:val="center"/>
                </w:tcPr>
                <w:p w14:paraId="75FF9161">
                  <w:pPr>
                    <w:pStyle w:val="38"/>
                    <w:rPr>
                      <w:rFonts w:hint="default" w:ascii="Times New Roman" w:hAnsi="Times New Roman" w:cs="Times New Roman"/>
                    </w:rPr>
                  </w:pPr>
                  <w:r>
                    <w:rPr>
                      <w:rFonts w:hint="default" w:ascii="Times New Roman" w:hAnsi="Times New Roman" w:cs="Times New Roman"/>
                    </w:rPr>
                    <w:t>84°48′59.000″</w:t>
                  </w:r>
                </w:p>
              </w:tc>
              <w:tc>
                <w:tcPr>
                  <w:tcW w:w="1988" w:type="pct"/>
                  <w:vAlign w:val="center"/>
                </w:tcPr>
                <w:p w14:paraId="5183F200">
                  <w:pPr>
                    <w:pStyle w:val="38"/>
                    <w:rPr>
                      <w:rFonts w:hint="default" w:ascii="Times New Roman" w:hAnsi="Times New Roman" w:cs="Times New Roman"/>
                    </w:rPr>
                  </w:pPr>
                  <w:r>
                    <w:rPr>
                      <w:rFonts w:hint="default" w:ascii="Times New Roman" w:hAnsi="Times New Roman" w:cs="Times New Roman"/>
                    </w:rPr>
                    <w:t>42°41′31.000″</w:t>
                  </w:r>
                </w:p>
              </w:tc>
            </w:tr>
            <w:tr w14:paraId="039C05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24" w:type="pct"/>
                  <w:vAlign w:val="center"/>
                </w:tcPr>
                <w:p w14:paraId="188FD777">
                  <w:pPr>
                    <w:pStyle w:val="38"/>
                    <w:rPr>
                      <w:rFonts w:ascii="Times New Roman" w:hAnsi="Times New Roman" w:cs="Times New Roman"/>
                    </w:rPr>
                  </w:pPr>
                  <w:r>
                    <w:rPr>
                      <w:rFonts w:ascii="Times New Roman" w:hAnsi="Times New Roman" w:cs="Times New Roman"/>
                    </w:rPr>
                    <w:t>002</w:t>
                  </w:r>
                </w:p>
              </w:tc>
              <w:tc>
                <w:tcPr>
                  <w:tcW w:w="1987" w:type="pct"/>
                  <w:vAlign w:val="center"/>
                </w:tcPr>
                <w:p w14:paraId="42CF157D">
                  <w:pPr>
                    <w:pStyle w:val="38"/>
                    <w:rPr>
                      <w:rFonts w:hint="default" w:ascii="Times New Roman" w:hAnsi="Times New Roman" w:cs="Times New Roman"/>
                    </w:rPr>
                  </w:pPr>
                  <w:r>
                    <w:rPr>
                      <w:rFonts w:hint="default" w:ascii="Times New Roman" w:hAnsi="Times New Roman" w:cs="Times New Roman"/>
                    </w:rPr>
                    <w:t>84°53′29.000″</w:t>
                  </w:r>
                </w:p>
              </w:tc>
              <w:tc>
                <w:tcPr>
                  <w:tcW w:w="1988" w:type="pct"/>
                  <w:vAlign w:val="center"/>
                </w:tcPr>
                <w:p w14:paraId="10676454">
                  <w:pPr>
                    <w:pStyle w:val="38"/>
                    <w:rPr>
                      <w:rFonts w:hint="default" w:ascii="Times New Roman" w:hAnsi="Times New Roman" w:cs="Times New Roman"/>
                    </w:rPr>
                  </w:pPr>
                  <w:r>
                    <w:rPr>
                      <w:rFonts w:hint="default" w:ascii="Times New Roman" w:hAnsi="Times New Roman" w:cs="Times New Roman"/>
                    </w:rPr>
                    <w:t>42°41′31.000″</w:t>
                  </w:r>
                </w:p>
              </w:tc>
            </w:tr>
            <w:tr w14:paraId="752B9C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24" w:type="pct"/>
                  <w:vAlign w:val="center"/>
                </w:tcPr>
                <w:p w14:paraId="7739FEA9">
                  <w:pPr>
                    <w:pStyle w:val="38"/>
                    <w:rPr>
                      <w:rFonts w:ascii="Times New Roman" w:hAnsi="Times New Roman" w:cs="Times New Roman"/>
                    </w:rPr>
                  </w:pPr>
                  <w:r>
                    <w:rPr>
                      <w:rFonts w:ascii="Times New Roman" w:hAnsi="Times New Roman" w:cs="Times New Roman"/>
                    </w:rPr>
                    <w:t>003</w:t>
                  </w:r>
                </w:p>
              </w:tc>
              <w:tc>
                <w:tcPr>
                  <w:tcW w:w="1987" w:type="pct"/>
                  <w:vAlign w:val="center"/>
                </w:tcPr>
                <w:p w14:paraId="4FAA1647">
                  <w:pPr>
                    <w:pStyle w:val="38"/>
                    <w:rPr>
                      <w:rFonts w:hint="default" w:ascii="Times New Roman" w:hAnsi="Times New Roman" w:cs="Times New Roman"/>
                    </w:rPr>
                  </w:pPr>
                  <w:r>
                    <w:rPr>
                      <w:rFonts w:hint="default" w:ascii="Times New Roman" w:hAnsi="Times New Roman" w:cs="Times New Roman"/>
                    </w:rPr>
                    <w:t>84°53′29.000″</w:t>
                  </w:r>
                </w:p>
              </w:tc>
              <w:tc>
                <w:tcPr>
                  <w:tcW w:w="1988" w:type="pct"/>
                  <w:vAlign w:val="center"/>
                </w:tcPr>
                <w:p w14:paraId="1E605703">
                  <w:pPr>
                    <w:pStyle w:val="38"/>
                    <w:rPr>
                      <w:rFonts w:hint="default" w:ascii="Times New Roman" w:hAnsi="Times New Roman" w:cs="Times New Roman"/>
                    </w:rPr>
                  </w:pPr>
                  <w:r>
                    <w:rPr>
                      <w:rFonts w:hint="default" w:ascii="Times New Roman" w:hAnsi="Times New Roman" w:cs="Times New Roman"/>
                    </w:rPr>
                    <w:t>42°41′16.000″</w:t>
                  </w:r>
                </w:p>
              </w:tc>
            </w:tr>
            <w:tr w14:paraId="778590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24" w:type="pct"/>
                  <w:vAlign w:val="center"/>
                </w:tcPr>
                <w:p w14:paraId="126E6282">
                  <w:pPr>
                    <w:pStyle w:val="38"/>
                    <w:rPr>
                      <w:rFonts w:ascii="Times New Roman" w:hAnsi="Times New Roman" w:cs="Times New Roman"/>
                    </w:rPr>
                  </w:pPr>
                  <w:r>
                    <w:rPr>
                      <w:rFonts w:ascii="Times New Roman" w:hAnsi="Times New Roman" w:cs="Times New Roman"/>
                    </w:rPr>
                    <w:t>004</w:t>
                  </w:r>
                </w:p>
              </w:tc>
              <w:tc>
                <w:tcPr>
                  <w:tcW w:w="1987" w:type="pct"/>
                  <w:vAlign w:val="center"/>
                </w:tcPr>
                <w:p w14:paraId="18D86E54">
                  <w:pPr>
                    <w:pStyle w:val="38"/>
                    <w:rPr>
                      <w:rFonts w:hint="default" w:ascii="Times New Roman" w:hAnsi="Times New Roman" w:cs="Times New Roman"/>
                    </w:rPr>
                  </w:pPr>
                  <w:r>
                    <w:rPr>
                      <w:rFonts w:hint="default" w:ascii="Times New Roman" w:hAnsi="Times New Roman" w:cs="Times New Roman"/>
                    </w:rPr>
                    <w:t>84°53′59.000″</w:t>
                  </w:r>
                </w:p>
              </w:tc>
              <w:tc>
                <w:tcPr>
                  <w:tcW w:w="1988" w:type="pct"/>
                  <w:vAlign w:val="center"/>
                </w:tcPr>
                <w:p w14:paraId="77A292EF">
                  <w:pPr>
                    <w:pStyle w:val="38"/>
                    <w:rPr>
                      <w:rFonts w:hint="default" w:ascii="Times New Roman" w:hAnsi="Times New Roman" w:cs="Times New Roman"/>
                    </w:rPr>
                  </w:pPr>
                  <w:r>
                    <w:rPr>
                      <w:rFonts w:hint="default" w:ascii="Times New Roman" w:hAnsi="Times New Roman" w:cs="Times New Roman"/>
                    </w:rPr>
                    <w:t>42°41′16.000″</w:t>
                  </w:r>
                </w:p>
              </w:tc>
            </w:tr>
            <w:tr w14:paraId="2AA2B2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24" w:type="pct"/>
                  <w:vAlign w:val="center"/>
                </w:tcPr>
                <w:p w14:paraId="180DA256">
                  <w:pPr>
                    <w:pStyle w:val="38"/>
                    <w:rPr>
                      <w:rFonts w:hint="eastAsia" w:ascii="Times New Roman" w:hAnsi="Times New Roman" w:eastAsia="宋体" w:cs="Times New Roman"/>
                      <w:lang w:eastAsia="zh-CN"/>
                    </w:rPr>
                  </w:pPr>
                  <w:r>
                    <w:rPr>
                      <w:rFonts w:ascii="Times New Roman" w:hAnsi="Times New Roman" w:cs="Times New Roman"/>
                    </w:rPr>
                    <w:t>00</w:t>
                  </w:r>
                  <w:r>
                    <w:rPr>
                      <w:rFonts w:hint="eastAsia" w:cs="Times New Roman"/>
                      <w:lang w:val="en-US" w:eastAsia="zh-CN"/>
                    </w:rPr>
                    <w:t>5</w:t>
                  </w:r>
                </w:p>
              </w:tc>
              <w:tc>
                <w:tcPr>
                  <w:tcW w:w="1987" w:type="pct"/>
                  <w:vAlign w:val="center"/>
                </w:tcPr>
                <w:p w14:paraId="5A84E9CD">
                  <w:pPr>
                    <w:pStyle w:val="38"/>
                    <w:rPr>
                      <w:rFonts w:hint="default" w:ascii="Times New Roman" w:hAnsi="Times New Roman" w:cs="Times New Roman"/>
                    </w:rPr>
                  </w:pPr>
                  <w:r>
                    <w:rPr>
                      <w:rFonts w:hint="default" w:ascii="Times New Roman" w:hAnsi="Times New Roman" w:cs="Times New Roman"/>
                    </w:rPr>
                    <w:t>84°53′59.000″</w:t>
                  </w:r>
                </w:p>
              </w:tc>
              <w:tc>
                <w:tcPr>
                  <w:tcW w:w="1988" w:type="pct"/>
                  <w:vAlign w:val="center"/>
                </w:tcPr>
                <w:p w14:paraId="3DBA1871">
                  <w:pPr>
                    <w:pStyle w:val="38"/>
                    <w:rPr>
                      <w:rFonts w:hint="default" w:ascii="Times New Roman" w:hAnsi="Times New Roman" w:cs="Times New Roman"/>
                    </w:rPr>
                  </w:pPr>
                  <w:r>
                    <w:rPr>
                      <w:rFonts w:hint="default" w:ascii="Times New Roman" w:hAnsi="Times New Roman" w:cs="Times New Roman"/>
                    </w:rPr>
                    <w:t>42°41′01.000″</w:t>
                  </w:r>
                </w:p>
              </w:tc>
            </w:tr>
            <w:tr w14:paraId="3611E4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24" w:type="pct"/>
                  <w:vAlign w:val="center"/>
                </w:tcPr>
                <w:p w14:paraId="46258D94">
                  <w:pPr>
                    <w:pStyle w:val="38"/>
                    <w:rPr>
                      <w:rFonts w:hint="eastAsia" w:ascii="Times New Roman" w:hAnsi="Times New Roman" w:eastAsia="宋体" w:cs="Times New Roman"/>
                      <w:lang w:eastAsia="zh-CN"/>
                    </w:rPr>
                  </w:pPr>
                  <w:r>
                    <w:rPr>
                      <w:rFonts w:ascii="Times New Roman" w:hAnsi="Times New Roman" w:cs="Times New Roman"/>
                    </w:rPr>
                    <w:t>00</w:t>
                  </w:r>
                  <w:r>
                    <w:rPr>
                      <w:rFonts w:hint="eastAsia" w:cs="Times New Roman"/>
                      <w:lang w:val="en-US" w:eastAsia="zh-CN"/>
                    </w:rPr>
                    <w:t>6</w:t>
                  </w:r>
                </w:p>
              </w:tc>
              <w:tc>
                <w:tcPr>
                  <w:tcW w:w="1987" w:type="pct"/>
                  <w:vAlign w:val="center"/>
                </w:tcPr>
                <w:p w14:paraId="33CDAAC0">
                  <w:pPr>
                    <w:pStyle w:val="38"/>
                    <w:rPr>
                      <w:rFonts w:hint="default" w:ascii="Times New Roman" w:hAnsi="Times New Roman" w:cs="Times New Roman"/>
                    </w:rPr>
                  </w:pPr>
                  <w:r>
                    <w:rPr>
                      <w:rFonts w:hint="default" w:ascii="Times New Roman" w:hAnsi="Times New Roman" w:cs="Times New Roman"/>
                    </w:rPr>
                    <w:t>84°54′29.000″</w:t>
                  </w:r>
                </w:p>
              </w:tc>
              <w:tc>
                <w:tcPr>
                  <w:tcW w:w="1988" w:type="pct"/>
                  <w:vAlign w:val="center"/>
                </w:tcPr>
                <w:p w14:paraId="4C0C2233">
                  <w:pPr>
                    <w:pStyle w:val="38"/>
                    <w:rPr>
                      <w:rFonts w:hint="default" w:ascii="Times New Roman" w:hAnsi="Times New Roman" w:cs="Times New Roman"/>
                    </w:rPr>
                  </w:pPr>
                  <w:r>
                    <w:rPr>
                      <w:rFonts w:hint="default" w:ascii="Times New Roman" w:hAnsi="Times New Roman" w:cs="Times New Roman"/>
                    </w:rPr>
                    <w:t>42°41′01.000″</w:t>
                  </w:r>
                </w:p>
              </w:tc>
            </w:tr>
            <w:tr w14:paraId="6BC91C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24" w:type="pct"/>
                  <w:vAlign w:val="center"/>
                </w:tcPr>
                <w:p w14:paraId="68FAB505">
                  <w:pPr>
                    <w:pStyle w:val="38"/>
                    <w:rPr>
                      <w:rFonts w:hint="default" w:ascii="Times New Roman" w:hAnsi="Times New Roman" w:eastAsia="宋体" w:cs="Times New Roman"/>
                      <w:lang w:val="en-US" w:eastAsia="zh-CN"/>
                    </w:rPr>
                  </w:pPr>
                  <w:r>
                    <w:rPr>
                      <w:rFonts w:hint="eastAsia" w:cs="Times New Roman"/>
                      <w:lang w:val="en-US" w:eastAsia="zh-CN"/>
                    </w:rPr>
                    <w:t>007</w:t>
                  </w:r>
                </w:p>
              </w:tc>
              <w:tc>
                <w:tcPr>
                  <w:tcW w:w="1987" w:type="pct"/>
                  <w:vAlign w:val="center"/>
                </w:tcPr>
                <w:p w14:paraId="44A2D826">
                  <w:pPr>
                    <w:pStyle w:val="38"/>
                    <w:rPr>
                      <w:rFonts w:hint="default" w:ascii="Times New Roman" w:hAnsi="Times New Roman" w:cs="Times New Roman"/>
                    </w:rPr>
                  </w:pPr>
                  <w:r>
                    <w:rPr>
                      <w:rFonts w:hint="default" w:ascii="Times New Roman" w:hAnsi="Times New Roman" w:cs="Times New Roman"/>
                    </w:rPr>
                    <w:t>84°54′29.000″</w:t>
                  </w:r>
                </w:p>
              </w:tc>
              <w:tc>
                <w:tcPr>
                  <w:tcW w:w="1988" w:type="pct"/>
                  <w:vAlign w:val="center"/>
                </w:tcPr>
                <w:p w14:paraId="3EC9C4B9">
                  <w:pPr>
                    <w:pStyle w:val="38"/>
                    <w:rPr>
                      <w:rFonts w:hint="default" w:ascii="Times New Roman" w:hAnsi="Times New Roman" w:cs="Times New Roman"/>
                    </w:rPr>
                  </w:pPr>
                  <w:r>
                    <w:rPr>
                      <w:rFonts w:hint="default" w:ascii="Times New Roman" w:hAnsi="Times New Roman" w:cs="Times New Roman"/>
                    </w:rPr>
                    <w:t>42°40′46.000″</w:t>
                  </w:r>
                </w:p>
              </w:tc>
            </w:tr>
            <w:tr w14:paraId="2C41BD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24" w:type="pct"/>
                  <w:vAlign w:val="center"/>
                </w:tcPr>
                <w:p w14:paraId="7560232B">
                  <w:pPr>
                    <w:pStyle w:val="38"/>
                    <w:rPr>
                      <w:rFonts w:hint="default" w:ascii="Times New Roman" w:hAnsi="Times New Roman" w:eastAsia="宋体" w:cs="Times New Roman"/>
                      <w:lang w:val="en-US" w:eastAsia="zh-CN"/>
                    </w:rPr>
                  </w:pPr>
                  <w:r>
                    <w:rPr>
                      <w:rFonts w:hint="eastAsia" w:cs="Times New Roman"/>
                      <w:lang w:val="en-US" w:eastAsia="zh-CN"/>
                    </w:rPr>
                    <w:t>008</w:t>
                  </w:r>
                </w:p>
              </w:tc>
              <w:tc>
                <w:tcPr>
                  <w:tcW w:w="1987" w:type="pct"/>
                  <w:vAlign w:val="center"/>
                </w:tcPr>
                <w:p w14:paraId="59B52C57">
                  <w:pPr>
                    <w:pStyle w:val="38"/>
                    <w:rPr>
                      <w:rFonts w:hint="default" w:ascii="Times New Roman" w:hAnsi="Times New Roman" w:cs="Times New Roman"/>
                    </w:rPr>
                  </w:pPr>
                  <w:r>
                    <w:rPr>
                      <w:rFonts w:hint="default" w:ascii="Times New Roman" w:hAnsi="Times New Roman" w:cs="Times New Roman"/>
                    </w:rPr>
                    <w:t>84°54′59.000″</w:t>
                  </w:r>
                </w:p>
              </w:tc>
              <w:tc>
                <w:tcPr>
                  <w:tcW w:w="1988" w:type="pct"/>
                  <w:vAlign w:val="center"/>
                </w:tcPr>
                <w:p w14:paraId="34CBC9D2">
                  <w:pPr>
                    <w:pStyle w:val="38"/>
                    <w:rPr>
                      <w:rFonts w:hint="default" w:ascii="Times New Roman" w:hAnsi="Times New Roman" w:cs="Times New Roman"/>
                    </w:rPr>
                  </w:pPr>
                  <w:r>
                    <w:rPr>
                      <w:rFonts w:hint="default" w:ascii="Times New Roman" w:hAnsi="Times New Roman" w:cs="Times New Roman"/>
                    </w:rPr>
                    <w:t>42°40′46.000″</w:t>
                  </w:r>
                </w:p>
              </w:tc>
            </w:tr>
            <w:tr w14:paraId="35FBD4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24" w:type="pct"/>
                  <w:vAlign w:val="center"/>
                </w:tcPr>
                <w:p w14:paraId="5FB21A5E">
                  <w:pPr>
                    <w:pStyle w:val="38"/>
                    <w:rPr>
                      <w:rFonts w:hint="default" w:ascii="Times New Roman" w:hAnsi="Times New Roman" w:eastAsia="宋体" w:cs="Times New Roman"/>
                      <w:lang w:val="en-US" w:eastAsia="zh-CN"/>
                    </w:rPr>
                  </w:pPr>
                  <w:r>
                    <w:rPr>
                      <w:rFonts w:hint="eastAsia" w:cs="Times New Roman"/>
                      <w:lang w:val="en-US" w:eastAsia="zh-CN"/>
                    </w:rPr>
                    <w:t>009</w:t>
                  </w:r>
                </w:p>
              </w:tc>
              <w:tc>
                <w:tcPr>
                  <w:tcW w:w="1987" w:type="pct"/>
                  <w:vAlign w:val="center"/>
                </w:tcPr>
                <w:p w14:paraId="74D67A8B">
                  <w:pPr>
                    <w:pStyle w:val="38"/>
                    <w:rPr>
                      <w:rFonts w:hint="default" w:ascii="Times New Roman" w:hAnsi="Times New Roman" w:cs="Times New Roman"/>
                    </w:rPr>
                  </w:pPr>
                  <w:r>
                    <w:rPr>
                      <w:rFonts w:hint="default" w:ascii="Times New Roman" w:hAnsi="Times New Roman" w:cs="Times New Roman"/>
                    </w:rPr>
                    <w:t>84°54′59.000″</w:t>
                  </w:r>
                </w:p>
              </w:tc>
              <w:tc>
                <w:tcPr>
                  <w:tcW w:w="1988" w:type="pct"/>
                  <w:vAlign w:val="center"/>
                </w:tcPr>
                <w:p w14:paraId="4FFC2D46">
                  <w:pPr>
                    <w:pStyle w:val="38"/>
                    <w:rPr>
                      <w:rFonts w:hint="default" w:ascii="Times New Roman" w:hAnsi="Times New Roman" w:cs="Times New Roman"/>
                    </w:rPr>
                  </w:pPr>
                  <w:r>
                    <w:rPr>
                      <w:rFonts w:hint="default" w:ascii="Times New Roman" w:hAnsi="Times New Roman" w:cs="Times New Roman"/>
                    </w:rPr>
                    <w:t>42°40′31.000″</w:t>
                  </w:r>
                </w:p>
              </w:tc>
            </w:tr>
            <w:tr w14:paraId="026333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24" w:type="pct"/>
                  <w:vAlign w:val="center"/>
                </w:tcPr>
                <w:p w14:paraId="6670887C">
                  <w:pPr>
                    <w:pStyle w:val="38"/>
                    <w:rPr>
                      <w:rFonts w:hint="default" w:ascii="Times New Roman" w:hAnsi="Times New Roman" w:eastAsia="宋体" w:cs="Times New Roman"/>
                      <w:lang w:val="en-US" w:eastAsia="zh-CN"/>
                    </w:rPr>
                  </w:pPr>
                  <w:r>
                    <w:rPr>
                      <w:rFonts w:hint="eastAsia" w:cs="Times New Roman"/>
                      <w:lang w:val="en-US" w:eastAsia="zh-CN"/>
                    </w:rPr>
                    <w:t>010</w:t>
                  </w:r>
                </w:p>
              </w:tc>
              <w:tc>
                <w:tcPr>
                  <w:tcW w:w="1987" w:type="pct"/>
                  <w:vAlign w:val="center"/>
                </w:tcPr>
                <w:p w14:paraId="684490B9">
                  <w:pPr>
                    <w:pStyle w:val="38"/>
                    <w:rPr>
                      <w:rFonts w:hint="default" w:ascii="Times New Roman" w:hAnsi="Times New Roman" w:cs="Times New Roman"/>
                    </w:rPr>
                  </w:pPr>
                  <w:r>
                    <w:rPr>
                      <w:rFonts w:hint="default" w:ascii="Times New Roman" w:hAnsi="Times New Roman" w:cs="Times New Roman"/>
                    </w:rPr>
                    <w:t>84°55′28.700″</w:t>
                  </w:r>
                </w:p>
              </w:tc>
              <w:tc>
                <w:tcPr>
                  <w:tcW w:w="1988" w:type="pct"/>
                  <w:vAlign w:val="center"/>
                </w:tcPr>
                <w:p w14:paraId="04C1B536">
                  <w:pPr>
                    <w:pStyle w:val="38"/>
                    <w:rPr>
                      <w:rFonts w:hint="default" w:ascii="Times New Roman" w:hAnsi="Times New Roman" w:cs="Times New Roman"/>
                    </w:rPr>
                  </w:pPr>
                  <w:r>
                    <w:rPr>
                      <w:rFonts w:hint="default" w:ascii="Times New Roman" w:hAnsi="Times New Roman" w:cs="Times New Roman"/>
                    </w:rPr>
                    <w:t>42°40′31.000″</w:t>
                  </w:r>
                </w:p>
              </w:tc>
            </w:tr>
            <w:tr w14:paraId="508098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24" w:type="pct"/>
                  <w:vAlign w:val="center"/>
                </w:tcPr>
                <w:p w14:paraId="368186BB">
                  <w:pPr>
                    <w:pStyle w:val="38"/>
                    <w:rPr>
                      <w:rFonts w:hint="default" w:ascii="Times New Roman" w:hAnsi="Times New Roman" w:eastAsia="宋体" w:cs="Times New Roman"/>
                      <w:lang w:val="en-US" w:eastAsia="zh-CN"/>
                    </w:rPr>
                  </w:pPr>
                  <w:r>
                    <w:rPr>
                      <w:rFonts w:hint="eastAsia" w:cs="Times New Roman"/>
                      <w:lang w:val="en-US" w:eastAsia="zh-CN"/>
                    </w:rPr>
                    <w:t>011</w:t>
                  </w:r>
                </w:p>
              </w:tc>
              <w:tc>
                <w:tcPr>
                  <w:tcW w:w="1987" w:type="pct"/>
                  <w:vAlign w:val="center"/>
                </w:tcPr>
                <w:p w14:paraId="114F2C67">
                  <w:pPr>
                    <w:pStyle w:val="38"/>
                    <w:rPr>
                      <w:rFonts w:hint="default" w:ascii="Times New Roman" w:hAnsi="Times New Roman" w:cs="Times New Roman"/>
                    </w:rPr>
                  </w:pPr>
                  <w:r>
                    <w:rPr>
                      <w:rFonts w:hint="default" w:ascii="Times New Roman" w:hAnsi="Times New Roman" w:cs="Times New Roman"/>
                    </w:rPr>
                    <w:t>84°55′28.700″</w:t>
                  </w:r>
                </w:p>
              </w:tc>
              <w:tc>
                <w:tcPr>
                  <w:tcW w:w="1988" w:type="pct"/>
                  <w:vAlign w:val="center"/>
                </w:tcPr>
                <w:p w14:paraId="08BE8D2E">
                  <w:pPr>
                    <w:pStyle w:val="38"/>
                    <w:rPr>
                      <w:rFonts w:hint="default" w:ascii="Times New Roman" w:hAnsi="Times New Roman" w:cs="Times New Roman"/>
                    </w:rPr>
                  </w:pPr>
                  <w:r>
                    <w:rPr>
                      <w:rFonts w:hint="default" w:ascii="Times New Roman" w:hAnsi="Times New Roman" w:cs="Times New Roman"/>
                    </w:rPr>
                    <w:t>42°40′16.000″</w:t>
                  </w:r>
                </w:p>
              </w:tc>
            </w:tr>
            <w:tr w14:paraId="17D82C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24" w:type="pct"/>
                  <w:vAlign w:val="center"/>
                </w:tcPr>
                <w:p w14:paraId="0E0FE345">
                  <w:pPr>
                    <w:pStyle w:val="38"/>
                    <w:rPr>
                      <w:rFonts w:hint="default" w:ascii="Times New Roman" w:hAnsi="Times New Roman" w:eastAsia="宋体" w:cs="Times New Roman"/>
                      <w:lang w:val="en-US" w:eastAsia="zh-CN"/>
                    </w:rPr>
                  </w:pPr>
                  <w:r>
                    <w:rPr>
                      <w:rFonts w:hint="eastAsia" w:cs="Times New Roman"/>
                      <w:lang w:val="en-US" w:eastAsia="zh-CN"/>
                    </w:rPr>
                    <w:t>012</w:t>
                  </w:r>
                </w:p>
              </w:tc>
              <w:tc>
                <w:tcPr>
                  <w:tcW w:w="1987" w:type="pct"/>
                  <w:vAlign w:val="center"/>
                </w:tcPr>
                <w:p w14:paraId="22755420">
                  <w:pPr>
                    <w:pStyle w:val="38"/>
                    <w:rPr>
                      <w:rFonts w:hint="default" w:ascii="Times New Roman" w:hAnsi="Times New Roman" w:cs="Times New Roman"/>
                    </w:rPr>
                  </w:pPr>
                  <w:r>
                    <w:rPr>
                      <w:rFonts w:hint="default" w:ascii="Times New Roman" w:hAnsi="Times New Roman" w:cs="Times New Roman"/>
                    </w:rPr>
                    <w:t>84°55′58.700″</w:t>
                  </w:r>
                </w:p>
              </w:tc>
              <w:tc>
                <w:tcPr>
                  <w:tcW w:w="1988" w:type="pct"/>
                  <w:vAlign w:val="center"/>
                </w:tcPr>
                <w:p w14:paraId="1AAB60AB">
                  <w:pPr>
                    <w:pStyle w:val="38"/>
                    <w:rPr>
                      <w:rFonts w:hint="default" w:ascii="Times New Roman" w:hAnsi="Times New Roman" w:cs="Times New Roman"/>
                    </w:rPr>
                  </w:pPr>
                  <w:r>
                    <w:rPr>
                      <w:rFonts w:hint="default" w:ascii="Times New Roman" w:hAnsi="Times New Roman" w:cs="Times New Roman"/>
                    </w:rPr>
                    <w:t>42°40′16.000″</w:t>
                  </w:r>
                </w:p>
              </w:tc>
            </w:tr>
            <w:tr w14:paraId="06F338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24" w:type="pct"/>
                  <w:vAlign w:val="center"/>
                </w:tcPr>
                <w:p w14:paraId="2047AC4E">
                  <w:pPr>
                    <w:pStyle w:val="38"/>
                    <w:rPr>
                      <w:rFonts w:hint="default" w:ascii="Times New Roman" w:hAnsi="Times New Roman" w:eastAsia="宋体" w:cs="Times New Roman"/>
                      <w:lang w:val="en-US" w:eastAsia="zh-CN"/>
                    </w:rPr>
                  </w:pPr>
                  <w:r>
                    <w:rPr>
                      <w:rFonts w:hint="eastAsia" w:cs="Times New Roman"/>
                      <w:lang w:val="en-US" w:eastAsia="zh-CN"/>
                    </w:rPr>
                    <w:t>013</w:t>
                  </w:r>
                </w:p>
              </w:tc>
              <w:tc>
                <w:tcPr>
                  <w:tcW w:w="1987" w:type="pct"/>
                  <w:vAlign w:val="center"/>
                </w:tcPr>
                <w:p w14:paraId="1274E570">
                  <w:pPr>
                    <w:pStyle w:val="38"/>
                    <w:rPr>
                      <w:rFonts w:hint="default" w:ascii="Times New Roman" w:hAnsi="Times New Roman" w:cs="Times New Roman"/>
                    </w:rPr>
                  </w:pPr>
                  <w:r>
                    <w:rPr>
                      <w:rFonts w:hint="default" w:ascii="Times New Roman" w:hAnsi="Times New Roman" w:cs="Times New Roman"/>
                    </w:rPr>
                    <w:t>84°55′58.700″</w:t>
                  </w:r>
                </w:p>
              </w:tc>
              <w:tc>
                <w:tcPr>
                  <w:tcW w:w="1988" w:type="pct"/>
                  <w:vAlign w:val="center"/>
                </w:tcPr>
                <w:p w14:paraId="75A67332">
                  <w:pPr>
                    <w:pStyle w:val="38"/>
                    <w:rPr>
                      <w:rFonts w:hint="default" w:ascii="Times New Roman" w:hAnsi="Times New Roman" w:cs="Times New Roman"/>
                    </w:rPr>
                  </w:pPr>
                  <w:r>
                    <w:rPr>
                      <w:rFonts w:hint="default" w:ascii="Times New Roman" w:hAnsi="Times New Roman" w:cs="Times New Roman"/>
                    </w:rPr>
                    <w:t>42°40′01.700″</w:t>
                  </w:r>
                </w:p>
              </w:tc>
            </w:tr>
            <w:tr w14:paraId="49D99F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24" w:type="pct"/>
                  <w:vAlign w:val="center"/>
                </w:tcPr>
                <w:p w14:paraId="160555D3">
                  <w:pPr>
                    <w:pStyle w:val="38"/>
                    <w:rPr>
                      <w:rFonts w:hint="default" w:ascii="Times New Roman" w:hAnsi="Times New Roman" w:eastAsia="宋体" w:cs="Times New Roman"/>
                      <w:lang w:val="en-US" w:eastAsia="zh-CN"/>
                    </w:rPr>
                  </w:pPr>
                  <w:r>
                    <w:rPr>
                      <w:rFonts w:hint="eastAsia" w:cs="Times New Roman"/>
                      <w:lang w:val="en-US" w:eastAsia="zh-CN"/>
                    </w:rPr>
                    <w:t>014</w:t>
                  </w:r>
                </w:p>
              </w:tc>
              <w:tc>
                <w:tcPr>
                  <w:tcW w:w="1987" w:type="pct"/>
                  <w:vAlign w:val="center"/>
                </w:tcPr>
                <w:p w14:paraId="2653EB8A">
                  <w:pPr>
                    <w:pStyle w:val="38"/>
                    <w:rPr>
                      <w:rFonts w:hint="default" w:ascii="Times New Roman" w:hAnsi="Times New Roman" w:cs="Times New Roman"/>
                    </w:rPr>
                  </w:pPr>
                  <w:r>
                    <w:rPr>
                      <w:rFonts w:hint="default" w:ascii="Times New Roman" w:hAnsi="Times New Roman" w:cs="Times New Roman"/>
                    </w:rPr>
                    <w:t>84°48′59.000″</w:t>
                  </w:r>
                </w:p>
              </w:tc>
              <w:tc>
                <w:tcPr>
                  <w:tcW w:w="1988" w:type="pct"/>
                  <w:vAlign w:val="center"/>
                </w:tcPr>
                <w:p w14:paraId="344FB546">
                  <w:pPr>
                    <w:pStyle w:val="38"/>
                    <w:rPr>
                      <w:rFonts w:hint="default" w:ascii="Times New Roman" w:hAnsi="Times New Roman" w:cs="Times New Roman"/>
                    </w:rPr>
                  </w:pPr>
                  <w:r>
                    <w:rPr>
                      <w:rFonts w:hint="default" w:ascii="Times New Roman" w:hAnsi="Times New Roman" w:cs="Times New Roman"/>
                    </w:rPr>
                    <w:t>42°40′01.700″</w:t>
                  </w:r>
                </w:p>
              </w:tc>
            </w:tr>
          </w:tbl>
          <w:p w14:paraId="1ACF0F69">
            <w:pPr>
              <w:spacing w:line="336" w:lineRule="auto"/>
              <w:ind w:firstLine="0" w:firstLineChars="0"/>
              <w:jc w:val="center"/>
            </w:pPr>
            <w:r>
              <w:drawing>
                <wp:inline distT="0" distB="0" distL="114300" distR="114300">
                  <wp:extent cx="5452745" cy="3309620"/>
                  <wp:effectExtent l="0" t="0" r="14605" b="508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tretch>
                            <a:fillRect/>
                          </a:stretch>
                        </pic:blipFill>
                        <pic:spPr>
                          <a:xfrm>
                            <a:off x="0" y="0"/>
                            <a:ext cx="5452745" cy="3309620"/>
                          </a:xfrm>
                          <a:prstGeom prst="rect">
                            <a:avLst/>
                          </a:prstGeom>
                          <a:noFill/>
                          <a:ln>
                            <a:noFill/>
                          </a:ln>
                        </pic:spPr>
                      </pic:pic>
                    </a:graphicData>
                  </a:graphic>
                </wp:inline>
              </w:drawing>
            </w:r>
          </w:p>
          <w:p w14:paraId="0647F596">
            <w:pPr>
              <w:pStyle w:val="18"/>
              <w:ind w:left="982" w:hanging="422"/>
              <w:jc w:val="center"/>
              <w:rPr>
                <w:b/>
                <w:color w:val="000000"/>
              </w:rPr>
            </w:pPr>
            <w:r>
              <w:rPr>
                <w:b/>
                <w:bCs/>
                <w:sz w:val="21"/>
                <w:szCs w:val="16"/>
              </w:rPr>
              <w:t>图1探矿权范围示意图</w:t>
            </w:r>
          </w:p>
        </w:tc>
      </w:tr>
      <w:tr w14:paraId="527B52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5" w:hRule="atLeast"/>
          <w:jc w:val="center"/>
        </w:trPr>
        <w:tc>
          <w:tcPr>
            <w:tcW w:w="456" w:type="dxa"/>
            <w:vAlign w:val="center"/>
          </w:tcPr>
          <w:p w14:paraId="57AC6CDE">
            <w:pPr>
              <w:spacing w:line="240" w:lineRule="auto"/>
              <w:ind w:firstLine="0" w:firstLineChars="0"/>
              <w:jc w:val="center"/>
            </w:pPr>
            <w:r>
              <w:rPr>
                <w:rFonts w:hint="eastAsia"/>
              </w:rPr>
              <w:t>项</w:t>
            </w:r>
          </w:p>
          <w:p w14:paraId="107A2274">
            <w:pPr>
              <w:spacing w:line="240" w:lineRule="auto"/>
              <w:ind w:firstLine="0" w:firstLineChars="0"/>
              <w:jc w:val="center"/>
            </w:pPr>
            <w:r>
              <w:rPr>
                <w:rFonts w:hint="eastAsia"/>
              </w:rPr>
              <w:t>目</w:t>
            </w:r>
          </w:p>
          <w:p w14:paraId="20975BDB">
            <w:pPr>
              <w:spacing w:line="240" w:lineRule="auto"/>
              <w:ind w:firstLine="0" w:firstLineChars="0"/>
              <w:jc w:val="center"/>
            </w:pPr>
            <w:r>
              <w:rPr>
                <w:rFonts w:hint="eastAsia"/>
              </w:rPr>
              <w:t>组</w:t>
            </w:r>
          </w:p>
          <w:p w14:paraId="6223A3C8">
            <w:pPr>
              <w:spacing w:line="240" w:lineRule="auto"/>
              <w:ind w:firstLine="0" w:firstLineChars="0"/>
              <w:jc w:val="center"/>
            </w:pPr>
            <w:r>
              <w:rPr>
                <w:rFonts w:hint="eastAsia"/>
              </w:rPr>
              <w:t>成</w:t>
            </w:r>
          </w:p>
          <w:p w14:paraId="3C4AFE56">
            <w:pPr>
              <w:spacing w:line="240" w:lineRule="auto"/>
              <w:ind w:firstLine="0" w:firstLineChars="0"/>
              <w:jc w:val="center"/>
            </w:pPr>
            <w:r>
              <w:rPr>
                <w:rFonts w:hint="eastAsia"/>
              </w:rPr>
              <w:t>及</w:t>
            </w:r>
          </w:p>
          <w:p w14:paraId="745481F3">
            <w:pPr>
              <w:spacing w:line="240" w:lineRule="auto"/>
              <w:ind w:firstLine="0" w:firstLineChars="0"/>
              <w:jc w:val="center"/>
            </w:pPr>
            <w:r>
              <w:rPr>
                <w:rFonts w:hint="eastAsia"/>
              </w:rPr>
              <w:t>规</w:t>
            </w:r>
          </w:p>
          <w:p w14:paraId="7C49236E">
            <w:pPr>
              <w:spacing w:line="240" w:lineRule="auto"/>
              <w:ind w:firstLine="0" w:firstLineChars="0"/>
              <w:jc w:val="center"/>
            </w:pPr>
            <w:r>
              <w:rPr>
                <w:rFonts w:hint="eastAsia"/>
              </w:rPr>
              <w:t>模</w:t>
            </w:r>
          </w:p>
        </w:tc>
        <w:tc>
          <w:tcPr>
            <w:tcW w:w="8790" w:type="dxa"/>
          </w:tcPr>
          <w:p w14:paraId="636070CA">
            <w:pPr>
              <w:pStyle w:val="20"/>
              <w:ind w:firstLine="482"/>
              <w:rPr>
                <w:color w:val="000000"/>
              </w:rPr>
            </w:pPr>
            <w:r>
              <w:rPr>
                <w:rFonts w:hint="eastAsia"/>
                <w:color w:val="000000"/>
              </w:rPr>
              <w:t>1.</w:t>
            </w:r>
            <w:r>
              <w:rPr>
                <w:rFonts w:hint="eastAsia"/>
                <w:lang w:bidi="ar"/>
              </w:rPr>
              <w:t>项目基本概况</w:t>
            </w:r>
          </w:p>
          <w:p w14:paraId="0EF5F859">
            <w:pPr>
              <w:ind w:firstLine="480"/>
            </w:pPr>
            <w:r>
              <w:rPr>
                <w:rFonts w:hint="eastAsia"/>
              </w:rPr>
              <w:t>（</w:t>
            </w:r>
            <w:r>
              <w:t>1</w:t>
            </w:r>
            <w:r>
              <w:rPr>
                <w:rFonts w:hint="eastAsia"/>
              </w:rPr>
              <w:t>）项目名称：</w:t>
            </w:r>
            <w:r>
              <w:rPr>
                <w:rFonts w:hint="eastAsia"/>
                <w:color w:val="000000"/>
                <w:lang w:eastAsia="zh-CN"/>
              </w:rPr>
              <w:t>新疆和静县冰湖南—萨阿尔明山南西区—浩恩吐尔一带金矿勘探项目</w:t>
            </w:r>
            <w:r>
              <w:rPr>
                <w:rFonts w:hint="eastAsia"/>
              </w:rPr>
              <w:t>；</w:t>
            </w:r>
          </w:p>
          <w:p w14:paraId="0014232A">
            <w:pPr>
              <w:ind w:firstLine="480"/>
            </w:pPr>
            <w:r>
              <w:rPr>
                <w:rFonts w:hint="eastAsia"/>
              </w:rPr>
              <w:t>（</w:t>
            </w:r>
            <w:r>
              <w:t>2</w:t>
            </w:r>
            <w:r>
              <w:rPr>
                <w:rFonts w:hint="eastAsia"/>
              </w:rPr>
              <w:t>）项目性质：新建；</w:t>
            </w:r>
          </w:p>
          <w:p w14:paraId="746F48C2">
            <w:pPr>
              <w:ind w:firstLine="480"/>
            </w:pPr>
            <w:r>
              <w:rPr>
                <w:rFonts w:hint="eastAsia"/>
              </w:rPr>
              <w:t>（</w:t>
            </w:r>
            <w:r>
              <w:t>3</w:t>
            </w:r>
            <w:r>
              <w:rPr>
                <w:rFonts w:hint="eastAsia"/>
              </w:rPr>
              <w:t>）建设单位：</w:t>
            </w:r>
            <w:r>
              <w:rPr>
                <w:rFonts w:hint="eastAsia"/>
                <w:lang w:val="en-US" w:eastAsia="zh-CN"/>
              </w:rPr>
              <w:t>新疆维吾尔自治区地质局巴音郭楞地质大队</w:t>
            </w:r>
            <w:r>
              <w:rPr>
                <w:rFonts w:hint="eastAsia"/>
              </w:rPr>
              <w:t>；</w:t>
            </w:r>
          </w:p>
          <w:p w14:paraId="0E7CE9C7">
            <w:pPr>
              <w:ind w:firstLine="480"/>
            </w:pPr>
            <w:r>
              <w:rPr>
                <w:rFonts w:hint="eastAsia"/>
              </w:rPr>
              <w:t>（</w:t>
            </w:r>
            <w:r>
              <w:t>4</w:t>
            </w:r>
            <w:r>
              <w:rPr>
                <w:rFonts w:hint="eastAsia"/>
              </w:rPr>
              <w:t>）建设地点：项目区位于</w:t>
            </w:r>
            <w:r>
              <w:rPr>
                <w:rFonts w:hint="eastAsia"/>
                <w:lang w:eastAsia="zh-CN"/>
              </w:rPr>
              <w:t>和静县287°方向直线距离约130千米处</w:t>
            </w:r>
            <w:r>
              <w:rPr>
                <w:rFonts w:hint="eastAsia"/>
              </w:rPr>
              <w:t>，行政区划隶属巴音郭楞蒙古自治州和静县管辖。</w:t>
            </w:r>
          </w:p>
          <w:p w14:paraId="5CB303E6">
            <w:pPr>
              <w:ind w:firstLine="480"/>
            </w:pPr>
            <w:r>
              <w:rPr>
                <w:rFonts w:hint="eastAsia"/>
              </w:rPr>
              <w:t>（5）</w:t>
            </w:r>
            <w:r>
              <w:t>工程投资：</w:t>
            </w:r>
            <w:r>
              <w:rPr>
                <w:rFonts w:hint="eastAsia"/>
                <w:lang w:val="en-US" w:eastAsia="zh-CN"/>
              </w:rPr>
              <w:t>1535</w:t>
            </w:r>
            <w:r>
              <w:t>万元</w:t>
            </w:r>
          </w:p>
          <w:p w14:paraId="3DE43713">
            <w:pPr>
              <w:ind w:firstLine="480"/>
            </w:pPr>
            <w:r>
              <w:rPr>
                <w:rFonts w:hint="eastAsia"/>
              </w:rPr>
              <w:t>（6）勘查面积：</w:t>
            </w:r>
            <w:r>
              <w:rPr>
                <w:rFonts w:hint="eastAsia"/>
                <w:lang w:val="en-US" w:eastAsia="zh-CN"/>
              </w:rPr>
              <w:t>36.8</w:t>
            </w:r>
            <w:r>
              <w:rPr>
                <w:rFonts w:hint="eastAsia"/>
              </w:rPr>
              <w:t>k</w:t>
            </w:r>
            <w:r>
              <w:t>m</w:t>
            </w:r>
            <w:r>
              <w:rPr>
                <w:vertAlign w:val="superscript"/>
              </w:rPr>
              <w:t>2</w:t>
            </w:r>
          </w:p>
          <w:p w14:paraId="6F769E46">
            <w:pPr>
              <w:ind w:firstLine="482"/>
              <w:rPr>
                <w:b/>
                <w:bCs/>
              </w:rPr>
            </w:pPr>
            <w:r>
              <w:rPr>
                <w:rFonts w:hint="eastAsia"/>
                <w:b/>
                <w:bCs/>
              </w:rPr>
              <w:t>2</w:t>
            </w:r>
            <w:r>
              <w:rPr>
                <w:b/>
                <w:bCs/>
              </w:rPr>
              <w:t>.</w:t>
            </w:r>
            <w:r>
              <w:rPr>
                <w:rFonts w:hint="eastAsia"/>
                <w:b/>
                <w:bCs/>
              </w:rPr>
              <w:t>建设内容及规模</w:t>
            </w:r>
          </w:p>
          <w:p w14:paraId="7DF43675">
            <w:pPr>
              <w:ind w:firstLine="482"/>
              <w:rPr>
                <w:b/>
                <w:bCs/>
              </w:rPr>
            </w:pPr>
            <w:r>
              <w:rPr>
                <w:rFonts w:hint="eastAsia"/>
                <w:b/>
                <w:bCs/>
              </w:rPr>
              <w:t>2</w:t>
            </w:r>
            <w:r>
              <w:rPr>
                <w:b/>
                <w:bCs/>
              </w:rPr>
              <w:t>.1</w:t>
            </w:r>
            <w:r>
              <w:rPr>
                <w:rFonts w:hint="eastAsia"/>
                <w:b/>
                <w:bCs/>
              </w:rPr>
              <w:t>以往区域地质工作</w:t>
            </w:r>
          </w:p>
          <w:p w14:paraId="65AFDD4E">
            <w:pPr>
              <w:ind w:firstLine="480"/>
            </w:pPr>
            <w:r>
              <w:t>工作区地质研究程度较低，20年代末到30年代初多为路线地质调查。从60年代中期到80年代末90年代初相继开展了1:20万区域地质调查，1:50万化探扫面工作，1:5万地质及化探扫面工作，为矿区普查提供了地质矿产、地球化学基础资料。现将涉及本区的主要工作简述如下：</w:t>
            </w:r>
          </w:p>
          <w:p w14:paraId="1B0AFE73">
            <w:pPr>
              <w:ind w:firstLine="480"/>
            </w:pPr>
            <w:r>
              <w:t>（1）1959年，新疆地矿局第二区测队四分队在本区进行1:100万地质测量，初步划分了本区地层层序、构造单元、岩浆期次以及矿产概况。</w:t>
            </w:r>
          </w:p>
          <w:p w14:paraId="3D775105">
            <w:pPr>
              <w:ind w:firstLine="480"/>
            </w:pPr>
            <w:r>
              <w:t>（2）1966-1972年，新疆地矿局第一区调队在本区开展了1:20万区调，对本区的地层、构造、岩浆岩作了进一步的划分，发现了</w:t>
            </w:r>
            <w:r>
              <w:rPr>
                <w:rFonts w:hint="eastAsia"/>
                <w:lang w:eastAsia="zh-CN"/>
              </w:rPr>
              <w:t>萨很托亥</w:t>
            </w:r>
            <w:r>
              <w:t>金-白钨矿重砂异常。</w:t>
            </w:r>
          </w:p>
          <w:p w14:paraId="56D79352">
            <w:pPr>
              <w:ind w:firstLine="480"/>
            </w:pPr>
            <w:r>
              <w:t>（3）1977年，新疆地质局地科所，完成了K-45-A（焉耆幅）1:50万地质图、矿产图及说明书，对前人及1:20万地质、矿产资料进行了整编工作，对天山地区地层、构造、岩浆岩、矿产等进行了细致统一的划分，为大地构造划分、矿产远景区划分等提供了基础性资料。</w:t>
            </w:r>
          </w:p>
          <w:p w14:paraId="5C1F51DD">
            <w:pPr>
              <w:ind w:firstLine="480"/>
            </w:pPr>
            <w:r>
              <w:t>（4）1981年，新疆地矿局第三地质大队对上述金-白钨矿重砂异常进行了踏勘性检查。</w:t>
            </w:r>
          </w:p>
          <w:p w14:paraId="7DE7D701">
            <w:pPr>
              <w:ind w:firstLine="480"/>
            </w:pPr>
            <w:r>
              <w:t>（5）1983年，新疆地矿局物探大队完成1:200万新疆布格重力异常图的测量编制工作，确定本区处于天山重力低异常区近东西向重力低梯级带上，是造山带内主要活动地段。</w:t>
            </w:r>
          </w:p>
          <w:p w14:paraId="11BF4216">
            <w:pPr>
              <w:ind w:firstLine="480"/>
            </w:pPr>
            <w:r>
              <w:t>（6）1986-1989年，</w:t>
            </w:r>
            <w:bookmarkStart w:id="2" w:name="_Hlk165364976"/>
            <w:r>
              <w:t>新疆地矿局第三地质大队</w:t>
            </w:r>
            <w:bookmarkEnd w:id="2"/>
            <w:r>
              <w:t>二分队在该区以西</w:t>
            </w:r>
            <w:r>
              <w:rPr>
                <w:rFonts w:hint="eastAsia"/>
                <w:lang w:eastAsia="zh-CN"/>
              </w:rPr>
              <w:t>萨很托亥</w:t>
            </w:r>
            <w:r>
              <w:t>一带进行了1:5万地质地球化学普查找矿工作，圈定了</w:t>
            </w:r>
            <w:r>
              <w:rPr>
                <w:rFonts w:hint="eastAsia"/>
                <w:lang w:eastAsia="zh-CN"/>
              </w:rPr>
              <w:t>萨很托亥</w:t>
            </w:r>
            <w:r>
              <w:t>金异常，发现了</w:t>
            </w:r>
            <w:r>
              <w:rPr>
                <w:rFonts w:hint="eastAsia"/>
                <w:lang w:eastAsia="zh-CN"/>
              </w:rPr>
              <w:t>萨很托亥</w:t>
            </w:r>
            <w:r>
              <w:t>砂金矿点。</w:t>
            </w:r>
          </w:p>
          <w:p w14:paraId="0338DAE5">
            <w:pPr>
              <w:ind w:firstLine="480"/>
            </w:pPr>
            <w:r>
              <w:t>（7）1989年，国家305项目（由青海省物探大队承担）完成了K-45-A（焉耆幅）1:50万甚低密度化探测量扫面工作，以2×10-9的异常下限，在本区圈定了乌兰赛尔金异常，面积为427.5平方千米，最高值27×10-9。</w:t>
            </w:r>
          </w:p>
          <w:p w14:paraId="3BFE5E56">
            <w:pPr>
              <w:ind w:firstLine="480"/>
            </w:pPr>
            <w:r>
              <w:t>（8）1995-2000年，本队针对乌兰赛尔金异常，在乌兰赛尔达坂以西</w:t>
            </w:r>
            <w:r>
              <w:rPr>
                <w:rFonts w:hint="eastAsia"/>
                <w:lang w:eastAsia="zh-CN"/>
              </w:rPr>
              <w:t>萨很托亥</w:t>
            </w:r>
            <w:r>
              <w:t>一带进行异常查证，共圈定原生金矿体20个，原生金矿化体32个，在本区找矿工作上取得了新进展。</w:t>
            </w:r>
          </w:p>
          <w:p w14:paraId="7E210F11">
            <w:pPr>
              <w:ind w:firstLine="480"/>
            </w:pPr>
            <w:r>
              <w:t>（9）1996-2000年新疆地矿局第三地质大队在</w:t>
            </w:r>
            <w:r>
              <w:rPr>
                <w:rFonts w:hint="eastAsia"/>
                <w:lang w:eastAsia="zh-CN"/>
              </w:rPr>
              <w:t>萨很托亥</w:t>
            </w:r>
            <w:r>
              <w:t>夏尔嘎特达坂工区一带开展了金矿普查，地表圈定金矿体20个，金矿化体32个，求得金D+E级储量117.57千克。</w:t>
            </w:r>
          </w:p>
          <w:p w14:paraId="64192619">
            <w:pPr>
              <w:ind w:firstLine="480"/>
            </w:pPr>
            <w:r>
              <w:t>（10）2005年，新疆地矿局第三地质大队针对乌兰赛尔金异常，在乌兰赛尔达坂以东发现长约6000米的含金构造破碎蚀变带，圈定Au1矿体，金最高品位4.56克/吨，初步显示了良好的找矿远景。</w:t>
            </w:r>
          </w:p>
          <w:p w14:paraId="56FD2266">
            <w:pPr>
              <w:ind w:firstLine="480"/>
            </w:pPr>
            <w:r>
              <w:t>（11）2007-2008年，外商澳大利亚黄金有限责任公司修通了从</w:t>
            </w:r>
            <w:r>
              <w:rPr>
                <w:rFonts w:hint="eastAsia"/>
                <w:lang w:eastAsia="zh-CN"/>
              </w:rPr>
              <w:t>萨很托亥</w:t>
            </w:r>
            <w:r>
              <w:t>砂金沟口到达坂至冰湖的山路，为进一步开展地质找矿提供了交通便利。</w:t>
            </w:r>
          </w:p>
          <w:p w14:paraId="1EBB525D">
            <w:pPr>
              <w:ind w:firstLine="482"/>
              <w:rPr>
                <w:b/>
                <w:bCs/>
              </w:rPr>
            </w:pPr>
            <w:r>
              <w:rPr>
                <w:rFonts w:hint="eastAsia"/>
                <w:b/>
                <w:bCs/>
              </w:rPr>
              <w:t>2</w:t>
            </w:r>
            <w:r>
              <w:rPr>
                <w:b/>
                <w:bCs/>
              </w:rPr>
              <w:t>.1.1</w:t>
            </w:r>
            <w:r>
              <w:rPr>
                <w:rFonts w:hint="eastAsia"/>
                <w:b/>
                <w:bCs/>
              </w:rPr>
              <w:t>以往矿产地质工作</w:t>
            </w:r>
          </w:p>
          <w:p w14:paraId="256CEAAC">
            <w:pPr>
              <w:ind w:firstLine="560"/>
            </w:pPr>
            <w:r>
              <w:t>2008-2009年新疆地矿局第三地质大队分别在浩恩吐尔一带金矿普查区、萨阿尔明山北西区金矿普查区、萨阿尔明山南西区金矿普查区、萨阿尔明山东区金矿普查区、萨阿尔明山</w:t>
            </w:r>
            <w:r>
              <w:rPr>
                <w:rFonts w:hint="eastAsia"/>
                <w:lang w:eastAsia="zh-CN"/>
              </w:rPr>
              <w:t>萨很托亥</w:t>
            </w:r>
            <w:r>
              <w:t>金矿普查区、萨阿尔明山乌兰赛尔达坂金矿普查区、哈勒哈特达坂金矿普查区开展了普查工作。完成实物工作量如下（表1</w:t>
            </w:r>
            <w:r>
              <w:rPr>
                <w:rFonts w:hint="eastAsia"/>
                <w:lang w:val="en-US" w:eastAsia="zh-CN"/>
              </w:rPr>
              <w:t>-1</w:t>
            </w:r>
            <w:r>
              <w:t>、</w:t>
            </w:r>
            <w:r>
              <w:rPr>
                <w:rFonts w:hint="eastAsia"/>
                <w:lang w:val="en-US" w:eastAsia="zh-CN"/>
              </w:rPr>
              <w:t>表1-2</w:t>
            </w:r>
            <w:r>
              <w:t>）：</w:t>
            </w:r>
          </w:p>
          <w:p w14:paraId="7524B4C7">
            <w:pPr>
              <w:pStyle w:val="7"/>
              <w:spacing w:line="240" w:lineRule="auto"/>
              <w:ind w:firstLine="482"/>
              <w:jc w:val="center"/>
            </w:pPr>
            <w:r>
              <w:rPr>
                <w:rFonts w:ascii="Times New Roman"/>
                <w:b/>
                <w:bCs/>
                <w:sz w:val="24"/>
                <w:szCs w:val="24"/>
              </w:rPr>
              <w:t>表1</w:t>
            </w:r>
            <w:r>
              <w:rPr>
                <w:rFonts w:hint="eastAsia" w:eastAsia="宋体"/>
                <w:b/>
                <w:bCs/>
                <w:sz w:val="24"/>
                <w:szCs w:val="24"/>
                <w:lang w:val="en-US" w:eastAsia="zh-CN"/>
              </w:rPr>
              <w:t>-1</w:t>
            </w:r>
            <w:r>
              <w:rPr>
                <w:rFonts w:ascii="Times New Roman"/>
                <w:b/>
                <w:bCs/>
                <w:sz w:val="24"/>
                <w:szCs w:val="24"/>
              </w:rPr>
              <w:t>工区工作量完成一览表</w:t>
            </w:r>
          </w:p>
          <w:tbl>
            <w:tblPr>
              <w:tblStyle w:val="23"/>
              <w:tblW w:w="4998" w:type="pct"/>
              <w:tblInd w:w="-1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2545"/>
              <w:gridCol w:w="823"/>
              <w:gridCol w:w="1584"/>
              <w:gridCol w:w="1300"/>
              <w:gridCol w:w="1291"/>
              <w:gridCol w:w="1457"/>
            </w:tblGrid>
            <w:tr w14:paraId="06BE8E5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0" w:hRule="atLeast"/>
              </w:trPr>
              <w:tc>
                <w:tcPr>
                  <w:tcW w:w="1414" w:type="pct"/>
                  <w:vMerge w:val="restart"/>
                  <w:tcBorders>
                    <w:tl2br w:val="nil"/>
                    <w:tr2bl w:val="nil"/>
                  </w:tcBorders>
                  <w:noWrap w:val="0"/>
                  <w:vAlign w:val="center"/>
                </w:tcPr>
                <w:p w14:paraId="044106B1">
                  <w:pPr>
                    <w:adjustRightInd w:val="0"/>
                    <w:snapToGrid w:val="0"/>
                    <w:spacing w:line="240" w:lineRule="atLeast"/>
                    <w:ind w:firstLine="0" w:firstLineChars="0"/>
                    <w:jc w:val="center"/>
                    <w:rPr>
                      <w:bCs/>
                      <w:sz w:val="21"/>
                      <w:szCs w:val="21"/>
                    </w:rPr>
                  </w:pPr>
                  <w:r>
                    <w:rPr>
                      <w:bCs/>
                      <w:sz w:val="21"/>
                      <w:szCs w:val="21"/>
                    </w:rPr>
                    <w:t>项目</w:t>
                  </w:r>
                </w:p>
              </w:tc>
              <w:tc>
                <w:tcPr>
                  <w:tcW w:w="457" w:type="pct"/>
                  <w:vMerge w:val="restart"/>
                  <w:tcBorders>
                    <w:tl2br w:val="nil"/>
                    <w:tr2bl w:val="nil"/>
                  </w:tcBorders>
                  <w:noWrap w:val="0"/>
                  <w:vAlign w:val="center"/>
                </w:tcPr>
                <w:p w14:paraId="4B25E5AC">
                  <w:pPr>
                    <w:adjustRightInd w:val="0"/>
                    <w:snapToGrid w:val="0"/>
                    <w:spacing w:line="240" w:lineRule="atLeast"/>
                    <w:ind w:firstLine="0" w:firstLineChars="0"/>
                    <w:jc w:val="center"/>
                    <w:rPr>
                      <w:bCs/>
                      <w:sz w:val="21"/>
                      <w:szCs w:val="21"/>
                    </w:rPr>
                  </w:pPr>
                  <w:r>
                    <w:rPr>
                      <w:bCs/>
                      <w:sz w:val="21"/>
                      <w:szCs w:val="21"/>
                    </w:rPr>
                    <w:t>单位</w:t>
                  </w:r>
                </w:p>
              </w:tc>
              <w:tc>
                <w:tcPr>
                  <w:tcW w:w="3128" w:type="pct"/>
                  <w:gridSpan w:val="4"/>
                  <w:tcBorders>
                    <w:tl2br w:val="nil"/>
                    <w:tr2bl w:val="nil"/>
                  </w:tcBorders>
                  <w:noWrap w:val="0"/>
                  <w:vAlign w:val="center"/>
                </w:tcPr>
                <w:p w14:paraId="231464C6">
                  <w:pPr>
                    <w:adjustRightInd w:val="0"/>
                    <w:snapToGrid w:val="0"/>
                    <w:spacing w:line="240" w:lineRule="atLeast"/>
                    <w:ind w:firstLine="0" w:firstLineChars="0"/>
                    <w:jc w:val="center"/>
                    <w:rPr>
                      <w:bCs/>
                      <w:sz w:val="21"/>
                      <w:szCs w:val="21"/>
                    </w:rPr>
                  </w:pPr>
                  <w:r>
                    <w:rPr>
                      <w:bCs/>
                      <w:sz w:val="21"/>
                      <w:szCs w:val="21"/>
                    </w:rPr>
                    <w:t>实际完成工作量</w:t>
                  </w:r>
                </w:p>
              </w:tc>
            </w:tr>
            <w:tr w14:paraId="7549756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40" w:hRule="atLeast"/>
              </w:trPr>
              <w:tc>
                <w:tcPr>
                  <w:tcW w:w="1414" w:type="pct"/>
                  <w:vMerge w:val="continue"/>
                  <w:tcBorders>
                    <w:tl2br w:val="nil"/>
                    <w:tr2bl w:val="nil"/>
                  </w:tcBorders>
                  <w:noWrap w:val="0"/>
                  <w:vAlign w:val="top"/>
                </w:tcPr>
                <w:p w14:paraId="35FAFE1E">
                  <w:pPr>
                    <w:adjustRightInd w:val="0"/>
                    <w:snapToGrid w:val="0"/>
                    <w:spacing w:line="240" w:lineRule="atLeast"/>
                    <w:ind w:firstLine="0" w:firstLineChars="0"/>
                    <w:jc w:val="center"/>
                    <w:rPr>
                      <w:bCs/>
                      <w:sz w:val="21"/>
                      <w:szCs w:val="21"/>
                    </w:rPr>
                  </w:pPr>
                </w:p>
              </w:tc>
              <w:tc>
                <w:tcPr>
                  <w:tcW w:w="457" w:type="pct"/>
                  <w:vMerge w:val="continue"/>
                  <w:tcBorders>
                    <w:tl2br w:val="nil"/>
                    <w:tr2bl w:val="nil"/>
                  </w:tcBorders>
                  <w:noWrap w:val="0"/>
                  <w:vAlign w:val="top"/>
                </w:tcPr>
                <w:p w14:paraId="3143DF3B">
                  <w:pPr>
                    <w:adjustRightInd w:val="0"/>
                    <w:snapToGrid w:val="0"/>
                    <w:spacing w:line="240" w:lineRule="atLeast"/>
                    <w:ind w:firstLine="0" w:firstLineChars="0"/>
                    <w:jc w:val="center"/>
                    <w:rPr>
                      <w:bCs/>
                      <w:sz w:val="21"/>
                      <w:szCs w:val="21"/>
                    </w:rPr>
                  </w:pPr>
                </w:p>
              </w:tc>
              <w:tc>
                <w:tcPr>
                  <w:tcW w:w="880" w:type="pct"/>
                  <w:tcBorders>
                    <w:tl2br w:val="nil"/>
                    <w:tr2bl w:val="nil"/>
                  </w:tcBorders>
                  <w:noWrap w:val="0"/>
                  <w:vAlign w:val="top"/>
                </w:tcPr>
                <w:p w14:paraId="10FE1D60">
                  <w:pPr>
                    <w:adjustRightInd w:val="0"/>
                    <w:snapToGrid w:val="0"/>
                    <w:spacing w:line="240" w:lineRule="atLeast"/>
                    <w:ind w:firstLine="0" w:firstLineChars="0"/>
                    <w:jc w:val="center"/>
                    <w:rPr>
                      <w:bCs/>
                      <w:sz w:val="21"/>
                      <w:szCs w:val="21"/>
                    </w:rPr>
                  </w:pPr>
                  <w:r>
                    <w:rPr>
                      <w:bCs/>
                      <w:sz w:val="21"/>
                      <w:szCs w:val="21"/>
                    </w:rPr>
                    <w:t>浩恩吐尔</w:t>
                  </w:r>
                </w:p>
                <w:p w14:paraId="7C6602E4">
                  <w:pPr>
                    <w:adjustRightInd w:val="0"/>
                    <w:snapToGrid w:val="0"/>
                    <w:spacing w:line="240" w:lineRule="atLeast"/>
                    <w:ind w:firstLine="0" w:firstLineChars="0"/>
                    <w:jc w:val="center"/>
                    <w:rPr>
                      <w:bCs/>
                      <w:sz w:val="21"/>
                      <w:szCs w:val="21"/>
                    </w:rPr>
                  </w:pPr>
                  <w:r>
                    <w:rPr>
                      <w:bCs/>
                      <w:sz w:val="21"/>
                      <w:szCs w:val="21"/>
                    </w:rPr>
                    <w:t>金矿区</w:t>
                  </w:r>
                </w:p>
              </w:tc>
              <w:tc>
                <w:tcPr>
                  <w:tcW w:w="722" w:type="pct"/>
                  <w:tcBorders>
                    <w:tl2br w:val="nil"/>
                    <w:tr2bl w:val="nil"/>
                  </w:tcBorders>
                  <w:noWrap w:val="0"/>
                  <w:vAlign w:val="top"/>
                </w:tcPr>
                <w:p w14:paraId="57518FDD">
                  <w:pPr>
                    <w:adjustRightInd w:val="0"/>
                    <w:snapToGrid w:val="0"/>
                    <w:spacing w:line="240" w:lineRule="atLeast"/>
                    <w:ind w:firstLine="0" w:firstLineChars="0"/>
                    <w:jc w:val="center"/>
                    <w:rPr>
                      <w:bCs/>
                      <w:sz w:val="21"/>
                      <w:szCs w:val="21"/>
                    </w:rPr>
                  </w:pPr>
                  <w:r>
                    <w:rPr>
                      <w:bCs/>
                      <w:sz w:val="21"/>
                      <w:szCs w:val="21"/>
                    </w:rPr>
                    <w:t>北西区</w:t>
                  </w:r>
                </w:p>
                <w:p w14:paraId="4A6E8AB6">
                  <w:pPr>
                    <w:adjustRightInd w:val="0"/>
                    <w:snapToGrid w:val="0"/>
                    <w:spacing w:line="240" w:lineRule="atLeast"/>
                    <w:ind w:firstLine="0" w:firstLineChars="0"/>
                    <w:jc w:val="center"/>
                    <w:rPr>
                      <w:bCs/>
                      <w:sz w:val="21"/>
                      <w:szCs w:val="21"/>
                    </w:rPr>
                  </w:pPr>
                  <w:r>
                    <w:rPr>
                      <w:bCs/>
                      <w:sz w:val="21"/>
                      <w:szCs w:val="21"/>
                    </w:rPr>
                    <w:t>金矿区</w:t>
                  </w:r>
                </w:p>
              </w:tc>
              <w:tc>
                <w:tcPr>
                  <w:tcW w:w="717" w:type="pct"/>
                  <w:tcBorders>
                    <w:tl2br w:val="nil"/>
                    <w:tr2bl w:val="nil"/>
                  </w:tcBorders>
                  <w:noWrap w:val="0"/>
                  <w:vAlign w:val="top"/>
                </w:tcPr>
                <w:p w14:paraId="0AAAB2BA">
                  <w:pPr>
                    <w:adjustRightInd w:val="0"/>
                    <w:snapToGrid w:val="0"/>
                    <w:spacing w:line="240" w:lineRule="atLeast"/>
                    <w:ind w:firstLine="0" w:firstLineChars="0"/>
                    <w:jc w:val="center"/>
                    <w:rPr>
                      <w:bCs/>
                      <w:sz w:val="21"/>
                      <w:szCs w:val="21"/>
                    </w:rPr>
                  </w:pPr>
                  <w:r>
                    <w:rPr>
                      <w:bCs/>
                      <w:sz w:val="21"/>
                      <w:szCs w:val="21"/>
                    </w:rPr>
                    <w:t>南西区</w:t>
                  </w:r>
                </w:p>
                <w:p w14:paraId="11C1B5C4">
                  <w:pPr>
                    <w:adjustRightInd w:val="0"/>
                    <w:snapToGrid w:val="0"/>
                    <w:spacing w:line="240" w:lineRule="atLeast"/>
                    <w:ind w:firstLine="0" w:firstLineChars="0"/>
                    <w:jc w:val="center"/>
                    <w:rPr>
                      <w:bCs/>
                      <w:sz w:val="21"/>
                      <w:szCs w:val="21"/>
                    </w:rPr>
                  </w:pPr>
                  <w:r>
                    <w:rPr>
                      <w:bCs/>
                      <w:sz w:val="21"/>
                      <w:szCs w:val="21"/>
                    </w:rPr>
                    <w:t>金矿区</w:t>
                  </w:r>
                </w:p>
              </w:tc>
              <w:tc>
                <w:tcPr>
                  <w:tcW w:w="809" w:type="pct"/>
                  <w:tcBorders>
                    <w:tl2br w:val="nil"/>
                    <w:tr2bl w:val="nil"/>
                  </w:tcBorders>
                  <w:noWrap w:val="0"/>
                  <w:vAlign w:val="top"/>
                </w:tcPr>
                <w:p w14:paraId="74F60946">
                  <w:pPr>
                    <w:adjustRightInd w:val="0"/>
                    <w:snapToGrid w:val="0"/>
                    <w:spacing w:line="240" w:lineRule="atLeast"/>
                    <w:ind w:firstLine="0" w:firstLineChars="0"/>
                    <w:jc w:val="center"/>
                    <w:rPr>
                      <w:bCs/>
                      <w:sz w:val="21"/>
                      <w:szCs w:val="21"/>
                    </w:rPr>
                  </w:pPr>
                  <w:r>
                    <w:rPr>
                      <w:bCs/>
                      <w:sz w:val="21"/>
                      <w:szCs w:val="21"/>
                    </w:rPr>
                    <w:t>东区</w:t>
                  </w:r>
                </w:p>
                <w:p w14:paraId="0B6F6A19">
                  <w:pPr>
                    <w:adjustRightInd w:val="0"/>
                    <w:snapToGrid w:val="0"/>
                    <w:spacing w:line="240" w:lineRule="atLeast"/>
                    <w:ind w:firstLine="0" w:firstLineChars="0"/>
                    <w:jc w:val="center"/>
                    <w:rPr>
                      <w:bCs/>
                      <w:sz w:val="21"/>
                      <w:szCs w:val="21"/>
                    </w:rPr>
                  </w:pPr>
                  <w:r>
                    <w:rPr>
                      <w:bCs/>
                      <w:sz w:val="21"/>
                      <w:szCs w:val="21"/>
                    </w:rPr>
                    <w:t>金矿区</w:t>
                  </w:r>
                </w:p>
              </w:tc>
            </w:tr>
            <w:tr w14:paraId="2B98E87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414" w:type="pct"/>
                  <w:tcBorders>
                    <w:tl2br w:val="nil"/>
                    <w:tr2bl w:val="nil"/>
                  </w:tcBorders>
                  <w:noWrap w:val="0"/>
                  <w:vAlign w:val="top"/>
                </w:tcPr>
                <w:p w14:paraId="37F4FD41">
                  <w:pPr>
                    <w:adjustRightInd w:val="0"/>
                    <w:snapToGrid w:val="0"/>
                    <w:spacing w:line="240" w:lineRule="atLeast"/>
                    <w:ind w:firstLine="0" w:firstLineChars="0"/>
                    <w:jc w:val="center"/>
                    <w:rPr>
                      <w:bCs/>
                      <w:sz w:val="21"/>
                      <w:szCs w:val="21"/>
                    </w:rPr>
                  </w:pPr>
                  <w:r>
                    <w:rPr>
                      <w:bCs/>
                      <w:sz w:val="21"/>
                      <w:szCs w:val="21"/>
                    </w:rPr>
                    <w:t>1:10000地质草测</w:t>
                  </w:r>
                </w:p>
              </w:tc>
              <w:tc>
                <w:tcPr>
                  <w:tcW w:w="457" w:type="pct"/>
                  <w:tcBorders>
                    <w:tl2br w:val="nil"/>
                    <w:tr2bl w:val="nil"/>
                  </w:tcBorders>
                  <w:noWrap w:val="0"/>
                  <w:vAlign w:val="top"/>
                </w:tcPr>
                <w:p w14:paraId="43625DBE">
                  <w:pPr>
                    <w:adjustRightInd w:val="0"/>
                    <w:snapToGrid w:val="0"/>
                    <w:spacing w:line="240" w:lineRule="atLeast"/>
                    <w:ind w:firstLine="0" w:firstLineChars="0"/>
                    <w:jc w:val="center"/>
                    <w:rPr>
                      <w:bCs/>
                      <w:sz w:val="21"/>
                      <w:szCs w:val="21"/>
                    </w:rPr>
                  </w:pPr>
                  <w:r>
                    <w:rPr>
                      <w:bCs/>
                      <w:sz w:val="21"/>
                      <w:szCs w:val="21"/>
                    </w:rPr>
                    <w:t>km</w:t>
                  </w:r>
                  <w:r>
                    <w:rPr>
                      <w:bCs/>
                      <w:sz w:val="21"/>
                      <w:szCs w:val="21"/>
                      <w:vertAlign w:val="superscript"/>
                    </w:rPr>
                    <w:t>2</w:t>
                  </w:r>
                </w:p>
              </w:tc>
              <w:tc>
                <w:tcPr>
                  <w:tcW w:w="880" w:type="pct"/>
                  <w:tcBorders>
                    <w:tl2br w:val="nil"/>
                    <w:tr2bl w:val="nil"/>
                  </w:tcBorders>
                  <w:noWrap w:val="0"/>
                  <w:vAlign w:val="top"/>
                </w:tcPr>
                <w:p w14:paraId="6B550885">
                  <w:pPr>
                    <w:adjustRightInd w:val="0"/>
                    <w:snapToGrid w:val="0"/>
                    <w:spacing w:line="240" w:lineRule="atLeast"/>
                    <w:ind w:firstLine="0" w:firstLineChars="0"/>
                    <w:jc w:val="center"/>
                    <w:rPr>
                      <w:bCs/>
                      <w:sz w:val="21"/>
                      <w:szCs w:val="21"/>
                    </w:rPr>
                  </w:pPr>
                  <w:r>
                    <w:rPr>
                      <w:bCs/>
                      <w:sz w:val="21"/>
                      <w:szCs w:val="21"/>
                    </w:rPr>
                    <w:t>29.34</w:t>
                  </w:r>
                </w:p>
              </w:tc>
              <w:tc>
                <w:tcPr>
                  <w:tcW w:w="722" w:type="pct"/>
                  <w:tcBorders>
                    <w:tl2br w:val="nil"/>
                    <w:tr2bl w:val="nil"/>
                  </w:tcBorders>
                  <w:noWrap w:val="0"/>
                  <w:vAlign w:val="top"/>
                </w:tcPr>
                <w:p w14:paraId="660ED4AF">
                  <w:pPr>
                    <w:adjustRightInd w:val="0"/>
                    <w:snapToGrid w:val="0"/>
                    <w:spacing w:line="240" w:lineRule="atLeast"/>
                    <w:ind w:firstLine="0" w:firstLineChars="0"/>
                    <w:jc w:val="center"/>
                    <w:rPr>
                      <w:bCs/>
                      <w:sz w:val="21"/>
                      <w:szCs w:val="21"/>
                    </w:rPr>
                  </w:pPr>
                  <w:r>
                    <w:rPr>
                      <w:bCs/>
                      <w:sz w:val="21"/>
                      <w:szCs w:val="21"/>
                    </w:rPr>
                    <w:t>27.14</w:t>
                  </w:r>
                </w:p>
              </w:tc>
              <w:tc>
                <w:tcPr>
                  <w:tcW w:w="717" w:type="pct"/>
                  <w:tcBorders>
                    <w:tl2br w:val="nil"/>
                    <w:tr2bl w:val="nil"/>
                  </w:tcBorders>
                  <w:noWrap w:val="0"/>
                  <w:vAlign w:val="top"/>
                </w:tcPr>
                <w:p w14:paraId="6C6161AD">
                  <w:pPr>
                    <w:adjustRightInd w:val="0"/>
                    <w:snapToGrid w:val="0"/>
                    <w:spacing w:line="240" w:lineRule="atLeast"/>
                    <w:ind w:firstLine="0" w:firstLineChars="0"/>
                    <w:jc w:val="center"/>
                    <w:rPr>
                      <w:bCs/>
                      <w:sz w:val="21"/>
                      <w:szCs w:val="21"/>
                    </w:rPr>
                  </w:pPr>
                  <w:r>
                    <w:rPr>
                      <w:bCs/>
                      <w:sz w:val="21"/>
                      <w:szCs w:val="21"/>
                    </w:rPr>
                    <w:t>25.26</w:t>
                  </w:r>
                </w:p>
              </w:tc>
              <w:tc>
                <w:tcPr>
                  <w:tcW w:w="809" w:type="pct"/>
                  <w:tcBorders>
                    <w:tl2br w:val="nil"/>
                    <w:tr2bl w:val="nil"/>
                  </w:tcBorders>
                  <w:noWrap w:val="0"/>
                  <w:vAlign w:val="top"/>
                </w:tcPr>
                <w:p w14:paraId="1BE44032">
                  <w:pPr>
                    <w:adjustRightInd w:val="0"/>
                    <w:snapToGrid w:val="0"/>
                    <w:spacing w:line="240" w:lineRule="atLeast"/>
                    <w:ind w:firstLine="0" w:firstLineChars="0"/>
                    <w:jc w:val="center"/>
                    <w:rPr>
                      <w:bCs/>
                      <w:sz w:val="21"/>
                      <w:szCs w:val="21"/>
                    </w:rPr>
                  </w:pPr>
                  <w:r>
                    <w:rPr>
                      <w:bCs/>
                      <w:sz w:val="21"/>
                      <w:szCs w:val="21"/>
                    </w:rPr>
                    <w:t>29.84</w:t>
                  </w:r>
                </w:p>
              </w:tc>
            </w:tr>
            <w:tr w14:paraId="2023882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414" w:type="pct"/>
                  <w:tcBorders>
                    <w:tl2br w:val="nil"/>
                    <w:tr2bl w:val="nil"/>
                  </w:tcBorders>
                  <w:noWrap w:val="0"/>
                  <w:vAlign w:val="top"/>
                </w:tcPr>
                <w:p w14:paraId="7234712E">
                  <w:pPr>
                    <w:adjustRightInd w:val="0"/>
                    <w:snapToGrid w:val="0"/>
                    <w:spacing w:line="240" w:lineRule="atLeast"/>
                    <w:ind w:firstLine="0" w:firstLineChars="0"/>
                    <w:jc w:val="center"/>
                    <w:rPr>
                      <w:bCs/>
                      <w:sz w:val="21"/>
                      <w:szCs w:val="21"/>
                    </w:rPr>
                  </w:pPr>
                  <w:r>
                    <w:rPr>
                      <w:bCs/>
                      <w:sz w:val="21"/>
                      <w:szCs w:val="21"/>
                    </w:rPr>
                    <w:t>1:2000地质草测</w:t>
                  </w:r>
                </w:p>
              </w:tc>
              <w:tc>
                <w:tcPr>
                  <w:tcW w:w="457" w:type="pct"/>
                  <w:tcBorders>
                    <w:tl2br w:val="nil"/>
                    <w:tr2bl w:val="nil"/>
                  </w:tcBorders>
                  <w:noWrap w:val="0"/>
                  <w:vAlign w:val="top"/>
                </w:tcPr>
                <w:p w14:paraId="0B7F6037">
                  <w:pPr>
                    <w:adjustRightInd w:val="0"/>
                    <w:snapToGrid w:val="0"/>
                    <w:spacing w:line="240" w:lineRule="atLeast"/>
                    <w:ind w:firstLine="0" w:firstLineChars="0"/>
                    <w:jc w:val="center"/>
                    <w:rPr>
                      <w:bCs/>
                      <w:sz w:val="21"/>
                      <w:szCs w:val="21"/>
                    </w:rPr>
                  </w:pPr>
                  <w:r>
                    <w:rPr>
                      <w:bCs/>
                      <w:sz w:val="21"/>
                      <w:szCs w:val="21"/>
                    </w:rPr>
                    <w:t>km</w:t>
                  </w:r>
                  <w:r>
                    <w:rPr>
                      <w:bCs/>
                      <w:sz w:val="21"/>
                      <w:szCs w:val="21"/>
                      <w:vertAlign w:val="superscript"/>
                    </w:rPr>
                    <w:t>2</w:t>
                  </w:r>
                </w:p>
              </w:tc>
              <w:tc>
                <w:tcPr>
                  <w:tcW w:w="880" w:type="pct"/>
                  <w:tcBorders>
                    <w:tl2br w:val="nil"/>
                    <w:tr2bl w:val="nil"/>
                  </w:tcBorders>
                  <w:noWrap w:val="0"/>
                  <w:vAlign w:val="top"/>
                </w:tcPr>
                <w:p w14:paraId="3FD6801F">
                  <w:pPr>
                    <w:adjustRightInd w:val="0"/>
                    <w:snapToGrid w:val="0"/>
                    <w:spacing w:line="240" w:lineRule="atLeast"/>
                    <w:ind w:firstLine="0" w:firstLineChars="0"/>
                    <w:jc w:val="center"/>
                    <w:rPr>
                      <w:bCs/>
                      <w:sz w:val="21"/>
                      <w:szCs w:val="21"/>
                    </w:rPr>
                  </w:pPr>
                  <w:r>
                    <w:rPr>
                      <w:bCs/>
                      <w:sz w:val="21"/>
                      <w:szCs w:val="21"/>
                    </w:rPr>
                    <w:t>0.52</w:t>
                  </w:r>
                </w:p>
              </w:tc>
              <w:tc>
                <w:tcPr>
                  <w:tcW w:w="722" w:type="pct"/>
                  <w:tcBorders>
                    <w:tl2br w:val="nil"/>
                    <w:tr2bl w:val="nil"/>
                  </w:tcBorders>
                  <w:noWrap w:val="0"/>
                  <w:vAlign w:val="top"/>
                </w:tcPr>
                <w:p w14:paraId="62F13506">
                  <w:pPr>
                    <w:adjustRightInd w:val="0"/>
                    <w:snapToGrid w:val="0"/>
                    <w:spacing w:line="240" w:lineRule="atLeast"/>
                    <w:ind w:firstLine="0" w:firstLineChars="0"/>
                    <w:jc w:val="center"/>
                    <w:rPr>
                      <w:bCs/>
                      <w:sz w:val="21"/>
                      <w:szCs w:val="21"/>
                    </w:rPr>
                  </w:pPr>
                  <w:r>
                    <w:rPr>
                      <w:bCs/>
                      <w:sz w:val="21"/>
                      <w:szCs w:val="21"/>
                    </w:rPr>
                    <w:t>0.65</w:t>
                  </w:r>
                </w:p>
              </w:tc>
              <w:tc>
                <w:tcPr>
                  <w:tcW w:w="717" w:type="pct"/>
                  <w:tcBorders>
                    <w:tl2br w:val="nil"/>
                    <w:tr2bl w:val="nil"/>
                  </w:tcBorders>
                  <w:noWrap w:val="0"/>
                  <w:vAlign w:val="top"/>
                </w:tcPr>
                <w:p w14:paraId="392D6336">
                  <w:pPr>
                    <w:adjustRightInd w:val="0"/>
                    <w:snapToGrid w:val="0"/>
                    <w:spacing w:line="240" w:lineRule="atLeast"/>
                    <w:ind w:firstLine="0" w:firstLineChars="0"/>
                    <w:jc w:val="center"/>
                    <w:rPr>
                      <w:bCs/>
                      <w:sz w:val="21"/>
                      <w:szCs w:val="21"/>
                    </w:rPr>
                  </w:pPr>
                  <w:r>
                    <w:rPr>
                      <w:bCs/>
                      <w:sz w:val="21"/>
                      <w:szCs w:val="21"/>
                    </w:rPr>
                    <w:t>4.88</w:t>
                  </w:r>
                </w:p>
              </w:tc>
              <w:tc>
                <w:tcPr>
                  <w:tcW w:w="809" w:type="pct"/>
                  <w:tcBorders>
                    <w:tl2br w:val="nil"/>
                    <w:tr2bl w:val="nil"/>
                  </w:tcBorders>
                  <w:noWrap w:val="0"/>
                  <w:vAlign w:val="top"/>
                </w:tcPr>
                <w:p w14:paraId="68023DBF">
                  <w:pPr>
                    <w:adjustRightInd w:val="0"/>
                    <w:snapToGrid w:val="0"/>
                    <w:spacing w:line="240" w:lineRule="atLeast"/>
                    <w:ind w:firstLine="0" w:firstLineChars="0"/>
                    <w:jc w:val="center"/>
                    <w:rPr>
                      <w:bCs/>
                      <w:sz w:val="21"/>
                      <w:szCs w:val="21"/>
                    </w:rPr>
                  </w:pPr>
                  <w:r>
                    <w:rPr>
                      <w:bCs/>
                      <w:sz w:val="21"/>
                      <w:szCs w:val="21"/>
                    </w:rPr>
                    <w:t>2.09</w:t>
                  </w:r>
                </w:p>
              </w:tc>
            </w:tr>
            <w:tr w14:paraId="17E1140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414" w:type="pct"/>
                  <w:tcBorders>
                    <w:tl2br w:val="nil"/>
                    <w:tr2bl w:val="nil"/>
                  </w:tcBorders>
                  <w:noWrap w:val="0"/>
                  <w:vAlign w:val="top"/>
                </w:tcPr>
                <w:p w14:paraId="74F53693">
                  <w:pPr>
                    <w:adjustRightInd w:val="0"/>
                    <w:snapToGrid w:val="0"/>
                    <w:spacing w:line="240" w:lineRule="atLeast"/>
                    <w:ind w:firstLine="0" w:firstLineChars="0"/>
                    <w:jc w:val="center"/>
                    <w:rPr>
                      <w:bCs/>
                      <w:sz w:val="21"/>
                      <w:szCs w:val="21"/>
                    </w:rPr>
                  </w:pPr>
                  <w:r>
                    <w:rPr>
                      <w:bCs/>
                      <w:sz w:val="21"/>
                      <w:szCs w:val="21"/>
                    </w:rPr>
                    <w:t>1:10000地化剖面</w:t>
                  </w:r>
                </w:p>
              </w:tc>
              <w:tc>
                <w:tcPr>
                  <w:tcW w:w="457" w:type="pct"/>
                  <w:tcBorders>
                    <w:tl2br w:val="nil"/>
                    <w:tr2bl w:val="nil"/>
                  </w:tcBorders>
                  <w:noWrap w:val="0"/>
                  <w:vAlign w:val="top"/>
                </w:tcPr>
                <w:p w14:paraId="3894A749">
                  <w:pPr>
                    <w:adjustRightInd w:val="0"/>
                    <w:snapToGrid w:val="0"/>
                    <w:spacing w:line="240" w:lineRule="atLeast"/>
                    <w:ind w:firstLine="0" w:firstLineChars="0"/>
                    <w:jc w:val="center"/>
                    <w:rPr>
                      <w:bCs/>
                      <w:sz w:val="21"/>
                      <w:szCs w:val="21"/>
                    </w:rPr>
                  </w:pPr>
                  <w:r>
                    <w:rPr>
                      <w:bCs/>
                      <w:sz w:val="21"/>
                      <w:szCs w:val="21"/>
                    </w:rPr>
                    <w:t>m</w:t>
                  </w:r>
                </w:p>
              </w:tc>
              <w:tc>
                <w:tcPr>
                  <w:tcW w:w="880" w:type="pct"/>
                  <w:tcBorders>
                    <w:tl2br w:val="nil"/>
                    <w:tr2bl w:val="nil"/>
                  </w:tcBorders>
                  <w:noWrap w:val="0"/>
                  <w:vAlign w:val="top"/>
                </w:tcPr>
                <w:p w14:paraId="365AE57E">
                  <w:pPr>
                    <w:adjustRightInd w:val="0"/>
                    <w:snapToGrid w:val="0"/>
                    <w:spacing w:line="240" w:lineRule="atLeast"/>
                    <w:ind w:firstLine="0" w:firstLineChars="0"/>
                    <w:jc w:val="center"/>
                    <w:rPr>
                      <w:bCs/>
                      <w:sz w:val="21"/>
                      <w:szCs w:val="21"/>
                    </w:rPr>
                  </w:pPr>
                  <w:r>
                    <w:rPr>
                      <w:bCs/>
                      <w:sz w:val="21"/>
                      <w:szCs w:val="21"/>
                    </w:rPr>
                    <w:t>3400</w:t>
                  </w:r>
                </w:p>
              </w:tc>
              <w:tc>
                <w:tcPr>
                  <w:tcW w:w="722" w:type="pct"/>
                  <w:tcBorders>
                    <w:tl2br w:val="nil"/>
                    <w:tr2bl w:val="nil"/>
                  </w:tcBorders>
                  <w:noWrap w:val="0"/>
                  <w:vAlign w:val="top"/>
                </w:tcPr>
                <w:p w14:paraId="50B1EB98">
                  <w:pPr>
                    <w:adjustRightInd w:val="0"/>
                    <w:snapToGrid w:val="0"/>
                    <w:spacing w:line="240" w:lineRule="atLeast"/>
                    <w:ind w:firstLine="0" w:firstLineChars="0"/>
                    <w:jc w:val="center"/>
                    <w:rPr>
                      <w:bCs/>
                      <w:sz w:val="21"/>
                      <w:szCs w:val="21"/>
                    </w:rPr>
                  </w:pPr>
                </w:p>
              </w:tc>
              <w:tc>
                <w:tcPr>
                  <w:tcW w:w="717" w:type="pct"/>
                  <w:tcBorders>
                    <w:tl2br w:val="nil"/>
                    <w:tr2bl w:val="nil"/>
                  </w:tcBorders>
                  <w:noWrap w:val="0"/>
                  <w:vAlign w:val="top"/>
                </w:tcPr>
                <w:p w14:paraId="4700F24B">
                  <w:pPr>
                    <w:adjustRightInd w:val="0"/>
                    <w:snapToGrid w:val="0"/>
                    <w:spacing w:line="240" w:lineRule="atLeast"/>
                    <w:ind w:firstLine="0" w:firstLineChars="0"/>
                    <w:jc w:val="center"/>
                    <w:rPr>
                      <w:bCs/>
                      <w:sz w:val="21"/>
                      <w:szCs w:val="21"/>
                    </w:rPr>
                  </w:pPr>
                </w:p>
              </w:tc>
              <w:tc>
                <w:tcPr>
                  <w:tcW w:w="809" w:type="pct"/>
                  <w:tcBorders>
                    <w:tl2br w:val="nil"/>
                    <w:tr2bl w:val="nil"/>
                  </w:tcBorders>
                  <w:noWrap w:val="0"/>
                  <w:vAlign w:val="top"/>
                </w:tcPr>
                <w:p w14:paraId="3419F74D">
                  <w:pPr>
                    <w:adjustRightInd w:val="0"/>
                    <w:snapToGrid w:val="0"/>
                    <w:spacing w:line="240" w:lineRule="atLeast"/>
                    <w:ind w:firstLine="0" w:firstLineChars="0"/>
                    <w:jc w:val="center"/>
                    <w:rPr>
                      <w:bCs/>
                      <w:sz w:val="21"/>
                      <w:szCs w:val="21"/>
                    </w:rPr>
                  </w:pPr>
                </w:p>
              </w:tc>
            </w:tr>
            <w:tr w14:paraId="654AAA7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414" w:type="pct"/>
                  <w:tcBorders>
                    <w:tl2br w:val="nil"/>
                    <w:tr2bl w:val="nil"/>
                  </w:tcBorders>
                  <w:noWrap w:val="0"/>
                  <w:vAlign w:val="top"/>
                </w:tcPr>
                <w:p w14:paraId="6C3AB42D">
                  <w:pPr>
                    <w:adjustRightInd w:val="0"/>
                    <w:snapToGrid w:val="0"/>
                    <w:spacing w:line="240" w:lineRule="atLeast"/>
                    <w:ind w:firstLine="0" w:firstLineChars="0"/>
                    <w:jc w:val="center"/>
                    <w:rPr>
                      <w:bCs/>
                      <w:sz w:val="21"/>
                      <w:szCs w:val="21"/>
                    </w:rPr>
                  </w:pPr>
                  <w:r>
                    <w:rPr>
                      <w:bCs/>
                      <w:sz w:val="21"/>
                      <w:szCs w:val="21"/>
                    </w:rPr>
                    <w:t>1:1000地质剖面</w:t>
                  </w:r>
                </w:p>
              </w:tc>
              <w:tc>
                <w:tcPr>
                  <w:tcW w:w="457" w:type="pct"/>
                  <w:tcBorders>
                    <w:tl2br w:val="nil"/>
                    <w:tr2bl w:val="nil"/>
                  </w:tcBorders>
                  <w:noWrap w:val="0"/>
                  <w:vAlign w:val="top"/>
                </w:tcPr>
                <w:p w14:paraId="4CC53A4C">
                  <w:pPr>
                    <w:adjustRightInd w:val="0"/>
                    <w:snapToGrid w:val="0"/>
                    <w:spacing w:line="240" w:lineRule="atLeast"/>
                    <w:ind w:firstLine="0" w:firstLineChars="0"/>
                    <w:jc w:val="center"/>
                    <w:rPr>
                      <w:bCs/>
                      <w:sz w:val="21"/>
                      <w:szCs w:val="21"/>
                    </w:rPr>
                  </w:pPr>
                  <w:r>
                    <w:rPr>
                      <w:bCs/>
                      <w:sz w:val="21"/>
                      <w:szCs w:val="21"/>
                    </w:rPr>
                    <w:t>m</w:t>
                  </w:r>
                </w:p>
              </w:tc>
              <w:tc>
                <w:tcPr>
                  <w:tcW w:w="880" w:type="pct"/>
                  <w:tcBorders>
                    <w:tl2br w:val="nil"/>
                    <w:tr2bl w:val="nil"/>
                  </w:tcBorders>
                  <w:noWrap w:val="0"/>
                  <w:vAlign w:val="top"/>
                </w:tcPr>
                <w:p w14:paraId="6912AF5A">
                  <w:pPr>
                    <w:adjustRightInd w:val="0"/>
                    <w:snapToGrid w:val="0"/>
                    <w:spacing w:line="240" w:lineRule="atLeast"/>
                    <w:ind w:firstLine="0" w:firstLineChars="0"/>
                    <w:jc w:val="center"/>
                    <w:rPr>
                      <w:bCs/>
                      <w:sz w:val="21"/>
                      <w:szCs w:val="21"/>
                    </w:rPr>
                  </w:pPr>
                </w:p>
              </w:tc>
              <w:tc>
                <w:tcPr>
                  <w:tcW w:w="722" w:type="pct"/>
                  <w:tcBorders>
                    <w:tl2br w:val="nil"/>
                    <w:tr2bl w:val="nil"/>
                  </w:tcBorders>
                  <w:noWrap w:val="0"/>
                  <w:vAlign w:val="center"/>
                </w:tcPr>
                <w:p w14:paraId="43F64517">
                  <w:pPr>
                    <w:adjustRightInd w:val="0"/>
                    <w:snapToGrid w:val="0"/>
                    <w:spacing w:line="240" w:lineRule="atLeast"/>
                    <w:ind w:firstLine="0" w:firstLineChars="0"/>
                    <w:jc w:val="center"/>
                    <w:rPr>
                      <w:bCs/>
                      <w:sz w:val="21"/>
                      <w:szCs w:val="21"/>
                    </w:rPr>
                  </w:pPr>
                  <w:r>
                    <w:rPr>
                      <w:bCs/>
                      <w:sz w:val="21"/>
                      <w:szCs w:val="21"/>
                    </w:rPr>
                    <w:t>4200</w:t>
                  </w:r>
                </w:p>
              </w:tc>
              <w:tc>
                <w:tcPr>
                  <w:tcW w:w="717" w:type="pct"/>
                  <w:tcBorders>
                    <w:tl2br w:val="nil"/>
                    <w:tr2bl w:val="nil"/>
                  </w:tcBorders>
                  <w:noWrap w:val="0"/>
                  <w:vAlign w:val="top"/>
                </w:tcPr>
                <w:p w14:paraId="6C2E1757">
                  <w:pPr>
                    <w:adjustRightInd w:val="0"/>
                    <w:snapToGrid w:val="0"/>
                    <w:spacing w:line="240" w:lineRule="atLeast"/>
                    <w:ind w:firstLine="0" w:firstLineChars="0"/>
                    <w:jc w:val="center"/>
                    <w:rPr>
                      <w:bCs/>
                      <w:sz w:val="21"/>
                      <w:szCs w:val="21"/>
                    </w:rPr>
                  </w:pPr>
                  <w:r>
                    <w:rPr>
                      <w:bCs/>
                      <w:sz w:val="21"/>
                      <w:szCs w:val="21"/>
                    </w:rPr>
                    <w:t>2740</w:t>
                  </w:r>
                </w:p>
              </w:tc>
              <w:tc>
                <w:tcPr>
                  <w:tcW w:w="809" w:type="pct"/>
                  <w:tcBorders>
                    <w:tl2br w:val="nil"/>
                    <w:tr2bl w:val="nil"/>
                  </w:tcBorders>
                  <w:noWrap w:val="0"/>
                  <w:vAlign w:val="top"/>
                </w:tcPr>
                <w:p w14:paraId="1A64301B">
                  <w:pPr>
                    <w:adjustRightInd w:val="0"/>
                    <w:snapToGrid w:val="0"/>
                    <w:spacing w:line="240" w:lineRule="atLeast"/>
                    <w:ind w:firstLine="0" w:firstLineChars="0"/>
                    <w:jc w:val="center"/>
                    <w:rPr>
                      <w:bCs/>
                      <w:sz w:val="21"/>
                      <w:szCs w:val="21"/>
                    </w:rPr>
                  </w:pPr>
                  <w:r>
                    <w:rPr>
                      <w:bCs/>
                      <w:sz w:val="21"/>
                      <w:szCs w:val="21"/>
                    </w:rPr>
                    <w:t>2440</w:t>
                  </w:r>
                </w:p>
              </w:tc>
            </w:tr>
            <w:tr w14:paraId="41AD7BD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414" w:type="pct"/>
                  <w:tcBorders>
                    <w:tl2br w:val="nil"/>
                    <w:tr2bl w:val="nil"/>
                  </w:tcBorders>
                  <w:noWrap w:val="0"/>
                  <w:vAlign w:val="top"/>
                </w:tcPr>
                <w:p w14:paraId="3C5D2C50">
                  <w:pPr>
                    <w:adjustRightInd w:val="0"/>
                    <w:snapToGrid w:val="0"/>
                    <w:spacing w:line="240" w:lineRule="atLeast"/>
                    <w:ind w:firstLine="0" w:firstLineChars="0"/>
                    <w:jc w:val="center"/>
                    <w:rPr>
                      <w:bCs/>
                      <w:sz w:val="21"/>
                      <w:szCs w:val="21"/>
                    </w:rPr>
                  </w:pPr>
                  <w:r>
                    <w:rPr>
                      <w:bCs/>
                      <w:sz w:val="21"/>
                      <w:szCs w:val="21"/>
                    </w:rPr>
                    <w:t>1:500地质剖面</w:t>
                  </w:r>
                </w:p>
              </w:tc>
              <w:tc>
                <w:tcPr>
                  <w:tcW w:w="457" w:type="pct"/>
                  <w:tcBorders>
                    <w:tl2br w:val="nil"/>
                    <w:tr2bl w:val="nil"/>
                  </w:tcBorders>
                  <w:noWrap w:val="0"/>
                  <w:vAlign w:val="top"/>
                </w:tcPr>
                <w:p w14:paraId="1253F58D">
                  <w:pPr>
                    <w:adjustRightInd w:val="0"/>
                    <w:snapToGrid w:val="0"/>
                    <w:spacing w:line="240" w:lineRule="atLeast"/>
                    <w:ind w:firstLine="0" w:firstLineChars="0"/>
                    <w:jc w:val="center"/>
                    <w:rPr>
                      <w:bCs/>
                      <w:sz w:val="21"/>
                      <w:szCs w:val="21"/>
                    </w:rPr>
                  </w:pPr>
                  <w:r>
                    <w:rPr>
                      <w:bCs/>
                      <w:sz w:val="21"/>
                      <w:szCs w:val="21"/>
                    </w:rPr>
                    <w:t>m</w:t>
                  </w:r>
                </w:p>
              </w:tc>
              <w:tc>
                <w:tcPr>
                  <w:tcW w:w="880" w:type="pct"/>
                  <w:tcBorders>
                    <w:tl2br w:val="nil"/>
                    <w:tr2bl w:val="nil"/>
                  </w:tcBorders>
                  <w:noWrap w:val="0"/>
                  <w:vAlign w:val="top"/>
                </w:tcPr>
                <w:p w14:paraId="0AE72269">
                  <w:pPr>
                    <w:adjustRightInd w:val="0"/>
                    <w:snapToGrid w:val="0"/>
                    <w:spacing w:line="240" w:lineRule="atLeast"/>
                    <w:ind w:firstLine="0" w:firstLineChars="0"/>
                    <w:jc w:val="center"/>
                    <w:rPr>
                      <w:bCs/>
                      <w:sz w:val="21"/>
                      <w:szCs w:val="21"/>
                    </w:rPr>
                  </w:pPr>
                  <w:r>
                    <w:rPr>
                      <w:bCs/>
                      <w:sz w:val="21"/>
                      <w:szCs w:val="21"/>
                    </w:rPr>
                    <w:t>2684</w:t>
                  </w:r>
                </w:p>
              </w:tc>
              <w:tc>
                <w:tcPr>
                  <w:tcW w:w="722" w:type="pct"/>
                  <w:tcBorders>
                    <w:tl2br w:val="nil"/>
                    <w:tr2bl w:val="nil"/>
                  </w:tcBorders>
                  <w:noWrap w:val="0"/>
                  <w:vAlign w:val="center"/>
                </w:tcPr>
                <w:p w14:paraId="72DB5B41">
                  <w:pPr>
                    <w:adjustRightInd w:val="0"/>
                    <w:snapToGrid w:val="0"/>
                    <w:spacing w:line="240" w:lineRule="atLeast"/>
                    <w:ind w:firstLine="0" w:firstLineChars="0"/>
                    <w:jc w:val="center"/>
                    <w:rPr>
                      <w:bCs/>
                      <w:sz w:val="21"/>
                      <w:szCs w:val="21"/>
                    </w:rPr>
                  </w:pPr>
                </w:p>
              </w:tc>
              <w:tc>
                <w:tcPr>
                  <w:tcW w:w="717" w:type="pct"/>
                  <w:tcBorders>
                    <w:tl2br w:val="nil"/>
                    <w:tr2bl w:val="nil"/>
                  </w:tcBorders>
                  <w:noWrap w:val="0"/>
                  <w:vAlign w:val="top"/>
                </w:tcPr>
                <w:p w14:paraId="40A7603D">
                  <w:pPr>
                    <w:adjustRightInd w:val="0"/>
                    <w:snapToGrid w:val="0"/>
                    <w:spacing w:line="240" w:lineRule="atLeast"/>
                    <w:ind w:firstLine="0" w:firstLineChars="0"/>
                    <w:jc w:val="center"/>
                    <w:rPr>
                      <w:bCs/>
                      <w:sz w:val="21"/>
                      <w:szCs w:val="21"/>
                    </w:rPr>
                  </w:pPr>
                  <w:r>
                    <w:rPr>
                      <w:bCs/>
                      <w:sz w:val="21"/>
                      <w:szCs w:val="21"/>
                    </w:rPr>
                    <w:t>3212</w:t>
                  </w:r>
                </w:p>
              </w:tc>
              <w:tc>
                <w:tcPr>
                  <w:tcW w:w="809" w:type="pct"/>
                  <w:tcBorders>
                    <w:tl2br w:val="nil"/>
                    <w:tr2bl w:val="nil"/>
                  </w:tcBorders>
                  <w:noWrap w:val="0"/>
                  <w:vAlign w:val="top"/>
                </w:tcPr>
                <w:p w14:paraId="040F3CCB">
                  <w:pPr>
                    <w:adjustRightInd w:val="0"/>
                    <w:snapToGrid w:val="0"/>
                    <w:spacing w:line="240" w:lineRule="atLeast"/>
                    <w:ind w:firstLine="0" w:firstLineChars="0"/>
                    <w:jc w:val="center"/>
                    <w:rPr>
                      <w:bCs/>
                      <w:sz w:val="21"/>
                      <w:szCs w:val="21"/>
                    </w:rPr>
                  </w:pPr>
                  <w:r>
                    <w:rPr>
                      <w:bCs/>
                      <w:sz w:val="21"/>
                      <w:szCs w:val="21"/>
                    </w:rPr>
                    <w:t>1360</w:t>
                  </w:r>
                </w:p>
              </w:tc>
            </w:tr>
            <w:tr w14:paraId="436A4BD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414" w:type="pct"/>
                  <w:tcBorders>
                    <w:tl2br w:val="nil"/>
                    <w:tr2bl w:val="nil"/>
                  </w:tcBorders>
                  <w:noWrap w:val="0"/>
                  <w:vAlign w:val="center"/>
                </w:tcPr>
                <w:p w14:paraId="01B3CC84">
                  <w:pPr>
                    <w:adjustRightInd w:val="0"/>
                    <w:snapToGrid w:val="0"/>
                    <w:spacing w:line="240" w:lineRule="atLeast"/>
                    <w:ind w:firstLine="0" w:firstLineChars="0"/>
                    <w:jc w:val="center"/>
                    <w:rPr>
                      <w:bCs/>
                      <w:sz w:val="21"/>
                      <w:szCs w:val="21"/>
                    </w:rPr>
                  </w:pPr>
                  <w:r>
                    <w:rPr>
                      <w:bCs/>
                      <w:sz w:val="21"/>
                      <w:szCs w:val="21"/>
                    </w:rPr>
                    <w:t>探槽</w:t>
                  </w:r>
                </w:p>
              </w:tc>
              <w:tc>
                <w:tcPr>
                  <w:tcW w:w="457" w:type="pct"/>
                  <w:tcBorders>
                    <w:tl2br w:val="nil"/>
                    <w:tr2bl w:val="nil"/>
                  </w:tcBorders>
                  <w:noWrap w:val="0"/>
                  <w:vAlign w:val="top"/>
                </w:tcPr>
                <w:p w14:paraId="7DB012C9">
                  <w:pPr>
                    <w:adjustRightInd w:val="0"/>
                    <w:snapToGrid w:val="0"/>
                    <w:spacing w:line="240" w:lineRule="atLeast"/>
                    <w:ind w:firstLine="0" w:firstLineChars="0"/>
                    <w:jc w:val="center"/>
                    <w:rPr>
                      <w:bCs/>
                      <w:sz w:val="21"/>
                      <w:szCs w:val="21"/>
                    </w:rPr>
                  </w:pPr>
                  <w:r>
                    <w:rPr>
                      <w:bCs/>
                      <w:sz w:val="21"/>
                      <w:szCs w:val="21"/>
                    </w:rPr>
                    <w:t>m</w:t>
                  </w:r>
                  <w:r>
                    <w:rPr>
                      <w:bCs/>
                      <w:sz w:val="21"/>
                      <w:szCs w:val="21"/>
                      <w:vertAlign w:val="superscript"/>
                    </w:rPr>
                    <w:t>3</w:t>
                  </w:r>
                </w:p>
              </w:tc>
              <w:tc>
                <w:tcPr>
                  <w:tcW w:w="880" w:type="pct"/>
                  <w:tcBorders>
                    <w:tl2br w:val="nil"/>
                    <w:tr2bl w:val="nil"/>
                  </w:tcBorders>
                  <w:noWrap w:val="0"/>
                  <w:vAlign w:val="top"/>
                </w:tcPr>
                <w:p w14:paraId="140B63B6">
                  <w:pPr>
                    <w:adjustRightInd w:val="0"/>
                    <w:snapToGrid w:val="0"/>
                    <w:spacing w:line="240" w:lineRule="atLeast"/>
                    <w:ind w:firstLine="0" w:firstLineChars="0"/>
                    <w:jc w:val="center"/>
                    <w:rPr>
                      <w:bCs/>
                      <w:sz w:val="21"/>
                      <w:szCs w:val="21"/>
                    </w:rPr>
                  </w:pPr>
                  <w:r>
                    <w:rPr>
                      <w:bCs/>
                      <w:sz w:val="21"/>
                      <w:szCs w:val="21"/>
                    </w:rPr>
                    <w:t>650</w:t>
                  </w:r>
                </w:p>
              </w:tc>
              <w:tc>
                <w:tcPr>
                  <w:tcW w:w="722" w:type="pct"/>
                  <w:tcBorders>
                    <w:tl2br w:val="nil"/>
                    <w:tr2bl w:val="nil"/>
                  </w:tcBorders>
                  <w:noWrap w:val="0"/>
                  <w:vAlign w:val="center"/>
                </w:tcPr>
                <w:p w14:paraId="069B28CB">
                  <w:pPr>
                    <w:adjustRightInd w:val="0"/>
                    <w:snapToGrid w:val="0"/>
                    <w:spacing w:line="240" w:lineRule="atLeast"/>
                    <w:ind w:firstLine="0" w:firstLineChars="0"/>
                    <w:jc w:val="center"/>
                    <w:rPr>
                      <w:bCs/>
                      <w:sz w:val="21"/>
                      <w:szCs w:val="21"/>
                    </w:rPr>
                  </w:pPr>
                  <w:r>
                    <w:rPr>
                      <w:bCs/>
                      <w:sz w:val="21"/>
                      <w:szCs w:val="21"/>
                    </w:rPr>
                    <w:t>450</w:t>
                  </w:r>
                </w:p>
              </w:tc>
              <w:tc>
                <w:tcPr>
                  <w:tcW w:w="717" w:type="pct"/>
                  <w:tcBorders>
                    <w:tl2br w:val="nil"/>
                    <w:tr2bl w:val="nil"/>
                  </w:tcBorders>
                  <w:noWrap w:val="0"/>
                  <w:vAlign w:val="top"/>
                </w:tcPr>
                <w:p w14:paraId="5EF9A6B4">
                  <w:pPr>
                    <w:adjustRightInd w:val="0"/>
                    <w:snapToGrid w:val="0"/>
                    <w:spacing w:line="240" w:lineRule="atLeast"/>
                    <w:ind w:firstLine="0" w:firstLineChars="0"/>
                    <w:jc w:val="center"/>
                    <w:rPr>
                      <w:bCs/>
                      <w:sz w:val="21"/>
                      <w:szCs w:val="21"/>
                    </w:rPr>
                  </w:pPr>
                  <w:r>
                    <w:rPr>
                      <w:bCs/>
                      <w:sz w:val="21"/>
                      <w:szCs w:val="21"/>
                    </w:rPr>
                    <w:t>1240</w:t>
                  </w:r>
                </w:p>
              </w:tc>
              <w:tc>
                <w:tcPr>
                  <w:tcW w:w="809" w:type="pct"/>
                  <w:tcBorders>
                    <w:tl2br w:val="nil"/>
                    <w:tr2bl w:val="nil"/>
                  </w:tcBorders>
                  <w:noWrap w:val="0"/>
                  <w:vAlign w:val="top"/>
                </w:tcPr>
                <w:p w14:paraId="12AD60C5">
                  <w:pPr>
                    <w:adjustRightInd w:val="0"/>
                    <w:snapToGrid w:val="0"/>
                    <w:spacing w:line="240" w:lineRule="atLeast"/>
                    <w:ind w:firstLine="0" w:firstLineChars="0"/>
                    <w:jc w:val="center"/>
                    <w:rPr>
                      <w:bCs/>
                      <w:sz w:val="21"/>
                      <w:szCs w:val="21"/>
                    </w:rPr>
                  </w:pPr>
                  <w:r>
                    <w:rPr>
                      <w:bCs/>
                      <w:sz w:val="21"/>
                      <w:szCs w:val="21"/>
                    </w:rPr>
                    <w:t>1330</w:t>
                  </w:r>
                </w:p>
              </w:tc>
            </w:tr>
            <w:tr w14:paraId="214CBA9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414" w:type="pct"/>
                  <w:tcBorders>
                    <w:tl2br w:val="nil"/>
                    <w:tr2bl w:val="nil"/>
                  </w:tcBorders>
                  <w:noWrap w:val="0"/>
                  <w:vAlign w:val="center"/>
                </w:tcPr>
                <w:p w14:paraId="4161ECCA">
                  <w:pPr>
                    <w:adjustRightInd w:val="0"/>
                    <w:snapToGrid w:val="0"/>
                    <w:spacing w:line="240" w:lineRule="atLeast"/>
                    <w:ind w:firstLine="0" w:firstLineChars="0"/>
                    <w:jc w:val="center"/>
                    <w:rPr>
                      <w:bCs/>
                      <w:sz w:val="21"/>
                      <w:szCs w:val="21"/>
                    </w:rPr>
                  </w:pPr>
                  <w:r>
                    <w:rPr>
                      <w:bCs/>
                      <w:sz w:val="21"/>
                      <w:szCs w:val="21"/>
                    </w:rPr>
                    <w:t>化学样及各种样品</w:t>
                  </w:r>
                </w:p>
              </w:tc>
              <w:tc>
                <w:tcPr>
                  <w:tcW w:w="457" w:type="pct"/>
                  <w:tcBorders>
                    <w:tl2br w:val="nil"/>
                    <w:tr2bl w:val="nil"/>
                  </w:tcBorders>
                  <w:noWrap w:val="0"/>
                  <w:vAlign w:val="top"/>
                </w:tcPr>
                <w:p w14:paraId="4A9C2F96">
                  <w:pPr>
                    <w:adjustRightInd w:val="0"/>
                    <w:snapToGrid w:val="0"/>
                    <w:spacing w:line="240" w:lineRule="atLeast"/>
                    <w:ind w:firstLine="0" w:firstLineChars="0"/>
                    <w:jc w:val="center"/>
                    <w:rPr>
                      <w:bCs/>
                      <w:sz w:val="21"/>
                      <w:szCs w:val="21"/>
                    </w:rPr>
                  </w:pPr>
                  <w:r>
                    <w:rPr>
                      <w:bCs/>
                      <w:sz w:val="21"/>
                      <w:szCs w:val="21"/>
                    </w:rPr>
                    <w:t>件</w:t>
                  </w:r>
                </w:p>
              </w:tc>
              <w:tc>
                <w:tcPr>
                  <w:tcW w:w="880" w:type="pct"/>
                  <w:tcBorders>
                    <w:tl2br w:val="nil"/>
                    <w:tr2bl w:val="nil"/>
                  </w:tcBorders>
                  <w:noWrap w:val="0"/>
                  <w:vAlign w:val="top"/>
                </w:tcPr>
                <w:p w14:paraId="5F453C07">
                  <w:pPr>
                    <w:adjustRightInd w:val="0"/>
                    <w:snapToGrid w:val="0"/>
                    <w:spacing w:line="240" w:lineRule="atLeast"/>
                    <w:ind w:firstLine="0" w:firstLineChars="0"/>
                    <w:jc w:val="center"/>
                    <w:rPr>
                      <w:bCs/>
                      <w:sz w:val="21"/>
                      <w:szCs w:val="21"/>
                    </w:rPr>
                  </w:pPr>
                  <w:r>
                    <w:rPr>
                      <w:bCs/>
                      <w:sz w:val="21"/>
                      <w:szCs w:val="21"/>
                    </w:rPr>
                    <w:t>190</w:t>
                  </w:r>
                </w:p>
              </w:tc>
              <w:tc>
                <w:tcPr>
                  <w:tcW w:w="722" w:type="pct"/>
                  <w:tcBorders>
                    <w:tl2br w:val="nil"/>
                    <w:tr2bl w:val="nil"/>
                  </w:tcBorders>
                  <w:noWrap w:val="0"/>
                  <w:vAlign w:val="center"/>
                </w:tcPr>
                <w:p w14:paraId="05217B4B">
                  <w:pPr>
                    <w:adjustRightInd w:val="0"/>
                    <w:snapToGrid w:val="0"/>
                    <w:spacing w:line="240" w:lineRule="atLeast"/>
                    <w:ind w:firstLine="0" w:firstLineChars="0"/>
                    <w:jc w:val="center"/>
                    <w:rPr>
                      <w:bCs/>
                      <w:sz w:val="21"/>
                      <w:szCs w:val="21"/>
                    </w:rPr>
                  </w:pPr>
                  <w:r>
                    <w:rPr>
                      <w:bCs/>
                      <w:sz w:val="21"/>
                      <w:szCs w:val="21"/>
                    </w:rPr>
                    <w:t>72</w:t>
                  </w:r>
                </w:p>
              </w:tc>
              <w:tc>
                <w:tcPr>
                  <w:tcW w:w="717" w:type="pct"/>
                  <w:tcBorders>
                    <w:tl2br w:val="nil"/>
                    <w:tr2bl w:val="nil"/>
                  </w:tcBorders>
                  <w:noWrap w:val="0"/>
                  <w:vAlign w:val="top"/>
                </w:tcPr>
                <w:p w14:paraId="6C4D8DAF">
                  <w:pPr>
                    <w:adjustRightInd w:val="0"/>
                    <w:snapToGrid w:val="0"/>
                    <w:spacing w:line="240" w:lineRule="atLeast"/>
                    <w:ind w:firstLine="0" w:firstLineChars="0"/>
                    <w:jc w:val="center"/>
                    <w:rPr>
                      <w:bCs/>
                      <w:sz w:val="21"/>
                      <w:szCs w:val="21"/>
                    </w:rPr>
                  </w:pPr>
                  <w:r>
                    <w:rPr>
                      <w:bCs/>
                      <w:sz w:val="21"/>
                      <w:szCs w:val="21"/>
                    </w:rPr>
                    <w:t>561</w:t>
                  </w:r>
                </w:p>
              </w:tc>
              <w:tc>
                <w:tcPr>
                  <w:tcW w:w="809" w:type="pct"/>
                  <w:tcBorders>
                    <w:tl2br w:val="nil"/>
                    <w:tr2bl w:val="nil"/>
                  </w:tcBorders>
                  <w:noWrap w:val="0"/>
                  <w:vAlign w:val="top"/>
                </w:tcPr>
                <w:p w14:paraId="79D99E4C">
                  <w:pPr>
                    <w:adjustRightInd w:val="0"/>
                    <w:snapToGrid w:val="0"/>
                    <w:spacing w:line="240" w:lineRule="atLeast"/>
                    <w:ind w:firstLine="0" w:firstLineChars="0"/>
                    <w:jc w:val="center"/>
                    <w:rPr>
                      <w:bCs/>
                      <w:sz w:val="21"/>
                      <w:szCs w:val="21"/>
                    </w:rPr>
                  </w:pPr>
                  <w:r>
                    <w:rPr>
                      <w:bCs/>
                      <w:sz w:val="21"/>
                      <w:szCs w:val="21"/>
                    </w:rPr>
                    <w:t>513</w:t>
                  </w:r>
                </w:p>
              </w:tc>
            </w:tr>
            <w:tr w14:paraId="560BDD5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414" w:type="pct"/>
                  <w:tcBorders>
                    <w:tl2br w:val="nil"/>
                    <w:tr2bl w:val="nil"/>
                  </w:tcBorders>
                  <w:noWrap w:val="0"/>
                  <w:vAlign w:val="center"/>
                </w:tcPr>
                <w:p w14:paraId="1E72D595">
                  <w:pPr>
                    <w:adjustRightInd w:val="0"/>
                    <w:snapToGrid w:val="0"/>
                    <w:spacing w:line="240" w:lineRule="atLeast"/>
                    <w:ind w:firstLine="0" w:firstLineChars="0"/>
                    <w:jc w:val="center"/>
                    <w:rPr>
                      <w:bCs/>
                      <w:sz w:val="21"/>
                      <w:szCs w:val="21"/>
                    </w:rPr>
                  </w:pPr>
                  <w:r>
                    <w:rPr>
                      <w:bCs/>
                      <w:sz w:val="21"/>
                      <w:szCs w:val="21"/>
                    </w:rPr>
                    <w:t>采样线</w:t>
                  </w:r>
                </w:p>
              </w:tc>
              <w:tc>
                <w:tcPr>
                  <w:tcW w:w="457" w:type="pct"/>
                  <w:tcBorders>
                    <w:tl2br w:val="nil"/>
                    <w:tr2bl w:val="nil"/>
                  </w:tcBorders>
                  <w:noWrap w:val="0"/>
                  <w:vAlign w:val="top"/>
                </w:tcPr>
                <w:p w14:paraId="42D33826">
                  <w:pPr>
                    <w:adjustRightInd w:val="0"/>
                    <w:snapToGrid w:val="0"/>
                    <w:spacing w:line="240" w:lineRule="atLeast"/>
                    <w:ind w:firstLine="0" w:firstLineChars="0"/>
                    <w:jc w:val="center"/>
                    <w:rPr>
                      <w:bCs/>
                      <w:sz w:val="21"/>
                      <w:szCs w:val="21"/>
                    </w:rPr>
                  </w:pPr>
                  <w:r>
                    <w:rPr>
                      <w:bCs/>
                      <w:sz w:val="21"/>
                      <w:szCs w:val="21"/>
                    </w:rPr>
                    <w:t>m</w:t>
                  </w:r>
                </w:p>
              </w:tc>
              <w:tc>
                <w:tcPr>
                  <w:tcW w:w="880" w:type="pct"/>
                  <w:tcBorders>
                    <w:tl2br w:val="nil"/>
                    <w:tr2bl w:val="nil"/>
                  </w:tcBorders>
                  <w:noWrap w:val="0"/>
                  <w:vAlign w:val="top"/>
                </w:tcPr>
                <w:p w14:paraId="53E61677">
                  <w:pPr>
                    <w:adjustRightInd w:val="0"/>
                    <w:snapToGrid w:val="0"/>
                    <w:spacing w:line="240" w:lineRule="atLeast"/>
                    <w:ind w:firstLine="0" w:firstLineChars="0"/>
                    <w:jc w:val="center"/>
                    <w:rPr>
                      <w:bCs/>
                      <w:sz w:val="21"/>
                      <w:szCs w:val="21"/>
                    </w:rPr>
                  </w:pPr>
                </w:p>
              </w:tc>
              <w:tc>
                <w:tcPr>
                  <w:tcW w:w="722" w:type="pct"/>
                  <w:tcBorders>
                    <w:tl2br w:val="nil"/>
                    <w:tr2bl w:val="nil"/>
                  </w:tcBorders>
                  <w:noWrap w:val="0"/>
                  <w:vAlign w:val="center"/>
                </w:tcPr>
                <w:p w14:paraId="162C1522">
                  <w:pPr>
                    <w:adjustRightInd w:val="0"/>
                    <w:snapToGrid w:val="0"/>
                    <w:spacing w:line="240" w:lineRule="atLeast"/>
                    <w:ind w:firstLine="0" w:firstLineChars="0"/>
                    <w:jc w:val="center"/>
                    <w:rPr>
                      <w:bCs/>
                      <w:sz w:val="21"/>
                      <w:szCs w:val="21"/>
                    </w:rPr>
                  </w:pPr>
                </w:p>
              </w:tc>
              <w:tc>
                <w:tcPr>
                  <w:tcW w:w="717" w:type="pct"/>
                  <w:tcBorders>
                    <w:tl2br w:val="nil"/>
                    <w:tr2bl w:val="nil"/>
                  </w:tcBorders>
                  <w:noWrap w:val="0"/>
                  <w:vAlign w:val="top"/>
                </w:tcPr>
                <w:p w14:paraId="09CC6F5B">
                  <w:pPr>
                    <w:adjustRightInd w:val="0"/>
                    <w:snapToGrid w:val="0"/>
                    <w:spacing w:line="240" w:lineRule="atLeast"/>
                    <w:ind w:firstLine="0" w:firstLineChars="0"/>
                    <w:jc w:val="center"/>
                    <w:rPr>
                      <w:bCs/>
                      <w:sz w:val="21"/>
                      <w:szCs w:val="21"/>
                    </w:rPr>
                  </w:pPr>
                </w:p>
              </w:tc>
              <w:tc>
                <w:tcPr>
                  <w:tcW w:w="809" w:type="pct"/>
                  <w:tcBorders>
                    <w:tl2br w:val="nil"/>
                    <w:tr2bl w:val="nil"/>
                  </w:tcBorders>
                  <w:noWrap w:val="0"/>
                  <w:vAlign w:val="top"/>
                </w:tcPr>
                <w:p w14:paraId="4C91DD36">
                  <w:pPr>
                    <w:adjustRightInd w:val="0"/>
                    <w:snapToGrid w:val="0"/>
                    <w:spacing w:line="240" w:lineRule="atLeast"/>
                    <w:ind w:firstLine="0" w:firstLineChars="0"/>
                    <w:jc w:val="center"/>
                    <w:rPr>
                      <w:bCs/>
                      <w:sz w:val="21"/>
                      <w:szCs w:val="21"/>
                    </w:rPr>
                  </w:pPr>
                  <w:r>
                    <w:rPr>
                      <w:bCs/>
                      <w:sz w:val="21"/>
                      <w:szCs w:val="21"/>
                    </w:rPr>
                    <w:t>362</w:t>
                  </w:r>
                </w:p>
              </w:tc>
            </w:tr>
          </w:tbl>
          <w:p w14:paraId="7BFD5412">
            <w:pPr>
              <w:pStyle w:val="7"/>
              <w:spacing w:line="240" w:lineRule="auto"/>
              <w:ind w:firstLine="562"/>
              <w:jc w:val="center"/>
              <w:rPr>
                <w:rFonts w:ascii="Times New Roman"/>
                <w:b/>
                <w:bCs/>
                <w:sz w:val="24"/>
                <w:szCs w:val="24"/>
              </w:rPr>
            </w:pPr>
            <w:r>
              <w:rPr>
                <w:rFonts w:ascii="Times New Roman"/>
                <w:b/>
                <w:bCs/>
              </w:rPr>
              <w:br w:type="page"/>
            </w:r>
            <w:r>
              <w:rPr>
                <w:rFonts w:ascii="Times New Roman"/>
                <w:b/>
                <w:bCs/>
                <w:sz w:val="24"/>
                <w:szCs w:val="24"/>
              </w:rPr>
              <w:t>表</w:t>
            </w:r>
            <w:r>
              <w:rPr>
                <w:rFonts w:hint="eastAsia" w:eastAsia="宋体"/>
                <w:b/>
                <w:bCs/>
                <w:sz w:val="24"/>
                <w:szCs w:val="24"/>
                <w:lang w:val="en-US" w:eastAsia="zh-CN"/>
              </w:rPr>
              <w:t>1-2</w:t>
            </w:r>
            <w:r>
              <w:rPr>
                <w:rFonts w:ascii="Times New Roman"/>
                <w:b/>
                <w:bCs/>
                <w:sz w:val="24"/>
                <w:szCs w:val="24"/>
              </w:rPr>
              <w:t>工区工作量完成一览表</w:t>
            </w:r>
          </w:p>
          <w:tbl>
            <w:tblPr>
              <w:tblStyle w:val="23"/>
              <w:tblW w:w="4999" w:type="pct"/>
              <w:tblInd w:w="-1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982"/>
              <w:gridCol w:w="868"/>
              <w:gridCol w:w="2001"/>
              <w:gridCol w:w="2172"/>
              <w:gridCol w:w="1979"/>
            </w:tblGrid>
            <w:tr w14:paraId="0DE8B82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0" w:hRule="atLeast"/>
              </w:trPr>
              <w:tc>
                <w:tcPr>
                  <w:tcW w:w="1101" w:type="pct"/>
                  <w:vMerge w:val="restart"/>
                  <w:tcBorders>
                    <w:tl2br w:val="nil"/>
                    <w:tr2bl w:val="nil"/>
                  </w:tcBorders>
                  <w:noWrap w:val="0"/>
                  <w:vAlign w:val="center"/>
                </w:tcPr>
                <w:p w14:paraId="539554D3">
                  <w:pPr>
                    <w:spacing w:line="240" w:lineRule="atLeast"/>
                    <w:ind w:firstLine="0" w:firstLineChars="0"/>
                    <w:jc w:val="center"/>
                    <w:rPr>
                      <w:bCs/>
                      <w:sz w:val="21"/>
                      <w:szCs w:val="21"/>
                    </w:rPr>
                  </w:pPr>
                  <w:r>
                    <w:rPr>
                      <w:bCs/>
                      <w:sz w:val="21"/>
                      <w:szCs w:val="21"/>
                    </w:rPr>
                    <w:t>项目</w:t>
                  </w:r>
                </w:p>
              </w:tc>
              <w:tc>
                <w:tcPr>
                  <w:tcW w:w="482" w:type="pct"/>
                  <w:vMerge w:val="restart"/>
                  <w:tcBorders>
                    <w:tl2br w:val="nil"/>
                    <w:tr2bl w:val="nil"/>
                  </w:tcBorders>
                  <w:noWrap w:val="0"/>
                  <w:vAlign w:val="center"/>
                </w:tcPr>
                <w:p w14:paraId="1499A623">
                  <w:pPr>
                    <w:spacing w:line="240" w:lineRule="atLeast"/>
                    <w:ind w:firstLine="0" w:firstLineChars="0"/>
                    <w:jc w:val="center"/>
                    <w:rPr>
                      <w:bCs/>
                      <w:sz w:val="21"/>
                      <w:szCs w:val="21"/>
                    </w:rPr>
                  </w:pPr>
                  <w:r>
                    <w:rPr>
                      <w:bCs/>
                      <w:sz w:val="21"/>
                      <w:szCs w:val="21"/>
                    </w:rPr>
                    <w:t>单位</w:t>
                  </w:r>
                </w:p>
              </w:tc>
              <w:tc>
                <w:tcPr>
                  <w:tcW w:w="3416" w:type="pct"/>
                  <w:gridSpan w:val="3"/>
                  <w:tcBorders>
                    <w:tl2br w:val="nil"/>
                    <w:tr2bl w:val="nil"/>
                  </w:tcBorders>
                  <w:noWrap w:val="0"/>
                  <w:vAlign w:val="center"/>
                </w:tcPr>
                <w:p w14:paraId="537E2EFD">
                  <w:pPr>
                    <w:spacing w:line="240" w:lineRule="atLeast"/>
                    <w:ind w:firstLine="0" w:firstLineChars="0"/>
                    <w:jc w:val="center"/>
                    <w:rPr>
                      <w:bCs/>
                      <w:sz w:val="21"/>
                      <w:szCs w:val="21"/>
                    </w:rPr>
                  </w:pPr>
                  <w:r>
                    <w:rPr>
                      <w:bCs/>
                      <w:sz w:val="21"/>
                      <w:szCs w:val="21"/>
                    </w:rPr>
                    <w:t>实际完成工作量</w:t>
                  </w:r>
                </w:p>
              </w:tc>
            </w:tr>
            <w:tr w14:paraId="1C22950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40" w:hRule="atLeast"/>
              </w:trPr>
              <w:tc>
                <w:tcPr>
                  <w:tcW w:w="1101" w:type="pct"/>
                  <w:vMerge w:val="continue"/>
                  <w:tcBorders>
                    <w:tl2br w:val="nil"/>
                    <w:tr2bl w:val="nil"/>
                  </w:tcBorders>
                  <w:noWrap w:val="0"/>
                  <w:vAlign w:val="top"/>
                </w:tcPr>
                <w:p w14:paraId="3A68D4E8">
                  <w:pPr>
                    <w:spacing w:line="240" w:lineRule="atLeast"/>
                    <w:ind w:firstLine="0" w:firstLineChars="0"/>
                    <w:jc w:val="center"/>
                    <w:rPr>
                      <w:bCs/>
                      <w:sz w:val="21"/>
                      <w:szCs w:val="21"/>
                    </w:rPr>
                  </w:pPr>
                </w:p>
              </w:tc>
              <w:tc>
                <w:tcPr>
                  <w:tcW w:w="482" w:type="pct"/>
                  <w:vMerge w:val="continue"/>
                  <w:tcBorders>
                    <w:tl2br w:val="nil"/>
                    <w:tr2bl w:val="nil"/>
                  </w:tcBorders>
                  <w:noWrap w:val="0"/>
                  <w:vAlign w:val="top"/>
                </w:tcPr>
                <w:p w14:paraId="06158BE0">
                  <w:pPr>
                    <w:spacing w:line="240" w:lineRule="atLeast"/>
                    <w:ind w:firstLine="0" w:firstLineChars="0"/>
                    <w:jc w:val="center"/>
                    <w:rPr>
                      <w:bCs/>
                      <w:sz w:val="21"/>
                      <w:szCs w:val="21"/>
                    </w:rPr>
                  </w:pPr>
                </w:p>
              </w:tc>
              <w:tc>
                <w:tcPr>
                  <w:tcW w:w="1111" w:type="pct"/>
                  <w:tcBorders>
                    <w:tl2br w:val="nil"/>
                    <w:tr2bl w:val="nil"/>
                  </w:tcBorders>
                  <w:noWrap w:val="0"/>
                  <w:vAlign w:val="top"/>
                </w:tcPr>
                <w:p w14:paraId="506960D6">
                  <w:pPr>
                    <w:spacing w:line="240" w:lineRule="atLeast"/>
                    <w:ind w:firstLine="0" w:firstLineChars="0"/>
                    <w:jc w:val="center"/>
                    <w:rPr>
                      <w:bCs/>
                      <w:sz w:val="21"/>
                      <w:szCs w:val="21"/>
                    </w:rPr>
                  </w:pPr>
                  <w:r>
                    <w:rPr>
                      <w:rFonts w:hint="eastAsia"/>
                      <w:bCs/>
                      <w:sz w:val="21"/>
                      <w:szCs w:val="21"/>
                      <w:lang w:eastAsia="zh-CN"/>
                    </w:rPr>
                    <w:t>萨很托亥</w:t>
                  </w:r>
                  <w:r>
                    <w:rPr>
                      <w:bCs/>
                      <w:sz w:val="21"/>
                      <w:szCs w:val="21"/>
                    </w:rPr>
                    <w:t>东金矿区</w:t>
                  </w:r>
                </w:p>
              </w:tc>
              <w:tc>
                <w:tcPr>
                  <w:tcW w:w="1206" w:type="pct"/>
                  <w:tcBorders>
                    <w:tl2br w:val="nil"/>
                    <w:tr2bl w:val="nil"/>
                  </w:tcBorders>
                  <w:noWrap w:val="0"/>
                  <w:vAlign w:val="top"/>
                </w:tcPr>
                <w:p w14:paraId="0E6E4004">
                  <w:pPr>
                    <w:spacing w:line="240" w:lineRule="atLeast"/>
                    <w:ind w:firstLine="0" w:firstLineChars="0"/>
                    <w:jc w:val="center"/>
                    <w:rPr>
                      <w:bCs/>
                      <w:sz w:val="21"/>
                      <w:szCs w:val="21"/>
                    </w:rPr>
                  </w:pPr>
                  <w:r>
                    <w:rPr>
                      <w:bCs/>
                      <w:sz w:val="21"/>
                      <w:szCs w:val="21"/>
                    </w:rPr>
                    <w:t>乌兰赛尔达坂金矿区</w:t>
                  </w:r>
                </w:p>
              </w:tc>
              <w:tc>
                <w:tcPr>
                  <w:tcW w:w="1098" w:type="pct"/>
                  <w:tcBorders>
                    <w:tl2br w:val="nil"/>
                    <w:tr2bl w:val="nil"/>
                  </w:tcBorders>
                  <w:noWrap w:val="0"/>
                  <w:vAlign w:val="top"/>
                </w:tcPr>
                <w:p w14:paraId="7A7B9C54">
                  <w:pPr>
                    <w:spacing w:line="240" w:lineRule="atLeast"/>
                    <w:ind w:firstLine="0" w:firstLineChars="0"/>
                    <w:jc w:val="center"/>
                    <w:rPr>
                      <w:bCs/>
                      <w:sz w:val="21"/>
                      <w:szCs w:val="21"/>
                    </w:rPr>
                  </w:pPr>
                  <w:r>
                    <w:rPr>
                      <w:bCs/>
                      <w:sz w:val="21"/>
                      <w:szCs w:val="21"/>
                    </w:rPr>
                    <w:t>哈勒哈特达坂金矿</w:t>
                  </w:r>
                </w:p>
              </w:tc>
            </w:tr>
            <w:tr w14:paraId="1ABCE42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pct"/>
                  <w:tcBorders>
                    <w:tl2br w:val="nil"/>
                    <w:tr2bl w:val="nil"/>
                  </w:tcBorders>
                  <w:noWrap w:val="0"/>
                  <w:vAlign w:val="top"/>
                </w:tcPr>
                <w:p w14:paraId="6484A51F">
                  <w:pPr>
                    <w:spacing w:line="240" w:lineRule="atLeast"/>
                    <w:ind w:firstLine="0" w:firstLineChars="0"/>
                    <w:jc w:val="center"/>
                    <w:rPr>
                      <w:bCs/>
                      <w:sz w:val="21"/>
                      <w:szCs w:val="21"/>
                    </w:rPr>
                  </w:pPr>
                  <w:r>
                    <w:rPr>
                      <w:bCs/>
                      <w:sz w:val="21"/>
                      <w:szCs w:val="21"/>
                    </w:rPr>
                    <w:t>1:10000地质草测</w:t>
                  </w:r>
                </w:p>
              </w:tc>
              <w:tc>
                <w:tcPr>
                  <w:tcW w:w="482" w:type="pct"/>
                  <w:tcBorders>
                    <w:tl2br w:val="nil"/>
                    <w:tr2bl w:val="nil"/>
                  </w:tcBorders>
                  <w:noWrap w:val="0"/>
                  <w:vAlign w:val="top"/>
                </w:tcPr>
                <w:p w14:paraId="6161AF9E">
                  <w:pPr>
                    <w:spacing w:line="240" w:lineRule="atLeast"/>
                    <w:ind w:firstLine="0" w:firstLineChars="0"/>
                    <w:jc w:val="center"/>
                    <w:rPr>
                      <w:bCs/>
                      <w:sz w:val="21"/>
                      <w:szCs w:val="21"/>
                    </w:rPr>
                  </w:pPr>
                  <w:r>
                    <w:rPr>
                      <w:bCs/>
                      <w:sz w:val="21"/>
                      <w:szCs w:val="21"/>
                    </w:rPr>
                    <w:t>km</w:t>
                  </w:r>
                  <w:r>
                    <w:rPr>
                      <w:bCs/>
                      <w:sz w:val="21"/>
                      <w:szCs w:val="21"/>
                      <w:vertAlign w:val="superscript"/>
                    </w:rPr>
                    <w:t>2</w:t>
                  </w:r>
                </w:p>
              </w:tc>
              <w:tc>
                <w:tcPr>
                  <w:tcW w:w="1111" w:type="pct"/>
                  <w:tcBorders>
                    <w:tl2br w:val="nil"/>
                    <w:tr2bl w:val="nil"/>
                  </w:tcBorders>
                  <w:noWrap w:val="0"/>
                  <w:vAlign w:val="top"/>
                </w:tcPr>
                <w:p w14:paraId="79AF7EC9">
                  <w:pPr>
                    <w:spacing w:line="240" w:lineRule="atLeast"/>
                    <w:ind w:firstLine="0" w:firstLineChars="0"/>
                    <w:jc w:val="center"/>
                    <w:rPr>
                      <w:bCs/>
                      <w:sz w:val="21"/>
                      <w:szCs w:val="21"/>
                    </w:rPr>
                  </w:pPr>
                  <w:r>
                    <w:rPr>
                      <w:bCs/>
                      <w:sz w:val="21"/>
                      <w:szCs w:val="21"/>
                    </w:rPr>
                    <w:t>28.59</w:t>
                  </w:r>
                </w:p>
              </w:tc>
              <w:tc>
                <w:tcPr>
                  <w:tcW w:w="1206" w:type="pct"/>
                  <w:tcBorders>
                    <w:tl2br w:val="nil"/>
                    <w:tr2bl w:val="nil"/>
                  </w:tcBorders>
                  <w:noWrap w:val="0"/>
                  <w:vAlign w:val="top"/>
                </w:tcPr>
                <w:p w14:paraId="7E441CA4">
                  <w:pPr>
                    <w:spacing w:line="240" w:lineRule="atLeast"/>
                    <w:ind w:firstLine="0" w:firstLineChars="0"/>
                    <w:jc w:val="center"/>
                    <w:rPr>
                      <w:bCs/>
                      <w:sz w:val="21"/>
                      <w:szCs w:val="21"/>
                    </w:rPr>
                  </w:pPr>
                  <w:r>
                    <w:rPr>
                      <w:bCs/>
                      <w:sz w:val="21"/>
                      <w:szCs w:val="21"/>
                    </w:rPr>
                    <w:t>20</w:t>
                  </w:r>
                </w:p>
              </w:tc>
              <w:tc>
                <w:tcPr>
                  <w:tcW w:w="1098" w:type="pct"/>
                  <w:tcBorders>
                    <w:tl2br w:val="nil"/>
                    <w:tr2bl w:val="nil"/>
                  </w:tcBorders>
                  <w:noWrap w:val="0"/>
                  <w:vAlign w:val="top"/>
                </w:tcPr>
                <w:p w14:paraId="79A2580F">
                  <w:pPr>
                    <w:spacing w:line="240" w:lineRule="atLeast"/>
                    <w:ind w:firstLine="0" w:firstLineChars="0"/>
                    <w:jc w:val="center"/>
                    <w:rPr>
                      <w:bCs/>
                      <w:sz w:val="21"/>
                      <w:szCs w:val="21"/>
                    </w:rPr>
                  </w:pPr>
                  <w:r>
                    <w:rPr>
                      <w:bCs/>
                      <w:sz w:val="21"/>
                      <w:szCs w:val="21"/>
                    </w:rPr>
                    <w:t>30.02</w:t>
                  </w:r>
                </w:p>
              </w:tc>
            </w:tr>
            <w:tr w14:paraId="7C11189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pct"/>
                  <w:tcBorders>
                    <w:tl2br w:val="nil"/>
                    <w:tr2bl w:val="nil"/>
                  </w:tcBorders>
                  <w:noWrap w:val="0"/>
                  <w:vAlign w:val="top"/>
                </w:tcPr>
                <w:p w14:paraId="3AE0BCD2">
                  <w:pPr>
                    <w:spacing w:line="240" w:lineRule="atLeast"/>
                    <w:ind w:firstLine="0" w:firstLineChars="0"/>
                    <w:jc w:val="center"/>
                    <w:rPr>
                      <w:bCs/>
                      <w:sz w:val="21"/>
                      <w:szCs w:val="21"/>
                    </w:rPr>
                  </w:pPr>
                  <w:r>
                    <w:rPr>
                      <w:bCs/>
                      <w:sz w:val="21"/>
                      <w:szCs w:val="21"/>
                    </w:rPr>
                    <w:t>1:2000地质草测</w:t>
                  </w:r>
                </w:p>
              </w:tc>
              <w:tc>
                <w:tcPr>
                  <w:tcW w:w="482" w:type="pct"/>
                  <w:tcBorders>
                    <w:tl2br w:val="nil"/>
                    <w:tr2bl w:val="nil"/>
                  </w:tcBorders>
                  <w:noWrap w:val="0"/>
                  <w:vAlign w:val="top"/>
                </w:tcPr>
                <w:p w14:paraId="6F6EF6C6">
                  <w:pPr>
                    <w:spacing w:line="240" w:lineRule="atLeast"/>
                    <w:ind w:firstLine="0" w:firstLineChars="0"/>
                    <w:jc w:val="center"/>
                    <w:rPr>
                      <w:bCs/>
                      <w:sz w:val="21"/>
                      <w:szCs w:val="21"/>
                    </w:rPr>
                  </w:pPr>
                  <w:r>
                    <w:rPr>
                      <w:bCs/>
                      <w:sz w:val="21"/>
                      <w:szCs w:val="21"/>
                    </w:rPr>
                    <w:t>km</w:t>
                  </w:r>
                  <w:r>
                    <w:rPr>
                      <w:bCs/>
                      <w:sz w:val="21"/>
                      <w:szCs w:val="21"/>
                      <w:vertAlign w:val="superscript"/>
                    </w:rPr>
                    <w:t>2</w:t>
                  </w:r>
                </w:p>
              </w:tc>
              <w:tc>
                <w:tcPr>
                  <w:tcW w:w="1111" w:type="pct"/>
                  <w:tcBorders>
                    <w:tl2br w:val="nil"/>
                    <w:tr2bl w:val="nil"/>
                  </w:tcBorders>
                  <w:noWrap w:val="0"/>
                  <w:vAlign w:val="top"/>
                </w:tcPr>
                <w:p w14:paraId="50D145DD">
                  <w:pPr>
                    <w:spacing w:line="240" w:lineRule="atLeast"/>
                    <w:ind w:firstLine="0" w:firstLineChars="0"/>
                    <w:jc w:val="center"/>
                    <w:rPr>
                      <w:bCs/>
                      <w:sz w:val="21"/>
                      <w:szCs w:val="21"/>
                    </w:rPr>
                  </w:pPr>
                  <w:r>
                    <w:rPr>
                      <w:bCs/>
                      <w:sz w:val="21"/>
                      <w:szCs w:val="21"/>
                    </w:rPr>
                    <w:t>1.7</w:t>
                  </w:r>
                </w:p>
              </w:tc>
              <w:tc>
                <w:tcPr>
                  <w:tcW w:w="1206" w:type="pct"/>
                  <w:tcBorders>
                    <w:tl2br w:val="nil"/>
                    <w:tr2bl w:val="nil"/>
                  </w:tcBorders>
                  <w:noWrap w:val="0"/>
                  <w:vAlign w:val="top"/>
                </w:tcPr>
                <w:p w14:paraId="6DC3D4C6">
                  <w:pPr>
                    <w:spacing w:line="240" w:lineRule="atLeast"/>
                    <w:ind w:firstLine="0" w:firstLineChars="0"/>
                    <w:jc w:val="center"/>
                    <w:rPr>
                      <w:bCs/>
                      <w:sz w:val="21"/>
                      <w:szCs w:val="21"/>
                    </w:rPr>
                  </w:pPr>
                  <w:r>
                    <w:rPr>
                      <w:bCs/>
                      <w:sz w:val="21"/>
                      <w:szCs w:val="21"/>
                    </w:rPr>
                    <w:t>2</w:t>
                  </w:r>
                </w:p>
              </w:tc>
              <w:tc>
                <w:tcPr>
                  <w:tcW w:w="1098" w:type="pct"/>
                  <w:tcBorders>
                    <w:tl2br w:val="nil"/>
                    <w:tr2bl w:val="nil"/>
                  </w:tcBorders>
                  <w:noWrap w:val="0"/>
                  <w:vAlign w:val="top"/>
                </w:tcPr>
                <w:p w14:paraId="48EEF290">
                  <w:pPr>
                    <w:spacing w:line="240" w:lineRule="atLeast"/>
                    <w:ind w:firstLine="0" w:firstLineChars="0"/>
                    <w:jc w:val="center"/>
                    <w:rPr>
                      <w:bCs/>
                      <w:sz w:val="21"/>
                      <w:szCs w:val="21"/>
                    </w:rPr>
                  </w:pPr>
                  <w:r>
                    <w:rPr>
                      <w:bCs/>
                      <w:sz w:val="21"/>
                      <w:szCs w:val="21"/>
                    </w:rPr>
                    <w:t>1.2</w:t>
                  </w:r>
                </w:p>
              </w:tc>
            </w:tr>
            <w:tr w14:paraId="32428C6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pct"/>
                  <w:tcBorders>
                    <w:tl2br w:val="nil"/>
                    <w:tr2bl w:val="nil"/>
                  </w:tcBorders>
                  <w:noWrap w:val="0"/>
                  <w:vAlign w:val="top"/>
                </w:tcPr>
                <w:p w14:paraId="16CD4433">
                  <w:pPr>
                    <w:spacing w:line="240" w:lineRule="atLeast"/>
                    <w:ind w:firstLine="0" w:firstLineChars="0"/>
                    <w:jc w:val="center"/>
                    <w:rPr>
                      <w:bCs/>
                      <w:sz w:val="21"/>
                      <w:szCs w:val="21"/>
                    </w:rPr>
                  </w:pPr>
                  <w:r>
                    <w:rPr>
                      <w:bCs/>
                      <w:sz w:val="21"/>
                      <w:szCs w:val="21"/>
                    </w:rPr>
                    <w:t>1:10000地化剖面</w:t>
                  </w:r>
                </w:p>
              </w:tc>
              <w:tc>
                <w:tcPr>
                  <w:tcW w:w="482" w:type="pct"/>
                  <w:tcBorders>
                    <w:tl2br w:val="nil"/>
                    <w:tr2bl w:val="nil"/>
                  </w:tcBorders>
                  <w:noWrap w:val="0"/>
                  <w:vAlign w:val="top"/>
                </w:tcPr>
                <w:p w14:paraId="788A609A">
                  <w:pPr>
                    <w:spacing w:line="240" w:lineRule="atLeast"/>
                    <w:ind w:firstLine="0" w:firstLineChars="0"/>
                    <w:jc w:val="center"/>
                    <w:rPr>
                      <w:bCs/>
                      <w:sz w:val="21"/>
                      <w:szCs w:val="21"/>
                    </w:rPr>
                  </w:pPr>
                  <w:r>
                    <w:rPr>
                      <w:bCs/>
                      <w:sz w:val="21"/>
                      <w:szCs w:val="21"/>
                    </w:rPr>
                    <w:t>m</w:t>
                  </w:r>
                </w:p>
              </w:tc>
              <w:tc>
                <w:tcPr>
                  <w:tcW w:w="1111" w:type="pct"/>
                  <w:tcBorders>
                    <w:tl2br w:val="nil"/>
                    <w:tr2bl w:val="nil"/>
                  </w:tcBorders>
                  <w:noWrap w:val="0"/>
                  <w:vAlign w:val="top"/>
                </w:tcPr>
                <w:p w14:paraId="45AC8C7C">
                  <w:pPr>
                    <w:spacing w:line="240" w:lineRule="atLeast"/>
                    <w:ind w:firstLine="0" w:firstLineChars="0"/>
                    <w:jc w:val="center"/>
                    <w:rPr>
                      <w:bCs/>
                      <w:sz w:val="21"/>
                      <w:szCs w:val="21"/>
                    </w:rPr>
                  </w:pPr>
                </w:p>
              </w:tc>
              <w:tc>
                <w:tcPr>
                  <w:tcW w:w="1206" w:type="pct"/>
                  <w:tcBorders>
                    <w:tl2br w:val="nil"/>
                    <w:tr2bl w:val="nil"/>
                  </w:tcBorders>
                  <w:noWrap w:val="0"/>
                  <w:vAlign w:val="top"/>
                </w:tcPr>
                <w:p w14:paraId="77AF3784">
                  <w:pPr>
                    <w:spacing w:line="240" w:lineRule="atLeast"/>
                    <w:ind w:firstLine="0" w:firstLineChars="0"/>
                    <w:jc w:val="center"/>
                    <w:rPr>
                      <w:bCs/>
                      <w:sz w:val="21"/>
                      <w:szCs w:val="21"/>
                    </w:rPr>
                  </w:pPr>
                </w:p>
              </w:tc>
              <w:tc>
                <w:tcPr>
                  <w:tcW w:w="1098" w:type="pct"/>
                  <w:tcBorders>
                    <w:tl2br w:val="nil"/>
                    <w:tr2bl w:val="nil"/>
                  </w:tcBorders>
                  <w:noWrap w:val="0"/>
                  <w:vAlign w:val="top"/>
                </w:tcPr>
                <w:p w14:paraId="187BD0E7">
                  <w:pPr>
                    <w:spacing w:line="240" w:lineRule="atLeast"/>
                    <w:ind w:firstLine="0" w:firstLineChars="0"/>
                    <w:jc w:val="center"/>
                    <w:rPr>
                      <w:bCs/>
                      <w:sz w:val="21"/>
                      <w:szCs w:val="21"/>
                    </w:rPr>
                  </w:pPr>
                </w:p>
              </w:tc>
            </w:tr>
            <w:tr w14:paraId="753BD53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pct"/>
                  <w:tcBorders>
                    <w:tl2br w:val="nil"/>
                    <w:tr2bl w:val="nil"/>
                  </w:tcBorders>
                  <w:noWrap w:val="0"/>
                  <w:vAlign w:val="top"/>
                </w:tcPr>
                <w:p w14:paraId="4AE0C307">
                  <w:pPr>
                    <w:spacing w:line="240" w:lineRule="atLeast"/>
                    <w:ind w:firstLine="0" w:firstLineChars="0"/>
                    <w:jc w:val="center"/>
                    <w:rPr>
                      <w:bCs/>
                      <w:sz w:val="21"/>
                      <w:szCs w:val="21"/>
                    </w:rPr>
                  </w:pPr>
                  <w:r>
                    <w:rPr>
                      <w:bCs/>
                      <w:sz w:val="21"/>
                      <w:szCs w:val="21"/>
                    </w:rPr>
                    <w:t>1:1000地质剖面</w:t>
                  </w:r>
                </w:p>
              </w:tc>
              <w:tc>
                <w:tcPr>
                  <w:tcW w:w="482" w:type="pct"/>
                  <w:tcBorders>
                    <w:tl2br w:val="nil"/>
                    <w:tr2bl w:val="nil"/>
                  </w:tcBorders>
                  <w:noWrap w:val="0"/>
                  <w:vAlign w:val="top"/>
                </w:tcPr>
                <w:p w14:paraId="759BAC2D">
                  <w:pPr>
                    <w:spacing w:line="240" w:lineRule="atLeast"/>
                    <w:ind w:firstLine="0" w:firstLineChars="0"/>
                    <w:jc w:val="center"/>
                    <w:rPr>
                      <w:bCs/>
                      <w:sz w:val="21"/>
                      <w:szCs w:val="21"/>
                    </w:rPr>
                  </w:pPr>
                  <w:r>
                    <w:rPr>
                      <w:bCs/>
                      <w:sz w:val="21"/>
                      <w:szCs w:val="21"/>
                    </w:rPr>
                    <w:t>m</w:t>
                  </w:r>
                </w:p>
              </w:tc>
              <w:tc>
                <w:tcPr>
                  <w:tcW w:w="1111" w:type="pct"/>
                  <w:tcBorders>
                    <w:tl2br w:val="nil"/>
                    <w:tr2bl w:val="nil"/>
                  </w:tcBorders>
                  <w:noWrap w:val="0"/>
                  <w:vAlign w:val="top"/>
                </w:tcPr>
                <w:p w14:paraId="1B74F38A">
                  <w:pPr>
                    <w:spacing w:line="240" w:lineRule="atLeast"/>
                    <w:ind w:firstLine="0" w:firstLineChars="0"/>
                    <w:jc w:val="center"/>
                    <w:rPr>
                      <w:bCs/>
                      <w:sz w:val="21"/>
                      <w:szCs w:val="21"/>
                    </w:rPr>
                  </w:pPr>
                  <w:r>
                    <w:rPr>
                      <w:bCs/>
                      <w:sz w:val="21"/>
                      <w:szCs w:val="21"/>
                    </w:rPr>
                    <w:t>14824</w:t>
                  </w:r>
                </w:p>
              </w:tc>
              <w:tc>
                <w:tcPr>
                  <w:tcW w:w="1206" w:type="pct"/>
                  <w:tcBorders>
                    <w:tl2br w:val="nil"/>
                    <w:tr2bl w:val="nil"/>
                  </w:tcBorders>
                  <w:noWrap w:val="0"/>
                  <w:vAlign w:val="top"/>
                </w:tcPr>
                <w:p w14:paraId="54D8EE05">
                  <w:pPr>
                    <w:spacing w:line="240" w:lineRule="atLeast"/>
                    <w:ind w:firstLine="0" w:firstLineChars="0"/>
                    <w:jc w:val="center"/>
                    <w:rPr>
                      <w:bCs/>
                      <w:sz w:val="21"/>
                      <w:szCs w:val="21"/>
                    </w:rPr>
                  </w:pPr>
                  <w:r>
                    <w:rPr>
                      <w:bCs/>
                      <w:sz w:val="21"/>
                      <w:szCs w:val="21"/>
                    </w:rPr>
                    <w:t>2560</w:t>
                  </w:r>
                </w:p>
              </w:tc>
              <w:tc>
                <w:tcPr>
                  <w:tcW w:w="1098" w:type="pct"/>
                  <w:tcBorders>
                    <w:tl2br w:val="nil"/>
                    <w:tr2bl w:val="nil"/>
                  </w:tcBorders>
                  <w:noWrap w:val="0"/>
                  <w:vAlign w:val="top"/>
                </w:tcPr>
                <w:p w14:paraId="3390944D">
                  <w:pPr>
                    <w:spacing w:line="240" w:lineRule="atLeast"/>
                    <w:ind w:firstLine="0" w:firstLineChars="0"/>
                    <w:jc w:val="center"/>
                    <w:rPr>
                      <w:bCs/>
                      <w:sz w:val="21"/>
                      <w:szCs w:val="21"/>
                    </w:rPr>
                  </w:pPr>
                  <w:r>
                    <w:rPr>
                      <w:bCs/>
                      <w:sz w:val="21"/>
                      <w:szCs w:val="21"/>
                    </w:rPr>
                    <w:t>1700</w:t>
                  </w:r>
                </w:p>
              </w:tc>
            </w:tr>
            <w:tr w14:paraId="4D19354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pct"/>
                  <w:tcBorders>
                    <w:tl2br w:val="nil"/>
                    <w:tr2bl w:val="nil"/>
                  </w:tcBorders>
                  <w:noWrap w:val="0"/>
                  <w:vAlign w:val="top"/>
                </w:tcPr>
                <w:p w14:paraId="2F20A437">
                  <w:pPr>
                    <w:spacing w:line="240" w:lineRule="atLeast"/>
                    <w:ind w:firstLine="0" w:firstLineChars="0"/>
                    <w:jc w:val="center"/>
                    <w:rPr>
                      <w:bCs/>
                      <w:sz w:val="21"/>
                      <w:szCs w:val="21"/>
                    </w:rPr>
                  </w:pPr>
                  <w:r>
                    <w:rPr>
                      <w:bCs/>
                      <w:sz w:val="21"/>
                      <w:szCs w:val="21"/>
                    </w:rPr>
                    <w:t>1:500地质剖面</w:t>
                  </w:r>
                </w:p>
              </w:tc>
              <w:tc>
                <w:tcPr>
                  <w:tcW w:w="482" w:type="pct"/>
                  <w:tcBorders>
                    <w:tl2br w:val="nil"/>
                    <w:tr2bl w:val="nil"/>
                  </w:tcBorders>
                  <w:noWrap w:val="0"/>
                  <w:vAlign w:val="top"/>
                </w:tcPr>
                <w:p w14:paraId="712DB364">
                  <w:pPr>
                    <w:spacing w:line="240" w:lineRule="atLeast"/>
                    <w:ind w:firstLine="0" w:firstLineChars="0"/>
                    <w:jc w:val="center"/>
                    <w:rPr>
                      <w:bCs/>
                      <w:sz w:val="21"/>
                      <w:szCs w:val="21"/>
                    </w:rPr>
                  </w:pPr>
                  <w:r>
                    <w:rPr>
                      <w:bCs/>
                      <w:sz w:val="21"/>
                      <w:szCs w:val="21"/>
                    </w:rPr>
                    <w:t>m</w:t>
                  </w:r>
                </w:p>
              </w:tc>
              <w:tc>
                <w:tcPr>
                  <w:tcW w:w="1111" w:type="pct"/>
                  <w:tcBorders>
                    <w:tl2br w:val="nil"/>
                    <w:tr2bl w:val="nil"/>
                  </w:tcBorders>
                  <w:noWrap w:val="0"/>
                  <w:vAlign w:val="top"/>
                </w:tcPr>
                <w:p w14:paraId="3F464CBA">
                  <w:pPr>
                    <w:spacing w:line="240" w:lineRule="atLeast"/>
                    <w:ind w:firstLine="0" w:firstLineChars="0"/>
                    <w:jc w:val="center"/>
                    <w:rPr>
                      <w:bCs/>
                      <w:sz w:val="21"/>
                      <w:szCs w:val="21"/>
                    </w:rPr>
                  </w:pPr>
                  <w:r>
                    <w:rPr>
                      <w:bCs/>
                      <w:sz w:val="21"/>
                      <w:szCs w:val="21"/>
                    </w:rPr>
                    <w:t>1181</w:t>
                  </w:r>
                </w:p>
              </w:tc>
              <w:tc>
                <w:tcPr>
                  <w:tcW w:w="1206" w:type="pct"/>
                  <w:tcBorders>
                    <w:tl2br w:val="nil"/>
                    <w:tr2bl w:val="nil"/>
                  </w:tcBorders>
                  <w:noWrap w:val="0"/>
                  <w:vAlign w:val="top"/>
                </w:tcPr>
                <w:p w14:paraId="78C34CFB">
                  <w:pPr>
                    <w:spacing w:line="240" w:lineRule="atLeast"/>
                    <w:ind w:firstLine="0" w:firstLineChars="0"/>
                    <w:jc w:val="center"/>
                    <w:rPr>
                      <w:bCs/>
                      <w:sz w:val="21"/>
                      <w:szCs w:val="21"/>
                    </w:rPr>
                  </w:pPr>
                </w:p>
              </w:tc>
              <w:tc>
                <w:tcPr>
                  <w:tcW w:w="1098" w:type="pct"/>
                  <w:tcBorders>
                    <w:tl2br w:val="nil"/>
                    <w:tr2bl w:val="nil"/>
                  </w:tcBorders>
                  <w:noWrap w:val="0"/>
                  <w:vAlign w:val="top"/>
                </w:tcPr>
                <w:p w14:paraId="1162FE2B">
                  <w:pPr>
                    <w:spacing w:line="240" w:lineRule="atLeast"/>
                    <w:ind w:firstLine="0" w:firstLineChars="0"/>
                    <w:jc w:val="center"/>
                    <w:rPr>
                      <w:bCs/>
                      <w:sz w:val="21"/>
                      <w:szCs w:val="21"/>
                    </w:rPr>
                  </w:pPr>
                </w:p>
              </w:tc>
            </w:tr>
            <w:tr w14:paraId="513D9FA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pct"/>
                  <w:tcBorders>
                    <w:tl2br w:val="nil"/>
                    <w:tr2bl w:val="nil"/>
                  </w:tcBorders>
                  <w:noWrap w:val="0"/>
                  <w:vAlign w:val="center"/>
                </w:tcPr>
                <w:p w14:paraId="2402C70A">
                  <w:pPr>
                    <w:spacing w:line="240" w:lineRule="atLeast"/>
                    <w:ind w:firstLine="0" w:firstLineChars="0"/>
                    <w:jc w:val="center"/>
                    <w:rPr>
                      <w:bCs/>
                      <w:sz w:val="21"/>
                      <w:szCs w:val="21"/>
                    </w:rPr>
                  </w:pPr>
                  <w:r>
                    <w:rPr>
                      <w:bCs/>
                      <w:sz w:val="21"/>
                      <w:szCs w:val="21"/>
                    </w:rPr>
                    <w:t>采样线</w:t>
                  </w:r>
                </w:p>
              </w:tc>
              <w:tc>
                <w:tcPr>
                  <w:tcW w:w="482" w:type="pct"/>
                  <w:tcBorders>
                    <w:tl2br w:val="nil"/>
                    <w:tr2bl w:val="nil"/>
                  </w:tcBorders>
                  <w:noWrap w:val="0"/>
                  <w:vAlign w:val="top"/>
                </w:tcPr>
                <w:p w14:paraId="424FB914">
                  <w:pPr>
                    <w:spacing w:line="240" w:lineRule="atLeast"/>
                    <w:ind w:firstLine="0" w:firstLineChars="0"/>
                    <w:jc w:val="center"/>
                    <w:rPr>
                      <w:bCs/>
                      <w:sz w:val="21"/>
                      <w:szCs w:val="21"/>
                    </w:rPr>
                  </w:pPr>
                  <w:r>
                    <w:rPr>
                      <w:bCs/>
                      <w:sz w:val="21"/>
                      <w:szCs w:val="21"/>
                    </w:rPr>
                    <w:t>m</w:t>
                  </w:r>
                </w:p>
              </w:tc>
              <w:tc>
                <w:tcPr>
                  <w:tcW w:w="1111" w:type="pct"/>
                  <w:tcBorders>
                    <w:tl2br w:val="nil"/>
                    <w:tr2bl w:val="nil"/>
                  </w:tcBorders>
                  <w:noWrap w:val="0"/>
                  <w:vAlign w:val="top"/>
                </w:tcPr>
                <w:p w14:paraId="6C194809">
                  <w:pPr>
                    <w:spacing w:line="240" w:lineRule="atLeast"/>
                    <w:ind w:firstLine="0" w:firstLineChars="0"/>
                    <w:jc w:val="center"/>
                    <w:rPr>
                      <w:bCs/>
                      <w:sz w:val="21"/>
                      <w:szCs w:val="21"/>
                    </w:rPr>
                  </w:pPr>
                  <w:r>
                    <w:rPr>
                      <w:bCs/>
                      <w:sz w:val="21"/>
                      <w:szCs w:val="21"/>
                    </w:rPr>
                    <w:t>280</w:t>
                  </w:r>
                </w:p>
              </w:tc>
              <w:tc>
                <w:tcPr>
                  <w:tcW w:w="1206" w:type="pct"/>
                  <w:tcBorders>
                    <w:tl2br w:val="nil"/>
                    <w:tr2bl w:val="nil"/>
                  </w:tcBorders>
                  <w:noWrap w:val="0"/>
                  <w:vAlign w:val="top"/>
                </w:tcPr>
                <w:p w14:paraId="6C58B5AC">
                  <w:pPr>
                    <w:spacing w:line="240" w:lineRule="atLeast"/>
                    <w:ind w:firstLine="0" w:firstLineChars="0"/>
                    <w:jc w:val="center"/>
                    <w:rPr>
                      <w:bCs/>
                      <w:sz w:val="21"/>
                      <w:szCs w:val="21"/>
                    </w:rPr>
                  </w:pPr>
                </w:p>
              </w:tc>
              <w:tc>
                <w:tcPr>
                  <w:tcW w:w="1098" w:type="pct"/>
                  <w:tcBorders>
                    <w:tl2br w:val="nil"/>
                    <w:tr2bl w:val="nil"/>
                  </w:tcBorders>
                  <w:noWrap w:val="0"/>
                  <w:vAlign w:val="top"/>
                </w:tcPr>
                <w:p w14:paraId="7166F48B">
                  <w:pPr>
                    <w:spacing w:line="240" w:lineRule="atLeast"/>
                    <w:ind w:firstLine="0" w:firstLineChars="0"/>
                    <w:jc w:val="center"/>
                    <w:rPr>
                      <w:bCs/>
                      <w:sz w:val="21"/>
                      <w:szCs w:val="21"/>
                    </w:rPr>
                  </w:pPr>
                </w:p>
              </w:tc>
            </w:tr>
            <w:tr w14:paraId="62B6E6D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pct"/>
                  <w:tcBorders>
                    <w:tl2br w:val="nil"/>
                    <w:tr2bl w:val="nil"/>
                  </w:tcBorders>
                  <w:noWrap w:val="0"/>
                  <w:vAlign w:val="center"/>
                </w:tcPr>
                <w:p w14:paraId="55304E08">
                  <w:pPr>
                    <w:spacing w:line="240" w:lineRule="atLeast"/>
                    <w:ind w:firstLine="0" w:firstLineChars="0"/>
                    <w:jc w:val="center"/>
                    <w:rPr>
                      <w:bCs/>
                      <w:sz w:val="21"/>
                      <w:szCs w:val="21"/>
                    </w:rPr>
                  </w:pPr>
                  <w:r>
                    <w:rPr>
                      <w:bCs/>
                      <w:sz w:val="21"/>
                      <w:szCs w:val="21"/>
                    </w:rPr>
                    <w:t>探槽</w:t>
                  </w:r>
                </w:p>
              </w:tc>
              <w:tc>
                <w:tcPr>
                  <w:tcW w:w="482" w:type="pct"/>
                  <w:tcBorders>
                    <w:tl2br w:val="nil"/>
                    <w:tr2bl w:val="nil"/>
                  </w:tcBorders>
                  <w:noWrap w:val="0"/>
                  <w:vAlign w:val="top"/>
                </w:tcPr>
                <w:p w14:paraId="41F79BA6">
                  <w:pPr>
                    <w:spacing w:line="240" w:lineRule="atLeast"/>
                    <w:ind w:firstLine="0" w:firstLineChars="0"/>
                    <w:jc w:val="center"/>
                    <w:rPr>
                      <w:bCs/>
                      <w:sz w:val="21"/>
                      <w:szCs w:val="21"/>
                    </w:rPr>
                  </w:pPr>
                  <w:r>
                    <w:rPr>
                      <w:bCs/>
                      <w:sz w:val="21"/>
                      <w:szCs w:val="21"/>
                    </w:rPr>
                    <w:t>m</w:t>
                  </w:r>
                  <w:r>
                    <w:rPr>
                      <w:bCs/>
                      <w:sz w:val="21"/>
                      <w:szCs w:val="21"/>
                      <w:vertAlign w:val="superscript"/>
                    </w:rPr>
                    <w:t>3</w:t>
                  </w:r>
                </w:p>
              </w:tc>
              <w:tc>
                <w:tcPr>
                  <w:tcW w:w="1111" w:type="pct"/>
                  <w:tcBorders>
                    <w:tl2br w:val="nil"/>
                    <w:tr2bl w:val="nil"/>
                  </w:tcBorders>
                  <w:noWrap w:val="0"/>
                  <w:vAlign w:val="top"/>
                </w:tcPr>
                <w:p w14:paraId="2C9BF532">
                  <w:pPr>
                    <w:spacing w:line="240" w:lineRule="atLeast"/>
                    <w:ind w:firstLine="0" w:firstLineChars="0"/>
                    <w:jc w:val="center"/>
                    <w:rPr>
                      <w:bCs/>
                      <w:sz w:val="21"/>
                      <w:szCs w:val="21"/>
                    </w:rPr>
                  </w:pPr>
                  <w:r>
                    <w:rPr>
                      <w:bCs/>
                      <w:sz w:val="21"/>
                      <w:szCs w:val="21"/>
                    </w:rPr>
                    <w:t>923</w:t>
                  </w:r>
                </w:p>
              </w:tc>
              <w:tc>
                <w:tcPr>
                  <w:tcW w:w="1206" w:type="pct"/>
                  <w:tcBorders>
                    <w:tl2br w:val="nil"/>
                    <w:tr2bl w:val="nil"/>
                  </w:tcBorders>
                  <w:noWrap w:val="0"/>
                  <w:vAlign w:val="top"/>
                </w:tcPr>
                <w:p w14:paraId="2EF86B38">
                  <w:pPr>
                    <w:spacing w:line="240" w:lineRule="atLeast"/>
                    <w:ind w:firstLine="0" w:firstLineChars="0"/>
                    <w:jc w:val="center"/>
                    <w:rPr>
                      <w:bCs/>
                      <w:sz w:val="21"/>
                      <w:szCs w:val="21"/>
                    </w:rPr>
                  </w:pPr>
                  <w:r>
                    <w:rPr>
                      <w:bCs/>
                      <w:sz w:val="21"/>
                      <w:szCs w:val="21"/>
                    </w:rPr>
                    <w:t>2000</w:t>
                  </w:r>
                </w:p>
              </w:tc>
              <w:tc>
                <w:tcPr>
                  <w:tcW w:w="1098" w:type="pct"/>
                  <w:tcBorders>
                    <w:tl2br w:val="nil"/>
                    <w:tr2bl w:val="nil"/>
                  </w:tcBorders>
                  <w:noWrap w:val="0"/>
                  <w:vAlign w:val="top"/>
                </w:tcPr>
                <w:p w14:paraId="17F9DC5A">
                  <w:pPr>
                    <w:spacing w:line="240" w:lineRule="atLeast"/>
                    <w:ind w:firstLine="0" w:firstLineChars="0"/>
                    <w:jc w:val="center"/>
                    <w:rPr>
                      <w:bCs/>
                      <w:sz w:val="21"/>
                      <w:szCs w:val="21"/>
                    </w:rPr>
                  </w:pPr>
                  <w:r>
                    <w:rPr>
                      <w:bCs/>
                      <w:sz w:val="21"/>
                      <w:szCs w:val="21"/>
                    </w:rPr>
                    <w:t>390</w:t>
                  </w:r>
                </w:p>
              </w:tc>
            </w:tr>
            <w:tr w14:paraId="75C1A2C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pct"/>
                  <w:tcBorders>
                    <w:tl2br w:val="nil"/>
                    <w:tr2bl w:val="nil"/>
                  </w:tcBorders>
                  <w:noWrap w:val="0"/>
                  <w:vAlign w:val="center"/>
                </w:tcPr>
                <w:p w14:paraId="1B737690">
                  <w:pPr>
                    <w:spacing w:line="240" w:lineRule="atLeast"/>
                    <w:ind w:firstLine="0" w:firstLineChars="0"/>
                    <w:jc w:val="center"/>
                    <w:rPr>
                      <w:bCs/>
                      <w:sz w:val="21"/>
                      <w:szCs w:val="21"/>
                    </w:rPr>
                  </w:pPr>
                  <w:r>
                    <w:rPr>
                      <w:bCs/>
                      <w:sz w:val="21"/>
                      <w:szCs w:val="21"/>
                    </w:rPr>
                    <w:t>硐探</w:t>
                  </w:r>
                </w:p>
              </w:tc>
              <w:tc>
                <w:tcPr>
                  <w:tcW w:w="482" w:type="pct"/>
                  <w:tcBorders>
                    <w:tl2br w:val="nil"/>
                    <w:tr2bl w:val="nil"/>
                  </w:tcBorders>
                  <w:noWrap w:val="0"/>
                  <w:vAlign w:val="top"/>
                </w:tcPr>
                <w:p w14:paraId="500A6A82">
                  <w:pPr>
                    <w:spacing w:line="240" w:lineRule="atLeast"/>
                    <w:ind w:firstLine="0" w:firstLineChars="0"/>
                    <w:jc w:val="center"/>
                    <w:rPr>
                      <w:bCs/>
                      <w:sz w:val="21"/>
                      <w:szCs w:val="21"/>
                    </w:rPr>
                  </w:pPr>
                  <w:r>
                    <w:rPr>
                      <w:bCs/>
                      <w:sz w:val="21"/>
                      <w:szCs w:val="21"/>
                    </w:rPr>
                    <w:t>m</w:t>
                  </w:r>
                </w:p>
              </w:tc>
              <w:tc>
                <w:tcPr>
                  <w:tcW w:w="1111" w:type="pct"/>
                  <w:tcBorders>
                    <w:tl2br w:val="nil"/>
                    <w:tr2bl w:val="nil"/>
                  </w:tcBorders>
                  <w:noWrap w:val="0"/>
                  <w:vAlign w:val="top"/>
                </w:tcPr>
                <w:p w14:paraId="42D16233">
                  <w:pPr>
                    <w:spacing w:line="240" w:lineRule="atLeast"/>
                    <w:ind w:firstLine="0" w:firstLineChars="0"/>
                    <w:jc w:val="center"/>
                    <w:rPr>
                      <w:bCs/>
                      <w:sz w:val="21"/>
                      <w:szCs w:val="21"/>
                    </w:rPr>
                  </w:pPr>
                </w:p>
              </w:tc>
              <w:tc>
                <w:tcPr>
                  <w:tcW w:w="1206" w:type="pct"/>
                  <w:tcBorders>
                    <w:tl2br w:val="nil"/>
                    <w:tr2bl w:val="nil"/>
                  </w:tcBorders>
                  <w:noWrap w:val="0"/>
                  <w:vAlign w:val="top"/>
                </w:tcPr>
                <w:p w14:paraId="6706C65E">
                  <w:pPr>
                    <w:spacing w:line="240" w:lineRule="atLeast"/>
                    <w:ind w:firstLine="0" w:firstLineChars="0"/>
                    <w:jc w:val="center"/>
                    <w:rPr>
                      <w:bCs/>
                      <w:sz w:val="21"/>
                      <w:szCs w:val="21"/>
                    </w:rPr>
                  </w:pPr>
                  <w:r>
                    <w:rPr>
                      <w:bCs/>
                      <w:sz w:val="21"/>
                      <w:szCs w:val="21"/>
                    </w:rPr>
                    <w:t>105</w:t>
                  </w:r>
                </w:p>
              </w:tc>
              <w:tc>
                <w:tcPr>
                  <w:tcW w:w="1098" w:type="pct"/>
                  <w:tcBorders>
                    <w:tl2br w:val="nil"/>
                    <w:tr2bl w:val="nil"/>
                  </w:tcBorders>
                  <w:noWrap w:val="0"/>
                  <w:vAlign w:val="top"/>
                </w:tcPr>
                <w:p w14:paraId="15598035">
                  <w:pPr>
                    <w:spacing w:line="240" w:lineRule="atLeast"/>
                    <w:ind w:firstLine="0" w:firstLineChars="0"/>
                    <w:jc w:val="center"/>
                    <w:rPr>
                      <w:bCs/>
                      <w:sz w:val="21"/>
                      <w:szCs w:val="21"/>
                    </w:rPr>
                  </w:pPr>
                </w:p>
              </w:tc>
            </w:tr>
            <w:tr w14:paraId="31BE370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pct"/>
                  <w:tcBorders>
                    <w:tl2br w:val="nil"/>
                    <w:tr2bl w:val="nil"/>
                  </w:tcBorders>
                  <w:noWrap w:val="0"/>
                  <w:vAlign w:val="center"/>
                </w:tcPr>
                <w:p w14:paraId="7288D003">
                  <w:pPr>
                    <w:spacing w:line="240" w:lineRule="atLeast"/>
                    <w:ind w:firstLine="0" w:firstLineChars="0"/>
                    <w:jc w:val="center"/>
                    <w:rPr>
                      <w:bCs/>
                      <w:sz w:val="21"/>
                      <w:szCs w:val="21"/>
                    </w:rPr>
                  </w:pPr>
                  <w:r>
                    <w:rPr>
                      <w:bCs/>
                      <w:sz w:val="21"/>
                      <w:szCs w:val="21"/>
                    </w:rPr>
                    <w:t>化学样及各类样品</w:t>
                  </w:r>
                </w:p>
              </w:tc>
              <w:tc>
                <w:tcPr>
                  <w:tcW w:w="482" w:type="pct"/>
                  <w:tcBorders>
                    <w:tl2br w:val="nil"/>
                    <w:tr2bl w:val="nil"/>
                  </w:tcBorders>
                  <w:noWrap w:val="0"/>
                  <w:vAlign w:val="top"/>
                </w:tcPr>
                <w:p w14:paraId="5E91266E">
                  <w:pPr>
                    <w:spacing w:line="240" w:lineRule="atLeast"/>
                    <w:ind w:firstLine="0" w:firstLineChars="0"/>
                    <w:jc w:val="center"/>
                    <w:rPr>
                      <w:bCs/>
                      <w:sz w:val="21"/>
                      <w:szCs w:val="21"/>
                    </w:rPr>
                  </w:pPr>
                  <w:r>
                    <w:rPr>
                      <w:bCs/>
                      <w:sz w:val="21"/>
                      <w:szCs w:val="21"/>
                    </w:rPr>
                    <w:t>件</w:t>
                  </w:r>
                </w:p>
              </w:tc>
              <w:tc>
                <w:tcPr>
                  <w:tcW w:w="1111" w:type="pct"/>
                  <w:tcBorders>
                    <w:tl2br w:val="nil"/>
                    <w:tr2bl w:val="nil"/>
                  </w:tcBorders>
                  <w:noWrap w:val="0"/>
                  <w:vAlign w:val="top"/>
                </w:tcPr>
                <w:p w14:paraId="7F098FAF">
                  <w:pPr>
                    <w:spacing w:line="240" w:lineRule="atLeast"/>
                    <w:ind w:firstLine="0" w:firstLineChars="0"/>
                    <w:jc w:val="center"/>
                    <w:rPr>
                      <w:bCs/>
                      <w:sz w:val="21"/>
                      <w:szCs w:val="21"/>
                    </w:rPr>
                  </w:pPr>
                  <w:r>
                    <w:rPr>
                      <w:bCs/>
                      <w:sz w:val="21"/>
                      <w:szCs w:val="21"/>
                    </w:rPr>
                    <w:t>510</w:t>
                  </w:r>
                </w:p>
              </w:tc>
              <w:tc>
                <w:tcPr>
                  <w:tcW w:w="1206" w:type="pct"/>
                  <w:tcBorders>
                    <w:tl2br w:val="nil"/>
                    <w:tr2bl w:val="nil"/>
                  </w:tcBorders>
                  <w:noWrap w:val="0"/>
                  <w:vAlign w:val="top"/>
                </w:tcPr>
                <w:p w14:paraId="1489558A">
                  <w:pPr>
                    <w:spacing w:line="240" w:lineRule="atLeast"/>
                    <w:ind w:firstLine="0" w:firstLineChars="0"/>
                    <w:jc w:val="center"/>
                    <w:rPr>
                      <w:bCs/>
                      <w:sz w:val="21"/>
                      <w:szCs w:val="21"/>
                    </w:rPr>
                  </w:pPr>
                  <w:r>
                    <w:rPr>
                      <w:bCs/>
                      <w:sz w:val="21"/>
                      <w:szCs w:val="21"/>
                    </w:rPr>
                    <w:t>345件</w:t>
                  </w:r>
                </w:p>
              </w:tc>
              <w:tc>
                <w:tcPr>
                  <w:tcW w:w="1098" w:type="pct"/>
                  <w:tcBorders>
                    <w:tl2br w:val="nil"/>
                    <w:tr2bl w:val="nil"/>
                  </w:tcBorders>
                  <w:noWrap w:val="0"/>
                  <w:vAlign w:val="top"/>
                </w:tcPr>
                <w:p w14:paraId="4C51BB0F">
                  <w:pPr>
                    <w:spacing w:line="240" w:lineRule="atLeast"/>
                    <w:ind w:firstLine="0" w:firstLineChars="0"/>
                    <w:jc w:val="center"/>
                    <w:rPr>
                      <w:bCs/>
                      <w:sz w:val="21"/>
                      <w:szCs w:val="21"/>
                    </w:rPr>
                  </w:pPr>
                  <w:r>
                    <w:rPr>
                      <w:bCs/>
                      <w:sz w:val="21"/>
                      <w:szCs w:val="21"/>
                    </w:rPr>
                    <w:t>61</w:t>
                  </w:r>
                </w:p>
              </w:tc>
            </w:tr>
            <w:tr w14:paraId="55B0DC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pct"/>
                  <w:tcBorders>
                    <w:tl2br w:val="nil"/>
                    <w:tr2bl w:val="nil"/>
                  </w:tcBorders>
                  <w:noWrap w:val="0"/>
                  <w:vAlign w:val="top"/>
                </w:tcPr>
                <w:p w14:paraId="3929426B">
                  <w:pPr>
                    <w:spacing w:line="240" w:lineRule="atLeast"/>
                    <w:ind w:firstLine="0" w:firstLineChars="0"/>
                    <w:jc w:val="center"/>
                    <w:rPr>
                      <w:bCs/>
                      <w:sz w:val="21"/>
                      <w:szCs w:val="21"/>
                    </w:rPr>
                  </w:pPr>
                  <w:r>
                    <w:rPr>
                      <w:bCs/>
                      <w:sz w:val="21"/>
                      <w:szCs w:val="21"/>
                    </w:rPr>
                    <w:t>1:5万地质找矿</w:t>
                  </w:r>
                </w:p>
              </w:tc>
              <w:tc>
                <w:tcPr>
                  <w:tcW w:w="482" w:type="pct"/>
                  <w:tcBorders>
                    <w:tl2br w:val="nil"/>
                    <w:tr2bl w:val="nil"/>
                  </w:tcBorders>
                  <w:noWrap w:val="0"/>
                  <w:vAlign w:val="top"/>
                </w:tcPr>
                <w:p w14:paraId="0E8D8838">
                  <w:pPr>
                    <w:spacing w:line="240" w:lineRule="atLeast"/>
                    <w:ind w:firstLine="0" w:firstLineChars="0"/>
                    <w:jc w:val="center"/>
                    <w:rPr>
                      <w:bCs/>
                      <w:sz w:val="21"/>
                      <w:szCs w:val="21"/>
                    </w:rPr>
                  </w:pPr>
                  <w:r>
                    <w:rPr>
                      <w:bCs/>
                      <w:sz w:val="21"/>
                      <w:szCs w:val="21"/>
                    </w:rPr>
                    <w:t>km</w:t>
                  </w:r>
                </w:p>
              </w:tc>
              <w:tc>
                <w:tcPr>
                  <w:tcW w:w="1111" w:type="pct"/>
                  <w:tcBorders>
                    <w:tl2br w:val="nil"/>
                    <w:tr2bl w:val="nil"/>
                  </w:tcBorders>
                  <w:noWrap w:val="0"/>
                  <w:vAlign w:val="top"/>
                </w:tcPr>
                <w:p w14:paraId="7E79B622">
                  <w:pPr>
                    <w:spacing w:line="240" w:lineRule="atLeast"/>
                    <w:ind w:firstLine="0" w:firstLineChars="0"/>
                    <w:jc w:val="center"/>
                    <w:rPr>
                      <w:bCs/>
                      <w:sz w:val="21"/>
                      <w:szCs w:val="21"/>
                    </w:rPr>
                  </w:pPr>
                </w:p>
              </w:tc>
              <w:tc>
                <w:tcPr>
                  <w:tcW w:w="1206" w:type="pct"/>
                  <w:tcBorders>
                    <w:tl2br w:val="nil"/>
                    <w:tr2bl w:val="nil"/>
                  </w:tcBorders>
                  <w:noWrap w:val="0"/>
                  <w:vAlign w:val="top"/>
                </w:tcPr>
                <w:p w14:paraId="77E89A49">
                  <w:pPr>
                    <w:spacing w:line="240" w:lineRule="atLeast"/>
                    <w:ind w:firstLine="0" w:firstLineChars="0"/>
                    <w:jc w:val="center"/>
                    <w:rPr>
                      <w:rFonts w:hint="eastAsia" w:eastAsia="宋体"/>
                      <w:bCs/>
                      <w:sz w:val="21"/>
                      <w:szCs w:val="21"/>
                      <w:lang w:eastAsia="zh-CN"/>
                    </w:rPr>
                  </w:pPr>
                  <w:r>
                    <w:rPr>
                      <w:bCs/>
                      <w:sz w:val="21"/>
                      <w:szCs w:val="21"/>
                    </w:rPr>
                    <w:t>30</w:t>
                  </w:r>
                </w:p>
              </w:tc>
              <w:tc>
                <w:tcPr>
                  <w:tcW w:w="1098" w:type="pct"/>
                  <w:tcBorders>
                    <w:tl2br w:val="nil"/>
                    <w:tr2bl w:val="nil"/>
                  </w:tcBorders>
                  <w:noWrap w:val="0"/>
                  <w:vAlign w:val="top"/>
                </w:tcPr>
                <w:p w14:paraId="1B4BC5BD">
                  <w:pPr>
                    <w:spacing w:line="240" w:lineRule="atLeast"/>
                    <w:ind w:firstLine="0" w:firstLineChars="0"/>
                    <w:jc w:val="center"/>
                    <w:rPr>
                      <w:bCs/>
                      <w:sz w:val="21"/>
                      <w:szCs w:val="21"/>
                    </w:rPr>
                  </w:pPr>
                </w:p>
              </w:tc>
            </w:tr>
          </w:tbl>
          <w:p w14:paraId="6204CB2A">
            <w:pPr>
              <w:tabs>
                <w:tab w:val="left" w:pos="540"/>
              </w:tabs>
              <w:ind w:firstLine="560"/>
              <w:rPr>
                <w:szCs w:val="28"/>
              </w:rPr>
            </w:pPr>
            <w:r>
              <w:rPr>
                <w:szCs w:val="28"/>
              </w:rPr>
              <w:t>取得的工作成果如下：</w:t>
            </w:r>
          </w:p>
          <w:p w14:paraId="76D3AC82">
            <w:pPr>
              <w:ind w:firstLine="560"/>
              <w:rPr>
                <w:szCs w:val="28"/>
              </w:rPr>
            </w:pPr>
            <w:r>
              <w:rPr>
                <w:rFonts w:ascii="Cambria Math" w:hAnsi="Cambria Math" w:eastAsia="宋体" w:cs="Cambria Math"/>
              </w:rPr>
              <w:t>①</w:t>
            </w:r>
            <w:r>
              <w:t>和静县萨阿尔明山浩恩吐尔一带金矿</w:t>
            </w:r>
            <w:r>
              <w:rPr>
                <w:szCs w:val="28"/>
              </w:rPr>
              <w:t>普查区</w:t>
            </w:r>
          </w:p>
          <w:p w14:paraId="0E2B431F">
            <w:pPr>
              <w:ind w:firstLine="560"/>
              <w:rPr>
                <w:szCs w:val="28"/>
              </w:rPr>
            </w:pPr>
            <w:r>
              <w:rPr>
                <w:szCs w:val="28"/>
              </w:rPr>
              <w:t>工区共发现褐铁矿化蚀变带二条，共施工11个探槽，5个探槽均见金矿化，2个探槽均见金矿体。圈定金矿体2条、金矿化体3条。</w:t>
            </w:r>
          </w:p>
          <w:p w14:paraId="3D323FA4">
            <w:pPr>
              <w:ind w:firstLine="560"/>
              <w:rPr>
                <w:szCs w:val="28"/>
              </w:rPr>
            </w:pPr>
            <w:r>
              <w:rPr>
                <w:szCs w:val="28"/>
              </w:rPr>
              <w:t>金矿体长约50米，厚1～2米、品位1.39～1.51克/吨，陡南倾，呈透镜状，含矿岩性为含铁白云石砂岩。具有进一步工作价值。</w:t>
            </w:r>
          </w:p>
          <w:p w14:paraId="489BD9CA">
            <w:pPr>
              <w:ind w:firstLine="560"/>
              <w:rPr>
                <w:szCs w:val="28"/>
              </w:rPr>
            </w:pPr>
            <w:r>
              <w:rPr>
                <w:szCs w:val="28"/>
              </w:rPr>
              <w:t>金矿化体长约50～173米，厚1～2米、品位0.72～0.79克/吨，陡南倾，呈透镜状，含矿岩性含铁白云石泥质粉砂岩。具有进一步工作价值。</w:t>
            </w:r>
          </w:p>
          <w:p w14:paraId="05281CE5">
            <w:pPr>
              <w:ind w:firstLine="560"/>
            </w:pPr>
            <w:r>
              <w:rPr>
                <w:rFonts w:ascii="Cambria Math" w:hAnsi="Cambria Math" w:eastAsia="宋体" w:cs="Cambria Math"/>
              </w:rPr>
              <w:t>②</w:t>
            </w:r>
            <w:r>
              <w:t>和静县萨阿尔明山北西区金矿普查区</w:t>
            </w:r>
          </w:p>
          <w:p w14:paraId="55BE9FA6">
            <w:pPr>
              <w:ind w:firstLine="560"/>
              <w:rPr>
                <w:szCs w:val="28"/>
              </w:rPr>
            </w:pPr>
            <w:r>
              <w:rPr>
                <w:szCs w:val="28"/>
              </w:rPr>
              <w:t>矿区共圈出3条矿体，6条矿化体，均赋存于矿化破碎蚀变带内。金矿体、矿化体长在12~20米间，厚度1~2米，呈北西向展布，南倾，倾角在50°~80°之间。</w:t>
            </w:r>
          </w:p>
          <w:p w14:paraId="003DCCBB">
            <w:pPr>
              <w:ind w:firstLine="560"/>
              <w:rPr>
                <w:szCs w:val="28"/>
              </w:rPr>
            </w:pPr>
            <w:r>
              <w:rPr>
                <w:szCs w:val="28"/>
              </w:rPr>
              <w:t>金矿体长约155～31米，厚1～2米、品位1.12～1.81克/吨，陡南倾，呈透镜状，含矿岩性为含铁白云石砂岩。具有进一步工作价值。</w:t>
            </w:r>
          </w:p>
          <w:p w14:paraId="5505B5D0">
            <w:pPr>
              <w:ind w:firstLine="560"/>
            </w:pPr>
            <w:r>
              <w:rPr>
                <w:szCs w:val="28"/>
              </w:rPr>
              <w:t>金矿化体长约2.8～47.5米，厚1～2米、品位0.59～0.92克/吨，陡南倾，呈透镜状，含矿岩性为含铁白云石泥质粉砂岩、含铁白云石泥质粉砂岩。具有进一步工作价值。</w:t>
            </w:r>
          </w:p>
          <w:p w14:paraId="15F05FDD">
            <w:pPr>
              <w:ind w:firstLine="560"/>
            </w:pPr>
            <w:r>
              <w:rPr>
                <w:rFonts w:ascii="Cambria Math" w:hAnsi="Cambria Math" w:eastAsia="宋体" w:cs="Cambria Math"/>
              </w:rPr>
              <w:t>③</w:t>
            </w:r>
            <w:r>
              <w:t>和静县萨阿尔明山南西区金矿普查区</w:t>
            </w:r>
          </w:p>
          <w:p w14:paraId="7946F0B5">
            <w:pPr>
              <w:ind w:firstLine="560"/>
              <w:rPr>
                <w:szCs w:val="28"/>
              </w:rPr>
            </w:pPr>
            <w:r>
              <w:rPr>
                <w:szCs w:val="28"/>
              </w:rPr>
              <w:t>矿区共圈出3条矿体，4条矿化体，均赋存于矿化破碎蚀变带内。金矿体、矿化体长在5~120米间，厚度1~3米，呈北西向展布，南倾，倾角在69°~81°之间。</w:t>
            </w:r>
            <w:r>
              <w:rPr>
                <w:color w:val="000000"/>
                <w:szCs w:val="28"/>
              </w:rPr>
              <w:t>单个矿（化）体形态多为脉状、豆荚状、似层状，空间上呈平行雁列及尖灭再现形式展布，</w:t>
            </w:r>
          </w:p>
          <w:p w14:paraId="005C003F">
            <w:pPr>
              <w:ind w:firstLine="560"/>
              <w:rPr>
                <w:szCs w:val="28"/>
              </w:rPr>
            </w:pPr>
            <w:r>
              <w:rPr>
                <w:szCs w:val="28"/>
              </w:rPr>
              <w:t>金矿体长约50米，厚1～2米、品位1.42～1.66克/吨，陡南倾，呈透镜状，含矿岩性为含铁白云石砂岩。具有进一步工作价值。</w:t>
            </w:r>
          </w:p>
          <w:p w14:paraId="4AB938AB">
            <w:pPr>
              <w:ind w:firstLine="560"/>
              <w:rPr>
                <w:szCs w:val="28"/>
              </w:rPr>
            </w:pPr>
            <w:r>
              <w:rPr>
                <w:szCs w:val="28"/>
              </w:rPr>
              <w:t>金矿化体长约50～120米，厚1-2米、品位0.59～0.75克/吨，陡南倾，呈透镜状，含矿岩性为含铁白云石泥质粉砂岩、含铁白云石泥质粉砂岩。具有进一步工作价值。</w:t>
            </w:r>
          </w:p>
          <w:p w14:paraId="317DF5D0">
            <w:pPr>
              <w:ind w:firstLine="560"/>
            </w:pPr>
            <w:r>
              <w:rPr>
                <w:rFonts w:ascii="Cambria Math" w:hAnsi="Cambria Math" w:eastAsia="宋体" w:cs="Cambria Math"/>
              </w:rPr>
              <w:t>④</w:t>
            </w:r>
            <w:r>
              <w:t>和静县萨阿尔明山东区金矿普查区</w:t>
            </w:r>
          </w:p>
          <w:p w14:paraId="24C7E5B0">
            <w:pPr>
              <w:ind w:firstLine="560"/>
              <w:rPr>
                <w:szCs w:val="28"/>
              </w:rPr>
            </w:pPr>
            <w:r>
              <w:rPr>
                <w:szCs w:val="28"/>
              </w:rPr>
              <w:t>矿区共圈出4条矿体，8条矿化体，均赋存于矿化破碎蚀变带内。金矿体、矿化体长在5~120米间，厚度1~3米，呈北西向展布，南倾，倾角在69°~81°之间。</w:t>
            </w:r>
            <w:r>
              <w:rPr>
                <w:color w:val="000000"/>
                <w:szCs w:val="28"/>
              </w:rPr>
              <w:t>单个矿（化）体形态多为脉状、豆荚状、似层状，空间上呈平行雁列及尖灭再现形式展布，</w:t>
            </w:r>
          </w:p>
          <w:p w14:paraId="74900BA4">
            <w:pPr>
              <w:ind w:firstLine="560"/>
              <w:rPr>
                <w:szCs w:val="28"/>
              </w:rPr>
            </w:pPr>
            <w:r>
              <w:rPr>
                <w:szCs w:val="28"/>
              </w:rPr>
              <w:t>金矿体长约50米，厚1～2米、品位1.306～1.86克/吨，陡南倾，呈透镜状，含矿岩性为含铁白云石砂岩。具有进一步</w:t>
            </w:r>
            <w:r>
              <w:rPr>
                <w:rFonts w:hint="eastAsia"/>
                <w:szCs w:val="28"/>
                <w:lang w:val="en-US" w:eastAsia="zh-CN"/>
              </w:rPr>
              <w:t>工</w:t>
            </w:r>
            <w:r>
              <w:rPr>
                <w:szCs w:val="28"/>
              </w:rPr>
              <w:t>作价值。</w:t>
            </w:r>
          </w:p>
          <w:p w14:paraId="2FE86B1F">
            <w:pPr>
              <w:ind w:firstLine="560"/>
              <w:rPr>
                <w:szCs w:val="28"/>
              </w:rPr>
            </w:pPr>
            <w:r>
              <w:rPr>
                <w:szCs w:val="28"/>
              </w:rPr>
              <w:t>金矿化体长约50米，厚12米、品位0.71-0.905克/吨，陡南倾，呈透镜状，含矿岩性为含铁白云石泥质粉砂岩、含铁白云石泥质粉砂岩。具有进一步</w:t>
            </w:r>
            <w:r>
              <w:rPr>
                <w:rFonts w:hint="eastAsia"/>
                <w:szCs w:val="28"/>
                <w:lang w:val="en-US" w:eastAsia="zh-CN"/>
              </w:rPr>
              <w:t>工作</w:t>
            </w:r>
            <w:r>
              <w:rPr>
                <w:szCs w:val="28"/>
              </w:rPr>
              <w:t>价值。</w:t>
            </w:r>
          </w:p>
          <w:p w14:paraId="60D014C4">
            <w:pPr>
              <w:ind w:firstLine="560"/>
            </w:pPr>
            <w:r>
              <w:rPr>
                <w:rFonts w:ascii="Cambria Math" w:hAnsi="Cambria Math" w:eastAsia="宋体" w:cs="Cambria Math"/>
              </w:rPr>
              <w:t>⑤</w:t>
            </w:r>
            <w:r>
              <w:t>和静县萨阿尔明山</w:t>
            </w:r>
            <w:r>
              <w:rPr>
                <w:rFonts w:hint="eastAsia"/>
                <w:lang w:eastAsia="zh-CN"/>
              </w:rPr>
              <w:t>萨很托亥</w:t>
            </w:r>
            <w:r>
              <w:t>东一带金矿普查区</w:t>
            </w:r>
          </w:p>
          <w:p w14:paraId="04B0039F">
            <w:pPr>
              <w:ind w:firstLine="560"/>
              <w:rPr>
                <w:szCs w:val="28"/>
              </w:rPr>
            </w:pPr>
            <w:r>
              <w:rPr>
                <w:szCs w:val="28"/>
              </w:rPr>
              <w:t>矿区共圈出4条矿体，5条矿化体，均赋存于矿化破碎蚀变带内。金矿体、矿化体长在5~120米间，厚度1~3米，呈北西向展布，南倾，倾角在68°~77°之间。</w:t>
            </w:r>
            <w:r>
              <w:rPr>
                <w:color w:val="000000"/>
                <w:szCs w:val="28"/>
              </w:rPr>
              <w:t>单个矿（化）体形态多为脉状、豆荚状、似层状，空间上呈平行雁列及尖灭再现形式展布，</w:t>
            </w:r>
          </w:p>
          <w:p w14:paraId="15DCC723">
            <w:pPr>
              <w:ind w:firstLine="560"/>
              <w:rPr>
                <w:szCs w:val="28"/>
              </w:rPr>
            </w:pPr>
            <w:r>
              <w:rPr>
                <w:szCs w:val="28"/>
              </w:rPr>
              <w:t>金矿体长约50米，厚1～2米、品位1.25～1.67克/吨，陡南倾，呈透镜状，含矿岩性为含铁白云石砂岩。具有进一步工作价值。</w:t>
            </w:r>
          </w:p>
          <w:p w14:paraId="611E15DD">
            <w:pPr>
              <w:ind w:firstLine="560"/>
              <w:rPr>
                <w:rFonts w:hint="eastAsia" w:eastAsia="宋体"/>
                <w:szCs w:val="28"/>
                <w:lang w:eastAsia="zh-CN"/>
              </w:rPr>
            </w:pPr>
            <w:r>
              <w:rPr>
                <w:szCs w:val="28"/>
              </w:rPr>
              <w:t>金矿化体长约50～276.5米，厚1～2米、品位0.695～0.88克/吨，陡南倾，呈透镜状，含矿岩性为含铁白云石泥质粉砂岩、含铁白云石泥质粉砂岩。具有进一步工作价值。</w:t>
            </w:r>
          </w:p>
          <w:p w14:paraId="042BCEFA">
            <w:pPr>
              <w:ind w:firstLine="560"/>
            </w:pPr>
            <w:r>
              <w:rPr>
                <w:rFonts w:ascii="Cambria Math" w:hAnsi="Cambria Math" w:eastAsia="宋体" w:cs="Cambria Math"/>
              </w:rPr>
              <w:t>⑥</w:t>
            </w:r>
            <w:r>
              <w:t>和静县萨阿尔明山乌兰赛尔达坂一带金矿普查区</w:t>
            </w:r>
          </w:p>
          <w:p w14:paraId="2AB8EA87">
            <w:pPr>
              <w:tabs>
                <w:tab w:val="left" w:pos="540"/>
              </w:tabs>
              <w:ind w:firstLine="560"/>
              <w:rPr>
                <w:szCs w:val="28"/>
              </w:rPr>
            </w:pPr>
            <w:r>
              <w:rPr>
                <w:szCs w:val="28"/>
              </w:rPr>
              <w:t>普查区共圈定2条金矿体（编号Au1-1、Au1-2）及3条矿化体，矿体、矿化体均产于工区长约7000米的构造破碎蚀变带（T1）中。蚀变带普遍铁白云石化，次为绢云母化、绿泥石化、硅化及黄铁矿化、碳酸盐化。其中Au1-1、Au1-2两条金矿体是原设计的Au1矿体由于硐探工程中未见工业矿化，2008年，本队六分队在普查区通过硐探工程，原Au1矿体分解为2条金矿体（编号Au1-1、Au1-2），另圈定3条金矿化体（编号Au3-Au5），金矿（化）体均产于工区长约6000米的韧性剪切带中。矿石类型以蚀变糜棱岩型及网脉状细小石英脉类型为主。估算了金矿体Au1-1、Au1-2预测的资源量（334）39.15千克。但由于圈定的矿体规模小，品位较低，交通不便，尚无开采利用价值。</w:t>
            </w:r>
          </w:p>
          <w:p w14:paraId="307F0B6E">
            <w:pPr>
              <w:ind w:firstLine="560"/>
            </w:pPr>
            <w:r>
              <w:rPr>
                <w:rFonts w:ascii="Cambria Math" w:hAnsi="Cambria Math" w:eastAsia="宋体" w:cs="Cambria Math"/>
              </w:rPr>
              <w:t>⑦</w:t>
            </w:r>
            <w:r>
              <w:t>和静县萨阿尔明山哈勒哈特达坂一带金矿普查区</w:t>
            </w:r>
          </w:p>
          <w:p w14:paraId="55CB73A0">
            <w:pPr>
              <w:ind w:firstLine="480"/>
            </w:pPr>
            <w:r>
              <w:rPr>
                <w:szCs w:val="28"/>
              </w:rPr>
              <w:t>工区共发现褐铁矿化蚀变带二条，共施工4个探槽，均见金矿化。</w:t>
            </w:r>
          </w:p>
          <w:p w14:paraId="7F7BED6D">
            <w:pPr>
              <w:pStyle w:val="20"/>
              <w:ind w:firstLine="482"/>
            </w:pPr>
            <w:r>
              <w:rPr>
                <w:rFonts w:hint="eastAsia"/>
              </w:rPr>
              <w:t>3</w:t>
            </w:r>
            <w:r>
              <w:t>.</w:t>
            </w:r>
            <w:r>
              <w:rPr>
                <w:rFonts w:hint="eastAsia"/>
              </w:rPr>
              <w:t>工程内容及规模</w:t>
            </w:r>
          </w:p>
          <w:p w14:paraId="278D222E">
            <w:pPr>
              <w:ind w:firstLine="480"/>
            </w:pPr>
            <w:r>
              <w:t>本项目只有施工期，不存在运营期。本项目组成及主要环境问题见表2-</w:t>
            </w:r>
            <w:r>
              <w:rPr>
                <w:rFonts w:hint="eastAsia"/>
                <w:lang w:val="en-US" w:eastAsia="zh-CN"/>
              </w:rPr>
              <w:t>1</w:t>
            </w:r>
            <w:r>
              <w:t>。</w:t>
            </w:r>
          </w:p>
          <w:p w14:paraId="5635F4FD">
            <w:pPr>
              <w:pStyle w:val="33"/>
              <w:spacing w:before="120"/>
            </w:pPr>
            <w:r>
              <w:t>表2-</w:t>
            </w:r>
            <w:r>
              <w:rPr>
                <w:rFonts w:hint="eastAsia"/>
                <w:lang w:val="en-US" w:eastAsia="zh-CN"/>
              </w:rPr>
              <w:t>1</w:t>
            </w:r>
            <w:r>
              <w:t>建设项目组成一览表</w:t>
            </w:r>
          </w:p>
          <w:tbl>
            <w:tblPr>
              <w:tblStyle w:val="23"/>
              <w:tblW w:w="9030"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84"/>
              <w:gridCol w:w="1246"/>
              <w:gridCol w:w="6048"/>
              <w:gridCol w:w="952"/>
            </w:tblGrid>
            <w:tr w14:paraId="149C83C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24" w:type="pct"/>
                  <w:gridSpan w:val="2"/>
                  <w:tcBorders>
                    <w:top w:val="single" w:color="auto" w:sz="12" w:space="0"/>
                    <w:left w:val="single" w:color="auto" w:sz="12" w:space="0"/>
                  </w:tcBorders>
                  <w:vAlign w:val="center"/>
                </w:tcPr>
                <w:p w14:paraId="51ABC1C6">
                  <w:pPr>
                    <w:pStyle w:val="31"/>
                  </w:pPr>
                  <w:r>
                    <w:t>项目组成</w:t>
                  </w:r>
                </w:p>
              </w:tc>
              <w:tc>
                <w:tcPr>
                  <w:tcW w:w="3348" w:type="pct"/>
                  <w:tcBorders>
                    <w:top w:val="single" w:color="auto" w:sz="12" w:space="0"/>
                    <w:bottom w:val="single" w:color="auto" w:sz="4" w:space="0"/>
                  </w:tcBorders>
                  <w:vAlign w:val="center"/>
                </w:tcPr>
                <w:p w14:paraId="13BC0E50">
                  <w:pPr>
                    <w:pStyle w:val="31"/>
                  </w:pPr>
                  <w:r>
                    <w:t>工程内容与规模</w:t>
                  </w:r>
                </w:p>
              </w:tc>
              <w:tc>
                <w:tcPr>
                  <w:tcW w:w="527" w:type="pct"/>
                  <w:tcBorders>
                    <w:top w:val="single" w:color="auto" w:sz="12" w:space="0"/>
                    <w:bottom w:val="single" w:color="auto" w:sz="4" w:space="0"/>
                    <w:right w:val="single" w:color="auto" w:sz="12" w:space="0"/>
                  </w:tcBorders>
                  <w:vAlign w:val="center"/>
                </w:tcPr>
                <w:p w14:paraId="2CD273E6">
                  <w:pPr>
                    <w:pStyle w:val="31"/>
                  </w:pPr>
                  <w:r>
                    <w:t>备注</w:t>
                  </w:r>
                </w:p>
              </w:tc>
            </w:tr>
            <w:tr w14:paraId="35CE1F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4" w:type="pct"/>
                  <w:vMerge w:val="restart"/>
                  <w:tcBorders>
                    <w:left w:val="single" w:color="auto" w:sz="12" w:space="0"/>
                  </w:tcBorders>
                  <w:vAlign w:val="center"/>
                </w:tcPr>
                <w:p w14:paraId="7E8995AE">
                  <w:pPr>
                    <w:pStyle w:val="31"/>
                  </w:pPr>
                  <w:r>
                    <w:rPr>
                      <w:rFonts w:hint="eastAsia"/>
                    </w:rPr>
                    <w:t>主体工程</w:t>
                  </w:r>
                </w:p>
              </w:tc>
              <w:tc>
                <w:tcPr>
                  <w:tcW w:w="689" w:type="pct"/>
                  <w:vAlign w:val="center"/>
                </w:tcPr>
                <w:p w14:paraId="44E82C17">
                  <w:pPr>
                    <w:pStyle w:val="31"/>
                  </w:pPr>
                  <w:r>
                    <w:rPr>
                      <w:rFonts w:hint="eastAsia"/>
                    </w:rPr>
                    <w:t>地质测量</w:t>
                  </w:r>
                </w:p>
              </w:tc>
              <w:tc>
                <w:tcPr>
                  <w:tcW w:w="3348" w:type="pct"/>
                  <w:tcBorders>
                    <w:bottom w:val="single" w:color="auto" w:sz="4" w:space="0"/>
                  </w:tcBorders>
                  <w:vAlign w:val="center"/>
                </w:tcPr>
                <w:p w14:paraId="4FB4BBFE">
                  <w:pPr>
                    <w:pStyle w:val="31"/>
                    <w:rPr>
                      <w:rFonts w:hint="eastAsia" w:eastAsia="宋体"/>
                      <w:lang w:eastAsia="zh-CN"/>
                    </w:rPr>
                  </w:pPr>
                  <w:r>
                    <w:rPr>
                      <w:rFonts w:hint="eastAsia"/>
                    </w:rPr>
                    <w:t>1：</w:t>
                  </w:r>
                  <w:r>
                    <w:t>10</w:t>
                  </w:r>
                  <w:r>
                    <w:rPr>
                      <w:rFonts w:hint="eastAsia"/>
                    </w:rPr>
                    <w:t>000地质草测工作设计工作量</w:t>
                  </w:r>
                  <w:r>
                    <w:rPr>
                      <w:rFonts w:hint="eastAsia"/>
                      <w:lang w:val="en-US" w:eastAsia="zh-CN"/>
                    </w:rPr>
                    <w:t>10</w:t>
                  </w:r>
                  <w:r>
                    <w:rPr>
                      <w:rFonts w:hint="eastAsia"/>
                    </w:rPr>
                    <w:t>k</w:t>
                  </w:r>
                  <w:r>
                    <w:t>m</w:t>
                  </w:r>
                  <w:r>
                    <w:rPr>
                      <w:vertAlign w:val="superscript"/>
                    </w:rPr>
                    <w:t>2</w:t>
                  </w:r>
                  <w:r>
                    <w:rPr>
                      <w:rFonts w:hint="eastAsia"/>
                      <w:vertAlign w:val="baseline"/>
                      <w:lang w:eastAsia="zh-CN"/>
                    </w:rPr>
                    <w:t>；</w:t>
                  </w:r>
                  <w:r>
                    <w:rPr>
                      <w:rFonts w:hint="eastAsia"/>
                    </w:rPr>
                    <w:t>1：</w:t>
                  </w:r>
                  <w:r>
                    <w:rPr>
                      <w:rFonts w:hint="eastAsia"/>
                      <w:lang w:val="en-US" w:eastAsia="zh-CN"/>
                    </w:rPr>
                    <w:t>2</w:t>
                  </w:r>
                  <w:r>
                    <w:rPr>
                      <w:rFonts w:hint="eastAsia"/>
                    </w:rPr>
                    <w:t>000地质草测工作设计工作量2k</w:t>
                  </w:r>
                  <w:r>
                    <w:t>m</w:t>
                  </w:r>
                  <w:r>
                    <w:rPr>
                      <w:vertAlign w:val="superscript"/>
                    </w:rPr>
                    <w:t>2</w:t>
                  </w:r>
                  <w:r>
                    <w:rPr>
                      <w:rFonts w:hint="eastAsia"/>
                      <w:vertAlign w:val="baseline"/>
                      <w:lang w:eastAsia="zh-CN"/>
                    </w:rPr>
                    <w:t>；1∶1</w:t>
                  </w:r>
                  <w:r>
                    <w:rPr>
                      <w:rFonts w:hint="eastAsia"/>
                      <w:vertAlign w:val="baseline"/>
                      <w:lang w:val="en-US" w:eastAsia="zh-CN"/>
                    </w:rPr>
                    <w:t>0000</w:t>
                  </w:r>
                  <w:r>
                    <w:rPr>
                      <w:rFonts w:hint="eastAsia"/>
                      <w:vertAlign w:val="baseline"/>
                      <w:lang w:eastAsia="zh-CN"/>
                    </w:rPr>
                    <w:t>激电中梯剖面10</w:t>
                  </w:r>
                  <w:r>
                    <w:rPr>
                      <w:rFonts w:hint="eastAsia"/>
                    </w:rPr>
                    <w:t>k</w:t>
                  </w:r>
                  <w:r>
                    <w:t>m</w:t>
                  </w:r>
                  <w:r>
                    <w:rPr>
                      <w:vertAlign w:val="superscript"/>
                    </w:rPr>
                    <w:t>2</w:t>
                  </w:r>
                  <w:r>
                    <w:rPr>
                      <w:rFonts w:hint="eastAsia"/>
                      <w:vertAlign w:val="baseline"/>
                      <w:lang w:eastAsia="zh-CN"/>
                    </w:rPr>
                    <w:t>；可控源音频大地电磁测深40点；1∶1</w:t>
                  </w:r>
                  <w:r>
                    <w:rPr>
                      <w:rFonts w:hint="eastAsia"/>
                      <w:vertAlign w:val="baseline"/>
                      <w:lang w:val="en-US" w:eastAsia="zh-CN"/>
                    </w:rPr>
                    <w:t>0000</w:t>
                  </w:r>
                  <w:r>
                    <w:rPr>
                      <w:rFonts w:hint="eastAsia"/>
                      <w:vertAlign w:val="baseline"/>
                      <w:lang w:eastAsia="zh-CN"/>
                    </w:rPr>
                    <w:t>地化剖面测量</w:t>
                  </w:r>
                  <w:r>
                    <w:rPr>
                      <w:rFonts w:hint="eastAsia"/>
                      <w:lang w:val="en-US" w:eastAsia="zh-CN"/>
                    </w:rPr>
                    <w:t>10</w:t>
                  </w:r>
                  <w:r>
                    <w:rPr>
                      <w:rFonts w:hint="eastAsia"/>
                    </w:rPr>
                    <w:t>k</w:t>
                  </w:r>
                  <w:r>
                    <w:t>m</w:t>
                  </w:r>
                  <w:r>
                    <w:rPr>
                      <w:vertAlign w:val="superscript"/>
                    </w:rPr>
                    <w:t>2</w:t>
                  </w:r>
                  <w:r>
                    <w:rPr>
                      <w:rFonts w:hint="eastAsia"/>
                      <w:vertAlign w:val="baseline"/>
                      <w:lang w:eastAsia="zh-CN"/>
                    </w:rPr>
                    <w:t>；</w:t>
                  </w:r>
                </w:p>
              </w:tc>
              <w:tc>
                <w:tcPr>
                  <w:tcW w:w="527" w:type="pct"/>
                  <w:tcBorders>
                    <w:right w:val="single" w:color="auto" w:sz="12" w:space="0"/>
                  </w:tcBorders>
                  <w:vAlign w:val="center"/>
                </w:tcPr>
                <w:p w14:paraId="525BC626">
                  <w:pPr>
                    <w:pStyle w:val="31"/>
                  </w:pPr>
                  <w:r>
                    <w:rPr>
                      <w:rFonts w:hint="eastAsia"/>
                    </w:rPr>
                    <w:t>/</w:t>
                  </w:r>
                </w:p>
              </w:tc>
            </w:tr>
            <w:tr w14:paraId="59EE802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4" w:type="pct"/>
                  <w:vMerge w:val="continue"/>
                  <w:tcBorders>
                    <w:left w:val="single" w:color="auto" w:sz="12" w:space="0"/>
                  </w:tcBorders>
                  <w:vAlign w:val="center"/>
                </w:tcPr>
                <w:p w14:paraId="5A6E33CD">
                  <w:pPr>
                    <w:pStyle w:val="31"/>
                  </w:pPr>
                </w:p>
              </w:tc>
              <w:tc>
                <w:tcPr>
                  <w:tcW w:w="689" w:type="pct"/>
                  <w:vAlign w:val="center"/>
                </w:tcPr>
                <w:p w14:paraId="56FDC562">
                  <w:pPr>
                    <w:pStyle w:val="31"/>
                  </w:pPr>
                  <w:r>
                    <w:rPr>
                      <w:rFonts w:hint="eastAsia"/>
                    </w:rPr>
                    <w:t>槽探</w:t>
                  </w:r>
                </w:p>
              </w:tc>
              <w:tc>
                <w:tcPr>
                  <w:tcW w:w="3348" w:type="pct"/>
                  <w:tcBorders>
                    <w:bottom w:val="single" w:color="auto" w:sz="4" w:space="0"/>
                  </w:tcBorders>
                  <w:vAlign w:val="center"/>
                </w:tcPr>
                <w:p w14:paraId="7908EBA8">
                  <w:pPr>
                    <w:pStyle w:val="31"/>
                    <w:rPr>
                      <w:rFonts w:hint="eastAsia" w:eastAsia="宋体"/>
                      <w:lang w:eastAsia="zh-CN"/>
                    </w:rPr>
                  </w:pPr>
                  <w:r>
                    <w:rPr>
                      <w:rFonts w:hint="eastAsia"/>
                    </w:rPr>
                    <w:t>布设探槽11</w:t>
                  </w:r>
                  <w:r>
                    <w:rPr>
                      <w:rFonts w:hint="eastAsia"/>
                      <w:lang w:val="en-US" w:eastAsia="zh-CN"/>
                    </w:rPr>
                    <w:t>处</w:t>
                  </w:r>
                  <w:r>
                    <w:rPr>
                      <w:rFonts w:hint="eastAsia"/>
                      <w:lang w:eastAsia="zh-CN"/>
                    </w:rPr>
                    <w:t>，</w:t>
                  </w:r>
                  <w:r>
                    <w:rPr>
                      <w:rFonts w:hint="eastAsia"/>
                    </w:rPr>
                    <w:t>底宽0.8m，长度根据实际情况调整，槽壁坡度75°左右，揭露出基岩0.3m以上，设计工作量</w:t>
                  </w:r>
                  <w:r>
                    <w:rPr>
                      <w:rFonts w:hint="eastAsia"/>
                      <w:lang w:val="en-US" w:eastAsia="zh-CN"/>
                    </w:rPr>
                    <w:t>5</w:t>
                  </w:r>
                  <w:r>
                    <w:rPr>
                      <w:rFonts w:hint="eastAsia"/>
                    </w:rPr>
                    <w:t>000m</w:t>
                  </w:r>
                  <w:r>
                    <w:rPr>
                      <w:rFonts w:hint="eastAsia"/>
                      <w:vertAlign w:val="superscript"/>
                    </w:rPr>
                    <w:t>3</w:t>
                  </w:r>
                  <w:r>
                    <w:rPr>
                      <w:rFonts w:hint="eastAsia"/>
                      <w:vertAlign w:val="baseline"/>
                      <w:lang w:eastAsia="zh-CN"/>
                    </w:rPr>
                    <w:t>。</w:t>
                  </w:r>
                </w:p>
              </w:tc>
              <w:tc>
                <w:tcPr>
                  <w:tcW w:w="527" w:type="pct"/>
                  <w:tcBorders>
                    <w:right w:val="single" w:color="auto" w:sz="12" w:space="0"/>
                  </w:tcBorders>
                  <w:vAlign w:val="center"/>
                </w:tcPr>
                <w:p w14:paraId="6C4B8529">
                  <w:pPr>
                    <w:pStyle w:val="31"/>
                    <w:rPr>
                      <w:rFonts w:hint="eastAsia" w:eastAsia="宋体"/>
                      <w:lang w:val="en-US" w:eastAsia="zh-CN"/>
                    </w:rPr>
                  </w:pPr>
                  <w:r>
                    <w:rPr>
                      <w:rFonts w:hint="eastAsia"/>
                      <w:lang w:val="en-US" w:eastAsia="zh-CN"/>
                    </w:rPr>
                    <w:t>/</w:t>
                  </w:r>
                </w:p>
              </w:tc>
            </w:tr>
            <w:tr w14:paraId="5038C44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4" w:type="pct"/>
                  <w:vMerge w:val="continue"/>
                  <w:tcBorders>
                    <w:left w:val="single" w:color="auto" w:sz="12" w:space="0"/>
                  </w:tcBorders>
                  <w:vAlign w:val="center"/>
                </w:tcPr>
                <w:p w14:paraId="0A132F43">
                  <w:pPr>
                    <w:pStyle w:val="31"/>
                  </w:pPr>
                </w:p>
              </w:tc>
              <w:tc>
                <w:tcPr>
                  <w:tcW w:w="689" w:type="pct"/>
                  <w:vAlign w:val="center"/>
                </w:tcPr>
                <w:p w14:paraId="150FC7CB">
                  <w:pPr>
                    <w:pStyle w:val="31"/>
                  </w:pPr>
                  <w:r>
                    <w:rPr>
                      <w:rFonts w:hint="eastAsia"/>
                    </w:rPr>
                    <w:t>钻探</w:t>
                  </w:r>
                </w:p>
              </w:tc>
              <w:tc>
                <w:tcPr>
                  <w:tcW w:w="3348" w:type="pct"/>
                  <w:tcBorders>
                    <w:bottom w:val="single" w:color="auto" w:sz="4" w:space="0"/>
                  </w:tcBorders>
                  <w:vAlign w:val="center"/>
                </w:tcPr>
                <w:p w14:paraId="240DC9E2">
                  <w:pPr>
                    <w:pStyle w:val="31"/>
                    <w:rPr>
                      <w:rFonts w:hint="eastAsia" w:eastAsia="宋体"/>
                      <w:lang w:eastAsia="zh-CN"/>
                    </w:rPr>
                  </w:pPr>
                  <w:r>
                    <w:rPr>
                      <w:rFonts w:hint="eastAsia"/>
                    </w:rPr>
                    <w:t>布设钻孔</w:t>
                  </w:r>
                  <w:r>
                    <w:rPr>
                      <w:rFonts w:hint="eastAsia"/>
                      <w:lang w:val="en-US" w:eastAsia="zh-CN"/>
                    </w:rPr>
                    <w:t>12</w:t>
                  </w:r>
                  <w:r>
                    <w:rPr>
                      <w:rFonts w:hint="eastAsia"/>
                    </w:rPr>
                    <w:t>个，设计工作量</w:t>
                  </w:r>
                  <w:r>
                    <w:rPr>
                      <w:rFonts w:hint="eastAsia"/>
                      <w:lang w:val="en-US" w:eastAsia="zh-CN"/>
                    </w:rPr>
                    <w:t>5</w:t>
                  </w:r>
                  <w:r>
                    <w:rPr>
                      <w:rFonts w:hint="eastAsia"/>
                    </w:rPr>
                    <w:t>000m</w:t>
                  </w:r>
                  <w:r>
                    <w:rPr>
                      <w:rFonts w:hint="eastAsia"/>
                      <w:lang w:eastAsia="zh-CN"/>
                    </w:rPr>
                    <w:t>。</w:t>
                  </w:r>
                </w:p>
              </w:tc>
              <w:tc>
                <w:tcPr>
                  <w:tcW w:w="527" w:type="pct"/>
                  <w:tcBorders>
                    <w:right w:val="single" w:color="auto" w:sz="12" w:space="0"/>
                  </w:tcBorders>
                  <w:vAlign w:val="center"/>
                </w:tcPr>
                <w:p w14:paraId="28457865">
                  <w:pPr>
                    <w:pStyle w:val="31"/>
                  </w:pPr>
                  <w:r>
                    <w:rPr>
                      <w:rFonts w:hint="eastAsia"/>
                    </w:rPr>
                    <w:t>/</w:t>
                  </w:r>
                </w:p>
              </w:tc>
            </w:tr>
            <w:tr w14:paraId="78B488D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4" w:type="pct"/>
                  <w:vMerge w:val="continue"/>
                  <w:tcBorders>
                    <w:left w:val="single" w:color="auto" w:sz="12" w:space="0"/>
                  </w:tcBorders>
                  <w:vAlign w:val="center"/>
                </w:tcPr>
                <w:p w14:paraId="29FC0124">
                  <w:pPr>
                    <w:pStyle w:val="31"/>
                  </w:pPr>
                </w:p>
              </w:tc>
              <w:tc>
                <w:tcPr>
                  <w:tcW w:w="689" w:type="pct"/>
                  <w:vAlign w:val="center"/>
                </w:tcPr>
                <w:p w14:paraId="212F8A7F">
                  <w:pPr>
                    <w:pStyle w:val="31"/>
                  </w:pPr>
                  <w:r>
                    <w:rPr>
                      <w:rFonts w:hint="eastAsia"/>
                    </w:rPr>
                    <w:t>样品采集</w:t>
                  </w:r>
                </w:p>
              </w:tc>
              <w:tc>
                <w:tcPr>
                  <w:tcW w:w="3348" w:type="pct"/>
                  <w:tcBorders>
                    <w:bottom w:val="single" w:color="auto" w:sz="4" w:space="0"/>
                  </w:tcBorders>
                  <w:vAlign w:val="center"/>
                </w:tcPr>
                <w:p w14:paraId="30ED5D6A">
                  <w:pPr>
                    <w:pStyle w:val="31"/>
                  </w:pPr>
                  <w:r>
                    <w:rPr>
                      <w:rFonts w:hint="eastAsia"/>
                    </w:rPr>
                    <w:t>采取基本分析样</w:t>
                  </w:r>
                  <w:r>
                    <w:rPr>
                      <w:rFonts w:hint="eastAsia"/>
                      <w:lang w:val="en-US" w:eastAsia="zh-CN"/>
                    </w:rPr>
                    <w:t>200</w:t>
                  </w:r>
                  <w:r>
                    <w:rPr>
                      <w:rFonts w:hint="eastAsia"/>
                    </w:rPr>
                    <w:t>0件、</w:t>
                  </w:r>
                  <w:r>
                    <w:rPr>
                      <w:rFonts w:hint="eastAsia"/>
                      <w:lang w:val="en-US" w:eastAsia="zh-CN"/>
                    </w:rPr>
                    <w:t>组合分析样30件、化学全分析样5件、物相分析样5件、</w:t>
                  </w:r>
                  <w:r>
                    <w:rPr>
                      <w:rFonts w:hint="eastAsia"/>
                    </w:rPr>
                    <w:t>小体重样</w:t>
                  </w:r>
                  <w:r>
                    <w:rPr>
                      <w:rFonts w:hint="eastAsia"/>
                      <w:lang w:val="en-US" w:eastAsia="zh-CN"/>
                    </w:rPr>
                    <w:t>6</w:t>
                  </w:r>
                  <w:r>
                    <w:rPr>
                      <w:rFonts w:hint="eastAsia"/>
                    </w:rPr>
                    <w:t>0件</w:t>
                  </w:r>
                  <w:r>
                    <w:rPr>
                      <w:rFonts w:hint="eastAsia"/>
                      <w:lang w:eastAsia="zh-CN"/>
                    </w:rPr>
                    <w:t>、</w:t>
                  </w:r>
                  <w:r>
                    <w:rPr>
                      <w:rFonts w:hint="eastAsia"/>
                    </w:rPr>
                    <w:t>光谱半定量分析样</w:t>
                  </w:r>
                  <w:r>
                    <w:rPr>
                      <w:rFonts w:hint="eastAsia"/>
                      <w:lang w:val="en-US" w:eastAsia="zh-CN"/>
                    </w:rPr>
                    <w:t>1250</w:t>
                  </w:r>
                  <w:r>
                    <w:rPr>
                      <w:rFonts w:hint="eastAsia"/>
                    </w:rPr>
                    <w:t>件</w:t>
                  </w:r>
                  <w:r>
                    <w:rPr>
                      <w:rFonts w:hint="eastAsia"/>
                      <w:lang w:eastAsia="zh-CN"/>
                    </w:rPr>
                    <w:t>、</w:t>
                  </w:r>
                  <w:r>
                    <w:t>光片</w:t>
                  </w:r>
                  <w:r>
                    <w:rPr>
                      <w:rFonts w:hint="eastAsia"/>
                      <w:lang w:val="en-US" w:eastAsia="zh-CN"/>
                    </w:rPr>
                    <w:t>样30块、薄片样50块</w:t>
                  </w:r>
                  <w:r>
                    <w:rPr>
                      <w:rFonts w:hint="eastAsia"/>
                    </w:rPr>
                    <w:t>等。</w:t>
                  </w:r>
                </w:p>
              </w:tc>
              <w:tc>
                <w:tcPr>
                  <w:tcW w:w="527" w:type="pct"/>
                  <w:tcBorders>
                    <w:right w:val="single" w:color="auto" w:sz="12" w:space="0"/>
                  </w:tcBorders>
                  <w:vAlign w:val="center"/>
                </w:tcPr>
                <w:p w14:paraId="15251ACF">
                  <w:pPr>
                    <w:pStyle w:val="31"/>
                    <w:rPr>
                      <w:rFonts w:hint="eastAsia" w:eastAsia="宋体"/>
                      <w:lang w:val="en-US" w:eastAsia="zh-CN"/>
                    </w:rPr>
                  </w:pPr>
                  <w:r>
                    <w:rPr>
                      <w:rFonts w:hint="eastAsia"/>
                      <w:lang w:val="en-US" w:eastAsia="zh-CN"/>
                    </w:rPr>
                    <w:t>/</w:t>
                  </w:r>
                </w:p>
              </w:tc>
            </w:tr>
            <w:tr w14:paraId="0F0DDCE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4" w:type="pct"/>
                  <w:vMerge w:val="restart"/>
                  <w:tcBorders>
                    <w:left w:val="single" w:color="auto" w:sz="12" w:space="0"/>
                  </w:tcBorders>
                  <w:vAlign w:val="center"/>
                </w:tcPr>
                <w:p w14:paraId="52C930CC">
                  <w:pPr>
                    <w:pStyle w:val="31"/>
                  </w:pPr>
                  <w:r>
                    <w:rPr>
                      <w:rFonts w:hint="eastAsia"/>
                    </w:rPr>
                    <w:t>辅助工程</w:t>
                  </w:r>
                </w:p>
              </w:tc>
              <w:tc>
                <w:tcPr>
                  <w:tcW w:w="689" w:type="pct"/>
                  <w:vAlign w:val="center"/>
                </w:tcPr>
                <w:p w14:paraId="0F414679">
                  <w:pPr>
                    <w:pStyle w:val="31"/>
                  </w:pPr>
                  <w:r>
                    <w:rPr>
                      <w:rFonts w:hint="eastAsia"/>
                    </w:rPr>
                    <w:t>施工营地</w:t>
                  </w:r>
                </w:p>
              </w:tc>
              <w:tc>
                <w:tcPr>
                  <w:tcW w:w="3348" w:type="pct"/>
                  <w:tcBorders>
                    <w:bottom w:val="single" w:color="auto" w:sz="4" w:space="0"/>
                  </w:tcBorders>
                  <w:vAlign w:val="center"/>
                </w:tcPr>
                <w:p w14:paraId="160F0EBC">
                  <w:pPr>
                    <w:pStyle w:val="31"/>
                    <w:rPr>
                      <w:bCs/>
                    </w:rPr>
                  </w:pPr>
                  <w:r>
                    <w:rPr>
                      <w:rFonts w:hint="eastAsia"/>
                    </w:rPr>
                    <w:t>项目不设置施工营地，本次探矿活动在探矿作业区内搭设临时帐篷，随工程施工点位移动；</w:t>
                  </w:r>
                </w:p>
              </w:tc>
              <w:tc>
                <w:tcPr>
                  <w:tcW w:w="527" w:type="pct"/>
                  <w:tcBorders>
                    <w:right w:val="single" w:color="auto" w:sz="12" w:space="0"/>
                  </w:tcBorders>
                  <w:vAlign w:val="center"/>
                </w:tcPr>
                <w:p w14:paraId="20E055E1">
                  <w:pPr>
                    <w:pStyle w:val="31"/>
                  </w:pPr>
                  <w:r>
                    <w:rPr>
                      <w:rFonts w:hint="eastAsia"/>
                    </w:rPr>
                    <w:t>/</w:t>
                  </w:r>
                </w:p>
              </w:tc>
            </w:tr>
            <w:tr w14:paraId="6D0101E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4" w:type="pct"/>
                  <w:vMerge w:val="continue"/>
                  <w:tcBorders>
                    <w:left w:val="single" w:color="auto" w:sz="12" w:space="0"/>
                  </w:tcBorders>
                  <w:vAlign w:val="center"/>
                </w:tcPr>
                <w:p w14:paraId="37166B14">
                  <w:pPr>
                    <w:pStyle w:val="31"/>
                  </w:pPr>
                </w:p>
              </w:tc>
              <w:tc>
                <w:tcPr>
                  <w:tcW w:w="689" w:type="pct"/>
                  <w:vAlign w:val="center"/>
                </w:tcPr>
                <w:p w14:paraId="07512B52">
                  <w:pPr>
                    <w:pStyle w:val="31"/>
                  </w:pPr>
                  <w:r>
                    <w:rPr>
                      <w:rFonts w:hint="eastAsia"/>
                    </w:rPr>
                    <w:t>柴油储存区</w:t>
                  </w:r>
                </w:p>
              </w:tc>
              <w:tc>
                <w:tcPr>
                  <w:tcW w:w="3348" w:type="pct"/>
                  <w:tcBorders>
                    <w:bottom w:val="single" w:color="auto" w:sz="4" w:space="0"/>
                  </w:tcBorders>
                  <w:vAlign w:val="center"/>
                </w:tcPr>
                <w:p w14:paraId="3FFE88A6">
                  <w:pPr>
                    <w:pStyle w:val="31"/>
                    <w:rPr>
                      <w:rFonts w:hint="default" w:eastAsia="宋体"/>
                      <w:lang w:val="en-US" w:eastAsia="zh-CN"/>
                    </w:rPr>
                  </w:pPr>
                  <w:r>
                    <w:rPr>
                      <w:rFonts w:hint="eastAsia"/>
                    </w:rPr>
                    <w:t>在项目区设置一个柴油储存区，柴油分期从</w:t>
                  </w:r>
                  <w:r>
                    <w:rPr>
                      <w:rFonts w:hint="eastAsia"/>
                      <w:lang w:val="en-US" w:eastAsia="zh-CN"/>
                    </w:rPr>
                    <w:t>和静县巴音布鲁克镇</w:t>
                  </w:r>
                  <w:r>
                    <w:rPr>
                      <w:rFonts w:hint="eastAsia"/>
                    </w:rPr>
                    <w:t>购买，采用柴油桶装运输至项目区柴油储存区堆放（柴油储存区铺设双层防渗土工布铺垫对储存区域进行防渗处理。），柴油桶容量200L，高0.93m，直径0.58m，材质铁皮。</w:t>
                  </w:r>
                  <w:r>
                    <w:rPr>
                      <w:rFonts w:hint="eastAsia"/>
                      <w:lang w:val="en-US" w:eastAsia="zh-CN"/>
                    </w:rPr>
                    <w:t>储存区做好</w:t>
                  </w:r>
                  <w:r>
                    <w:rPr>
                      <w:rFonts w:hint="eastAsia" w:cs="Times New Roman" w:eastAsiaTheme="minorEastAsia"/>
                      <w:color w:val="auto"/>
                      <w:sz w:val="21"/>
                      <w:szCs w:val="21"/>
                      <w:highlight w:val="none"/>
                      <w:lang w:val="en-US" w:eastAsia="zh-CN"/>
                    </w:rPr>
                    <w:t>防日晒、防雨淋、防渗漏措施。</w:t>
                  </w:r>
                </w:p>
              </w:tc>
              <w:tc>
                <w:tcPr>
                  <w:tcW w:w="527" w:type="pct"/>
                  <w:tcBorders>
                    <w:right w:val="single" w:color="auto" w:sz="12" w:space="0"/>
                  </w:tcBorders>
                  <w:vAlign w:val="center"/>
                </w:tcPr>
                <w:p w14:paraId="53890C7B">
                  <w:pPr>
                    <w:pStyle w:val="31"/>
                  </w:pPr>
                  <w:r>
                    <w:rPr>
                      <w:rFonts w:hint="eastAsia"/>
                    </w:rPr>
                    <w:t>临时</w:t>
                  </w:r>
                </w:p>
              </w:tc>
            </w:tr>
            <w:tr w14:paraId="2F972E3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4" w:type="pct"/>
                  <w:vMerge w:val="continue"/>
                  <w:tcBorders>
                    <w:left w:val="single" w:color="auto" w:sz="12" w:space="0"/>
                  </w:tcBorders>
                  <w:vAlign w:val="center"/>
                </w:tcPr>
                <w:p w14:paraId="651176E2">
                  <w:pPr>
                    <w:pStyle w:val="31"/>
                  </w:pPr>
                </w:p>
              </w:tc>
              <w:tc>
                <w:tcPr>
                  <w:tcW w:w="689" w:type="pct"/>
                  <w:vAlign w:val="center"/>
                </w:tcPr>
                <w:p w14:paraId="313DAC90">
                  <w:pPr>
                    <w:pStyle w:val="31"/>
                    <w:rPr>
                      <w:rFonts w:hint="default" w:eastAsia="宋体"/>
                      <w:lang w:val="en-US" w:eastAsia="zh-CN"/>
                    </w:rPr>
                  </w:pPr>
                  <w:r>
                    <w:rPr>
                      <w:rFonts w:hint="eastAsia"/>
                      <w:lang w:val="en-US" w:eastAsia="zh-CN"/>
                    </w:rPr>
                    <w:t>危险废物贮存点</w:t>
                  </w:r>
                </w:p>
              </w:tc>
              <w:tc>
                <w:tcPr>
                  <w:tcW w:w="3348" w:type="pct"/>
                  <w:tcBorders>
                    <w:bottom w:val="single" w:color="auto" w:sz="4" w:space="0"/>
                  </w:tcBorders>
                  <w:vAlign w:val="center"/>
                </w:tcPr>
                <w:p w14:paraId="25FF5570">
                  <w:pPr>
                    <w:pStyle w:val="31"/>
                    <w:rPr>
                      <w:rFonts w:hint="default"/>
                      <w:lang w:val="en-US"/>
                    </w:rPr>
                  </w:pPr>
                  <w:r>
                    <w:rPr>
                      <w:rFonts w:hint="eastAsia"/>
                      <w:lang w:val="en-US" w:eastAsia="zh-CN"/>
                    </w:rPr>
                    <w:t>用于存放危险废物（废油桶），占地面积约4m</w:t>
                  </w:r>
                  <w:r>
                    <w:rPr>
                      <w:rFonts w:hint="eastAsia"/>
                      <w:vertAlign w:val="superscript"/>
                      <w:lang w:val="en-US" w:eastAsia="zh-CN"/>
                    </w:rPr>
                    <w:t>2</w:t>
                  </w:r>
                  <w:r>
                    <w:rPr>
                      <w:rFonts w:hint="eastAsia"/>
                      <w:vertAlign w:val="baseline"/>
                      <w:lang w:val="en-US" w:eastAsia="zh-CN"/>
                    </w:rPr>
                    <w:t>，</w:t>
                  </w:r>
                  <w:r>
                    <w:rPr>
                      <w:color w:val="auto"/>
                    </w:rPr>
                    <w:t>为钢结构房屋，并做“防风、防雨、防晒、防渗漏”等措施。</w:t>
                  </w:r>
                </w:p>
              </w:tc>
              <w:tc>
                <w:tcPr>
                  <w:tcW w:w="527" w:type="pct"/>
                  <w:tcBorders>
                    <w:right w:val="single" w:color="auto" w:sz="12" w:space="0"/>
                  </w:tcBorders>
                  <w:vAlign w:val="center"/>
                </w:tcPr>
                <w:p w14:paraId="4635964E">
                  <w:pPr>
                    <w:pStyle w:val="31"/>
                    <w:rPr>
                      <w:rFonts w:hint="eastAsia" w:eastAsia="宋体"/>
                      <w:lang w:val="en-US" w:eastAsia="zh-CN"/>
                    </w:rPr>
                  </w:pPr>
                  <w:r>
                    <w:rPr>
                      <w:rFonts w:hint="eastAsia"/>
                      <w:lang w:val="en-US" w:eastAsia="zh-CN"/>
                    </w:rPr>
                    <w:t>/</w:t>
                  </w:r>
                </w:p>
              </w:tc>
            </w:tr>
            <w:tr w14:paraId="2A549C8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4" w:type="pct"/>
                  <w:vMerge w:val="restart"/>
                  <w:tcBorders>
                    <w:left w:val="single" w:color="auto" w:sz="12" w:space="0"/>
                  </w:tcBorders>
                  <w:vAlign w:val="center"/>
                </w:tcPr>
                <w:p w14:paraId="34FD10BC">
                  <w:pPr>
                    <w:pStyle w:val="31"/>
                  </w:pPr>
                  <w:r>
                    <w:rPr>
                      <w:rFonts w:hint="eastAsia"/>
                    </w:rPr>
                    <w:t>储运工程</w:t>
                  </w:r>
                </w:p>
              </w:tc>
              <w:tc>
                <w:tcPr>
                  <w:tcW w:w="689" w:type="pct"/>
                  <w:vAlign w:val="center"/>
                </w:tcPr>
                <w:p w14:paraId="66AA2972">
                  <w:pPr>
                    <w:pStyle w:val="31"/>
                  </w:pPr>
                  <w:r>
                    <w:rPr>
                      <w:rFonts w:hint="eastAsia"/>
                    </w:rPr>
                    <w:t>施工道路</w:t>
                  </w:r>
                </w:p>
              </w:tc>
              <w:tc>
                <w:tcPr>
                  <w:tcW w:w="3348" w:type="pct"/>
                  <w:vAlign w:val="center"/>
                </w:tcPr>
                <w:p w14:paraId="44792BA6">
                  <w:pPr>
                    <w:pStyle w:val="31"/>
                  </w:pPr>
                  <w:r>
                    <w:rPr>
                      <w:rFonts w:hint="eastAsia"/>
                      <w:color w:val="000000"/>
                      <w:shd w:val="clear" w:color="auto" w:fill="FFFFFF"/>
                      <w:lang w:val="en-US" w:eastAsia="zh-CN"/>
                    </w:rPr>
                    <w:t>项目区外利用现有资源路，</w:t>
                  </w:r>
                  <w:r>
                    <w:rPr>
                      <w:rFonts w:hint="eastAsia"/>
                      <w:color w:val="000000"/>
                      <w:shd w:val="clear" w:color="auto" w:fill="FFFFFF"/>
                    </w:rPr>
                    <w:t>矿区内部存在简易道路，作为探矿期临时道路；</w:t>
                  </w:r>
                  <w:r>
                    <w:rPr>
                      <w:rFonts w:hint="eastAsia"/>
                      <w:color w:val="000000"/>
                      <w:shd w:val="clear" w:color="auto" w:fill="FFFFFF"/>
                      <w:lang w:val="en-US" w:eastAsia="zh-CN"/>
                    </w:rPr>
                    <w:t>简易道路长约1900m，宽约3m。道路为南北走向。</w:t>
                  </w:r>
                </w:p>
              </w:tc>
              <w:tc>
                <w:tcPr>
                  <w:tcW w:w="527" w:type="pct"/>
                  <w:tcBorders>
                    <w:right w:val="single" w:color="auto" w:sz="12" w:space="0"/>
                  </w:tcBorders>
                  <w:vAlign w:val="center"/>
                </w:tcPr>
                <w:p w14:paraId="021727B8">
                  <w:pPr>
                    <w:pStyle w:val="31"/>
                  </w:pPr>
                  <w:r>
                    <w:rPr>
                      <w:rFonts w:hint="eastAsia"/>
                    </w:rPr>
                    <w:t>/</w:t>
                  </w:r>
                </w:p>
              </w:tc>
            </w:tr>
            <w:tr w14:paraId="0DF8C14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4" w:type="pct"/>
                  <w:vMerge w:val="continue"/>
                  <w:tcBorders>
                    <w:left w:val="single" w:color="auto" w:sz="12" w:space="0"/>
                  </w:tcBorders>
                  <w:vAlign w:val="center"/>
                </w:tcPr>
                <w:p w14:paraId="14726375">
                  <w:pPr>
                    <w:pStyle w:val="31"/>
                  </w:pPr>
                </w:p>
              </w:tc>
              <w:tc>
                <w:tcPr>
                  <w:tcW w:w="689" w:type="pct"/>
                  <w:vAlign w:val="center"/>
                </w:tcPr>
                <w:p w14:paraId="33DB0887">
                  <w:pPr>
                    <w:pStyle w:val="31"/>
                  </w:pPr>
                  <w:r>
                    <w:rPr>
                      <w:rFonts w:hint="eastAsia"/>
                    </w:rPr>
                    <w:t>临时堆场</w:t>
                  </w:r>
                </w:p>
              </w:tc>
              <w:tc>
                <w:tcPr>
                  <w:tcW w:w="3348" w:type="pct"/>
                  <w:vAlign w:val="center"/>
                </w:tcPr>
                <w:p w14:paraId="799A1AF3">
                  <w:pPr>
                    <w:pStyle w:val="31"/>
                  </w:pPr>
                  <w:r>
                    <w:rPr>
                      <w:rFonts w:hint="eastAsia"/>
                    </w:rPr>
                    <w:t>本项目在槽探附近设置临时堆场</w:t>
                  </w:r>
                </w:p>
              </w:tc>
              <w:tc>
                <w:tcPr>
                  <w:tcW w:w="527" w:type="pct"/>
                  <w:tcBorders>
                    <w:right w:val="single" w:color="auto" w:sz="12" w:space="0"/>
                  </w:tcBorders>
                  <w:vAlign w:val="center"/>
                </w:tcPr>
                <w:p w14:paraId="789550F8">
                  <w:pPr>
                    <w:pStyle w:val="31"/>
                    <w:rPr>
                      <w:rFonts w:hint="eastAsia" w:eastAsia="宋体"/>
                      <w:lang w:val="en-US" w:eastAsia="zh-CN"/>
                    </w:rPr>
                  </w:pPr>
                  <w:r>
                    <w:rPr>
                      <w:rFonts w:hint="eastAsia"/>
                      <w:lang w:val="en-US" w:eastAsia="zh-CN"/>
                    </w:rPr>
                    <w:t>临时</w:t>
                  </w:r>
                </w:p>
              </w:tc>
            </w:tr>
            <w:tr w14:paraId="2AA2494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4" w:type="pct"/>
                  <w:vMerge w:val="restart"/>
                  <w:tcBorders>
                    <w:left w:val="single" w:color="auto" w:sz="12" w:space="0"/>
                  </w:tcBorders>
                  <w:vAlign w:val="center"/>
                </w:tcPr>
                <w:p w14:paraId="66FADDAA">
                  <w:pPr>
                    <w:pStyle w:val="31"/>
                  </w:pPr>
                  <w:r>
                    <w:t>公用工程</w:t>
                  </w:r>
                </w:p>
              </w:tc>
              <w:tc>
                <w:tcPr>
                  <w:tcW w:w="689" w:type="pct"/>
                  <w:vAlign w:val="center"/>
                </w:tcPr>
                <w:p w14:paraId="18CD811B">
                  <w:pPr>
                    <w:pStyle w:val="31"/>
                  </w:pPr>
                  <w:r>
                    <w:rPr>
                      <w:rFonts w:hint="eastAsia"/>
                    </w:rPr>
                    <w:t>供电</w:t>
                  </w:r>
                </w:p>
              </w:tc>
              <w:tc>
                <w:tcPr>
                  <w:tcW w:w="3348" w:type="pct"/>
                  <w:vAlign w:val="center"/>
                </w:tcPr>
                <w:p w14:paraId="1557B02E">
                  <w:pPr>
                    <w:pStyle w:val="31"/>
                  </w:pPr>
                  <w:r>
                    <w:rPr>
                      <w:rFonts w:hint="eastAsia"/>
                    </w:rPr>
                    <w:t>本项目设置2台柴油发电机，提供生产、生活用电</w:t>
                  </w:r>
                </w:p>
              </w:tc>
              <w:tc>
                <w:tcPr>
                  <w:tcW w:w="527" w:type="pct"/>
                  <w:tcBorders>
                    <w:right w:val="single" w:color="auto" w:sz="12" w:space="0"/>
                  </w:tcBorders>
                  <w:vAlign w:val="center"/>
                </w:tcPr>
                <w:p w14:paraId="1571C2CC">
                  <w:pPr>
                    <w:pStyle w:val="31"/>
                  </w:pPr>
                  <w:r>
                    <w:rPr>
                      <w:rFonts w:hint="eastAsia"/>
                    </w:rPr>
                    <w:t>/</w:t>
                  </w:r>
                </w:p>
              </w:tc>
            </w:tr>
            <w:tr w14:paraId="0670B79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4" w:type="pct"/>
                  <w:vMerge w:val="continue"/>
                  <w:tcBorders>
                    <w:left w:val="single" w:color="auto" w:sz="12" w:space="0"/>
                  </w:tcBorders>
                  <w:vAlign w:val="center"/>
                </w:tcPr>
                <w:p w14:paraId="3DFBE818">
                  <w:pPr>
                    <w:pStyle w:val="31"/>
                  </w:pPr>
                </w:p>
              </w:tc>
              <w:tc>
                <w:tcPr>
                  <w:tcW w:w="689" w:type="pct"/>
                  <w:vAlign w:val="center"/>
                </w:tcPr>
                <w:p w14:paraId="41317632">
                  <w:pPr>
                    <w:pStyle w:val="31"/>
                  </w:pPr>
                  <w:r>
                    <w:rPr>
                      <w:rFonts w:hint="eastAsia"/>
                    </w:rPr>
                    <w:t>供水</w:t>
                  </w:r>
                </w:p>
              </w:tc>
              <w:tc>
                <w:tcPr>
                  <w:tcW w:w="3348" w:type="pct"/>
                  <w:vAlign w:val="center"/>
                </w:tcPr>
                <w:p w14:paraId="6B778D50">
                  <w:pPr>
                    <w:pStyle w:val="31"/>
                  </w:pPr>
                  <w:r>
                    <w:rPr>
                      <w:color w:val="000000"/>
                      <w:szCs w:val="21"/>
                    </w:rPr>
                    <w:t>定期从邻近乡镇拉运至生活营地内储水箱储存</w:t>
                  </w:r>
                </w:p>
              </w:tc>
              <w:tc>
                <w:tcPr>
                  <w:tcW w:w="527" w:type="pct"/>
                  <w:tcBorders>
                    <w:right w:val="single" w:color="auto" w:sz="12" w:space="0"/>
                  </w:tcBorders>
                  <w:vAlign w:val="center"/>
                </w:tcPr>
                <w:p w14:paraId="77B60C60">
                  <w:pPr>
                    <w:pStyle w:val="31"/>
                  </w:pPr>
                  <w:r>
                    <w:rPr>
                      <w:rFonts w:hint="eastAsia"/>
                    </w:rPr>
                    <w:t>/</w:t>
                  </w:r>
                </w:p>
              </w:tc>
            </w:tr>
            <w:tr w14:paraId="29E4F5C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4" w:type="pct"/>
                  <w:vMerge w:val="continue"/>
                  <w:tcBorders>
                    <w:left w:val="single" w:color="auto" w:sz="12" w:space="0"/>
                  </w:tcBorders>
                  <w:vAlign w:val="center"/>
                </w:tcPr>
                <w:p w14:paraId="3F5C2D08">
                  <w:pPr>
                    <w:pStyle w:val="31"/>
                  </w:pPr>
                </w:p>
              </w:tc>
              <w:tc>
                <w:tcPr>
                  <w:tcW w:w="689" w:type="pct"/>
                  <w:vAlign w:val="center"/>
                </w:tcPr>
                <w:p w14:paraId="42820B1F">
                  <w:pPr>
                    <w:pStyle w:val="31"/>
                  </w:pPr>
                  <w:r>
                    <w:rPr>
                      <w:rFonts w:hint="eastAsia"/>
                    </w:rPr>
                    <w:t>排水</w:t>
                  </w:r>
                </w:p>
              </w:tc>
              <w:tc>
                <w:tcPr>
                  <w:tcW w:w="3348" w:type="pct"/>
                  <w:vAlign w:val="center"/>
                </w:tcPr>
                <w:p w14:paraId="3DFB2315">
                  <w:pPr>
                    <w:pStyle w:val="31"/>
                  </w:pPr>
                  <w:r>
                    <w:rPr>
                      <w:rFonts w:hint="eastAsia"/>
                    </w:rPr>
                    <w:t>生产废水经沉淀池沉淀后循环使用，不外排；</w:t>
                  </w:r>
                  <w:r>
                    <w:rPr>
                      <w:rFonts w:hint="default" w:ascii="Times New Roman" w:hAnsi="Times New Roman" w:cs="Times New Roman" w:eastAsiaTheme="minorEastAsia"/>
                      <w:color w:val="auto"/>
                      <w:sz w:val="21"/>
                      <w:szCs w:val="21"/>
                      <w:lang w:val="en-US" w:eastAsia="zh-CN"/>
                    </w:rPr>
                    <w:t>生活污水排入一体化污水处理设施后，</w:t>
                  </w:r>
                  <w:r>
                    <w:rPr>
                      <w:rFonts w:hint="eastAsia" w:ascii="Times New Roman" w:hAnsi="Times New Roman" w:cs="Times New Roman" w:eastAsiaTheme="minorEastAsia"/>
                      <w:color w:val="auto"/>
                      <w:sz w:val="21"/>
                      <w:szCs w:val="21"/>
                      <w:lang w:val="en-US" w:eastAsia="zh-CN"/>
                    </w:rPr>
                    <w:t>用于洒水降尘和周边绿化</w:t>
                  </w:r>
                  <w:r>
                    <w:rPr>
                      <w:rFonts w:hint="default" w:ascii="Times New Roman" w:hAnsi="Times New Roman" w:cs="Times New Roman" w:eastAsiaTheme="minorEastAsia"/>
                      <w:color w:val="auto"/>
                      <w:sz w:val="21"/>
                      <w:szCs w:val="21"/>
                      <w:lang w:val="en-US" w:eastAsia="zh-CN"/>
                    </w:rPr>
                    <w:t>，不外排</w:t>
                  </w:r>
                </w:p>
              </w:tc>
              <w:tc>
                <w:tcPr>
                  <w:tcW w:w="527" w:type="pct"/>
                  <w:tcBorders>
                    <w:right w:val="single" w:color="auto" w:sz="12" w:space="0"/>
                  </w:tcBorders>
                  <w:vAlign w:val="center"/>
                </w:tcPr>
                <w:p w14:paraId="5A108CCA">
                  <w:pPr>
                    <w:pStyle w:val="31"/>
                  </w:pPr>
                  <w:r>
                    <w:rPr>
                      <w:rFonts w:hint="eastAsia"/>
                    </w:rPr>
                    <w:t>/</w:t>
                  </w:r>
                </w:p>
              </w:tc>
            </w:tr>
            <w:tr w14:paraId="6A13FD8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4" w:type="pct"/>
                  <w:vMerge w:val="continue"/>
                  <w:tcBorders>
                    <w:left w:val="single" w:color="auto" w:sz="12" w:space="0"/>
                  </w:tcBorders>
                  <w:vAlign w:val="center"/>
                </w:tcPr>
                <w:p w14:paraId="600D84AE">
                  <w:pPr>
                    <w:pStyle w:val="31"/>
                  </w:pPr>
                </w:p>
              </w:tc>
              <w:tc>
                <w:tcPr>
                  <w:tcW w:w="689" w:type="pct"/>
                  <w:vAlign w:val="center"/>
                </w:tcPr>
                <w:p w14:paraId="3536D288">
                  <w:pPr>
                    <w:pStyle w:val="31"/>
                  </w:pPr>
                  <w:r>
                    <w:rPr>
                      <w:rFonts w:hint="eastAsia"/>
                    </w:rPr>
                    <w:t>供热</w:t>
                  </w:r>
                </w:p>
              </w:tc>
              <w:tc>
                <w:tcPr>
                  <w:tcW w:w="3348" w:type="pct"/>
                  <w:vAlign w:val="center"/>
                </w:tcPr>
                <w:p w14:paraId="49B2C050">
                  <w:pPr>
                    <w:pStyle w:val="31"/>
                  </w:pPr>
                  <w:r>
                    <w:rPr>
                      <w:rFonts w:hint="eastAsia"/>
                    </w:rPr>
                    <w:t>项目冬季不开展探矿施工，不设置供热</w:t>
                  </w:r>
                </w:p>
              </w:tc>
              <w:tc>
                <w:tcPr>
                  <w:tcW w:w="527" w:type="pct"/>
                  <w:tcBorders>
                    <w:right w:val="single" w:color="auto" w:sz="12" w:space="0"/>
                  </w:tcBorders>
                  <w:vAlign w:val="center"/>
                </w:tcPr>
                <w:p w14:paraId="4F6787DF">
                  <w:pPr>
                    <w:pStyle w:val="31"/>
                  </w:pPr>
                  <w:r>
                    <w:rPr>
                      <w:rFonts w:hint="eastAsia"/>
                    </w:rPr>
                    <w:t>/</w:t>
                  </w:r>
                </w:p>
              </w:tc>
            </w:tr>
            <w:tr w14:paraId="2208A1D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4" w:type="pct"/>
                  <w:vMerge w:val="restart"/>
                  <w:tcBorders>
                    <w:left w:val="single" w:color="auto" w:sz="12" w:space="0"/>
                  </w:tcBorders>
                  <w:vAlign w:val="center"/>
                </w:tcPr>
                <w:p w14:paraId="154976EF">
                  <w:pPr>
                    <w:pStyle w:val="31"/>
                  </w:pPr>
                  <w:r>
                    <w:t>环保工程</w:t>
                  </w:r>
                </w:p>
              </w:tc>
              <w:tc>
                <w:tcPr>
                  <w:tcW w:w="689" w:type="pct"/>
                  <w:vAlign w:val="center"/>
                </w:tcPr>
                <w:p w14:paraId="740826D8">
                  <w:pPr>
                    <w:pStyle w:val="31"/>
                  </w:pPr>
                  <w:r>
                    <w:rPr>
                      <w:rFonts w:hint="eastAsia"/>
                    </w:rPr>
                    <w:t>废气</w:t>
                  </w:r>
                </w:p>
              </w:tc>
              <w:tc>
                <w:tcPr>
                  <w:tcW w:w="3348" w:type="pct"/>
                  <w:vAlign w:val="center"/>
                </w:tcPr>
                <w:p w14:paraId="5AE32273">
                  <w:pPr>
                    <w:pStyle w:val="31"/>
                  </w:pPr>
                  <w:r>
                    <w:rPr>
                      <w:rFonts w:hint="eastAsia"/>
                      <w:b/>
                    </w:rPr>
                    <w:t>扬尘：</w:t>
                  </w:r>
                  <w:r>
                    <w:rPr>
                      <w:rFonts w:hint="eastAsia"/>
                    </w:rPr>
                    <w:t>对土石方要求采用防尘网或篷布覆盖，运输车辆限速行驶，减少扬尘的产生并洒水抑尘处理；</w:t>
                  </w:r>
                </w:p>
                <w:p w14:paraId="78395594">
                  <w:pPr>
                    <w:pStyle w:val="31"/>
                  </w:pPr>
                  <w:r>
                    <w:rPr>
                      <w:rFonts w:hint="eastAsia"/>
                      <w:b/>
                    </w:rPr>
                    <w:t>燃油废气</w:t>
                  </w:r>
                  <w:r>
                    <w:rPr>
                      <w:rFonts w:hint="eastAsia"/>
                    </w:rPr>
                    <w:t>：对柴油发电机及运输车辆定期维护保养，提高其燃烧效率，减少尾气排放量；</w:t>
                  </w:r>
                </w:p>
              </w:tc>
              <w:tc>
                <w:tcPr>
                  <w:tcW w:w="527" w:type="pct"/>
                  <w:tcBorders>
                    <w:right w:val="single" w:color="auto" w:sz="12" w:space="0"/>
                  </w:tcBorders>
                  <w:vAlign w:val="center"/>
                </w:tcPr>
                <w:p w14:paraId="785EF17A">
                  <w:pPr>
                    <w:pStyle w:val="31"/>
                  </w:pPr>
                  <w:r>
                    <w:rPr>
                      <w:rFonts w:hint="eastAsia"/>
                    </w:rPr>
                    <w:t>/</w:t>
                  </w:r>
                </w:p>
              </w:tc>
            </w:tr>
            <w:tr w14:paraId="60CF0B4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09" w:hRule="atLeast"/>
              </w:trPr>
              <w:tc>
                <w:tcPr>
                  <w:tcW w:w="434" w:type="pct"/>
                  <w:vMerge w:val="continue"/>
                  <w:tcBorders>
                    <w:left w:val="single" w:color="auto" w:sz="12" w:space="0"/>
                  </w:tcBorders>
                  <w:vAlign w:val="center"/>
                </w:tcPr>
                <w:p w14:paraId="73E88B1A">
                  <w:pPr>
                    <w:pStyle w:val="31"/>
                  </w:pPr>
                </w:p>
              </w:tc>
              <w:tc>
                <w:tcPr>
                  <w:tcW w:w="689" w:type="pct"/>
                  <w:vAlign w:val="center"/>
                </w:tcPr>
                <w:p w14:paraId="6A63AFAE">
                  <w:pPr>
                    <w:pStyle w:val="31"/>
                  </w:pPr>
                  <w:r>
                    <w:rPr>
                      <w:rFonts w:hint="eastAsia"/>
                    </w:rPr>
                    <w:t>废水</w:t>
                  </w:r>
                </w:p>
              </w:tc>
              <w:tc>
                <w:tcPr>
                  <w:tcW w:w="3348" w:type="pct"/>
                  <w:vAlign w:val="center"/>
                </w:tcPr>
                <w:p w14:paraId="21084367">
                  <w:pPr>
                    <w:pStyle w:val="31"/>
                  </w:pPr>
                  <w:r>
                    <w:rPr>
                      <w:rFonts w:hint="eastAsia"/>
                      <w:b/>
                    </w:rPr>
                    <w:t>生产废水：</w:t>
                  </w:r>
                  <w:r>
                    <w:rPr>
                      <w:rFonts w:hint="eastAsia"/>
                    </w:rPr>
                    <w:t>在每个钻孔采用防渗膜塑料布及支架组装成简易沉淀池</w:t>
                  </w:r>
                  <w:r>
                    <w:rPr>
                      <w:rStyle w:val="28"/>
                      <w:rFonts w:hint="eastAsia"/>
                      <w:lang w:eastAsia="zh-CN"/>
                    </w:rPr>
                    <w:t>（</w:t>
                  </w:r>
                  <w:r>
                    <w:rPr>
                      <w:rStyle w:val="28"/>
                      <w:rFonts w:hint="eastAsia"/>
                      <w:lang w:val="en-US" w:eastAsia="zh-CN"/>
                    </w:rPr>
                    <w:t>5m</w:t>
                  </w:r>
                  <w:r>
                    <w:rPr>
                      <w:rStyle w:val="28"/>
                      <w:rFonts w:hint="eastAsia"/>
                      <w:vertAlign w:val="superscript"/>
                      <w:lang w:val="en-US" w:eastAsia="zh-CN"/>
                    </w:rPr>
                    <w:t>3</w:t>
                  </w:r>
                  <w:r>
                    <w:rPr>
                      <w:rStyle w:val="28"/>
                      <w:rFonts w:hint="eastAsia"/>
                      <w:vertAlign w:val="baseline"/>
                      <w:lang w:val="en-US" w:eastAsia="zh-CN"/>
                    </w:rPr>
                    <w:t>，1</w:t>
                  </w:r>
                  <w:r>
                    <w:rPr>
                      <w:rFonts w:hint="eastAsia"/>
                      <w:lang w:val="en-US" w:eastAsia="zh-CN"/>
                    </w:rPr>
                    <w:t>个）。</w:t>
                  </w:r>
                  <w:r>
                    <w:rPr>
                      <w:rFonts w:hint="eastAsia"/>
                    </w:rPr>
                    <w:t>生产废水</w:t>
                  </w:r>
                  <w:r>
                    <w:t>循环</w:t>
                  </w:r>
                  <w:r>
                    <w:rPr>
                      <w:rFonts w:hint="eastAsia"/>
                    </w:rPr>
                    <w:t>使用；</w:t>
                  </w:r>
                </w:p>
                <w:p w14:paraId="66B0336C">
                  <w:pPr>
                    <w:pStyle w:val="31"/>
                  </w:pPr>
                  <w:r>
                    <w:rPr>
                      <w:rFonts w:hint="eastAsia"/>
                      <w:b/>
                    </w:rPr>
                    <w:t>生活污水</w:t>
                  </w:r>
                  <w:r>
                    <w:rPr>
                      <w:rFonts w:hint="eastAsia"/>
                    </w:rPr>
                    <w:t>：</w:t>
                  </w:r>
                  <w:r>
                    <w:rPr>
                      <w:rFonts w:hint="default" w:ascii="Times New Roman" w:hAnsi="Times New Roman" w:cs="Times New Roman" w:eastAsiaTheme="minorEastAsia"/>
                      <w:color w:val="auto"/>
                      <w:sz w:val="21"/>
                      <w:szCs w:val="21"/>
                      <w:lang w:val="en-US" w:eastAsia="zh-CN"/>
                    </w:rPr>
                    <w:t>生活污水排入一体化污水处理设施后，</w:t>
                  </w:r>
                  <w:r>
                    <w:rPr>
                      <w:rFonts w:hint="eastAsia" w:ascii="Times New Roman" w:hAnsi="Times New Roman" w:cs="Times New Roman" w:eastAsiaTheme="minorEastAsia"/>
                      <w:color w:val="auto"/>
                      <w:sz w:val="21"/>
                      <w:szCs w:val="21"/>
                      <w:lang w:val="en-US" w:eastAsia="zh-CN"/>
                    </w:rPr>
                    <w:t>用于洒水降尘和周边绿化</w:t>
                  </w:r>
                  <w:r>
                    <w:rPr>
                      <w:rFonts w:hint="default" w:ascii="Times New Roman" w:hAnsi="Times New Roman" w:cs="Times New Roman" w:eastAsiaTheme="minorEastAsia"/>
                      <w:color w:val="auto"/>
                      <w:sz w:val="21"/>
                      <w:szCs w:val="21"/>
                      <w:lang w:val="en-US" w:eastAsia="zh-CN"/>
                    </w:rPr>
                    <w:t>，不外排</w:t>
                  </w:r>
                  <w:r>
                    <w:rPr>
                      <w:rFonts w:hint="eastAsia"/>
                    </w:rPr>
                    <w:t>；</w:t>
                  </w:r>
                </w:p>
              </w:tc>
              <w:tc>
                <w:tcPr>
                  <w:tcW w:w="527" w:type="pct"/>
                  <w:tcBorders>
                    <w:right w:val="single" w:color="auto" w:sz="12" w:space="0"/>
                  </w:tcBorders>
                  <w:vAlign w:val="center"/>
                </w:tcPr>
                <w:p w14:paraId="41D66F66">
                  <w:pPr>
                    <w:pStyle w:val="31"/>
                  </w:pPr>
                  <w:r>
                    <w:rPr>
                      <w:rFonts w:hint="eastAsia"/>
                    </w:rPr>
                    <w:t>临时</w:t>
                  </w:r>
                </w:p>
              </w:tc>
            </w:tr>
            <w:tr w14:paraId="5E30960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4" w:type="pct"/>
                  <w:vMerge w:val="continue"/>
                  <w:tcBorders>
                    <w:left w:val="single" w:color="auto" w:sz="12" w:space="0"/>
                  </w:tcBorders>
                  <w:vAlign w:val="center"/>
                </w:tcPr>
                <w:p w14:paraId="76DF33F1">
                  <w:pPr>
                    <w:pStyle w:val="31"/>
                  </w:pPr>
                </w:p>
              </w:tc>
              <w:tc>
                <w:tcPr>
                  <w:tcW w:w="689" w:type="pct"/>
                  <w:vAlign w:val="center"/>
                </w:tcPr>
                <w:p w14:paraId="7B28E4D6">
                  <w:pPr>
                    <w:pStyle w:val="31"/>
                  </w:pPr>
                  <w:r>
                    <w:rPr>
                      <w:rFonts w:hint="eastAsia"/>
                    </w:rPr>
                    <w:t>噪声</w:t>
                  </w:r>
                </w:p>
              </w:tc>
              <w:tc>
                <w:tcPr>
                  <w:tcW w:w="3348" w:type="pct"/>
                  <w:vAlign w:val="center"/>
                </w:tcPr>
                <w:p w14:paraId="45D00985">
                  <w:pPr>
                    <w:pStyle w:val="31"/>
                  </w:pPr>
                  <w:r>
                    <w:rPr>
                      <w:rFonts w:hint="eastAsia"/>
                    </w:rPr>
                    <w:t>采用低噪声设备，加强对运输车辆、钻机、柴油发电机设备的维护保养工作，保持其良好工况；</w:t>
                  </w:r>
                  <w:r>
                    <w:t>空压机、钻机进行基础减震，空压机进行隔声，能</w:t>
                  </w:r>
                  <w:r>
                    <w:rPr>
                      <w:rFonts w:hint="eastAsia"/>
                      <w:lang w:eastAsia="zh-CN"/>
                    </w:rPr>
                    <w:t>减少</w:t>
                  </w:r>
                  <w:r>
                    <w:t>噪声传播</w:t>
                  </w:r>
                  <w:r>
                    <w:rPr>
                      <w:rFonts w:hint="eastAsia"/>
                    </w:rPr>
                    <w:t>。</w:t>
                  </w:r>
                </w:p>
              </w:tc>
              <w:tc>
                <w:tcPr>
                  <w:tcW w:w="527" w:type="pct"/>
                  <w:tcBorders>
                    <w:right w:val="single" w:color="auto" w:sz="12" w:space="0"/>
                  </w:tcBorders>
                  <w:vAlign w:val="center"/>
                </w:tcPr>
                <w:p w14:paraId="3F9BD622">
                  <w:pPr>
                    <w:pStyle w:val="31"/>
                  </w:pPr>
                  <w:r>
                    <w:rPr>
                      <w:rFonts w:hint="eastAsia"/>
                    </w:rPr>
                    <w:t>/</w:t>
                  </w:r>
                </w:p>
              </w:tc>
            </w:tr>
            <w:tr w14:paraId="73321F0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14" w:hRule="atLeast"/>
              </w:trPr>
              <w:tc>
                <w:tcPr>
                  <w:tcW w:w="434" w:type="pct"/>
                  <w:vMerge w:val="continue"/>
                  <w:tcBorders>
                    <w:left w:val="single" w:color="auto" w:sz="12" w:space="0"/>
                  </w:tcBorders>
                  <w:vAlign w:val="center"/>
                </w:tcPr>
                <w:p w14:paraId="5A96406A">
                  <w:pPr>
                    <w:pStyle w:val="31"/>
                  </w:pPr>
                </w:p>
              </w:tc>
              <w:tc>
                <w:tcPr>
                  <w:tcW w:w="689" w:type="pct"/>
                  <w:vAlign w:val="center"/>
                </w:tcPr>
                <w:p w14:paraId="6B01B950">
                  <w:pPr>
                    <w:pStyle w:val="31"/>
                  </w:pPr>
                  <w:r>
                    <w:rPr>
                      <w:rFonts w:hint="eastAsia"/>
                    </w:rPr>
                    <w:t>固废</w:t>
                  </w:r>
                </w:p>
              </w:tc>
              <w:tc>
                <w:tcPr>
                  <w:tcW w:w="3348" w:type="pct"/>
                  <w:vAlign w:val="center"/>
                </w:tcPr>
                <w:p w14:paraId="03025366">
                  <w:pPr>
                    <w:pStyle w:val="31"/>
                    <w:numPr>
                      <w:ilvl w:val="0"/>
                      <w:numId w:val="0"/>
                    </w:numPr>
                    <w:jc w:val="left"/>
                    <w:rPr>
                      <w:rFonts w:hint="default" w:ascii="Times New Roman" w:hAnsi="Times New Roman" w:cs="Times New Roman"/>
                      <w:lang w:val="en-US" w:eastAsia="zh-CN"/>
                    </w:rPr>
                  </w:pPr>
                  <w:r>
                    <w:rPr>
                      <w:rFonts w:hint="default" w:ascii="Times New Roman" w:hAnsi="Times New Roman" w:eastAsia="宋体" w:cs="Times New Roman"/>
                      <w:kern w:val="2"/>
                      <w:sz w:val="21"/>
                      <w:szCs w:val="22"/>
                      <w:lang w:val="en-US" w:eastAsia="zh-CN" w:bidi="ar-SA"/>
                    </w:rPr>
                    <w:t>1、</w:t>
                  </w:r>
                  <w:r>
                    <w:rPr>
                      <w:rFonts w:hint="default" w:ascii="Times New Roman" w:hAnsi="Times New Roman" w:cs="Times New Roman"/>
                      <w:lang w:val="en-US" w:eastAsia="zh-CN"/>
                    </w:rPr>
                    <w:t>钻探泥浆施工结束后统一固化填埋。</w:t>
                  </w:r>
                </w:p>
                <w:p w14:paraId="793CFE3B">
                  <w:pPr>
                    <w:pStyle w:val="31"/>
                    <w:numPr>
                      <w:ilvl w:val="0"/>
                      <w:numId w:val="0"/>
                    </w:numPr>
                    <w:jc w:val="lef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lang w:val="en-US" w:eastAsia="zh-CN"/>
                    </w:rPr>
                    <w:t>2</w:t>
                  </w:r>
                  <w:r>
                    <w:rPr>
                      <w:rFonts w:hint="default" w:ascii="Times New Roman" w:hAnsi="Times New Roman" w:cs="Times New Roman"/>
                      <w:lang w:val="en-US" w:eastAsia="zh-CN"/>
                    </w:rPr>
                    <w:t>、</w:t>
                  </w:r>
                  <w:r>
                    <w:rPr>
                      <w:rFonts w:hint="default" w:ascii="Times New Roman" w:hAnsi="Times New Roman" w:eastAsia="宋体" w:cs="Times New Roman"/>
                      <w:color w:val="auto"/>
                      <w:sz w:val="21"/>
                      <w:szCs w:val="21"/>
                      <w:lang w:val="en-US" w:eastAsia="zh-CN"/>
                    </w:rPr>
                    <w:t>钻孔岩屑</w:t>
                  </w:r>
                  <w:r>
                    <w:rPr>
                      <w:rFonts w:hint="eastAsia" w:ascii="Times New Roman" w:hAnsi="Times New Roman" w:eastAsia="宋体" w:cs="Times New Roman"/>
                      <w:color w:val="auto"/>
                      <w:sz w:val="21"/>
                      <w:szCs w:val="21"/>
                      <w:lang w:val="en-US" w:eastAsia="zh-CN"/>
                    </w:rPr>
                    <w:t>与</w:t>
                  </w:r>
                  <w:r>
                    <w:rPr>
                      <w:rFonts w:hint="default" w:ascii="Times New Roman" w:hAnsi="Times New Roman" w:eastAsia="宋体" w:cs="Times New Roman"/>
                      <w:color w:val="auto"/>
                      <w:sz w:val="21"/>
                      <w:szCs w:val="21"/>
                      <w:lang w:val="en-US" w:eastAsia="zh-CN"/>
                    </w:rPr>
                    <w:t>临时弃土单独存放，最终回填。</w:t>
                  </w:r>
                </w:p>
                <w:p w14:paraId="24C5E5D7">
                  <w:pPr>
                    <w:pStyle w:val="31"/>
                    <w:numPr>
                      <w:ilvl w:val="0"/>
                      <w:numId w:val="0"/>
                    </w:numPr>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w:t>
                  </w:r>
                  <w:r>
                    <w:rPr>
                      <w:rFonts w:hint="eastAsia"/>
                      <w:lang w:val="en-US" w:eastAsia="zh-CN"/>
                    </w:rPr>
                    <w:t>污水处理装置产生的污泥</w:t>
                  </w:r>
                  <w:r>
                    <w:rPr>
                      <w:rFonts w:hint="eastAsia" w:ascii="Times New Roman" w:hAnsi="Times New Roman" w:eastAsia="宋体" w:cs="宋体"/>
                      <w:lang w:val="en-US" w:eastAsia="zh-CN"/>
                    </w:rPr>
                    <w:t>在勘探结束后就地填埋。</w:t>
                  </w:r>
                </w:p>
                <w:p w14:paraId="495E56D6">
                  <w:pPr>
                    <w:pStyle w:val="31"/>
                    <w:numPr>
                      <w:ilvl w:val="0"/>
                      <w:numId w:val="0"/>
                    </w:numPr>
                    <w:jc w:val="lef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r>
                    <w:rPr>
                      <w:rFonts w:hint="eastAsia"/>
                    </w:rPr>
                    <w:t>生活垃圾</w:t>
                  </w:r>
                  <w:r>
                    <w:rPr>
                      <w:rFonts w:hint="eastAsia"/>
                      <w:lang w:val="en-US" w:eastAsia="zh-CN"/>
                    </w:rPr>
                    <w:t>统一收集后送至和静县巴音布鲁克镇垃圾填埋场</w:t>
                  </w:r>
                  <w:r>
                    <w:rPr>
                      <w:rFonts w:hint="eastAsia"/>
                      <w:lang w:eastAsia="zh-CN"/>
                    </w:rPr>
                    <w:t>。</w:t>
                  </w:r>
                </w:p>
                <w:p w14:paraId="0F736F30">
                  <w:pPr>
                    <w:pStyle w:val="31"/>
                    <w:numPr>
                      <w:ilvl w:val="0"/>
                      <w:numId w:val="0"/>
                    </w:numPr>
                    <w:jc w:val="left"/>
                  </w:pPr>
                  <w:r>
                    <w:rPr>
                      <w:rFonts w:hint="eastAsia"/>
                      <w:lang w:val="en-US" w:eastAsia="zh-CN"/>
                    </w:rPr>
                    <w:t>5、废油桶贮存于危险废物贮存点，</w:t>
                  </w:r>
                  <w:r>
                    <w:rPr>
                      <w:rFonts w:hint="eastAsia" w:ascii="Times New Roman" w:hAnsi="Times New Roman" w:cs="Times New Roman" w:eastAsiaTheme="minorEastAsia"/>
                      <w:color w:val="auto"/>
                      <w:sz w:val="21"/>
                      <w:szCs w:val="21"/>
                      <w:lang w:val="en-US" w:eastAsia="zh-CN"/>
                    </w:rPr>
                    <w:t>集中收集后</w:t>
                  </w:r>
                  <w:r>
                    <w:rPr>
                      <w:rFonts w:hint="default" w:ascii="Times New Roman" w:hAnsi="Times New Roman" w:cs="Times New Roman" w:eastAsiaTheme="minorEastAsia"/>
                      <w:color w:val="auto"/>
                      <w:sz w:val="21"/>
                      <w:szCs w:val="21"/>
                      <w:lang w:val="en-US" w:eastAsia="zh-CN"/>
                    </w:rPr>
                    <w:t>交</w:t>
                  </w:r>
                  <w:r>
                    <w:rPr>
                      <w:rFonts w:hint="eastAsia" w:cs="Times New Roman" w:eastAsiaTheme="minorEastAsia"/>
                      <w:color w:val="auto"/>
                      <w:sz w:val="21"/>
                      <w:szCs w:val="21"/>
                      <w:lang w:val="en-US" w:eastAsia="zh-CN"/>
                    </w:rPr>
                    <w:t>由</w:t>
                  </w:r>
                  <w:r>
                    <w:rPr>
                      <w:rFonts w:hint="default" w:ascii="Times New Roman" w:hAnsi="Times New Roman" w:cs="Times New Roman" w:eastAsiaTheme="minorEastAsia"/>
                      <w:color w:val="auto"/>
                      <w:sz w:val="21"/>
                      <w:szCs w:val="21"/>
                      <w:lang w:val="en-US" w:eastAsia="zh-CN"/>
                    </w:rPr>
                    <w:t>资质单位处理</w:t>
                  </w:r>
                  <w:r>
                    <w:rPr>
                      <w:rFonts w:hint="eastAsia" w:cs="Times New Roman" w:eastAsiaTheme="minorEastAsia"/>
                      <w:color w:val="auto"/>
                      <w:sz w:val="21"/>
                      <w:szCs w:val="21"/>
                      <w:lang w:val="en-US" w:eastAsia="zh-CN"/>
                    </w:rPr>
                    <w:t>。</w:t>
                  </w:r>
                  <w:r>
                    <w:rPr>
                      <w:rFonts w:hint="eastAsia"/>
                    </w:rPr>
                    <w:t>设备维修养护在</w:t>
                  </w:r>
                  <w:r>
                    <w:rPr>
                      <w:rFonts w:hint="eastAsia"/>
                      <w:lang w:val="en-US" w:eastAsia="zh-CN"/>
                    </w:rPr>
                    <w:t>和静县巴音布鲁克镇</w:t>
                  </w:r>
                  <w:r>
                    <w:rPr>
                      <w:rFonts w:hint="eastAsia"/>
                    </w:rPr>
                    <w:t>修理，不在矿区进行养护</w:t>
                  </w:r>
                  <w:r>
                    <w:t>，</w:t>
                  </w:r>
                  <w:r>
                    <w:rPr>
                      <w:rFonts w:hint="eastAsia"/>
                    </w:rPr>
                    <w:t>因此项目不产生废矿物油等危险废物；</w:t>
                  </w:r>
                </w:p>
              </w:tc>
              <w:tc>
                <w:tcPr>
                  <w:tcW w:w="527" w:type="pct"/>
                  <w:tcBorders>
                    <w:right w:val="single" w:color="auto" w:sz="12" w:space="0"/>
                  </w:tcBorders>
                  <w:vAlign w:val="center"/>
                </w:tcPr>
                <w:p w14:paraId="1E23F031">
                  <w:pPr>
                    <w:pStyle w:val="31"/>
                  </w:pPr>
                  <w:r>
                    <w:rPr>
                      <w:rFonts w:hint="eastAsia"/>
                    </w:rPr>
                    <w:t>/</w:t>
                  </w:r>
                </w:p>
              </w:tc>
            </w:tr>
            <w:tr w14:paraId="2CAD629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24" w:type="pct"/>
                  <w:gridSpan w:val="2"/>
                  <w:tcBorders>
                    <w:left w:val="single" w:color="auto" w:sz="12" w:space="0"/>
                  </w:tcBorders>
                  <w:vAlign w:val="center"/>
                </w:tcPr>
                <w:p w14:paraId="668E343E">
                  <w:pPr>
                    <w:pStyle w:val="31"/>
                  </w:pPr>
                  <w:r>
                    <w:rPr>
                      <w:rFonts w:hint="eastAsia"/>
                    </w:rPr>
                    <w:t>办公生活区</w:t>
                  </w:r>
                </w:p>
              </w:tc>
              <w:tc>
                <w:tcPr>
                  <w:tcW w:w="3348" w:type="pct"/>
                  <w:vAlign w:val="center"/>
                </w:tcPr>
                <w:p w14:paraId="177A7E3D">
                  <w:pPr>
                    <w:pStyle w:val="31"/>
                  </w:pPr>
                  <w:r>
                    <w:rPr>
                      <w:rFonts w:hint="eastAsia"/>
                    </w:rPr>
                    <w:t>办公生活区为勘探现场搭建临时帐篷</w:t>
                  </w:r>
                </w:p>
              </w:tc>
              <w:tc>
                <w:tcPr>
                  <w:tcW w:w="527" w:type="pct"/>
                  <w:tcBorders>
                    <w:right w:val="single" w:color="auto" w:sz="12" w:space="0"/>
                  </w:tcBorders>
                  <w:vAlign w:val="center"/>
                </w:tcPr>
                <w:p w14:paraId="36029F3E">
                  <w:pPr>
                    <w:pStyle w:val="31"/>
                  </w:pPr>
                  <w:r>
                    <w:rPr>
                      <w:rFonts w:hint="eastAsia"/>
                    </w:rPr>
                    <w:t>临时</w:t>
                  </w:r>
                </w:p>
              </w:tc>
            </w:tr>
          </w:tbl>
          <w:p w14:paraId="264FA572">
            <w:pPr>
              <w:pStyle w:val="20"/>
              <w:ind w:firstLine="482"/>
            </w:pPr>
            <w:r>
              <w:rPr>
                <w:rFonts w:hint="eastAsia"/>
              </w:rPr>
              <w:t>4</w:t>
            </w:r>
            <w:r>
              <w:t>.</w:t>
            </w:r>
            <w:r>
              <w:rPr>
                <w:rFonts w:hint="eastAsia"/>
              </w:rPr>
              <w:t>总体工作部署：</w:t>
            </w:r>
          </w:p>
          <w:p w14:paraId="70A662FB">
            <w:pPr>
              <w:ind w:firstLine="560"/>
            </w:pPr>
            <w:r>
              <w:t>对</w:t>
            </w:r>
            <w:r>
              <w:rPr>
                <w:rFonts w:hint="eastAsia"/>
                <w:lang w:eastAsia="zh-CN"/>
              </w:rPr>
              <w:t>新疆和静县冰湖南—萨尔明山南西一带</w:t>
            </w:r>
            <w:r>
              <w:t>金矿区，在充分收集研究区域和矿区已有的地物化成果资料的基础上，重点针对区内金体开展勘查工作，通过1:1万地质测量（修测）、1:2千地质测量、1:1万物化探剖面测量等有效的勘查手段，对成矿有利地段进行查证，进一步缩小找矿范围通过布设槽探、钻探工程进行系统控制，基本查明地层、构造、岩石、围岩蚀变、控矿因素、找矿标志及矿化蚀变范围，基本查明矿体规模、数量、形态、产状、分布、矿石成分、结构构造、品位变化及矿石类型，估算控制（KZ）+推断（TD）的资源量。</w:t>
            </w:r>
          </w:p>
          <w:p w14:paraId="51B09BDC">
            <w:pPr>
              <w:ind w:firstLine="480"/>
            </w:pPr>
            <w:r>
              <w:t>对野外地质资料进行综合整理、分析、研究，总结本区成矿规律、矿体分布特征、构造控矿特点、岩石蚀变、矿化类型及相互关系，提交《</w:t>
            </w:r>
            <w:r>
              <w:rPr>
                <w:rFonts w:hint="eastAsia"/>
                <w:lang w:eastAsia="zh-CN"/>
              </w:rPr>
              <w:t>新疆和静县冰湖南—萨尔明山南西一带</w:t>
            </w:r>
            <w:r>
              <w:t>金矿详查报告》，为下一步地质工作提供可靠的地质依据。</w:t>
            </w:r>
          </w:p>
          <w:p w14:paraId="16686408">
            <w:pPr>
              <w:ind w:firstLine="560"/>
              <w:rPr>
                <w:rFonts w:hint="eastAsia"/>
              </w:rPr>
            </w:pPr>
            <w:r>
              <mc:AlternateContent>
                <mc:Choice Requires="wps">
                  <w:drawing>
                    <wp:anchor distT="0" distB="0" distL="114300" distR="114300" simplePos="0" relativeHeight="251663360" behindDoc="0" locked="0" layoutInCell="1" allowOverlap="1">
                      <wp:simplePos x="0" y="0"/>
                      <wp:positionH relativeFrom="column">
                        <wp:posOffset>1441450</wp:posOffset>
                      </wp:positionH>
                      <wp:positionV relativeFrom="paragraph">
                        <wp:posOffset>2404110</wp:posOffset>
                      </wp:positionV>
                      <wp:extent cx="379730" cy="26035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379730" cy="260350"/>
                              </a:xfrm>
                              <a:prstGeom prst="rect">
                                <a:avLst/>
                              </a:prstGeom>
                              <a:noFill/>
                              <a:ln>
                                <a:noFill/>
                              </a:ln>
                            </wps:spPr>
                            <wps:txbx>
                              <w:txbxContent>
                                <w:p w14:paraId="3EB8EBC1">
                                  <w:pPr>
                                    <w:ind w:firstLine="560"/>
                                  </w:pPr>
                                  <w:r>
                                    <w:rPr>
                                      <w:rFonts w:hint="eastAsia"/>
                                    </w:rPr>
                                    <w:t>Ⅲ-</w:t>
                                  </w:r>
                                </w:p>
                              </w:txbxContent>
                            </wps:txbx>
                            <wps:bodyPr upright="1"/>
                          </wps:wsp>
                        </a:graphicData>
                      </a:graphic>
                    </wp:anchor>
                  </w:drawing>
                </mc:Choice>
                <mc:Fallback>
                  <w:pict>
                    <v:shape id="_x0000_s1026" o:spid="_x0000_s1026" o:spt="202" type="#_x0000_t202" style="position:absolute;left:0pt;margin-left:113.5pt;margin-top:189.3pt;height:20.5pt;width:29.9pt;z-index:251663360;mso-width-relative:page;mso-height-relative:page;" filled="f" stroked="f" coordsize="21600,21600" o:gfxdata="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4aqZI&#10;2QAAAAsBAAAPAAAAAAAAAAEAIAAAACIAAABkcnMvZG93bnJldi54bWxQSwECFAAUAAAACACHTuJA&#10;C9fpUK4BAABPAwAADgAAAAAAAAABACAAAAAoAQAAZHJzL2Uyb0RvYy54bWxQSwUGAAAAAAYABgBZ&#10;AQAASAUAAAAA&#10;">
                      <v:fill on="f" focussize="0,0"/>
                      <v:stroke on="f"/>
                      <v:imagedata o:title=""/>
                      <o:lock v:ext="edit" aspectratio="f"/>
                      <v:textbox>
                        <w:txbxContent>
                          <w:p w14:paraId="3EB8EBC1">
                            <w:pPr>
                              <w:ind w:firstLine="560"/>
                            </w:pPr>
                            <w:r>
                              <w:rPr>
                                <w:rFonts w:hint="eastAsia"/>
                              </w:rPr>
                              <w:t>Ⅲ-</w:t>
                            </w:r>
                          </w:p>
                        </w:txbxContent>
                      </v:textbox>
                    </v:shape>
                  </w:pict>
                </mc:Fallback>
              </mc:AlternateContent>
            </w:r>
            <w:r>
              <w:t>重点工作区为夏尔嘎特达坂金矿区，重点工作矿（化）体为矿化规模最大、连续性最好的Ⅲ-1号金矿（化）体。</w:t>
            </w:r>
            <w:r>
              <w:rPr>
                <w:rFonts w:hint="eastAsia"/>
              </w:rPr>
              <w:t>在该区按18°方向，80m间距布设勘查线12条，西侧为单数，东侧为双数，编号分别为1、9、17、25号勘查线及6、14、22、30、38、46、54号勘查线。</w:t>
            </w:r>
          </w:p>
          <w:p w14:paraId="6620850D">
            <w:pPr>
              <w:ind w:firstLine="560"/>
            </w:pPr>
            <w:r>
              <w:t>地表按照80m间距沿走向系统布设槽探工程，槽探工程具体布置情况详见表</w:t>
            </w:r>
            <w:r>
              <w:rPr>
                <w:rFonts w:hint="eastAsia"/>
                <w:lang w:val="en-US" w:eastAsia="zh-CN"/>
              </w:rPr>
              <w:t>2-2</w:t>
            </w:r>
            <w:r>
              <w:t>。</w:t>
            </w:r>
          </w:p>
          <w:p w14:paraId="2F79F9A0">
            <w:pPr>
              <w:pStyle w:val="18"/>
              <w:spacing w:line="240" w:lineRule="auto"/>
              <w:ind w:leftChars="0" w:firstLine="482" w:firstLineChars="200"/>
              <w:jc w:val="center"/>
              <w:rPr>
                <w:b/>
                <w:bCs/>
                <w:sz w:val="24"/>
              </w:rPr>
            </w:pPr>
            <w:r>
              <w:rPr>
                <w:b/>
                <w:bCs/>
                <w:sz w:val="24"/>
              </w:rPr>
              <w:t>表</w:t>
            </w:r>
            <w:r>
              <w:rPr>
                <w:rFonts w:hint="eastAsia"/>
                <w:b/>
                <w:bCs/>
                <w:sz w:val="24"/>
                <w:lang w:val="en-US" w:eastAsia="zh-CN"/>
              </w:rPr>
              <w:t>2-2</w:t>
            </w:r>
            <w:r>
              <w:rPr>
                <w:b/>
                <w:bCs/>
                <w:sz w:val="24"/>
              </w:rPr>
              <w:t>设计槽探工程统计表</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726"/>
              <w:gridCol w:w="1868"/>
              <w:gridCol w:w="951"/>
              <w:gridCol w:w="951"/>
              <w:gridCol w:w="951"/>
              <w:gridCol w:w="905"/>
              <w:gridCol w:w="846"/>
              <w:gridCol w:w="852"/>
              <w:gridCol w:w="957"/>
            </w:tblGrid>
            <w:tr w14:paraId="712A635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0" w:hRule="atLeast"/>
                <w:jc w:val="center"/>
              </w:trPr>
              <w:tc>
                <w:tcPr>
                  <w:tcW w:w="485" w:type="pct"/>
                  <w:vMerge w:val="restart"/>
                  <w:tcBorders>
                    <w:tl2br w:val="nil"/>
                    <w:tr2bl w:val="nil"/>
                  </w:tcBorders>
                  <w:shd w:val="clear" w:color="auto" w:fill="auto"/>
                  <w:noWrap/>
                  <w:vAlign w:val="center"/>
                </w:tcPr>
                <w:p w14:paraId="75BB820F">
                  <w:pPr>
                    <w:pStyle w:val="31"/>
                    <w:rPr>
                      <w:rFonts w:hint="eastAsia"/>
                    </w:rPr>
                  </w:pPr>
                  <w:r>
                    <w:rPr>
                      <w:rFonts w:hint="eastAsia"/>
                    </w:rPr>
                    <w:t>序号</w:t>
                  </w:r>
                </w:p>
              </w:tc>
              <w:tc>
                <w:tcPr>
                  <w:tcW w:w="1119" w:type="pct"/>
                  <w:vMerge w:val="restart"/>
                  <w:tcBorders>
                    <w:tl2br w:val="nil"/>
                    <w:tr2bl w:val="nil"/>
                  </w:tcBorders>
                  <w:shd w:val="clear" w:color="auto" w:fill="auto"/>
                  <w:noWrap/>
                  <w:vAlign w:val="center"/>
                </w:tcPr>
                <w:p w14:paraId="7E5D7FC1">
                  <w:pPr>
                    <w:pStyle w:val="31"/>
                    <w:rPr>
                      <w:rFonts w:hint="eastAsia"/>
                    </w:rPr>
                  </w:pPr>
                  <w:r>
                    <w:rPr>
                      <w:rFonts w:hint="eastAsia"/>
                    </w:rPr>
                    <w:t>工程编号</w:t>
                  </w:r>
                </w:p>
              </w:tc>
              <w:tc>
                <w:tcPr>
                  <w:tcW w:w="970" w:type="pct"/>
                  <w:gridSpan w:val="2"/>
                  <w:tcBorders>
                    <w:tl2br w:val="nil"/>
                    <w:tr2bl w:val="nil"/>
                  </w:tcBorders>
                  <w:shd w:val="clear" w:color="auto" w:fill="auto"/>
                  <w:noWrap/>
                  <w:vAlign w:val="center"/>
                </w:tcPr>
                <w:p w14:paraId="0CE52915">
                  <w:pPr>
                    <w:pStyle w:val="31"/>
                    <w:rPr>
                      <w:rFonts w:hint="eastAsia"/>
                    </w:rPr>
                  </w:pPr>
                  <w:r>
                    <w:rPr>
                      <w:rFonts w:hint="eastAsia"/>
                    </w:rPr>
                    <w:t>起点坐标</w:t>
                  </w:r>
                </w:p>
              </w:tc>
              <w:tc>
                <w:tcPr>
                  <w:tcW w:w="970" w:type="pct"/>
                  <w:gridSpan w:val="2"/>
                  <w:tcBorders>
                    <w:tl2br w:val="nil"/>
                    <w:tr2bl w:val="nil"/>
                  </w:tcBorders>
                  <w:shd w:val="clear" w:color="auto" w:fill="auto"/>
                  <w:noWrap w:val="0"/>
                  <w:vAlign w:val="center"/>
                </w:tcPr>
                <w:p w14:paraId="7A244F78">
                  <w:pPr>
                    <w:pStyle w:val="31"/>
                    <w:rPr>
                      <w:rFonts w:hint="eastAsia"/>
                    </w:rPr>
                  </w:pPr>
                  <w:r>
                    <w:rPr>
                      <w:rFonts w:hint="eastAsia"/>
                    </w:rPr>
                    <w:t>终点坐标</w:t>
                  </w:r>
                </w:p>
              </w:tc>
              <w:tc>
                <w:tcPr>
                  <w:tcW w:w="485" w:type="pct"/>
                  <w:vMerge w:val="restart"/>
                  <w:tcBorders>
                    <w:tl2br w:val="nil"/>
                    <w:tr2bl w:val="nil"/>
                  </w:tcBorders>
                  <w:shd w:val="clear" w:color="auto" w:fill="auto"/>
                  <w:noWrap/>
                  <w:vAlign w:val="center"/>
                </w:tcPr>
                <w:p w14:paraId="0FE7FB0A">
                  <w:pPr>
                    <w:pStyle w:val="31"/>
                    <w:rPr>
                      <w:rFonts w:hint="eastAsia"/>
                    </w:rPr>
                  </w:pPr>
                  <w:r>
                    <w:rPr>
                      <w:rFonts w:hint="eastAsia"/>
                    </w:rPr>
                    <w:t>方位°</w:t>
                  </w:r>
                </w:p>
              </w:tc>
              <w:tc>
                <w:tcPr>
                  <w:tcW w:w="485" w:type="pct"/>
                  <w:vMerge w:val="restart"/>
                  <w:tcBorders>
                    <w:tl2br w:val="nil"/>
                    <w:tr2bl w:val="nil"/>
                  </w:tcBorders>
                  <w:shd w:val="clear" w:color="auto" w:fill="auto"/>
                  <w:noWrap/>
                  <w:vAlign w:val="center"/>
                </w:tcPr>
                <w:p w14:paraId="61EC839C">
                  <w:pPr>
                    <w:pStyle w:val="31"/>
                    <w:rPr>
                      <w:rFonts w:hint="eastAsia"/>
                    </w:rPr>
                  </w:pPr>
                  <w:r>
                    <w:rPr>
                      <w:rFonts w:hint="eastAsia"/>
                    </w:rPr>
                    <w:t>长度m</w:t>
                  </w:r>
                </w:p>
              </w:tc>
              <w:tc>
                <w:tcPr>
                  <w:tcW w:w="485" w:type="pct"/>
                  <w:vMerge w:val="restart"/>
                  <w:tcBorders>
                    <w:tl2br w:val="nil"/>
                    <w:tr2bl w:val="nil"/>
                  </w:tcBorders>
                  <w:shd w:val="clear" w:color="auto" w:fill="auto"/>
                  <w:noWrap/>
                  <w:vAlign w:val="center"/>
                </w:tcPr>
                <w:p w14:paraId="4D854CF3">
                  <w:pPr>
                    <w:pStyle w:val="31"/>
                    <w:rPr>
                      <w:rFonts w:hint="eastAsia"/>
                    </w:rPr>
                  </w:pPr>
                  <w:r>
                    <w:rPr>
                      <w:rFonts w:hint="eastAsia"/>
                    </w:rPr>
                    <w:t>方量m³</w:t>
                  </w:r>
                </w:p>
              </w:tc>
            </w:tr>
            <w:tr w14:paraId="0F9CDEF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0" w:hRule="atLeast"/>
                <w:jc w:val="center"/>
              </w:trPr>
              <w:tc>
                <w:tcPr>
                  <w:tcW w:w="485" w:type="pct"/>
                  <w:vMerge w:val="continue"/>
                  <w:tcBorders>
                    <w:tl2br w:val="nil"/>
                    <w:tr2bl w:val="nil"/>
                  </w:tcBorders>
                  <w:shd w:val="clear" w:color="auto" w:fill="auto"/>
                  <w:noWrap w:val="0"/>
                  <w:vAlign w:val="center"/>
                </w:tcPr>
                <w:p w14:paraId="3B952BF1">
                  <w:pPr>
                    <w:pStyle w:val="31"/>
                    <w:rPr>
                      <w:rFonts w:hint="eastAsia"/>
                    </w:rPr>
                  </w:pPr>
                </w:p>
              </w:tc>
              <w:tc>
                <w:tcPr>
                  <w:tcW w:w="1119" w:type="pct"/>
                  <w:vMerge w:val="continue"/>
                  <w:tcBorders>
                    <w:tl2br w:val="nil"/>
                    <w:tr2bl w:val="nil"/>
                  </w:tcBorders>
                  <w:shd w:val="clear" w:color="auto" w:fill="auto"/>
                  <w:noWrap w:val="0"/>
                  <w:vAlign w:val="center"/>
                </w:tcPr>
                <w:p w14:paraId="316307B5">
                  <w:pPr>
                    <w:pStyle w:val="31"/>
                    <w:rPr>
                      <w:rFonts w:hint="eastAsia"/>
                    </w:rPr>
                  </w:pPr>
                </w:p>
              </w:tc>
              <w:tc>
                <w:tcPr>
                  <w:tcW w:w="485" w:type="pct"/>
                  <w:tcBorders>
                    <w:tl2br w:val="nil"/>
                    <w:tr2bl w:val="nil"/>
                  </w:tcBorders>
                  <w:shd w:val="clear" w:color="auto" w:fill="auto"/>
                  <w:noWrap/>
                  <w:vAlign w:val="center"/>
                </w:tcPr>
                <w:p w14:paraId="6DCFCD1D">
                  <w:pPr>
                    <w:pStyle w:val="31"/>
                    <w:rPr>
                      <w:rFonts w:hint="eastAsia"/>
                    </w:rPr>
                  </w:pPr>
                  <w:r>
                    <w:rPr>
                      <w:rFonts w:hint="eastAsia"/>
                    </w:rPr>
                    <w:t>X</w:t>
                  </w:r>
                </w:p>
              </w:tc>
              <w:tc>
                <w:tcPr>
                  <w:tcW w:w="485" w:type="pct"/>
                  <w:tcBorders>
                    <w:tl2br w:val="nil"/>
                    <w:tr2bl w:val="nil"/>
                  </w:tcBorders>
                  <w:shd w:val="clear" w:color="auto" w:fill="auto"/>
                  <w:noWrap/>
                  <w:vAlign w:val="center"/>
                </w:tcPr>
                <w:p w14:paraId="09B73554">
                  <w:pPr>
                    <w:pStyle w:val="31"/>
                    <w:rPr>
                      <w:rFonts w:hint="eastAsia"/>
                    </w:rPr>
                  </w:pPr>
                  <w:r>
                    <w:rPr>
                      <w:rFonts w:hint="eastAsia"/>
                    </w:rPr>
                    <w:t>Y</w:t>
                  </w:r>
                </w:p>
              </w:tc>
              <w:tc>
                <w:tcPr>
                  <w:tcW w:w="485" w:type="pct"/>
                  <w:tcBorders>
                    <w:tl2br w:val="nil"/>
                    <w:tr2bl w:val="nil"/>
                  </w:tcBorders>
                  <w:shd w:val="clear" w:color="auto" w:fill="auto"/>
                  <w:noWrap/>
                  <w:vAlign w:val="center"/>
                </w:tcPr>
                <w:p w14:paraId="05950769">
                  <w:pPr>
                    <w:pStyle w:val="31"/>
                    <w:rPr>
                      <w:rFonts w:hint="eastAsia"/>
                    </w:rPr>
                  </w:pPr>
                  <w:r>
                    <w:rPr>
                      <w:rFonts w:hint="eastAsia"/>
                    </w:rPr>
                    <w:t>X</w:t>
                  </w:r>
                </w:p>
              </w:tc>
              <w:tc>
                <w:tcPr>
                  <w:tcW w:w="485" w:type="pct"/>
                  <w:tcBorders>
                    <w:tl2br w:val="nil"/>
                    <w:tr2bl w:val="nil"/>
                  </w:tcBorders>
                  <w:shd w:val="clear" w:color="auto" w:fill="auto"/>
                  <w:noWrap/>
                  <w:vAlign w:val="center"/>
                </w:tcPr>
                <w:p w14:paraId="79CDEE72">
                  <w:pPr>
                    <w:pStyle w:val="31"/>
                    <w:rPr>
                      <w:rFonts w:hint="eastAsia"/>
                    </w:rPr>
                  </w:pPr>
                  <w:r>
                    <w:rPr>
                      <w:rFonts w:hint="eastAsia"/>
                    </w:rPr>
                    <w:t>Y</w:t>
                  </w:r>
                </w:p>
              </w:tc>
              <w:tc>
                <w:tcPr>
                  <w:tcW w:w="485" w:type="pct"/>
                  <w:vMerge w:val="continue"/>
                  <w:tcBorders>
                    <w:tl2br w:val="nil"/>
                    <w:tr2bl w:val="nil"/>
                  </w:tcBorders>
                  <w:noWrap w:val="0"/>
                  <w:vAlign w:val="center"/>
                </w:tcPr>
                <w:p w14:paraId="73C9A74D">
                  <w:pPr>
                    <w:pStyle w:val="31"/>
                    <w:rPr>
                      <w:rFonts w:hint="eastAsia"/>
                    </w:rPr>
                  </w:pPr>
                </w:p>
              </w:tc>
              <w:tc>
                <w:tcPr>
                  <w:tcW w:w="485" w:type="pct"/>
                  <w:vMerge w:val="continue"/>
                  <w:tcBorders>
                    <w:tl2br w:val="nil"/>
                    <w:tr2bl w:val="nil"/>
                  </w:tcBorders>
                  <w:noWrap w:val="0"/>
                  <w:vAlign w:val="center"/>
                </w:tcPr>
                <w:p w14:paraId="387E8608">
                  <w:pPr>
                    <w:pStyle w:val="31"/>
                    <w:rPr>
                      <w:rFonts w:hint="eastAsia"/>
                    </w:rPr>
                  </w:pPr>
                </w:p>
              </w:tc>
              <w:tc>
                <w:tcPr>
                  <w:tcW w:w="485" w:type="pct"/>
                  <w:vMerge w:val="continue"/>
                  <w:tcBorders>
                    <w:tl2br w:val="nil"/>
                    <w:tr2bl w:val="nil"/>
                  </w:tcBorders>
                  <w:noWrap w:val="0"/>
                  <w:vAlign w:val="center"/>
                </w:tcPr>
                <w:p w14:paraId="74CB0290">
                  <w:pPr>
                    <w:pStyle w:val="31"/>
                    <w:rPr>
                      <w:rFonts w:hint="eastAsia"/>
                    </w:rPr>
                  </w:pPr>
                </w:p>
              </w:tc>
            </w:tr>
            <w:tr w14:paraId="614F2E0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0" w:hRule="atLeast"/>
                <w:jc w:val="center"/>
              </w:trPr>
              <w:tc>
                <w:tcPr>
                  <w:tcW w:w="485" w:type="pct"/>
                  <w:tcBorders>
                    <w:tl2br w:val="nil"/>
                    <w:tr2bl w:val="nil"/>
                  </w:tcBorders>
                  <w:shd w:val="clear" w:color="auto" w:fill="auto"/>
                  <w:noWrap/>
                  <w:vAlign w:val="center"/>
                </w:tcPr>
                <w:p w14:paraId="10790C98">
                  <w:pPr>
                    <w:pStyle w:val="31"/>
                    <w:rPr>
                      <w:rFonts w:hint="eastAsia"/>
                    </w:rPr>
                  </w:pPr>
                  <w:r>
                    <w:rPr>
                      <w:rFonts w:hint="eastAsia"/>
                    </w:rPr>
                    <w:t>1</w:t>
                  </w:r>
                </w:p>
              </w:tc>
              <w:tc>
                <w:tcPr>
                  <w:tcW w:w="1119" w:type="pct"/>
                  <w:tcBorders>
                    <w:tl2br w:val="nil"/>
                    <w:tr2bl w:val="nil"/>
                  </w:tcBorders>
                  <w:shd w:val="clear" w:color="auto" w:fill="auto"/>
                  <w:noWrap/>
                  <w:vAlign w:val="center"/>
                </w:tcPr>
                <w:p w14:paraId="29C73630">
                  <w:pPr>
                    <w:pStyle w:val="31"/>
                    <w:rPr>
                      <w:rFonts w:hint="eastAsia"/>
                    </w:rPr>
                  </w:pPr>
                  <w:r>
                    <w:rPr>
                      <w:rFonts w:hint="eastAsia"/>
                    </w:rPr>
                    <w:t>2024TC101</w:t>
                  </w:r>
                </w:p>
              </w:tc>
              <w:tc>
                <w:tcPr>
                  <w:tcW w:w="485" w:type="pct"/>
                  <w:tcBorders>
                    <w:tl2br w:val="nil"/>
                    <w:tr2bl w:val="nil"/>
                  </w:tcBorders>
                  <w:shd w:val="clear" w:color="auto" w:fill="auto"/>
                  <w:noWrap/>
                  <w:vAlign w:val="center"/>
                </w:tcPr>
                <w:p w14:paraId="49EDAF08">
                  <w:pPr>
                    <w:pStyle w:val="31"/>
                    <w:rPr>
                      <w:rFonts w:hint="eastAsia"/>
                    </w:rPr>
                  </w:pPr>
                  <w:r>
                    <w:rPr>
                      <w:rFonts w:hint="eastAsia"/>
                    </w:rPr>
                    <w:t>4725597</w:t>
                  </w:r>
                </w:p>
              </w:tc>
              <w:tc>
                <w:tcPr>
                  <w:tcW w:w="485" w:type="pct"/>
                  <w:tcBorders>
                    <w:tl2br w:val="nil"/>
                    <w:tr2bl w:val="nil"/>
                  </w:tcBorders>
                  <w:shd w:val="clear" w:color="auto" w:fill="auto"/>
                  <w:noWrap/>
                  <w:vAlign w:val="center"/>
                </w:tcPr>
                <w:p w14:paraId="0E15C344">
                  <w:pPr>
                    <w:pStyle w:val="31"/>
                    <w:rPr>
                      <w:rFonts w:hint="eastAsia"/>
                    </w:rPr>
                  </w:pPr>
                  <w:r>
                    <w:rPr>
                      <w:rFonts w:hint="eastAsia"/>
                    </w:rPr>
                    <w:t>575184</w:t>
                  </w:r>
                </w:p>
              </w:tc>
              <w:tc>
                <w:tcPr>
                  <w:tcW w:w="485" w:type="pct"/>
                  <w:tcBorders>
                    <w:tl2br w:val="nil"/>
                    <w:tr2bl w:val="nil"/>
                  </w:tcBorders>
                  <w:shd w:val="clear" w:color="auto" w:fill="auto"/>
                  <w:noWrap/>
                  <w:vAlign w:val="center"/>
                </w:tcPr>
                <w:p w14:paraId="0C2B11F7">
                  <w:pPr>
                    <w:pStyle w:val="31"/>
                    <w:rPr>
                      <w:rFonts w:hint="eastAsia"/>
                    </w:rPr>
                  </w:pPr>
                  <w:r>
                    <w:rPr>
                      <w:rFonts w:hint="eastAsia"/>
                    </w:rPr>
                    <w:t>4725717</w:t>
                  </w:r>
                </w:p>
              </w:tc>
              <w:tc>
                <w:tcPr>
                  <w:tcW w:w="485" w:type="pct"/>
                  <w:tcBorders>
                    <w:tl2br w:val="nil"/>
                    <w:tr2bl w:val="nil"/>
                  </w:tcBorders>
                  <w:shd w:val="clear" w:color="auto" w:fill="auto"/>
                  <w:noWrap/>
                  <w:vAlign w:val="center"/>
                </w:tcPr>
                <w:p w14:paraId="553DB17C">
                  <w:pPr>
                    <w:pStyle w:val="31"/>
                    <w:rPr>
                      <w:rFonts w:hint="eastAsia"/>
                    </w:rPr>
                  </w:pPr>
                  <w:r>
                    <w:rPr>
                      <w:rFonts w:hint="eastAsia"/>
                    </w:rPr>
                    <w:t>:575222</w:t>
                  </w:r>
                </w:p>
              </w:tc>
              <w:tc>
                <w:tcPr>
                  <w:tcW w:w="485" w:type="pct"/>
                  <w:tcBorders>
                    <w:tl2br w:val="nil"/>
                    <w:tr2bl w:val="nil"/>
                  </w:tcBorders>
                  <w:shd w:val="clear" w:color="auto" w:fill="auto"/>
                  <w:noWrap/>
                  <w:vAlign w:val="center"/>
                </w:tcPr>
                <w:p w14:paraId="6F61785D">
                  <w:pPr>
                    <w:pStyle w:val="31"/>
                    <w:rPr>
                      <w:rFonts w:hint="eastAsia"/>
                    </w:rPr>
                  </w:pPr>
                  <w:r>
                    <w:rPr>
                      <w:rFonts w:hint="eastAsia"/>
                    </w:rPr>
                    <w:t>18</w:t>
                  </w:r>
                </w:p>
              </w:tc>
              <w:tc>
                <w:tcPr>
                  <w:tcW w:w="485" w:type="pct"/>
                  <w:tcBorders>
                    <w:tl2br w:val="nil"/>
                    <w:tr2bl w:val="nil"/>
                  </w:tcBorders>
                  <w:shd w:val="clear" w:color="auto" w:fill="auto"/>
                  <w:noWrap/>
                  <w:vAlign w:val="center"/>
                </w:tcPr>
                <w:p w14:paraId="4F6A31BF">
                  <w:pPr>
                    <w:pStyle w:val="31"/>
                    <w:rPr>
                      <w:rFonts w:hint="eastAsia"/>
                    </w:rPr>
                  </w:pPr>
                  <w:r>
                    <w:rPr>
                      <w:rFonts w:hint="eastAsia"/>
                    </w:rPr>
                    <w:t>125</w:t>
                  </w:r>
                </w:p>
              </w:tc>
              <w:tc>
                <w:tcPr>
                  <w:tcW w:w="485" w:type="pct"/>
                  <w:tcBorders>
                    <w:tl2br w:val="nil"/>
                    <w:tr2bl w:val="nil"/>
                  </w:tcBorders>
                  <w:shd w:val="clear" w:color="auto" w:fill="auto"/>
                  <w:noWrap/>
                  <w:vAlign w:val="center"/>
                </w:tcPr>
                <w:p w14:paraId="7B0AA1A3">
                  <w:pPr>
                    <w:pStyle w:val="31"/>
                    <w:rPr>
                      <w:rFonts w:hint="eastAsia"/>
                    </w:rPr>
                  </w:pPr>
                  <w:r>
                    <w:rPr>
                      <w:rFonts w:hint="eastAsia"/>
                    </w:rPr>
                    <w:t>375</w:t>
                  </w:r>
                </w:p>
              </w:tc>
            </w:tr>
            <w:tr w14:paraId="54F3F22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0" w:hRule="atLeast"/>
                <w:jc w:val="center"/>
              </w:trPr>
              <w:tc>
                <w:tcPr>
                  <w:tcW w:w="485" w:type="pct"/>
                  <w:tcBorders>
                    <w:tl2br w:val="nil"/>
                    <w:tr2bl w:val="nil"/>
                  </w:tcBorders>
                  <w:shd w:val="clear" w:color="auto" w:fill="auto"/>
                  <w:noWrap/>
                  <w:vAlign w:val="center"/>
                </w:tcPr>
                <w:p w14:paraId="3A213681">
                  <w:pPr>
                    <w:pStyle w:val="31"/>
                    <w:rPr>
                      <w:rFonts w:hint="eastAsia"/>
                    </w:rPr>
                  </w:pPr>
                  <w:r>
                    <w:rPr>
                      <w:rFonts w:hint="eastAsia"/>
                    </w:rPr>
                    <w:t>2</w:t>
                  </w:r>
                </w:p>
              </w:tc>
              <w:tc>
                <w:tcPr>
                  <w:tcW w:w="1119" w:type="pct"/>
                  <w:tcBorders>
                    <w:tl2br w:val="nil"/>
                    <w:tr2bl w:val="nil"/>
                  </w:tcBorders>
                  <w:shd w:val="clear" w:color="auto" w:fill="auto"/>
                  <w:noWrap/>
                  <w:vAlign w:val="center"/>
                </w:tcPr>
                <w:p w14:paraId="5F544516">
                  <w:pPr>
                    <w:pStyle w:val="31"/>
                    <w:rPr>
                      <w:rFonts w:hint="eastAsia"/>
                    </w:rPr>
                  </w:pPr>
                  <w:r>
                    <w:rPr>
                      <w:rFonts w:hint="eastAsia"/>
                    </w:rPr>
                    <w:t>2024TC901</w:t>
                  </w:r>
                </w:p>
              </w:tc>
              <w:tc>
                <w:tcPr>
                  <w:tcW w:w="485" w:type="pct"/>
                  <w:tcBorders>
                    <w:tl2br w:val="nil"/>
                    <w:tr2bl w:val="nil"/>
                  </w:tcBorders>
                  <w:shd w:val="clear" w:color="auto" w:fill="auto"/>
                  <w:noWrap/>
                  <w:vAlign w:val="center"/>
                </w:tcPr>
                <w:p w14:paraId="2E2F5C62">
                  <w:pPr>
                    <w:pStyle w:val="31"/>
                    <w:rPr>
                      <w:rFonts w:hint="eastAsia"/>
                    </w:rPr>
                  </w:pPr>
                  <w:r>
                    <w:rPr>
                      <w:rFonts w:hint="eastAsia"/>
                    </w:rPr>
                    <w:t>4725685</w:t>
                  </w:r>
                </w:p>
              </w:tc>
              <w:tc>
                <w:tcPr>
                  <w:tcW w:w="485" w:type="pct"/>
                  <w:tcBorders>
                    <w:tl2br w:val="nil"/>
                    <w:tr2bl w:val="nil"/>
                  </w:tcBorders>
                  <w:shd w:val="clear" w:color="auto" w:fill="auto"/>
                  <w:noWrap/>
                  <w:vAlign w:val="center"/>
                </w:tcPr>
                <w:p w14:paraId="0A8C3986">
                  <w:pPr>
                    <w:pStyle w:val="31"/>
                    <w:rPr>
                      <w:rFonts w:hint="eastAsia"/>
                    </w:rPr>
                  </w:pPr>
                  <w:r>
                    <w:rPr>
                      <w:rFonts w:hint="eastAsia"/>
                    </w:rPr>
                    <w:t>575128</w:t>
                  </w:r>
                </w:p>
              </w:tc>
              <w:tc>
                <w:tcPr>
                  <w:tcW w:w="485" w:type="pct"/>
                  <w:tcBorders>
                    <w:tl2br w:val="nil"/>
                    <w:tr2bl w:val="nil"/>
                  </w:tcBorders>
                  <w:shd w:val="clear" w:color="auto" w:fill="auto"/>
                  <w:noWrap/>
                  <w:vAlign w:val="center"/>
                </w:tcPr>
                <w:p w14:paraId="50F4402C">
                  <w:pPr>
                    <w:pStyle w:val="31"/>
                    <w:rPr>
                      <w:rFonts w:hint="eastAsia"/>
                    </w:rPr>
                  </w:pPr>
                  <w:r>
                    <w:rPr>
                      <w:rFonts w:hint="eastAsia"/>
                    </w:rPr>
                    <w:t>4725777</w:t>
                  </w:r>
                </w:p>
              </w:tc>
              <w:tc>
                <w:tcPr>
                  <w:tcW w:w="485" w:type="pct"/>
                  <w:tcBorders>
                    <w:tl2br w:val="nil"/>
                    <w:tr2bl w:val="nil"/>
                  </w:tcBorders>
                  <w:shd w:val="clear" w:color="auto" w:fill="auto"/>
                  <w:noWrap/>
                  <w:vAlign w:val="center"/>
                </w:tcPr>
                <w:p w14:paraId="70DB65B5">
                  <w:pPr>
                    <w:pStyle w:val="31"/>
                    <w:rPr>
                      <w:rFonts w:hint="eastAsia"/>
                    </w:rPr>
                  </w:pPr>
                  <w:r>
                    <w:rPr>
                      <w:rFonts w:hint="eastAsia"/>
                    </w:rPr>
                    <w:t>575156</w:t>
                  </w:r>
                </w:p>
              </w:tc>
              <w:tc>
                <w:tcPr>
                  <w:tcW w:w="485" w:type="pct"/>
                  <w:tcBorders>
                    <w:tl2br w:val="nil"/>
                    <w:tr2bl w:val="nil"/>
                  </w:tcBorders>
                  <w:shd w:val="clear" w:color="auto" w:fill="auto"/>
                  <w:noWrap/>
                  <w:vAlign w:val="center"/>
                </w:tcPr>
                <w:p w14:paraId="5305F577">
                  <w:pPr>
                    <w:pStyle w:val="31"/>
                    <w:rPr>
                      <w:rFonts w:hint="eastAsia"/>
                    </w:rPr>
                  </w:pPr>
                  <w:r>
                    <w:rPr>
                      <w:rFonts w:hint="eastAsia"/>
                    </w:rPr>
                    <w:t>18</w:t>
                  </w:r>
                </w:p>
              </w:tc>
              <w:tc>
                <w:tcPr>
                  <w:tcW w:w="485" w:type="pct"/>
                  <w:tcBorders>
                    <w:tl2br w:val="nil"/>
                    <w:tr2bl w:val="nil"/>
                  </w:tcBorders>
                  <w:shd w:val="clear" w:color="auto" w:fill="auto"/>
                  <w:noWrap/>
                  <w:vAlign w:val="center"/>
                </w:tcPr>
                <w:p w14:paraId="41444490">
                  <w:pPr>
                    <w:pStyle w:val="31"/>
                    <w:rPr>
                      <w:rFonts w:hint="eastAsia"/>
                    </w:rPr>
                  </w:pPr>
                  <w:r>
                    <w:rPr>
                      <w:rFonts w:hint="eastAsia"/>
                    </w:rPr>
                    <w:t>100</w:t>
                  </w:r>
                </w:p>
              </w:tc>
              <w:tc>
                <w:tcPr>
                  <w:tcW w:w="485" w:type="pct"/>
                  <w:tcBorders>
                    <w:tl2br w:val="nil"/>
                    <w:tr2bl w:val="nil"/>
                  </w:tcBorders>
                  <w:shd w:val="clear" w:color="auto" w:fill="auto"/>
                  <w:noWrap/>
                  <w:vAlign w:val="center"/>
                </w:tcPr>
                <w:p w14:paraId="5D13E5C2">
                  <w:pPr>
                    <w:pStyle w:val="31"/>
                    <w:rPr>
                      <w:rFonts w:hint="eastAsia"/>
                    </w:rPr>
                  </w:pPr>
                  <w:r>
                    <w:rPr>
                      <w:rFonts w:hint="eastAsia"/>
                    </w:rPr>
                    <w:t>300</w:t>
                  </w:r>
                </w:p>
              </w:tc>
            </w:tr>
            <w:tr w14:paraId="1783AFD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7" w:hRule="atLeast"/>
                <w:jc w:val="center"/>
              </w:trPr>
              <w:tc>
                <w:tcPr>
                  <w:tcW w:w="485" w:type="pct"/>
                  <w:tcBorders>
                    <w:tl2br w:val="nil"/>
                    <w:tr2bl w:val="nil"/>
                  </w:tcBorders>
                  <w:shd w:val="clear" w:color="auto" w:fill="auto"/>
                  <w:noWrap/>
                  <w:vAlign w:val="center"/>
                </w:tcPr>
                <w:p w14:paraId="2C5AF974">
                  <w:pPr>
                    <w:pStyle w:val="31"/>
                    <w:rPr>
                      <w:rFonts w:hint="eastAsia"/>
                    </w:rPr>
                  </w:pPr>
                  <w:r>
                    <w:rPr>
                      <w:rFonts w:hint="eastAsia"/>
                    </w:rPr>
                    <w:t>3</w:t>
                  </w:r>
                </w:p>
              </w:tc>
              <w:tc>
                <w:tcPr>
                  <w:tcW w:w="1119" w:type="pct"/>
                  <w:tcBorders>
                    <w:tl2br w:val="nil"/>
                    <w:tr2bl w:val="nil"/>
                  </w:tcBorders>
                  <w:shd w:val="clear" w:color="auto" w:fill="auto"/>
                  <w:noWrap/>
                  <w:vAlign w:val="center"/>
                </w:tcPr>
                <w:p w14:paraId="3FE25927">
                  <w:pPr>
                    <w:pStyle w:val="31"/>
                    <w:rPr>
                      <w:rFonts w:hint="eastAsia"/>
                    </w:rPr>
                  </w:pPr>
                  <w:r>
                    <w:rPr>
                      <w:rFonts w:hint="eastAsia"/>
                    </w:rPr>
                    <w:t>2024TC1401</w:t>
                  </w:r>
                </w:p>
              </w:tc>
              <w:tc>
                <w:tcPr>
                  <w:tcW w:w="485" w:type="pct"/>
                  <w:tcBorders>
                    <w:tl2br w:val="nil"/>
                    <w:tr2bl w:val="nil"/>
                  </w:tcBorders>
                  <w:shd w:val="clear" w:color="auto" w:fill="auto"/>
                  <w:noWrap/>
                  <w:vAlign w:val="center"/>
                </w:tcPr>
                <w:p w14:paraId="30F0A365">
                  <w:pPr>
                    <w:pStyle w:val="31"/>
                    <w:rPr>
                      <w:rFonts w:hint="eastAsia"/>
                    </w:rPr>
                  </w:pPr>
                  <w:r>
                    <w:rPr>
                      <w:rFonts w:hint="eastAsia"/>
                    </w:rPr>
                    <w:t>4725663</w:t>
                  </w:r>
                </w:p>
              </w:tc>
              <w:tc>
                <w:tcPr>
                  <w:tcW w:w="485" w:type="pct"/>
                  <w:tcBorders>
                    <w:tl2br w:val="nil"/>
                    <w:tr2bl w:val="nil"/>
                  </w:tcBorders>
                  <w:shd w:val="clear" w:color="auto" w:fill="auto"/>
                  <w:noWrap/>
                  <w:vAlign w:val="center"/>
                </w:tcPr>
                <w:p w14:paraId="1B756A28">
                  <w:pPr>
                    <w:pStyle w:val="31"/>
                    <w:rPr>
                      <w:rFonts w:hint="eastAsia"/>
                    </w:rPr>
                  </w:pPr>
                  <w:r>
                    <w:rPr>
                      <w:rFonts w:hint="eastAsia"/>
                    </w:rPr>
                    <w:t>575379</w:t>
                  </w:r>
                </w:p>
              </w:tc>
              <w:tc>
                <w:tcPr>
                  <w:tcW w:w="485" w:type="pct"/>
                  <w:tcBorders>
                    <w:tl2br w:val="nil"/>
                    <w:tr2bl w:val="nil"/>
                  </w:tcBorders>
                  <w:shd w:val="clear" w:color="auto" w:fill="auto"/>
                  <w:noWrap/>
                  <w:vAlign w:val="center"/>
                </w:tcPr>
                <w:p w14:paraId="7AE10361">
                  <w:pPr>
                    <w:pStyle w:val="31"/>
                    <w:rPr>
                      <w:rFonts w:hint="eastAsia"/>
                    </w:rPr>
                  </w:pPr>
                  <w:r>
                    <w:rPr>
                      <w:rFonts w:hint="eastAsia"/>
                    </w:rPr>
                    <w:t>4725737</w:t>
                  </w:r>
                </w:p>
              </w:tc>
              <w:tc>
                <w:tcPr>
                  <w:tcW w:w="485" w:type="pct"/>
                  <w:tcBorders>
                    <w:tl2br w:val="nil"/>
                    <w:tr2bl w:val="nil"/>
                  </w:tcBorders>
                  <w:shd w:val="clear" w:color="auto" w:fill="auto"/>
                  <w:noWrap/>
                  <w:vAlign w:val="center"/>
                </w:tcPr>
                <w:p w14:paraId="23254C43">
                  <w:pPr>
                    <w:pStyle w:val="31"/>
                    <w:rPr>
                      <w:rFonts w:hint="eastAsia"/>
                    </w:rPr>
                  </w:pPr>
                  <w:r>
                    <w:rPr>
                      <w:rFonts w:hint="eastAsia"/>
                    </w:rPr>
                    <w:t>575356</w:t>
                  </w:r>
                </w:p>
              </w:tc>
              <w:tc>
                <w:tcPr>
                  <w:tcW w:w="485" w:type="pct"/>
                  <w:tcBorders>
                    <w:tl2br w:val="nil"/>
                    <w:tr2bl w:val="nil"/>
                  </w:tcBorders>
                  <w:shd w:val="clear" w:color="auto" w:fill="auto"/>
                  <w:noWrap/>
                  <w:vAlign w:val="center"/>
                </w:tcPr>
                <w:p w14:paraId="508E5838">
                  <w:pPr>
                    <w:pStyle w:val="31"/>
                    <w:rPr>
                      <w:rFonts w:hint="eastAsia"/>
                    </w:rPr>
                  </w:pPr>
                  <w:r>
                    <w:rPr>
                      <w:rFonts w:hint="eastAsia"/>
                    </w:rPr>
                    <w:t>342</w:t>
                  </w:r>
                </w:p>
              </w:tc>
              <w:tc>
                <w:tcPr>
                  <w:tcW w:w="485" w:type="pct"/>
                  <w:tcBorders>
                    <w:tl2br w:val="nil"/>
                    <w:tr2bl w:val="nil"/>
                  </w:tcBorders>
                  <w:shd w:val="clear" w:color="auto" w:fill="auto"/>
                  <w:noWrap/>
                  <w:vAlign w:val="center"/>
                </w:tcPr>
                <w:p w14:paraId="048E20AE">
                  <w:pPr>
                    <w:pStyle w:val="31"/>
                    <w:rPr>
                      <w:rFonts w:hint="eastAsia"/>
                    </w:rPr>
                  </w:pPr>
                  <w:r>
                    <w:rPr>
                      <w:rFonts w:hint="eastAsia"/>
                    </w:rPr>
                    <w:t>80</w:t>
                  </w:r>
                </w:p>
              </w:tc>
              <w:tc>
                <w:tcPr>
                  <w:tcW w:w="485" w:type="pct"/>
                  <w:tcBorders>
                    <w:tl2br w:val="nil"/>
                    <w:tr2bl w:val="nil"/>
                  </w:tcBorders>
                  <w:shd w:val="clear" w:color="auto" w:fill="auto"/>
                  <w:noWrap/>
                  <w:vAlign w:val="center"/>
                </w:tcPr>
                <w:p w14:paraId="7A7B47D1">
                  <w:pPr>
                    <w:pStyle w:val="31"/>
                    <w:rPr>
                      <w:rFonts w:hint="eastAsia"/>
                    </w:rPr>
                  </w:pPr>
                  <w:r>
                    <w:rPr>
                      <w:rFonts w:hint="eastAsia"/>
                    </w:rPr>
                    <w:t>200</w:t>
                  </w:r>
                </w:p>
              </w:tc>
            </w:tr>
            <w:tr w14:paraId="396852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0" w:hRule="atLeast"/>
                <w:jc w:val="center"/>
              </w:trPr>
              <w:tc>
                <w:tcPr>
                  <w:tcW w:w="485" w:type="pct"/>
                  <w:tcBorders>
                    <w:tl2br w:val="nil"/>
                    <w:tr2bl w:val="nil"/>
                  </w:tcBorders>
                  <w:shd w:val="clear" w:color="auto" w:fill="auto"/>
                  <w:noWrap/>
                  <w:vAlign w:val="center"/>
                </w:tcPr>
                <w:p w14:paraId="5169A1F7">
                  <w:pPr>
                    <w:pStyle w:val="31"/>
                    <w:rPr>
                      <w:rFonts w:hint="eastAsia"/>
                    </w:rPr>
                  </w:pPr>
                  <w:r>
                    <w:rPr>
                      <w:rFonts w:hint="eastAsia"/>
                    </w:rPr>
                    <w:t>4</w:t>
                  </w:r>
                </w:p>
              </w:tc>
              <w:tc>
                <w:tcPr>
                  <w:tcW w:w="1119" w:type="pct"/>
                  <w:tcBorders>
                    <w:tl2br w:val="nil"/>
                    <w:tr2bl w:val="nil"/>
                  </w:tcBorders>
                  <w:shd w:val="clear" w:color="auto" w:fill="auto"/>
                  <w:noWrap/>
                  <w:vAlign w:val="center"/>
                </w:tcPr>
                <w:p w14:paraId="22938A4A">
                  <w:pPr>
                    <w:pStyle w:val="31"/>
                    <w:rPr>
                      <w:rFonts w:hint="eastAsia"/>
                    </w:rPr>
                  </w:pPr>
                  <w:r>
                    <w:rPr>
                      <w:rFonts w:hint="eastAsia"/>
                    </w:rPr>
                    <w:t>2024TC2201</w:t>
                  </w:r>
                </w:p>
              </w:tc>
              <w:tc>
                <w:tcPr>
                  <w:tcW w:w="485" w:type="pct"/>
                  <w:tcBorders>
                    <w:tl2br w:val="nil"/>
                    <w:tr2bl w:val="nil"/>
                  </w:tcBorders>
                  <w:shd w:val="clear" w:color="auto" w:fill="auto"/>
                  <w:noWrap/>
                  <w:vAlign w:val="center"/>
                </w:tcPr>
                <w:p w14:paraId="2E3AFCEC">
                  <w:pPr>
                    <w:pStyle w:val="31"/>
                    <w:rPr>
                      <w:rFonts w:hint="eastAsia"/>
                    </w:rPr>
                  </w:pPr>
                  <w:r>
                    <w:rPr>
                      <w:rFonts w:hint="eastAsia"/>
                    </w:rPr>
                    <w:t>4725630</w:t>
                  </w:r>
                </w:p>
              </w:tc>
              <w:tc>
                <w:tcPr>
                  <w:tcW w:w="485" w:type="pct"/>
                  <w:tcBorders>
                    <w:tl2br w:val="nil"/>
                    <w:tr2bl w:val="nil"/>
                  </w:tcBorders>
                  <w:shd w:val="clear" w:color="auto" w:fill="auto"/>
                  <w:noWrap/>
                  <w:vAlign w:val="center"/>
                </w:tcPr>
                <w:p w14:paraId="40AFB907">
                  <w:pPr>
                    <w:pStyle w:val="31"/>
                    <w:rPr>
                      <w:rFonts w:hint="eastAsia"/>
                    </w:rPr>
                  </w:pPr>
                  <w:r>
                    <w:rPr>
                      <w:rFonts w:hint="eastAsia"/>
                    </w:rPr>
                    <w:t>575447</w:t>
                  </w:r>
                </w:p>
              </w:tc>
              <w:tc>
                <w:tcPr>
                  <w:tcW w:w="485" w:type="pct"/>
                  <w:tcBorders>
                    <w:tl2br w:val="nil"/>
                    <w:tr2bl w:val="nil"/>
                  </w:tcBorders>
                  <w:shd w:val="clear" w:color="auto" w:fill="auto"/>
                  <w:noWrap/>
                  <w:vAlign w:val="center"/>
                </w:tcPr>
                <w:p w14:paraId="486AD3DB">
                  <w:pPr>
                    <w:pStyle w:val="31"/>
                    <w:rPr>
                      <w:rFonts w:hint="eastAsia"/>
                    </w:rPr>
                  </w:pPr>
                  <w:r>
                    <w:rPr>
                      <w:rFonts w:hint="eastAsia"/>
                    </w:rPr>
                    <w:t>4725722</w:t>
                  </w:r>
                </w:p>
              </w:tc>
              <w:tc>
                <w:tcPr>
                  <w:tcW w:w="485" w:type="pct"/>
                  <w:tcBorders>
                    <w:tl2br w:val="nil"/>
                    <w:tr2bl w:val="nil"/>
                  </w:tcBorders>
                  <w:shd w:val="clear" w:color="auto" w:fill="auto"/>
                  <w:noWrap/>
                  <w:vAlign w:val="center"/>
                </w:tcPr>
                <w:p w14:paraId="1B53AA7D">
                  <w:pPr>
                    <w:pStyle w:val="31"/>
                    <w:rPr>
                      <w:rFonts w:hint="eastAsia"/>
                    </w:rPr>
                  </w:pPr>
                  <w:r>
                    <w:rPr>
                      <w:rFonts w:hint="eastAsia"/>
                    </w:rPr>
                    <w:t>575475</w:t>
                  </w:r>
                </w:p>
              </w:tc>
              <w:tc>
                <w:tcPr>
                  <w:tcW w:w="485" w:type="pct"/>
                  <w:tcBorders>
                    <w:tl2br w:val="nil"/>
                    <w:tr2bl w:val="nil"/>
                  </w:tcBorders>
                  <w:shd w:val="clear" w:color="auto" w:fill="auto"/>
                  <w:noWrap/>
                  <w:vAlign w:val="center"/>
                </w:tcPr>
                <w:p w14:paraId="32D2709B">
                  <w:pPr>
                    <w:pStyle w:val="31"/>
                    <w:rPr>
                      <w:rFonts w:hint="eastAsia"/>
                    </w:rPr>
                  </w:pPr>
                  <w:r>
                    <w:rPr>
                      <w:rFonts w:hint="eastAsia"/>
                    </w:rPr>
                    <w:t>18</w:t>
                  </w:r>
                </w:p>
              </w:tc>
              <w:tc>
                <w:tcPr>
                  <w:tcW w:w="485" w:type="pct"/>
                  <w:tcBorders>
                    <w:tl2br w:val="nil"/>
                    <w:tr2bl w:val="nil"/>
                  </w:tcBorders>
                  <w:shd w:val="clear" w:color="auto" w:fill="auto"/>
                  <w:noWrap/>
                  <w:vAlign w:val="center"/>
                </w:tcPr>
                <w:p w14:paraId="1B559499">
                  <w:pPr>
                    <w:pStyle w:val="31"/>
                    <w:rPr>
                      <w:rFonts w:hint="eastAsia"/>
                    </w:rPr>
                  </w:pPr>
                  <w:r>
                    <w:rPr>
                      <w:rFonts w:hint="eastAsia"/>
                    </w:rPr>
                    <w:t>100</w:t>
                  </w:r>
                </w:p>
              </w:tc>
              <w:tc>
                <w:tcPr>
                  <w:tcW w:w="485" w:type="pct"/>
                  <w:tcBorders>
                    <w:tl2br w:val="nil"/>
                    <w:tr2bl w:val="nil"/>
                  </w:tcBorders>
                  <w:shd w:val="clear" w:color="auto" w:fill="auto"/>
                  <w:noWrap/>
                  <w:vAlign w:val="center"/>
                </w:tcPr>
                <w:p w14:paraId="3D11475C">
                  <w:pPr>
                    <w:pStyle w:val="31"/>
                    <w:rPr>
                      <w:rFonts w:hint="eastAsia"/>
                    </w:rPr>
                  </w:pPr>
                  <w:r>
                    <w:rPr>
                      <w:rFonts w:hint="eastAsia"/>
                    </w:rPr>
                    <w:t>300</w:t>
                  </w:r>
                </w:p>
              </w:tc>
            </w:tr>
            <w:tr w14:paraId="15D9153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0" w:hRule="atLeast"/>
                <w:jc w:val="center"/>
              </w:trPr>
              <w:tc>
                <w:tcPr>
                  <w:tcW w:w="485" w:type="pct"/>
                  <w:tcBorders>
                    <w:tl2br w:val="nil"/>
                    <w:tr2bl w:val="nil"/>
                  </w:tcBorders>
                  <w:shd w:val="clear" w:color="auto" w:fill="auto"/>
                  <w:noWrap/>
                  <w:vAlign w:val="center"/>
                </w:tcPr>
                <w:p w14:paraId="12E4F8E8">
                  <w:pPr>
                    <w:pStyle w:val="31"/>
                    <w:rPr>
                      <w:rFonts w:hint="eastAsia"/>
                    </w:rPr>
                  </w:pPr>
                  <w:r>
                    <w:rPr>
                      <w:rFonts w:hint="eastAsia"/>
                    </w:rPr>
                    <w:t>5</w:t>
                  </w:r>
                </w:p>
              </w:tc>
              <w:tc>
                <w:tcPr>
                  <w:tcW w:w="1119" w:type="pct"/>
                  <w:tcBorders>
                    <w:tl2br w:val="nil"/>
                    <w:tr2bl w:val="nil"/>
                  </w:tcBorders>
                  <w:shd w:val="clear" w:color="auto" w:fill="auto"/>
                  <w:noWrap/>
                  <w:vAlign w:val="center"/>
                </w:tcPr>
                <w:p w14:paraId="4B2B8394">
                  <w:pPr>
                    <w:pStyle w:val="31"/>
                    <w:rPr>
                      <w:rFonts w:hint="eastAsia"/>
                    </w:rPr>
                  </w:pPr>
                  <w:r>
                    <w:rPr>
                      <w:rFonts w:hint="eastAsia"/>
                    </w:rPr>
                    <w:t>2024TC3001</w:t>
                  </w:r>
                </w:p>
              </w:tc>
              <w:tc>
                <w:tcPr>
                  <w:tcW w:w="485" w:type="pct"/>
                  <w:tcBorders>
                    <w:tl2br w:val="nil"/>
                    <w:tr2bl w:val="nil"/>
                  </w:tcBorders>
                  <w:shd w:val="clear" w:color="auto" w:fill="auto"/>
                  <w:noWrap/>
                  <w:vAlign w:val="center"/>
                </w:tcPr>
                <w:p w14:paraId="05A22057">
                  <w:pPr>
                    <w:pStyle w:val="31"/>
                    <w:rPr>
                      <w:rFonts w:hint="eastAsia"/>
                    </w:rPr>
                  </w:pPr>
                  <w:r>
                    <w:rPr>
                      <w:rFonts w:hint="eastAsia"/>
                    </w:rPr>
                    <w:t>4725610</w:t>
                  </w:r>
                </w:p>
              </w:tc>
              <w:tc>
                <w:tcPr>
                  <w:tcW w:w="485" w:type="pct"/>
                  <w:tcBorders>
                    <w:tl2br w:val="nil"/>
                    <w:tr2bl w:val="nil"/>
                  </w:tcBorders>
                  <w:shd w:val="clear" w:color="auto" w:fill="auto"/>
                  <w:noWrap/>
                  <w:vAlign w:val="center"/>
                </w:tcPr>
                <w:p w14:paraId="20BE9163">
                  <w:pPr>
                    <w:pStyle w:val="31"/>
                    <w:rPr>
                      <w:rFonts w:hint="eastAsia"/>
                    </w:rPr>
                  </w:pPr>
                  <w:r>
                    <w:rPr>
                      <w:rFonts w:hint="eastAsia"/>
                    </w:rPr>
                    <w:t>575524</w:t>
                  </w:r>
                </w:p>
              </w:tc>
              <w:tc>
                <w:tcPr>
                  <w:tcW w:w="485" w:type="pct"/>
                  <w:tcBorders>
                    <w:tl2br w:val="nil"/>
                    <w:tr2bl w:val="nil"/>
                  </w:tcBorders>
                  <w:shd w:val="clear" w:color="auto" w:fill="auto"/>
                  <w:noWrap/>
                  <w:vAlign w:val="center"/>
                </w:tcPr>
                <w:p w14:paraId="36B84A95">
                  <w:pPr>
                    <w:pStyle w:val="31"/>
                    <w:rPr>
                      <w:rFonts w:hint="eastAsia"/>
                    </w:rPr>
                  </w:pPr>
                  <w:r>
                    <w:rPr>
                      <w:rFonts w:hint="eastAsia"/>
                    </w:rPr>
                    <w:t>4725702</w:t>
                  </w:r>
                </w:p>
              </w:tc>
              <w:tc>
                <w:tcPr>
                  <w:tcW w:w="485" w:type="pct"/>
                  <w:tcBorders>
                    <w:tl2br w:val="nil"/>
                    <w:tr2bl w:val="nil"/>
                  </w:tcBorders>
                  <w:shd w:val="clear" w:color="auto" w:fill="auto"/>
                  <w:noWrap/>
                  <w:vAlign w:val="center"/>
                </w:tcPr>
                <w:p w14:paraId="51F50F42">
                  <w:pPr>
                    <w:pStyle w:val="31"/>
                    <w:rPr>
                      <w:rFonts w:hint="eastAsia"/>
                    </w:rPr>
                  </w:pPr>
                  <w:r>
                    <w:rPr>
                      <w:rFonts w:hint="eastAsia"/>
                    </w:rPr>
                    <w:t>575552</w:t>
                  </w:r>
                </w:p>
              </w:tc>
              <w:tc>
                <w:tcPr>
                  <w:tcW w:w="485" w:type="pct"/>
                  <w:tcBorders>
                    <w:tl2br w:val="nil"/>
                    <w:tr2bl w:val="nil"/>
                  </w:tcBorders>
                  <w:shd w:val="clear" w:color="auto" w:fill="auto"/>
                  <w:noWrap/>
                  <w:vAlign w:val="center"/>
                </w:tcPr>
                <w:p w14:paraId="3BE70D26">
                  <w:pPr>
                    <w:pStyle w:val="31"/>
                    <w:rPr>
                      <w:rFonts w:hint="eastAsia"/>
                    </w:rPr>
                  </w:pPr>
                  <w:r>
                    <w:rPr>
                      <w:rFonts w:hint="eastAsia"/>
                    </w:rPr>
                    <w:t>18</w:t>
                  </w:r>
                </w:p>
              </w:tc>
              <w:tc>
                <w:tcPr>
                  <w:tcW w:w="485" w:type="pct"/>
                  <w:tcBorders>
                    <w:tl2br w:val="nil"/>
                    <w:tr2bl w:val="nil"/>
                  </w:tcBorders>
                  <w:shd w:val="clear" w:color="auto" w:fill="auto"/>
                  <w:noWrap/>
                  <w:vAlign w:val="center"/>
                </w:tcPr>
                <w:p w14:paraId="6152BC81">
                  <w:pPr>
                    <w:pStyle w:val="31"/>
                    <w:rPr>
                      <w:rFonts w:hint="eastAsia"/>
                    </w:rPr>
                  </w:pPr>
                  <w:r>
                    <w:rPr>
                      <w:rFonts w:hint="eastAsia"/>
                    </w:rPr>
                    <w:t>100</w:t>
                  </w:r>
                </w:p>
              </w:tc>
              <w:tc>
                <w:tcPr>
                  <w:tcW w:w="485" w:type="pct"/>
                  <w:tcBorders>
                    <w:tl2br w:val="nil"/>
                    <w:tr2bl w:val="nil"/>
                  </w:tcBorders>
                  <w:shd w:val="clear" w:color="auto" w:fill="auto"/>
                  <w:noWrap/>
                  <w:vAlign w:val="center"/>
                </w:tcPr>
                <w:p w14:paraId="4BA2EFF4">
                  <w:pPr>
                    <w:pStyle w:val="31"/>
                    <w:rPr>
                      <w:rFonts w:hint="eastAsia"/>
                    </w:rPr>
                  </w:pPr>
                  <w:r>
                    <w:rPr>
                      <w:rFonts w:hint="eastAsia"/>
                    </w:rPr>
                    <w:t>300</w:t>
                  </w:r>
                </w:p>
              </w:tc>
            </w:tr>
            <w:tr w14:paraId="4E4771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0" w:hRule="atLeast"/>
                <w:jc w:val="center"/>
              </w:trPr>
              <w:tc>
                <w:tcPr>
                  <w:tcW w:w="485" w:type="pct"/>
                  <w:tcBorders>
                    <w:tl2br w:val="nil"/>
                    <w:tr2bl w:val="nil"/>
                  </w:tcBorders>
                  <w:shd w:val="clear" w:color="auto" w:fill="auto"/>
                  <w:noWrap/>
                  <w:vAlign w:val="center"/>
                </w:tcPr>
                <w:p w14:paraId="2A296610">
                  <w:pPr>
                    <w:pStyle w:val="31"/>
                    <w:rPr>
                      <w:rFonts w:hint="eastAsia"/>
                    </w:rPr>
                  </w:pPr>
                  <w:r>
                    <w:rPr>
                      <w:rFonts w:hint="eastAsia"/>
                    </w:rPr>
                    <w:t>6</w:t>
                  </w:r>
                </w:p>
              </w:tc>
              <w:tc>
                <w:tcPr>
                  <w:tcW w:w="1119" w:type="pct"/>
                  <w:tcBorders>
                    <w:tl2br w:val="nil"/>
                    <w:tr2bl w:val="nil"/>
                  </w:tcBorders>
                  <w:shd w:val="clear" w:color="auto" w:fill="auto"/>
                  <w:noWrap/>
                  <w:vAlign w:val="center"/>
                </w:tcPr>
                <w:p w14:paraId="3DEB588C">
                  <w:pPr>
                    <w:pStyle w:val="31"/>
                    <w:rPr>
                      <w:rFonts w:hint="eastAsia"/>
                    </w:rPr>
                  </w:pPr>
                  <w:r>
                    <w:rPr>
                      <w:rFonts w:hint="eastAsia"/>
                    </w:rPr>
                    <w:t>2024TC3801</w:t>
                  </w:r>
                </w:p>
              </w:tc>
              <w:tc>
                <w:tcPr>
                  <w:tcW w:w="485" w:type="pct"/>
                  <w:tcBorders>
                    <w:tl2br w:val="nil"/>
                    <w:tr2bl w:val="nil"/>
                  </w:tcBorders>
                  <w:shd w:val="clear" w:color="auto" w:fill="auto"/>
                  <w:noWrap/>
                  <w:vAlign w:val="center"/>
                </w:tcPr>
                <w:p w14:paraId="327B3C86">
                  <w:pPr>
                    <w:pStyle w:val="31"/>
                    <w:rPr>
                      <w:rFonts w:hint="eastAsia"/>
                    </w:rPr>
                  </w:pPr>
                  <w:r>
                    <w:rPr>
                      <w:rFonts w:hint="eastAsia"/>
                    </w:rPr>
                    <w:t>4725584</w:t>
                  </w:r>
                </w:p>
              </w:tc>
              <w:tc>
                <w:tcPr>
                  <w:tcW w:w="485" w:type="pct"/>
                  <w:tcBorders>
                    <w:tl2br w:val="nil"/>
                    <w:tr2bl w:val="nil"/>
                  </w:tcBorders>
                  <w:shd w:val="clear" w:color="auto" w:fill="auto"/>
                  <w:noWrap/>
                  <w:vAlign w:val="center"/>
                </w:tcPr>
                <w:p w14:paraId="5BF522CA">
                  <w:pPr>
                    <w:pStyle w:val="31"/>
                    <w:rPr>
                      <w:rFonts w:hint="eastAsia"/>
                    </w:rPr>
                  </w:pPr>
                  <w:r>
                    <w:rPr>
                      <w:rFonts w:hint="eastAsia"/>
                    </w:rPr>
                    <w:t>575599</w:t>
                  </w:r>
                </w:p>
              </w:tc>
              <w:tc>
                <w:tcPr>
                  <w:tcW w:w="485" w:type="pct"/>
                  <w:tcBorders>
                    <w:tl2br w:val="nil"/>
                    <w:tr2bl w:val="nil"/>
                  </w:tcBorders>
                  <w:shd w:val="clear" w:color="auto" w:fill="auto"/>
                  <w:noWrap/>
                  <w:vAlign w:val="center"/>
                </w:tcPr>
                <w:p w14:paraId="5CE148B3">
                  <w:pPr>
                    <w:pStyle w:val="31"/>
                    <w:rPr>
                      <w:rFonts w:hint="eastAsia"/>
                    </w:rPr>
                  </w:pPr>
                  <w:r>
                    <w:rPr>
                      <w:rFonts w:hint="eastAsia"/>
                    </w:rPr>
                    <w:t>4725675</w:t>
                  </w:r>
                </w:p>
              </w:tc>
              <w:tc>
                <w:tcPr>
                  <w:tcW w:w="485" w:type="pct"/>
                  <w:tcBorders>
                    <w:tl2br w:val="nil"/>
                    <w:tr2bl w:val="nil"/>
                  </w:tcBorders>
                  <w:shd w:val="clear" w:color="auto" w:fill="auto"/>
                  <w:noWrap/>
                  <w:vAlign w:val="center"/>
                </w:tcPr>
                <w:p w14:paraId="53963796">
                  <w:pPr>
                    <w:pStyle w:val="31"/>
                    <w:rPr>
                      <w:rFonts w:hint="eastAsia"/>
                    </w:rPr>
                  </w:pPr>
                  <w:r>
                    <w:rPr>
                      <w:rFonts w:hint="eastAsia"/>
                    </w:rPr>
                    <w:t>575628</w:t>
                  </w:r>
                </w:p>
              </w:tc>
              <w:tc>
                <w:tcPr>
                  <w:tcW w:w="485" w:type="pct"/>
                  <w:tcBorders>
                    <w:tl2br w:val="nil"/>
                    <w:tr2bl w:val="nil"/>
                  </w:tcBorders>
                  <w:shd w:val="clear" w:color="auto" w:fill="auto"/>
                  <w:noWrap/>
                  <w:vAlign w:val="center"/>
                </w:tcPr>
                <w:p w14:paraId="227E0540">
                  <w:pPr>
                    <w:pStyle w:val="31"/>
                    <w:rPr>
                      <w:rFonts w:hint="eastAsia"/>
                    </w:rPr>
                  </w:pPr>
                  <w:r>
                    <w:rPr>
                      <w:rFonts w:hint="eastAsia"/>
                    </w:rPr>
                    <w:t>18</w:t>
                  </w:r>
                </w:p>
              </w:tc>
              <w:tc>
                <w:tcPr>
                  <w:tcW w:w="485" w:type="pct"/>
                  <w:tcBorders>
                    <w:tl2br w:val="nil"/>
                    <w:tr2bl w:val="nil"/>
                  </w:tcBorders>
                  <w:shd w:val="clear" w:color="auto" w:fill="auto"/>
                  <w:noWrap/>
                  <w:vAlign w:val="center"/>
                </w:tcPr>
                <w:p w14:paraId="5C332D8C">
                  <w:pPr>
                    <w:pStyle w:val="31"/>
                    <w:rPr>
                      <w:rFonts w:hint="eastAsia"/>
                    </w:rPr>
                  </w:pPr>
                  <w:r>
                    <w:rPr>
                      <w:rFonts w:hint="eastAsia"/>
                    </w:rPr>
                    <w:t>100</w:t>
                  </w:r>
                </w:p>
              </w:tc>
              <w:tc>
                <w:tcPr>
                  <w:tcW w:w="485" w:type="pct"/>
                  <w:tcBorders>
                    <w:tl2br w:val="nil"/>
                    <w:tr2bl w:val="nil"/>
                  </w:tcBorders>
                  <w:shd w:val="clear" w:color="auto" w:fill="auto"/>
                  <w:noWrap/>
                  <w:vAlign w:val="center"/>
                </w:tcPr>
                <w:p w14:paraId="15DC1AB8">
                  <w:pPr>
                    <w:pStyle w:val="31"/>
                    <w:rPr>
                      <w:rFonts w:hint="eastAsia"/>
                    </w:rPr>
                  </w:pPr>
                  <w:r>
                    <w:rPr>
                      <w:rFonts w:hint="eastAsia"/>
                    </w:rPr>
                    <w:t>300</w:t>
                  </w:r>
                </w:p>
              </w:tc>
            </w:tr>
            <w:tr w14:paraId="078EE8A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0" w:hRule="atLeast"/>
                <w:jc w:val="center"/>
              </w:trPr>
              <w:tc>
                <w:tcPr>
                  <w:tcW w:w="485" w:type="pct"/>
                  <w:tcBorders>
                    <w:tl2br w:val="nil"/>
                    <w:tr2bl w:val="nil"/>
                  </w:tcBorders>
                  <w:shd w:val="clear" w:color="auto" w:fill="auto"/>
                  <w:noWrap/>
                  <w:vAlign w:val="center"/>
                </w:tcPr>
                <w:p w14:paraId="3F289BE9">
                  <w:pPr>
                    <w:pStyle w:val="31"/>
                    <w:rPr>
                      <w:rFonts w:hint="eastAsia"/>
                    </w:rPr>
                  </w:pPr>
                  <w:r>
                    <w:rPr>
                      <w:rFonts w:hint="eastAsia"/>
                    </w:rPr>
                    <w:t>7</w:t>
                  </w:r>
                </w:p>
              </w:tc>
              <w:tc>
                <w:tcPr>
                  <w:tcW w:w="1119" w:type="pct"/>
                  <w:tcBorders>
                    <w:tl2br w:val="nil"/>
                    <w:tr2bl w:val="nil"/>
                  </w:tcBorders>
                  <w:shd w:val="clear" w:color="auto" w:fill="auto"/>
                  <w:noWrap/>
                  <w:vAlign w:val="center"/>
                </w:tcPr>
                <w:p w14:paraId="1BEABE31">
                  <w:pPr>
                    <w:pStyle w:val="31"/>
                    <w:rPr>
                      <w:rFonts w:hint="eastAsia"/>
                    </w:rPr>
                  </w:pPr>
                  <w:r>
                    <w:rPr>
                      <w:rFonts w:hint="eastAsia"/>
                    </w:rPr>
                    <w:t>2024TC4601</w:t>
                  </w:r>
                </w:p>
              </w:tc>
              <w:tc>
                <w:tcPr>
                  <w:tcW w:w="485" w:type="pct"/>
                  <w:tcBorders>
                    <w:tl2br w:val="nil"/>
                    <w:tr2bl w:val="nil"/>
                  </w:tcBorders>
                  <w:shd w:val="clear" w:color="auto" w:fill="auto"/>
                  <w:noWrap/>
                  <w:vAlign w:val="center"/>
                </w:tcPr>
                <w:p w14:paraId="675D9BB1">
                  <w:pPr>
                    <w:pStyle w:val="31"/>
                    <w:rPr>
                      <w:rFonts w:hint="eastAsia"/>
                    </w:rPr>
                  </w:pPr>
                  <w:r>
                    <w:rPr>
                      <w:rFonts w:hint="eastAsia"/>
                    </w:rPr>
                    <w:t>4725563</w:t>
                  </w:r>
                </w:p>
              </w:tc>
              <w:tc>
                <w:tcPr>
                  <w:tcW w:w="485" w:type="pct"/>
                  <w:tcBorders>
                    <w:tl2br w:val="nil"/>
                    <w:tr2bl w:val="nil"/>
                  </w:tcBorders>
                  <w:shd w:val="clear" w:color="auto" w:fill="auto"/>
                  <w:noWrap/>
                  <w:vAlign w:val="center"/>
                </w:tcPr>
                <w:p w14:paraId="24CD0984">
                  <w:pPr>
                    <w:pStyle w:val="31"/>
                    <w:rPr>
                      <w:rFonts w:hint="eastAsia"/>
                    </w:rPr>
                  </w:pPr>
                  <w:r>
                    <w:rPr>
                      <w:rFonts w:hint="eastAsia"/>
                    </w:rPr>
                    <w:t>575677</w:t>
                  </w:r>
                </w:p>
              </w:tc>
              <w:tc>
                <w:tcPr>
                  <w:tcW w:w="485" w:type="pct"/>
                  <w:tcBorders>
                    <w:tl2br w:val="nil"/>
                    <w:tr2bl w:val="nil"/>
                  </w:tcBorders>
                  <w:shd w:val="clear" w:color="auto" w:fill="auto"/>
                  <w:noWrap/>
                  <w:vAlign w:val="center"/>
                </w:tcPr>
                <w:p w14:paraId="1212B8D5">
                  <w:pPr>
                    <w:pStyle w:val="31"/>
                    <w:rPr>
                      <w:rFonts w:hint="eastAsia"/>
                    </w:rPr>
                  </w:pPr>
                  <w:r>
                    <w:rPr>
                      <w:rFonts w:hint="eastAsia"/>
                    </w:rPr>
                    <w:t>4725655</w:t>
                  </w:r>
                </w:p>
              </w:tc>
              <w:tc>
                <w:tcPr>
                  <w:tcW w:w="485" w:type="pct"/>
                  <w:tcBorders>
                    <w:tl2br w:val="nil"/>
                    <w:tr2bl w:val="nil"/>
                  </w:tcBorders>
                  <w:shd w:val="clear" w:color="auto" w:fill="auto"/>
                  <w:noWrap/>
                  <w:vAlign w:val="center"/>
                </w:tcPr>
                <w:p w14:paraId="0A618F91">
                  <w:pPr>
                    <w:pStyle w:val="31"/>
                    <w:rPr>
                      <w:rFonts w:hint="eastAsia"/>
                    </w:rPr>
                  </w:pPr>
                  <w:r>
                    <w:rPr>
                      <w:rFonts w:hint="eastAsia"/>
                    </w:rPr>
                    <w:t>575705</w:t>
                  </w:r>
                </w:p>
              </w:tc>
              <w:tc>
                <w:tcPr>
                  <w:tcW w:w="485" w:type="pct"/>
                  <w:tcBorders>
                    <w:tl2br w:val="nil"/>
                    <w:tr2bl w:val="nil"/>
                  </w:tcBorders>
                  <w:shd w:val="clear" w:color="auto" w:fill="auto"/>
                  <w:noWrap/>
                  <w:vAlign w:val="center"/>
                </w:tcPr>
                <w:p w14:paraId="60BFC667">
                  <w:pPr>
                    <w:pStyle w:val="31"/>
                    <w:rPr>
                      <w:rFonts w:hint="eastAsia"/>
                    </w:rPr>
                  </w:pPr>
                  <w:r>
                    <w:rPr>
                      <w:rFonts w:hint="eastAsia"/>
                    </w:rPr>
                    <w:t>18</w:t>
                  </w:r>
                </w:p>
              </w:tc>
              <w:tc>
                <w:tcPr>
                  <w:tcW w:w="485" w:type="pct"/>
                  <w:tcBorders>
                    <w:tl2br w:val="nil"/>
                    <w:tr2bl w:val="nil"/>
                  </w:tcBorders>
                  <w:shd w:val="clear" w:color="auto" w:fill="auto"/>
                  <w:noWrap/>
                  <w:vAlign w:val="center"/>
                </w:tcPr>
                <w:p w14:paraId="015D374C">
                  <w:pPr>
                    <w:pStyle w:val="31"/>
                    <w:rPr>
                      <w:rFonts w:hint="eastAsia"/>
                    </w:rPr>
                  </w:pPr>
                  <w:r>
                    <w:rPr>
                      <w:rFonts w:hint="eastAsia"/>
                    </w:rPr>
                    <w:t>100</w:t>
                  </w:r>
                </w:p>
              </w:tc>
              <w:tc>
                <w:tcPr>
                  <w:tcW w:w="485" w:type="pct"/>
                  <w:tcBorders>
                    <w:tl2br w:val="nil"/>
                    <w:tr2bl w:val="nil"/>
                  </w:tcBorders>
                  <w:shd w:val="clear" w:color="auto" w:fill="auto"/>
                  <w:noWrap/>
                  <w:vAlign w:val="center"/>
                </w:tcPr>
                <w:p w14:paraId="52A0B51C">
                  <w:pPr>
                    <w:pStyle w:val="31"/>
                    <w:rPr>
                      <w:rFonts w:hint="eastAsia"/>
                    </w:rPr>
                  </w:pPr>
                  <w:r>
                    <w:rPr>
                      <w:rFonts w:hint="eastAsia"/>
                    </w:rPr>
                    <w:t>300</w:t>
                  </w:r>
                </w:p>
              </w:tc>
            </w:tr>
            <w:tr w14:paraId="0F695A6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0" w:hRule="atLeast"/>
                <w:jc w:val="center"/>
              </w:trPr>
              <w:tc>
                <w:tcPr>
                  <w:tcW w:w="485" w:type="pct"/>
                  <w:tcBorders>
                    <w:tl2br w:val="nil"/>
                    <w:tr2bl w:val="nil"/>
                  </w:tcBorders>
                  <w:shd w:val="clear" w:color="auto" w:fill="auto"/>
                  <w:noWrap/>
                  <w:vAlign w:val="center"/>
                </w:tcPr>
                <w:p w14:paraId="0335BDA6">
                  <w:pPr>
                    <w:pStyle w:val="31"/>
                    <w:rPr>
                      <w:rFonts w:hint="eastAsia"/>
                    </w:rPr>
                  </w:pPr>
                  <w:r>
                    <w:rPr>
                      <w:rFonts w:hint="eastAsia"/>
                    </w:rPr>
                    <w:t>8</w:t>
                  </w:r>
                </w:p>
              </w:tc>
              <w:tc>
                <w:tcPr>
                  <w:tcW w:w="1119" w:type="pct"/>
                  <w:tcBorders>
                    <w:tl2br w:val="nil"/>
                    <w:tr2bl w:val="nil"/>
                  </w:tcBorders>
                  <w:shd w:val="clear" w:color="auto" w:fill="auto"/>
                  <w:noWrap/>
                  <w:vAlign w:val="center"/>
                </w:tcPr>
                <w:p w14:paraId="5DF8F3E9">
                  <w:pPr>
                    <w:pStyle w:val="31"/>
                    <w:rPr>
                      <w:rFonts w:hint="eastAsia"/>
                    </w:rPr>
                  </w:pPr>
                  <w:r>
                    <w:rPr>
                      <w:rFonts w:hint="eastAsia"/>
                    </w:rPr>
                    <w:t>2024TC5401</w:t>
                  </w:r>
                </w:p>
              </w:tc>
              <w:tc>
                <w:tcPr>
                  <w:tcW w:w="485" w:type="pct"/>
                  <w:tcBorders>
                    <w:tl2br w:val="nil"/>
                    <w:tr2bl w:val="nil"/>
                  </w:tcBorders>
                  <w:shd w:val="clear" w:color="auto" w:fill="auto"/>
                  <w:noWrap/>
                  <w:vAlign w:val="center"/>
                </w:tcPr>
                <w:p w14:paraId="73F2BBC5">
                  <w:pPr>
                    <w:pStyle w:val="31"/>
                    <w:rPr>
                      <w:rFonts w:hint="eastAsia"/>
                    </w:rPr>
                  </w:pPr>
                  <w:r>
                    <w:rPr>
                      <w:rFonts w:hint="eastAsia"/>
                    </w:rPr>
                    <w:t>4725528</w:t>
                  </w:r>
                </w:p>
              </w:tc>
              <w:tc>
                <w:tcPr>
                  <w:tcW w:w="485" w:type="pct"/>
                  <w:tcBorders>
                    <w:tl2br w:val="nil"/>
                    <w:tr2bl w:val="nil"/>
                  </w:tcBorders>
                  <w:shd w:val="clear" w:color="auto" w:fill="auto"/>
                  <w:noWrap/>
                  <w:vAlign w:val="center"/>
                </w:tcPr>
                <w:p w14:paraId="3F9C090E">
                  <w:pPr>
                    <w:pStyle w:val="31"/>
                    <w:rPr>
                      <w:rFonts w:hint="eastAsia"/>
                    </w:rPr>
                  </w:pPr>
                  <w:r>
                    <w:rPr>
                      <w:rFonts w:hint="eastAsia"/>
                    </w:rPr>
                    <w:t>575750</w:t>
                  </w:r>
                </w:p>
              </w:tc>
              <w:tc>
                <w:tcPr>
                  <w:tcW w:w="485" w:type="pct"/>
                  <w:tcBorders>
                    <w:tl2br w:val="nil"/>
                    <w:tr2bl w:val="nil"/>
                  </w:tcBorders>
                  <w:shd w:val="clear" w:color="auto" w:fill="auto"/>
                  <w:noWrap/>
                  <w:vAlign w:val="center"/>
                </w:tcPr>
                <w:p w14:paraId="52648FEA">
                  <w:pPr>
                    <w:pStyle w:val="31"/>
                    <w:rPr>
                      <w:rFonts w:hint="eastAsia"/>
                    </w:rPr>
                  </w:pPr>
                  <w:r>
                    <w:rPr>
                      <w:rFonts w:hint="eastAsia"/>
                    </w:rPr>
                    <w:t>4725620</w:t>
                  </w:r>
                </w:p>
              </w:tc>
              <w:tc>
                <w:tcPr>
                  <w:tcW w:w="485" w:type="pct"/>
                  <w:tcBorders>
                    <w:tl2br w:val="nil"/>
                    <w:tr2bl w:val="nil"/>
                  </w:tcBorders>
                  <w:shd w:val="clear" w:color="auto" w:fill="auto"/>
                  <w:noWrap/>
                  <w:vAlign w:val="center"/>
                </w:tcPr>
                <w:p w14:paraId="0E498448">
                  <w:pPr>
                    <w:pStyle w:val="31"/>
                    <w:rPr>
                      <w:rFonts w:hint="eastAsia"/>
                    </w:rPr>
                  </w:pPr>
                  <w:r>
                    <w:rPr>
                      <w:rFonts w:hint="eastAsia"/>
                    </w:rPr>
                    <w:t>575778</w:t>
                  </w:r>
                </w:p>
              </w:tc>
              <w:tc>
                <w:tcPr>
                  <w:tcW w:w="485" w:type="pct"/>
                  <w:tcBorders>
                    <w:tl2br w:val="nil"/>
                    <w:tr2bl w:val="nil"/>
                  </w:tcBorders>
                  <w:shd w:val="clear" w:color="auto" w:fill="auto"/>
                  <w:noWrap/>
                  <w:vAlign w:val="center"/>
                </w:tcPr>
                <w:p w14:paraId="410A35F3">
                  <w:pPr>
                    <w:pStyle w:val="31"/>
                    <w:rPr>
                      <w:rFonts w:hint="eastAsia"/>
                    </w:rPr>
                  </w:pPr>
                  <w:r>
                    <w:rPr>
                      <w:rFonts w:hint="eastAsia"/>
                    </w:rPr>
                    <w:t>18</w:t>
                  </w:r>
                </w:p>
              </w:tc>
              <w:tc>
                <w:tcPr>
                  <w:tcW w:w="485" w:type="pct"/>
                  <w:tcBorders>
                    <w:tl2br w:val="nil"/>
                    <w:tr2bl w:val="nil"/>
                  </w:tcBorders>
                  <w:shd w:val="clear" w:color="auto" w:fill="auto"/>
                  <w:noWrap/>
                  <w:vAlign w:val="center"/>
                </w:tcPr>
                <w:p w14:paraId="725B95EB">
                  <w:pPr>
                    <w:pStyle w:val="31"/>
                    <w:rPr>
                      <w:rFonts w:hint="eastAsia"/>
                    </w:rPr>
                  </w:pPr>
                  <w:r>
                    <w:rPr>
                      <w:rFonts w:hint="eastAsia"/>
                    </w:rPr>
                    <w:t>100</w:t>
                  </w:r>
                </w:p>
              </w:tc>
              <w:tc>
                <w:tcPr>
                  <w:tcW w:w="485" w:type="pct"/>
                  <w:tcBorders>
                    <w:tl2br w:val="nil"/>
                    <w:tr2bl w:val="nil"/>
                  </w:tcBorders>
                  <w:shd w:val="clear" w:color="auto" w:fill="auto"/>
                  <w:noWrap/>
                  <w:vAlign w:val="center"/>
                </w:tcPr>
                <w:p w14:paraId="51415104">
                  <w:pPr>
                    <w:pStyle w:val="31"/>
                    <w:rPr>
                      <w:rFonts w:hint="eastAsia"/>
                    </w:rPr>
                  </w:pPr>
                  <w:r>
                    <w:rPr>
                      <w:rFonts w:hint="eastAsia"/>
                    </w:rPr>
                    <w:t>300</w:t>
                  </w:r>
                </w:p>
              </w:tc>
            </w:tr>
            <w:tr w14:paraId="70393DD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0" w:hRule="atLeast"/>
                <w:jc w:val="center"/>
              </w:trPr>
              <w:tc>
                <w:tcPr>
                  <w:tcW w:w="485" w:type="pct"/>
                  <w:tcBorders>
                    <w:tl2br w:val="nil"/>
                    <w:tr2bl w:val="nil"/>
                  </w:tcBorders>
                  <w:shd w:val="clear" w:color="auto" w:fill="auto"/>
                  <w:noWrap/>
                  <w:vAlign w:val="center"/>
                </w:tcPr>
                <w:p w14:paraId="144DFEE8">
                  <w:pPr>
                    <w:pStyle w:val="31"/>
                    <w:rPr>
                      <w:rFonts w:hint="eastAsia"/>
                    </w:rPr>
                  </w:pPr>
                  <w:r>
                    <w:rPr>
                      <w:rFonts w:hint="eastAsia"/>
                    </w:rPr>
                    <w:t>9</w:t>
                  </w:r>
                </w:p>
              </w:tc>
              <w:tc>
                <w:tcPr>
                  <w:tcW w:w="1119" w:type="pct"/>
                  <w:tcBorders>
                    <w:tl2br w:val="nil"/>
                    <w:tr2bl w:val="nil"/>
                  </w:tcBorders>
                  <w:shd w:val="clear" w:color="auto" w:fill="auto"/>
                  <w:noWrap/>
                  <w:vAlign w:val="center"/>
                </w:tcPr>
                <w:p w14:paraId="29A0CCA1">
                  <w:pPr>
                    <w:pStyle w:val="31"/>
                    <w:rPr>
                      <w:rFonts w:hint="eastAsia"/>
                    </w:rPr>
                  </w:pPr>
                  <w:r>
                    <w:rPr>
                      <w:rFonts w:hint="eastAsia"/>
                    </w:rPr>
                    <w:t>2024TC1701</w:t>
                  </w:r>
                </w:p>
              </w:tc>
              <w:tc>
                <w:tcPr>
                  <w:tcW w:w="485" w:type="pct"/>
                  <w:tcBorders>
                    <w:tl2br w:val="nil"/>
                    <w:tr2bl w:val="nil"/>
                  </w:tcBorders>
                  <w:shd w:val="clear" w:color="auto" w:fill="auto"/>
                  <w:noWrap/>
                  <w:vAlign w:val="center"/>
                </w:tcPr>
                <w:p w14:paraId="2BEEA27B">
                  <w:pPr>
                    <w:pStyle w:val="31"/>
                    <w:rPr>
                      <w:rFonts w:hint="eastAsia"/>
                    </w:rPr>
                  </w:pPr>
                  <w:r>
                    <w:rPr>
                      <w:rFonts w:hint="eastAsia"/>
                    </w:rPr>
                    <w:t>4725679</w:t>
                  </w:r>
                </w:p>
              </w:tc>
              <w:tc>
                <w:tcPr>
                  <w:tcW w:w="485" w:type="pct"/>
                  <w:tcBorders>
                    <w:tl2br w:val="nil"/>
                    <w:tr2bl w:val="nil"/>
                  </w:tcBorders>
                  <w:shd w:val="clear" w:color="auto" w:fill="auto"/>
                  <w:noWrap/>
                  <w:vAlign w:val="center"/>
                </w:tcPr>
                <w:p w14:paraId="2CB9511B">
                  <w:pPr>
                    <w:pStyle w:val="31"/>
                    <w:rPr>
                      <w:rFonts w:hint="eastAsia"/>
                    </w:rPr>
                  </w:pPr>
                  <w:r>
                    <w:rPr>
                      <w:rFonts w:hint="eastAsia"/>
                    </w:rPr>
                    <w:t>575043</w:t>
                  </w:r>
                </w:p>
              </w:tc>
              <w:tc>
                <w:tcPr>
                  <w:tcW w:w="485" w:type="pct"/>
                  <w:tcBorders>
                    <w:tl2br w:val="nil"/>
                    <w:tr2bl w:val="nil"/>
                  </w:tcBorders>
                  <w:shd w:val="clear" w:color="auto" w:fill="auto"/>
                  <w:noWrap/>
                  <w:vAlign w:val="center"/>
                </w:tcPr>
                <w:p w14:paraId="28AF7D39">
                  <w:pPr>
                    <w:pStyle w:val="31"/>
                    <w:rPr>
                      <w:rFonts w:hint="eastAsia"/>
                    </w:rPr>
                  </w:pPr>
                  <w:r>
                    <w:rPr>
                      <w:rFonts w:hint="eastAsia"/>
                    </w:rPr>
                    <w:t>4725770</w:t>
                  </w:r>
                </w:p>
              </w:tc>
              <w:tc>
                <w:tcPr>
                  <w:tcW w:w="485" w:type="pct"/>
                  <w:tcBorders>
                    <w:tl2br w:val="nil"/>
                    <w:tr2bl w:val="nil"/>
                  </w:tcBorders>
                  <w:shd w:val="clear" w:color="auto" w:fill="auto"/>
                  <w:noWrap/>
                  <w:vAlign w:val="center"/>
                </w:tcPr>
                <w:p w14:paraId="4C507C32">
                  <w:pPr>
                    <w:pStyle w:val="31"/>
                    <w:rPr>
                      <w:rFonts w:hint="eastAsia"/>
                    </w:rPr>
                  </w:pPr>
                  <w:r>
                    <w:rPr>
                      <w:rFonts w:hint="eastAsia"/>
                    </w:rPr>
                    <w:t>575071</w:t>
                  </w:r>
                </w:p>
              </w:tc>
              <w:tc>
                <w:tcPr>
                  <w:tcW w:w="485" w:type="pct"/>
                  <w:tcBorders>
                    <w:tl2br w:val="nil"/>
                    <w:tr2bl w:val="nil"/>
                  </w:tcBorders>
                  <w:shd w:val="clear" w:color="auto" w:fill="auto"/>
                  <w:noWrap/>
                  <w:vAlign w:val="center"/>
                </w:tcPr>
                <w:p w14:paraId="03BCCFC4">
                  <w:pPr>
                    <w:pStyle w:val="31"/>
                    <w:rPr>
                      <w:rFonts w:hint="eastAsia"/>
                    </w:rPr>
                  </w:pPr>
                  <w:r>
                    <w:rPr>
                      <w:rFonts w:hint="eastAsia"/>
                    </w:rPr>
                    <w:t>18</w:t>
                  </w:r>
                </w:p>
              </w:tc>
              <w:tc>
                <w:tcPr>
                  <w:tcW w:w="485" w:type="pct"/>
                  <w:tcBorders>
                    <w:tl2br w:val="nil"/>
                    <w:tr2bl w:val="nil"/>
                  </w:tcBorders>
                  <w:shd w:val="clear" w:color="auto" w:fill="auto"/>
                  <w:noWrap/>
                  <w:vAlign w:val="center"/>
                </w:tcPr>
                <w:p w14:paraId="4CC6E122">
                  <w:pPr>
                    <w:pStyle w:val="31"/>
                    <w:rPr>
                      <w:rFonts w:hint="eastAsia"/>
                    </w:rPr>
                  </w:pPr>
                  <w:r>
                    <w:rPr>
                      <w:rFonts w:hint="eastAsia"/>
                    </w:rPr>
                    <w:t>100</w:t>
                  </w:r>
                </w:p>
              </w:tc>
              <w:tc>
                <w:tcPr>
                  <w:tcW w:w="485" w:type="pct"/>
                  <w:tcBorders>
                    <w:tl2br w:val="nil"/>
                    <w:tr2bl w:val="nil"/>
                  </w:tcBorders>
                  <w:shd w:val="clear" w:color="auto" w:fill="auto"/>
                  <w:noWrap/>
                  <w:vAlign w:val="center"/>
                </w:tcPr>
                <w:p w14:paraId="74B0AB85">
                  <w:pPr>
                    <w:pStyle w:val="31"/>
                    <w:rPr>
                      <w:rFonts w:hint="eastAsia"/>
                    </w:rPr>
                  </w:pPr>
                  <w:r>
                    <w:rPr>
                      <w:rFonts w:hint="eastAsia"/>
                    </w:rPr>
                    <w:t>300</w:t>
                  </w:r>
                </w:p>
              </w:tc>
            </w:tr>
            <w:tr w14:paraId="330D52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0" w:hRule="atLeast"/>
                <w:jc w:val="center"/>
              </w:trPr>
              <w:tc>
                <w:tcPr>
                  <w:tcW w:w="485" w:type="pct"/>
                  <w:tcBorders>
                    <w:tl2br w:val="nil"/>
                    <w:tr2bl w:val="nil"/>
                  </w:tcBorders>
                  <w:shd w:val="clear" w:color="auto" w:fill="auto"/>
                  <w:noWrap/>
                  <w:vAlign w:val="center"/>
                </w:tcPr>
                <w:p w14:paraId="1A7E0FDD">
                  <w:pPr>
                    <w:pStyle w:val="31"/>
                    <w:rPr>
                      <w:rFonts w:hint="eastAsia"/>
                    </w:rPr>
                  </w:pPr>
                  <w:r>
                    <w:rPr>
                      <w:rFonts w:hint="eastAsia"/>
                    </w:rPr>
                    <w:t>10</w:t>
                  </w:r>
                </w:p>
              </w:tc>
              <w:tc>
                <w:tcPr>
                  <w:tcW w:w="1119" w:type="pct"/>
                  <w:tcBorders>
                    <w:tl2br w:val="nil"/>
                    <w:tr2bl w:val="nil"/>
                  </w:tcBorders>
                  <w:shd w:val="clear" w:color="auto" w:fill="auto"/>
                  <w:noWrap/>
                  <w:vAlign w:val="center"/>
                </w:tcPr>
                <w:p w14:paraId="78C1824E">
                  <w:pPr>
                    <w:pStyle w:val="31"/>
                    <w:rPr>
                      <w:rFonts w:hint="eastAsia"/>
                    </w:rPr>
                  </w:pPr>
                  <w:r>
                    <w:rPr>
                      <w:rFonts w:hint="eastAsia"/>
                    </w:rPr>
                    <w:t>2024TC2501</w:t>
                  </w:r>
                </w:p>
              </w:tc>
              <w:tc>
                <w:tcPr>
                  <w:tcW w:w="485" w:type="pct"/>
                  <w:tcBorders>
                    <w:tl2br w:val="nil"/>
                    <w:tr2bl w:val="nil"/>
                  </w:tcBorders>
                  <w:shd w:val="clear" w:color="auto" w:fill="auto"/>
                  <w:noWrap/>
                  <w:vAlign w:val="center"/>
                </w:tcPr>
                <w:p w14:paraId="4BCFF6F0">
                  <w:pPr>
                    <w:pStyle w:val="31"/>
                    <w:rPr>
                      <w:rFonts w:hint="eastAsia"/>
                    </w:rPr>
                  </w:pPr>
                  <w:r>
                    <w:rPr>
                      <w:rFonts w:hint="eastAsia"/>
                    </w:rPr>
                    <w:t>4725679</w:t>
                  </w:r>
                </w:p>
              </w:tc>
              <w:tc>
                <w:tcPr>
                  <w:tcW w:w="485" w:type="pct"/>
                  <w:tcBorders>
                    <w:tl2br w:val="nil"/>
                    <w:tr2bl w:val="nil"/>
                  </w:tcBorders>
                  <w:shd w:val="clear" w:color="auto" w:fill="auto"/>
                  <w:noWrap/>
                  <w:vAlign w:val="center"/>
                </w:tcPr>
                <w:p w14:paraId="3D5C15FE">
                  <w:pPr>
                    <w:pStyle w:val="31"/>
                    <w:rPr>
                      <w:rFonts w:hint="eastAsia"/>
                    </w:rPr>
                  </w:pPr>
                  <w:r>
                    <w:rPr>
                      <w:rFonts w:hint="eastAsia"/>
                    </w:rPr>
                    <w:t>5749560</w:t>
                  </w:r>
                </w:p>
              </w:tc>
              <w:tc>
                <w:tcPr>
                  <w:tcW w:w="485" w:type="pct"/>
                  <w:tcBorders>
                    <w:tl2br w:val="nil"/>
                    <w:tr2bl w:val="nil"/>
                  </w:tcBorders>
                  <w:shd w:val="clear" w:color="auto" w:fill="auto"/>
                  <w:noWrap/>
                  <w:vAlign w:val="center"/>
                </w:tcPr>
                <w:p w14:paraId="6041C864">
                  <w:pPr>
                    <w:pStyle w:val="31"/>
                    <w:rPr>
                      <w:rFonts w:hint="eastAsia"/>
                    </w:rPr>
                  </w:pPr>
                  <w:r>
                    <w:rPr>
                      <w:rFonts w:hint="eastAsia"/>
                    </w:rPr>
                    <w:t>4725771</w:t>
                  </w:r>
                </w:p>
              </w:tc>
              <w:tc>
                <w:tcPr>
                  <w:tcW w:w="485" w:type="pct"/>
                  <w:tcBorders>
                    <w:tl2br w:val="nil"/>
                    <w:tr2bl w:val="nil"/>
                  </w:tcBorders>
                  <w:shd w:val="clear" w:color="auto" w:fill="auto"/>
                  <w:noWrap/>
                  <w:vAlign w:val="center"/>
                </w:tcPr>
                <w:p w14:paraId="3B382AC7">
                  <w:pPr>
                    <w:pStyle w:val="31"/>
                    <w:rPr>
                      <w:rFonts w:hint="eastAsia"/>
                    </w:rPr>
                  </w:pPr>
                  <w:r>
                    <w:rPr>
                      <w:rFonts w:hint="eastAsia"/>
                    </w:rPr>
                    <w:t>574988</w:t>
                  </w:r>
                </w:p>
              </w:tc>
              <w:tc>
                <w:tcPr>
                  <w:tcW w:w="485" w:type="pct"/>
                  <w:tcBorders>
                    <w:tl2br w:val="nil"/>
                    <w:tr2bl w:val="nil"/>
                  </w:tcBorders>
                  <w:shd w:val="clear" w:color="auto" w:fill="auto"/>
                  <w:noWrap/>
                  <w:vAlign w:val="center"/>
                </w:tcPr>
                <w:p w14:paraId="58680DFB">
                  <w:pPr>
                    <w:pStyle w:val="31"/>
                    <w:rPr>
                      <w:rFonts w:hint="eastAsia"/>
                    </w:rPr>
                  </w:pPr>
                  <w:r>
                    <w:rPr>
                      <w:rFonts w:hint="eastAsia"/>
                    </w:rPr>
                    <w:t>18</w:t>
                  </w:r>
                </w:p>
              </w:tc>
              <w:tc>
                <w:tcPr>
                  <w:tcW w:w="485" w:type="pct"/>
                  <w:tcBorders>
                    <w:tl2br w:val="nil"/>
                    <w:tr2bl w:val="nil"/>
                  </w:tcBorders>
                  <w:shd w:val="clear" w:color="auto" w:fill="auto"/>
                  <w:noWrap/>
                  <w:vAlign w:val="center"/>
                </w:tcPr>
                <w:p w14:paraId="0B3D06F7">
                  <w:pPr>
                    <w:pStyle w:val="31"/>
                    <w:rPr>
                      <w:rFonts w:hint="eastAsia"/>
                    </w:rPr>
                  </w:pPr>
                  <w:r>
                    <w:rPr>
                      <w:rFonts w:hint="eastAsia"/>
                    </w:rPr>
                    <w:t>100</w:t>
                  </w:r>
                </w:p>
              </w:tc>
              <w:tc>
                <w:tcPr>
                  <w:tcW w:w="485" w:type="pct"/>
                  <w:tcBorders>
                    <w:tl2br w:val="nil"/>
                    <w:tr2bl w:val="nil"/>
                  </w:tcBorders>
                  <w:shd w:val="clear" w:color="auto" w:fill="auto"/>
                  <w:noWrap/>
                  <w:vAlign w:val="center"/>
                </w:tcPr>
                <w:p w14:paraId="3E03894C">
                  <w:pPr>
                    <w:pStyle w:val="31"/>
                    <w:rPr>
                      <w:rFonts w:hint="eastAsia"/>
                    </w:rPr>
                  </w:pPr>
                  <w:r>
                    <w:rPr>
                      <w:rFonts w:hint="eastAsia"/>
                    </w:rPr>
                    <w:t>300</w:t>
                  </w:r>
                </w:p>
              </w:tc>
            </w:tr>
            <w:tr w14:paraId="49DAF5C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0" w:hRule="atLeast"/>
                <w:jc w:val="center"/>
              </w:trPr>
              <w:tc>
                <w:tcPr>
                  <w:tcW w:w="485" w:type="pct"/>
                  <w:tcBorders>
                    <w:tl2br w:val="nil"/>
                    <w:tr2bl w:val="nil"/>
                  </w:tcBorders>
                  <w:shd w:val="clear" w:color="auto" w:fill="auto"/>
                  <w:noWrap/>
                  <w:vAlign w:val="center"/>
                </w:tcPr>
                <w:p w14:paraId="3AED2BC7">
                  <w:pPr>
                    <w:pStyle w:val="31"/>
                    <w:rPr>
                      <w:rFonts w:hint="eastAsia"/>
                    </w:rPr>
                  </w:pPr>
                  <w:r>
                    <w:rPr>
                      <w:rFonts w:hint="eastAsia"/>
                    </w:rPr>
                    <w:t>11</w:t>
                  </w:r>
                </w:p>
              </w:tc>
              <w:tc>
                <w:tcPr>
                  <w:tcW w:w="1119" w:type="pct"/>
                  <w:tcBorders>
                    <w:tl2br w:val="nil"/>
                    <w:tr2bl w:val="nil"/>
                  </w:tcBorders>
                  <w:shd w:val="clear" w:color="auto" w:fill="auto"/>
                  <w:noWrap/>
                  <w:vAlign w:val="center"/>
                </w:tcPr>
                <w:p w14:paraId="1C1272F7">
                  <w:pPr>
                    <w:pStyle w:val="31"/>
                    <w:rPr>
                      <w:rFonts w:hint="eastAsia"/>
                    </w:rPr>
                  </w:pPr>
                  <w:r>
                    <w:rPr>
                      <w:rFonts w:hint="eastAsia"/>
                    </w:rPr>
                    <w:t>2024TC3301</w:t>
                  </w:r>
                </w:p>
              </w:tc>
              <w:tc>
                <w:tcPr>
                  <w:tcW w:w="485" w:type="pct"/>
                  <w:tcBorders>
                    <w:tl2br w:val="nil"/>
                    <w:tr2bl w:val="nil"/>
                  </w:tcBorders>
                  <w:shd w:val="clear" w:color="auto" w:fill="auto"/>
                  <w:noWrap/>
                  <w:vAlign w:val="center"/>
                </w:tcPr>
                <w:p w14:paraId="4149CE7C">
                  <w:pPr>
                    <w:pStyle w:val="31"/>
                    <w:rPr>
                      <w:rFonts w:hint="eastAsia"/>
                    </w:rPr>
                  </w:pPr>
                  <w:r>
                    <w:rPr>
                      <w:rFonts w:hint="eastAsia"/>
                    </w:rPr>
                    <w:t>4725683</w:t>
                  </w:r>
                </w:p>
              </w:tc>
              <w:tc>
                <w:tcPr>
                  <w:tcW w:w="485" w:type="pct"/>
                  <w:tcBorders>
                    <w:tl2br w:val="nil"/>
                    <w:tr2bl w:val="nil"/>
                  </w:tcBorders>
                  <w:shd w:val="clear" w:color="auto" w:fill="auto"/>
                  <w:noWrap/>
                  <w:vAlign w:val="center"/>
                </w:tcPr>
                <w:p w14:paraId="5E1D856A">
                  <w:pPr>
                    <w:pStyle w:val="31"/>
                    <w:rPr>
                      <w:rFonts w:hint="eastAsia"/>
                    </w:rPr>
                  </w:pPr>
                  <w:r>
                    <w:rPr>
                      <w:rFonts w:hint="eastAsia"/>
                    </w:rPr>
                    <w:t>574856</w:t>
                  </w:r>
                </w:p>
              </w:tc>
              <w:tc>
                <w:tcPr>
                  <w:tcW w:w="485" w:type="pct"/>
                  <w:tcBorders>
                    <w:tl2br w:val="nil"/>
                    <w:tr2bl w:val="nil"/>
                  </w:tcBorders>
                  <w:shd w:val="clear" w:color="auto" w:fill="auto"/>
                  <w:noWrap/>
                  <w:vAlign w:val="center"/>
                </w:tcPr>
                <w:p w14:paraId="47BA9423">
                  <w:pPr>
                    <w:pStyle w:val="31"/>
                    <w:rPr>
                      <w:rFonts w:hint="eastAsia"/>
                    </w:rPr>
                  </w:pPr>
                  <w:r>
                    <w:rPr>
                      <w:rFonts w:hint="eastAsia"/>
                    </w:rPr>
                    <w:t>4725775</w:t>
                  </w:r>
                </w:p>
              </w:tc>
              <w:tc>
                <w:tcPr>
                  <w:tcW w:w="485" w:type="pct"/>
                  <w:tcBorders>
                    <w:tl2br w:val="nil"/>
                    <w:tr2bl w:val="nil"/>
                  </w:tcBorders>
                  <w:shd w:val="clear" w:color="auto" w:fill="auto"/>
                  <w:noWrap/>
                  <w:vAlign w:val="center"/>
                </w:tcPr>
                <w:p w14:paraId="09A81749">
                  <w:pPr>
                    <w:pStyle w:val="31"/>
                    <w:rPr>
                      <w:rFonts w:hint="eastAsia"/>
                    </w:rPr>
                  </w:pPr>
                  <w:r>
                    <w:rPr>
                      <w:rFonts w:hint="eastAsia"/>
                    </w:rPr>
                    <w:t>574885</w:t>
                  </w:r>
                </w:p>
              </w:tc>
              <w:tc>
                <w:tcPr>
                  <w:tcW w:w="485" w:type="pct"/>
                  <w:tcBorders>
                    <w:tl2br w:val="nil"/>
                    <w:tr2bl w:val="nil"/>
                  </w:tcBorders>
                  <w:shd w:val="clear" w:color="auto" w:fill="auto"/>
                  <w:noWrap/>
                  <w:vAlign w:val="center"/>
                </w:tcPr>
                <w:p w14:paraId="4C4D6480">
                  <w:pPr>
                    <w:pStyle w:val="31"/>
                    <w:rPr>
                      <w:rFonts w:hint="eastAsia"/>
                    </w:rPr>
                  </w:pPr>
                  <w:r>
                    <w:rPr>
                      <w:rFonts w:hint="eastAsia"/>
                    </w:rPr>
                    <w:t>18</w:t>
                  </w:r>
                </w:p>
              </w:tc>
              <w:tc>
                <w:tcPr>
                  <w:tcW w:w="485" w:type="pct"/>
                  <w:tcBorders>
                    <w:tl2br w:val="nil"/>
                    <w:tr2bl w:val="nil"/>
                  </w:tcBorders>
                  <w:shd w:val="clear" w:color="auto" w:fill="auto"/>
                  <w:noWrap/>
                  <w:vAlign w:val="center"/>
                </w:tcPr>
                <w:p w14:paraId="40A01577">
                  <w:pPr>
                    <w:pStyle w:val="31"/>
                    <w:rPr>
                      <w:rFonts w:hint="eastAsia"/>
                    </w:rPr>
                  </w:pPr>
                  <w:r>
                    <w:rPr>
                      <w:rFonts w:hint="eastAsia"/>
                    </w:rPr>
                    <w:t>100</w:t>
                  </w:r>
                </w:p>
              </w:tc>
              <w:tc>
                <w:tcPr>
                  <w:tcW w:w="485" w:type="pct"/>
                  <w:tcBorders>
                    <w:tl2br w:val="nil"/>
                    <w:tr2bl w:val="nil"/>
                  </w:tcBorders>
                  <w:shd w:val="clear" w:color="auto" w:fill="auto"/>
                  <w:noWrap/>
                  <w:vAlign w:val="center"/>
                </w:tcPr>
                <w:p w14:paraId="166CF6CD">
                  <w:pPr>
                    <w:pStyle w:val="31"/>
                    <w:rPr>
                      <w:rFonts w:hint="eastAsia"/>
                    </w:rPr>
                  </w:pPr>
                  <w:r>
                    <w:rPr>
                      <w:rFonts w:hint="eastAsia"/>
                    </w:rPr>
                    <w:t>300</w:t>
                  </w:r>
                </w:p>
              </w:tc>
            </w:tr>
            <w:tr w14:paraId="15C4903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0" w:hRule="atLeast"/>
                <w:jc w:val="center"/>
              </w:trPr>
              <w:tc>
                <w:tcPr>
                  <w:tcW w:w="485" w:type="pct"/>
                  <w:tcBorders>
                    <w:tl2br w:val="nil"/>
                    <w:tr2bl w:val="nil"/>
                  </w:tcBorders>
                  <w:shd w:val="clear" w:color="auto" w:fill="auto"/>
                  <w:noWrap/>
                  <w:vAlign w:val="center"/>
                </w:tcPr>
                <w:p w14:paraId="6A056990">
                  <w:pPr>
                    <w:pStyle w:val="31"/>
                    <w:jc w:val="both"/>
                    <w:rPr>
                      <w:rFonts w:hint="eastAsia"/>
                    </w:rPr>
                  </w:pPr>
                </w:p>
              </w:tc>
              <w:tc>
                <w:tcPr>
                  <w:tcW w:w="1119" w:type="pct"/>
                  <w:tcBorders>
                    <w:tl2br w:val="nil"/>
                    <w:tr2bl w:val="nil"/>
                  </w:tcBorders>
                  <w:shd w:val="clear" w:color="auto" w:fill="auto"/>
                  <w:noWrap/>
                  <w:vAlign w:val="center"/>
                </w:tcPr>
                <w:p w14:paraId="5BC21AEA">
                  <w:pPr>
                    <w:pStyle w:val="31"/>
                    <w:rPr>
                      <w:rFonts w:hint="eastAsia"/>
                    </w:rPr>
                  </w:pPr>
                  <w:r>
                    <w:rPr>
                      <w:rFonts w:hint="eastAsia"/>
                    </w:rPr>
                    <w:t>合计</w:t>
                  </w:r>
                </w:p>
              </w:tc>
              <w:tc>
                <w:tcPr>
                  <w:tcW w:w="485" w:type="pct"/>
                  <w:tcBorders>
                    <w:tl2br w:val="nil"/>
                    <w:tr2bl w:val="nil"/>
                  </w:tcBorders>
                  <w:shd w:val="clear" w:color="auto" w:fill="auto"/>
                  <w:noWrap/>
                  <w:vAlign w:val="center"/>
                </w:tcPr>
                <w:p w14:paraId="203D46A5">
                  <w:pPr>
                    <w:pStyle w:val="31"/>
                    <w:jc w:val="both"/>
                    <w:rPr>
                      <w:rFonts w:hint="eastAsia"/>
                    </w:rPr>
                  </w:pPr>
                </w:p>
              </w:tc>
              <w:tc>
                <w:tcPr>
                  <w:tcW w:w="485" w:type="pct"/>
                  <w:tcBorders>
                    <w:tl2br w:val="nil"/>
                    <w:tr2bl w:val="nil"/>
                  </w:tcBorders>
                  <w:shd w:val="clear" w:color="auto" w:fill="auto"/>
                  <w:noWrap/>
                  <w:vAlign w:val="center"/>
                </w:tcPr>
                <w:p w14:paraId="1A8418D6">
                  <w:pPr>
                    <w:pStyle w:val="31"/>
                    <w:jc w:val="both"/>
                    <w:rPr>
                      <w:rFonts w:hint="eastAsia"/>
                    </w:rPr>
                  </w:pPr>
                </w:p>
              </w:tc>
              <w:tc>
                <w:tcPr>
                  <w:tcW w:w="485" w:type="pct"/>
                  <w:tcBorders>
                    <w:tl2br w:val="nil"/>
                    <w:tr2bl w:val="nil"/>
                  </w:tcBorders>
                  <w:shd w:val="clear" w:color="auto" w:fill="auto"/>
                  <w:noWrap/>
                  <w:vAlign w:val="center"/>
                </w:tcPr>
                <w:p w14:paraId="6F2A5D32">
                  <w:pPr>
                    <w:pStyle w:val="31"/>
                    <w:jc w:val="both"/>
                    <w:rPr>
                      <w:rFonts w:hint="eastAsia"/>
                    </w:rPr>
                  </w:pPr>
                </w:p>
              </w:tc>
              <w:tc>
                <w:tcPr>
                  <w:tcW w:w="485" w:type="pct"/>
                  <w:tcBorders>
                    <w:tl2br w:val="nil"/>
                    <w:tr2bl w:val="nil"/>
                  </w:tcBorders>
                  <w:shd w:val="clear" w:color="auto" w:fill="auto"/>
                  <w:noWrap/>
                  <w:vAlign w:val="center"/>
                </w:tcPr>
                <w:p w14:paraId="6E1BD23F">
                  <w:pPr>
                    <w:pStyle w:val="31"/>
                    <w:jc w:val="both"/>
                    <w:rPr>
                      <w:rFonts w:hint="eastAsia"/>
                    </w:rPr>
                  </w:pPr>
                </w:p>
              </w:tc>
              <w:tc>
                <w:tcPr>
                  <w:tcW w:w="485" w:type="pct"/>
                  <w:tcBorders>
                    <w:tl2br w:val="nil"/>
                    <w:tr2bl w:val="nil"/>
                  </w:tcBorders>
                  <w:shd w:val="clear" w:color="auto" w:fill="auto"/>
                  <w:noWrap/>
                  <w:vAlign w:val="center"/>
                </w:tcPr>
                <w:p w14:paraId="51E3FAAD">
                  <w:pPr>
                    <w:pStyle w:val="31"/>
                    <w:jc w:val="both"/>
                    <w:rPr>
                      <w:rFonts w:hint="eastAsia"/>
                    </w:rPr>
                  </w:pPr>
                </w:p>
              </w:tc>
              <w:tc>
                <w:tcPr>
                  <w:tcW w:w="485" w:type="pct"/>
                  <w:tcBorders>
                    <w:tl2br w:val="nil"/>
                    <w:tr2bl w:val="nil"/>
                  </w:tcBorders>
                  <w:shd w:val="clear" w:color="auto" w:fill="auto"/>
                  <w:noWrap/>
                  <w:vAlign w:val="center"/>
                </w:tcPr>
                <w:p w14:paraId="19B6D49A">
                  <w:pPr>
                    <w:pStyle w:val="31"/>
                    <w:rPr>
                      <w:rFonts w:hint="eastAsia"/>
                    </w:rPr>
                  </w:pPr>
                  <w:r>
                    <w:rPr>
                      <w:rFonts w:hint="eastAsia"/>
                    </w:rPr>
                    <w:t>1105</w:t>
                  </w:r>
                </w:p>
              </w:tc>
              <w:tc>
                <w:tcPr>
                  <w:tcW w:w="485" w:type="pct"/>
                  <w:tcBorders>
                    <w:tl2br w:val="nil"/>
                    <w:tr2bl w:val="nil"/>
                  </w:tcBorders>
                  <w:shd w:val="clear" w:color="auto" w:fill="auto"/>
                  <w:noWrap/>
                  <w:vAlign w:val="center"/>
                </w:tcPr>
                <w:p w14:paraId="1BD33F6F">
                  <w:pPr>
                    <w:pStyle w:val="31"/>
                    <w:rPr>
                      <w:rFonts w:hint="eastAsia"/>
                    </w:rPr>
                  </w:pPr>
                  <w:r>
                    <w:rPr>
                      <w:rFonts w:hint="eastAsia"/>
                    </w:rPr>
                    <w:t>3275</w:t>
                  </w:r>
                </w:p>
              </w:tc>
            </w:tr>
          </w:tbl>
          <w:p w14:paraId="3365A744">
            <w:pPr>
              <w:pStyle w:val="18"/>
              <w:ind w:leftChars="0" w:firstLine="480" w:firstLineChars="200"/>
            </w:pPr>
            <w:r>
              <w:t>本次设计槽探工作量5000立方米，在夏尔嘎特达坂金矿区及其走向延伸方向共布设槽探共计3275立方米，具体设计信息见表</w:t>
            </w:r>
            <w:r>
              <w:rPr>
                <w:rFonts w:hint="eastAsia"/>
                <w:lang w:val="en-US" w:eastAsia="zh-CN"/>
              </w:rPr>
              <w:t>2-2</w:t>
            </w:r>
            <w:r>
              <w:t>；剩余机动工作量约1</w:t>
            </w:r>
            <w:r>
              <w:rPr>
                <w:rFonts w:hint="eastAsia"/>
                <w:lang w:val="en-US" w:eastAsia="zh-CN"/>
              </w:rPr>
              <w:t>7</w:t>
            </w:r>
            <w:r>
              <w:t>25立方米，主要用于后期的补充工作量及南西区金矿点、包尔玉坑金矿点的槽探揭露工作。</w:t>
            </w:r>
          </w:p>
          <w:p w14:paraId="1F6679C9">
            <w:r>
              <w:t>深部以1、6、14、22号勘查线为主干剖面按照80m间距沿倾向系统开展钻探工程，控制矿体倾深150m-320m，9线以西、22线以东按照160m间距布设钻孔，控制倾深80m，了解矿（化）体远景，并根据实际见矿情况施工深部钻孔。</w:t>
            </w:r>
            <w:r>
              <w:rPr>
                <w:rFonts w:hint="eastAsia"/>
              </w:rPr>
              <w:t>由于矿（化）体陡倾，因此所有钻孔均按75°或80°斜孔布设，</w:t>
            </w:r>
            <w:r>
              <w:t>具体钻探工程布置如下</w:t>
            </w:r>
            <w:r>
              <w:rPr>
                <w:rFonts w:hint="eastAsia"/>
              </w:rPr>
              <w:t>（详见表</w:t>
            </w:r>
            <w:r>
              <w:rPr>
                <w:rFonts w:hint="eastAsia"/>
                <w:lang w:val="en-US" w:eastAsia="zh-CN"/>
              </w:rPr>
              <w:t>2-3</w:t>
            </w:r>
            <w:r>
              <w:rPr>
                <w:rFonts w:hint="eastAsia"/>
              </w:rPr>
              <w:t>）</w:t>
            </w:r>
            <w:r>
              <w:t>。</w:t>
            </w:r>
          </w:p>
          <w:p w14:paraId="33044980">
            <w:r>
              <w:t>①1线原ZK0501、ZK0502钻孔Ⅲ-1矿（化）体规模较好，沿ZK0501向上倾深80m处，设计钻孔2024ZK0101进行控制。</w:t>
            </w:r>
          </w:p>
          <w:p w14:paraId="1F1EF906">
            <w:r>
              <w:t>②6线地表取样及ZK301见矿较好，向深部按照80m倾深布设钻孔2014ZK0602、2014ZK0603，控制最大倾深285m。</w:t>
            </w:r>
          </w:p>
          <w:p w14:paraId="53FDF2F1">
            <w:r>
              <w:t>③14线原ZK0701、ZK0702均见规模矿（化）体，沿倾向上下追索，按照80m</w:t>
            </w:r>
            <w:r>
              <w:rPr>
                <w:rFonts w:hint="eastAsia"/>
              </w:rPr>
              <w:t>倾</w:t>
            </w:r>
            <w:r>
              <w:t>深分别设计2014ZK1401、2014ZK1403、2014ZK1403钻孔，控制最大斜深280m。</w:t>
            </w:r>
          </w:p>
          <w:p w14:paraId="62EF7204">
            <w:r>
              <w:t>④9线以Ⅲ-2</w:t>
            </w:r>
            <w:r>
              <w:rPr>
                <w:rFonts w:hint="eastAsia"/>
              </w:rPr>
              <w:t>矿（化）体</w:t>
            </w:r>
            <w:r>
              <w:t>为目标，按照160m</w:t>
            </w:r>
            <w:r>
              <w:rPr>
                <w:rFonts w:hint="eastAsia"/>
              </w:rPr>
              <w:t>倾</w:t>
            </w:r>
            <w:r>
              <w:t>深设计2024ZK902，控制深部矿化。</w:t>
            </w:r>
          </w:p>
          <w:p w14:paraId="18DC0403">
            <w:r>
              <w:t>⑤22线</w:t>
            </w:r>
            <w:r>
              <w:rPr>
                <w:rFonts w:hint="eastAsia"/>
              </w:rPr>
              <w:t>以规模</w:t>
            </w:r>
            <w:r>
              <w:t>较好的Ⅲ-1矿（化）体为目标，按照</w:t>
            </w:r>
            <w:r>
              <w:rPr>
                <w:rFonts w:hint="eastAsia"/>
              </w:rPr>
              <w:t>倾</w:t>
            </w:r>
            <w:r>
              <w:t>深80m间距设计2024ZK2201、2024ZK2202。</w:t>
            </w:r>
          </w:p>
          <w:p w14:paraId="1C063331">
            <w:r>
              <w:t>⑥25线、30线、46线以Ⅲ-1矿（化）体为目标，按照80m斜深设计钻孔2014ZK2501、2014ZK3001、2014ZK4601。</w:t>
            </w:r>
          </w:p>
          <w:p w14:paraId="39110EE3">
            <w:pPr>
              <w:pStyle w:val="18"/>
              <w:spacing w:line="240" w:lineRule="auto"/>
              <w:ind w:leftChars="0" w:firstLine="482" w:firstLineChars="200"/>
              <w:jc w:val="center"/>
              <w:rPr>
                <w:rFonts w:hint="eastAsia"/>
                <w:b/>
                <w:bCs/>
                <w:sz w:val="24"/>
              </w:rPr>
            </w:pPr>
            <w:r>
              <w:rPr>
                <w:rFonts w:hint="eastAsia"/>
                <w:b/>
                <w:bCs/>
                <w:sz w:val="24"/>
              </w:rPr>
              <w:t>表</w:t>
            </w:r>
            <w:r>
              <w:rPr>
                <w:rFonts w:hint="eastAsia"/>
                <w:b/>
                <w:bCs/>
                <w:sz w:val="24"/>
                <w:lang w:val="en-US" w:eastAsia="zh-CN"/>
              </w:rPr>
              <w:t>2-3</w:t>
            </w:r>
            <w:r>
              <w:rPr>
                <w:b/>
                <w:bCs/>
                <w:sz w:val="24"/>
              </w:rPr>
              <w:t>设计钻孔</w:t>
            </w:r>
            <w:r>
              <w:rPr>
                <w:rFonts w:hint="eastAsia"/>
                <w:b/>
                <w:bCs/>
                <w:sz w:val="24"/>
              </w:rPr>
              <w:t>统计一览表</w:t>
            </w:r>
          </w:p>
          <w:tbl>
            <w:tblPr>
              <w:tblStyle w:val="23"/>
              <w:tblW w:w="9016" w:type="dxa"/>
              <w:tblInd w:w="-7" w:type="dxa"/>
              <w:tblLayout w:type="autofit"/>
              <w:tblCellMar>
                <w:top w:w="0" w:type="dxa"/>
                <w:left w:w="108" w:type="dxa"/>
                <w:bottom w:w="0" w:type="dxa"/>
                <w:right w:w="108" w:type="dxa"/>
              </w:tblCellMar>
            </w:tblPr>
            <w:tblGrid>
              <w:gridCol w:w="2192"/>
              <w:gridCol w:w="1173"/>
              <w:gridCol w:w="1013"/>
              <w:gridCol w:w="1093"/>
              <w:gridCol w:w="1093"/>
              <w:gridCol w:w="1093"/>
              <w:gridCol w:w="1359"/>
            </w:tblGrid>
            <w:tr w14:paraId="70BD4C01">
              <w:tblPrEx>
                <w:tblCellMar>
                  <w:top w:w="0" w:type="dxa"/>
                  <w:left w:w="108" w:type="dxa"/>
                  <w:bottom w:w="0" w:type="dxa"/>
                  <w:right w:w="108" w:type="dxa"/>
                </w:tblCellMar>
              </w:tblPrEx>
              <w:trPr>
                <w:trHeight w:val="280" w:hRule="atLeast"/>
              </w:trPr>
              <w:tc>
                <w:tcPr>
                  <w:tcW w:w="2192"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125A93A8">
                  <w:pPr>
                    <w:pStyle w:val="31"/>
                    <w:rPr>
                      <w:rFonts w:hint="eastAsia"/>
                    </w:rPr>
                  </w:pPr>
                  <w:r>
                    <w:rPr>
                      <w:rFonts w:hint="eastAsia"/>
                    </w:rPr>
                    <w:t>钻孔编号</w:t>
                  </w:r>
                </w:p>
              </w:tc>
              <w:tc>
                <w:tcPr>
                  <w:tcW w:w="2186" w:type="dxa"/>
                  <w:gridSpan w:val="2"/>
                  <w:tcBorders>
                    <w:top w:val="single" w:color="auto" w:sz="4" w:space="0"/>
                    <w:left w:val="nil"/>
                    <w:bottom w:val="single" w:color="auto" w:sz="4" w:space="0"/>
                    <w:right w:val="single" w:color="auto" w:sz="4" w:space="0"/>
                  </w:tcBorders>
                  <w:shd w:val="clear" w:color="auto" w:fill="auto"/>
                  <w:noWrap/>
                  <w:vAlign w:val="center"/>
                </w:tcPr>
                <w:p w14:paraId="49E07738">
                  <w:pPr>
                    <w:pStyle w:val="31"/>
                    <w:rPr>
                      <w:rFonts w:hint="eastAsia"/>
                    </w:rPr>
                  </w:pPr>
                  <w:r>
                    <w:rPr>
                      <w:rFonts w:hint="eastAsia"/>
                    </w:rPr>
                    <w:t>设计坐标</w:t>
                  </w:r>
                </w:p>
              </w:tc>
              <w:tc>
                <w:tcPr>
                  <w:tcW w:w="1093"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3A3E8FC9">
                  <w:pPr>
                    <w:pStyle w:val="31"/>
                    <w:rPr>
                      <w:rFonts w:hint="eastAsia"/>
                    </w:rPr>
                  </w:pPr>
                  <w:r>
                    <w:rPr>
                      <w:rFonts w:hint="eastAsia"/>
                    </w:rPr>
                    <w:t>方位（°）</w:t>
                  </w:r>
                </w:p>
              </w:tc>
              <w:tc>
                <w:tcPr>
                  <w:tcW w:w="1093"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04FDF19D">
                  <w:pPr>
                    <w:pStyle w:val="31"/>
                    <w:rPr>
                      <w:rFonts w:hint="eastAsia"/>
                    </w:rPr>
                  </w:pPr>
                  <w:r>
                    <w:rPr>
                      <w:rFonts w:hint="eastAsia"/>
                    </w:rPr>
                    <w:t>倾角（°）</w:t>
                  </w:r>
                </w:p>
              </w:tc>
              <w:tc>
                <w:tcPr>
                  <w:tcW w:w="1093"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01AB37AB">
                  <w:pPr>
                    <w:pStyle w:val="31"/>
                    <w:rPr>
                      <w:rFonts w:hint="eastAsia"/>
                    </w:rPr>
                  </w:pPr>
                  <w:r>
                    <w:rPr>
                      <w:rFonts w:hint="eastAsia"/>
                    </w:rPr>
                    <w:t>孔深（m）</w:t>
                  </w:r>
                </w:p>
              </w:tc>
              <w:tc>
                <w:tcPr>
                  <w:tcW w:w="1359"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3469C35A">
                  <w:pPr>
                    <w:pStyle w:val="31"/>
                    <w:rPr>
                      <w:rFonts w:hint="eastAsia"/>
                    </w:rPr>
                  </w:pPr>
                  <w:r>
                    <w:rPr>
                      <w:rFonts w:hint="eastAsia"/>
                    </w:rPr>
                    <w:t>施工批次</w:t>
                  </w:r>
                </w:p>
              </w:tc>
            </w:tr>
            <w:tr w14:paraId="1249F57B">
              <w:tblPrEx>
                <w:tblCellMar>
                  <w:top w:w="0" w:type="dxa"/>
                  <w:left w:w="108" w:type="dxa"/>
                  <w:bottom w:w="0" w:type="dxa"/>
                  <w:right w:w="108" w:type="dxa"/>
                </w:tblCellMar>
              </w:tblPrEx>
              <w:trPr>
                <w:trHeight w:val="280" w:hRule="atLeast"/>
              </w:trPr>
              <w:tc>
                <w:tcPr>
                  <w:tcW w:w="2192" w:type="dxa"/>
                  <w:vMerge w:val="continue"/>
                  <w:tcBorders>
                    <w:top w:val="single" w:color="auto" w:sz="4" w:space="0"/>
                    <w:left w:val="single" w:color="auto" w:sz="4" w:space="0"/>
                    <w:bottom w:val="single" w:color="000000" w:sz="4" w:space="0"/>
                    <w:right w:val="single" w:color="auto" w:sz="4" w:space="0"/>
                  </w:tcBorders>
                  <w:shd w:val="clear" w:color="auto" w:fill="auto"/>
                  <w:noWrap w:val="0"/>
                  <w:vAlign w:val="center"/>
                </w:tcPr>
                <w:p w14:paraId="41E13FB8">
                  <w:pPr>
                    <w:pStyle w:val="31"/>
                    <w:rPr>
                      <w:rFonts w:hint="eastAsia"/>
                    </w:rPr>
                  </w:pPr>
                </w:p>
              </w:tc>
              <w:tc>
                <w:tcPr>
                  <w:tcW w:w="1173" w:type="dxa"/>
                  <w:tcBorders>
                    <w:top w:val="nil"/>
                    <w:left w:val="nil"/>
                    <w:bottom w:val="single" w:color="auto" w:sz="4" w:space="0"/>
                    <w:right w:val="single" w:color="auto" w:sz="4" w:space="0"/>
                  </w:tcBorders>
                  <w:shd w:val="clear" w:color="auto" w:fill="auto"/>
                  <w:noWrap/>
                  <w:vAlign w:val="center"/>
                </w:tcPr>
                <w:p w14:paraId="5A20CF20">
                  <w:pPr>
                    <w:pStyle w:val="31"/>
                    <w:rPr>
                      <w:rFonts w:hint="eastAsia"/>
                    </w:rPr>
                  </w:pPr>
                  <w:r>
                    <w:rPr>
                      <w:rFonts w:hint="eastAsia"/>
                    </w:rPr>
                    <w:t>X</w:t>
                  </w:r>
                </w:p>
              </w:tc>
              <w:tc>
                <w:tcPr>
                  <w:tcW w:w="1013" w:type="dxa"/>
                  <w:tcBorders>
                    <w:top w:val="nil"/>
                    <w:left w:val="nil"/>
                    <w:bottom w:val="single" w:color="auto" w:sz="4" w:space="0"/>
                    <w:right w:val="single" w:color="auto" w:sz="4" w:space="0"/>
                  </w:tcBorders>
                  <w:shd w:val="clear" w:color="auto" w:fill="auto"/>
                  <w:noWrap/>
                  <w:vAlign w:val="center"/>
                </w:tcPr>
                <w:p w14:paraId="4993AACC">
                  <w:pPr>
                    <w:pStyle w:val="31"/>
                    <w:rPr>
                      <w:rFonts w:hint="eastAsia"/>
                    </w:rPr>
                  </w:pPr>
                  <w:r>
                    <w:rPr>
                      <w:rFonts w:hint="eastAsia"/>
                    </w:rPr>
                    <w:t>Y</w:t>
                  </w:r>
                </w:p>
              </w:tc>
              <w:tc>
                <w:tcPr>
                  <w:tcW w:w="1093" w:type="dxa"/>
                  <w:vMerge w:val="continue"/>
                  <w:tcBorders>
                    <w:top w:val="single" w:color="auto" w:sz="4" w:space="0"/>
                    <w:left w:val="single" w:color="auto" w:sz="4" w:space="0"/>
                    <w:bottom w:val="single" w:color="000000" w:sz="4" w:space="0"/>
                    <w:right w:val="single" w:color="auto" w:sz="4" w:space="0"/>
                  </w:tcBorders>
                  <w:noWrap w:val="0"/>
                  <w:vAlign w:val="center"/>
                </w:tcPr>
                <w:p w14:paraId="6D108858">
                  <w:pPr>
                    <w:pStyle w:val="31"/>
                    <w:rPr>
                      <w:rFonts w:hint="eastAsia"/>
                    </w:rPr>
                  </w:pPr>
                </w:p>
              </w:tc>
              <w:tc>
                <w:tcPr>
                  <w:tcW w:w="1093" w:type="dxa"/>
                  <w:vMerge w:val="continue"/>
                  <w:tcBorders>
                    <w:top w:val="single" w:color="auto" w:sz="4" w:space="0"/>
                    <w:left w:val="single" w:color="auto" w:sz="4" w:space="0"/>
                    <w:bottom w:val="single" w:color="000000" w:sz="4" w:space="0"/>
                    <w:right w:val="single" w:color="auto" w:sz="4" w:space="0"/>
                  </w:tcBorders>
                  <w:noWrap w:val="0"/>
                  <w:vAlign w:val="center"/>
                </w:tcPr>
                <w:p w14:paraId="390158C3">
                  <w:pPr>
                    <w:pStyle w:val="31"/>
                    <w:rPr>
                      <w:rFonts w:hint="eastAsia"/>
                    </w:rPr>
                  </w:pPr>
                </w:p>
              </w:tc>
              <w:tc>
                <w:tcPr>
                  <w:tcW w:w="1093" w:type="dxa"/>
                  <w:vMerge w:val="continue"/>
                  <w:tcBorders>
                    <w:top w:val="single" w:color="auto" w:sz="4" w:space="0"/>
                    <w:left w:val="single" w:color="auto" w:sz="4" w:space="0"/>
                    <w:bottom w:val="single" w:color="000000" w:sz="4" w:space="0"/>
                    <w:right w:val="single" w:color="auto" w:sz="4" w:space="0"/>
                  </w:tcBorders>
                  <w:noWrap w:val="0"/>
                  <w:vAlign w:val="center"/>
                </w:tcPr>
                <w:p w14:paraId="51244478">
                  <w:pPr>
                    <w:pStyle w:val="31"/>
                    <w:rPr>
                      <w:rFonts w:hint="eastAsia"/>
                    </w:rPr>
                  </w:pPr>
                </w:p>
              </w:tc>
              <w:tc>
                <w:tcPr>
                  <w:tcW w:w="1359" w:type="dxa"/>
                  <w:vMerge w:val="continue"/>
                  <w:tcBorders>
                    <w:top w:val="single" w:color="auto" w:sz="4" w:space="0"/>
                    <w:left w:val="single" w:color="auto" w:sz="4" w:space="0"/>
                    <w:bottom w:val="single" w:color="000000" w:sz="4" w:space="0"/>
                    <w:right w:val="single" w:color="auto" w:sz="4" w:space="0"/>
                  </w:tcBorders>
                  <w:noWrap w:val="0"/>
                  <w:vAlign w:val="center"/>
                </w:tcPr>
                <w:p w14:paraId="5A3E62CC">
                  <w:pPr>
                    <w:pStyle w:val="31"/>
                    <w:rPr>
                      <w:rFonts w:hint="eastAsia"/>
                    </w:rPr>
                  </w:pPr>
                </w:p>
              </w:tc>
            </w:tr>
            <w:tr w14:paraId="0895B2C8">
              <w:tblPrEx>
                <w:tblCellMar>
                  <w:top w:w="0" w:type="dxa"/>
                  <w:left w:w="108" w:type="dxa"/>
                  <w:bottom w:w="0" w:type="dxa"/>
                  <w:right w:w="108" w:type="dxa"/>
                </w:tblCellMar>
              </w:tblPrEx>
              <w:trPr>
                <w:trHeight w:val="280" w:hRule="atLeast"/>
              </w:trPr>
              <w:tc>
                <w:tcPr>
                  <w:tcW w:w="2192" w:type="dxa"/>
                  <w:tcBorders>
                    <w:top w:val="nil"/>
                    <w:left w:val="single" w:color="auto" w:sz="4" w:space="0"/>
                    <w:bottom w:val="single" w:color="auto" w:sz="4" w:space="0"/>
                    <w:right w:val="single" w:color="auto" w:sz="4" w:space="0"/>
                  </w:tcBorders>
                  <w:shd w:val="clear" w:color="auto" w:fill="auto"/>
                  <w:noWrap/>
                  <w:vAlign w:val="center"/>
                </w:tcPr>
                <w:p w14:paraId="025E5F28">
                  <w:pPr>
                    <w:pStyle w:val="31"/>
                    <w:rPr>
                      <w:rFonts w:hint="eastAsia"/>
                    </w:rPr>
                  </w:pPr>
                  <w:r>
                    <w:rPr>
                      <w:rFonts w:hint="eastAsia"/>
                    </w:rPr>
                    <w:t>2014ZK0101</w:t>
                  </w:r>
                </w:p>
              </w:tc>
              <w:tc>
                <w:tcPr>
                  <w:tcW w:w="1173" w:type="dxa"/>
                  <w:tcBorders>
                    <w:top w:val="nil"/>
                    <w:left w:val="nil"/>
                    <w:bottom w:val="single" w:color="auto" w:sz="4" w:space="0"/>
                    <w:right w:val="single" w:color="auto" w:sz="4" w:space="0"/>
                  </w:tcBorders>
                  <w:shd w:val="clear" w:color="auto" w:fill="auto"/>
                  <w:noWrap/>
                  <w:vAlign w:val="center"/>
                </w:tcPr>
                <w:p w14:paraId="44334C98">
                  <w:pPr>
                    <w:pStyle w:val="31"/>
                    <w:rPr>
                      <w:rFonts w:hint="eastAsia" w:eastAsia="宋体"/>
                      <w:lang w:eastAsia="zh-CN"/>
                    </w:rPr>
                  </w:pPr>
                  <w:r>
                    <w:rPr>
                      <w:rFonts w:hint="eastAsia"/>
                    </w:rPr>
                    <w:t>4725666</w:t>
                  </w:r>
                </w:p>
              </w:tc>
              <w:tc>
                <w:tcPr>
                  <w:tcW w:w="1013" w:type="dxa"/>
                  <w:tcBorders>
                    <w:top w:val="nil"/>
                    <w:left w:val="nil"/>
                    <w:bottom w:val="single" w:color="auto" w:sz="4" w:space="0"/>
                    <w:right w:val="single" w:color="auto" w:sz="4" w:space="0"/>
                  </w:tcBorders>
                  <w:shd w:val="clear" w:color="auto" w:fill="auto"/>
                  <w:noWrap/>
                  <w:vAlign w:val="center"/>
                </w:tcPr>
                <w:p w14:paraId="368732A5">
                  <w:pPr>
                    <w:pStyle w:val="31"/>
                    <w:rPr>
                      <w:rFonts w:hint="eastAsia" w:eastAsia="宋体"/>
                      <w:lang w:eastAsia="zh-CN"/>
                    </w:rPr>
                  </w:pPr>
                  <w:r>
                    <w:rPr>
                      <w:rFonts w:hint="eastAsia"/>
                    </w:rPr>
                    <w:t>575207</w:t>
                  </w:r>
                </w:p>
              </w:tc>
              <w:tc>
                <w:tcPr>
                  <w:tcW w:w="1093" w:type="dxa"/>
                  <w:tcBorders>
                    <w:top w:val="nil"/>
                    <w:left w:val="nil"/>
                    <w:bottom w:val="single" w:color="auto" w:sz="4" w:space="0"/>
                    <w:right w:val="single" w:color="auto" w:sz="4" w:space="0"/>
                  </w:tcBorders>
                  <w:shd w:val="clear" w:color="auto" w:fill="auto"/>
                  <w:noWrap/>
                  <w:vAlign w:val="center"/>
                </w:tcPr>
                <w:p w14:paraId="058ED424">
                  <w:pPr>
                    <w:pStyle w:val="31"/>
                    <w:rPr>
                      <w:rFonts w:hint="eastAsia"/>
                    </w:rPr>
                  </w:pPr>
                  <w:r>
                    <w:rPr>
                      <w:rFonts w:hint="eastAsia"/>
                    </w:rPr>
                    <w:t>17</w:t>
                  </w:r>
                </w:p>
              </w:tc>
              <w:tc>
                <w:tcPr>
                  <w:tcW w:w="1093" w:type="dxa"/>
                  <w:tcBorders>
                    <w:top w:val="nil"/>
                    <w:left w:val="nil"/>
                    <w:bottom w:val="single" w:color="auto" w:sz="4" w:space="0"/>
                    <w:right w:val="single" w:color="auto" w:sz="4" w:space="0"/>
                  </w:tcBorders>
                  <w:shd w:val="clear" w:color="auto" w:fill="auto"/>
                  <w:noWrap/>
                  <w:vAlign w:val="center"/>
                </w:tcPr>
                <w:p w14:paraId="32A7D923">
                  <w:pPr>
                    <w:pStyle w:val="31"/>
                    <w:rPr>
                      <w:rFonts w:hint="eastAsia"/>
                    </w:rPr>
                  </w:pPr>
                  <w:r>
                    <w:rPr>
                      <w:rFonts w:hint="eastAsia"/>
                    </w:rPr>
                    <w:t>75</w:t>
                  </w:r>
                </w:p>
              </w:tc>
              <w:tc>
                <w:tcPr>
                  <w:tcW w:w="1093" w:type="dxa"/>
                  <w:tcBorders>
                    <w:top w:val="nil"/>
                    <w:left w:val="nil"/>
                    <w:bottom w:val="single" w:color="auto" w:sz="4" w:space="0"/>
                    <w:right w:val="single" w:color="auto" w:sz="4" w:space="0"/>
                  </w:tcBorders>
                  <w:shd w:val="clear" w:color="auto" w:fill="auto"/>
                  <w:noWrap/>
                  <w:vAlign w:val="center"/>
                </w:tcPr>
                <w:p w14:paraId="41F6F109">
                  <w:pPr>
                    <w:pStyle w:val="31"/>
                    <w:rPr>
                      <w:rFonts w:hint="eastAsia"/>
                    </w:rPr>
                  </w:pPr>
                  <w:r>
                    <w:rPr>
                      <w:rFonts w:hint="eastAsia"/>
                    </w:rPr>
                    <w:t>340</w:t>
                  </w:r>
                </w:p>
              </w:tc>
              <w:tc>
                <w:tcPr>
                  <w:tcW w:w="1359" w:type="dxa"/>
                  <w:tcBorders>
                    <w:top w:val="nil"/>
                    <w:left w:val="nil"/>
                    <w:bottom w:val="single" w:color="auto" w:sz="4" w:space="0"/>
                    <w:right w:val="single" w:color="auto" w:sz="4" w:space="0"/>
                  </w:tcBorders>
                  <w:shd w:val="clear" w:color="auto" w:fill="auto"/>
                  <w:noWrap/>
                  <w:vAlign w:val="center"/>
                </w:tcPr>
                <w:p w14:paraId="2259245D">
                  <w:pPr>
                    <w:pStyle w:val="31"/>
                    <w:rPr>
                      <w:rFonts w:hint="eastAsia"/>
                    </w:rPr>
                  </w:pPr>
                  <w:r>
                    <w:rPr>
                      <w:rFonts w:hint="eastAsia"/>
                    </w:rPr>
                    <w:t>1</w:t>
                  </w:r>
                </w:p>
              </w:tc>
            </w:tr>
            <w:tr w14:paraId="4F8B97AE">
              <w:tblPrEx>
                <w:tblCellMar>
                  <w:top w:w="0" w:type="dxa"/>
                  <w:left w:w="108" w:type="dxa"/>
                  <w:bottom w:w="0" w:type="dxa"/>
                  <w:right w:w="108" w:type="dxa"/>
                </w:tblCellMar>
              </w:tblPrEx>
              <w:trPr>
                <w:trHeight w:val="280" w:hRule="atLeast"/>
              </w:trPr>
              <w:tc>
                <w:tcPr>
                  <w:tcW w:w="2192" w:type="dxa"/>
                  <w:tcBorders>
                    <w:top w:val="nil"/>
                    <w:left w:val="single" w:color="auto" w:sz="4" w:space="0"/>
                    <w:bottom w:val="single" w:color="auto" w:sz="4" w:space="0"/>
                    <w:right w:val="single" w:color="auto" w:sz="4" w:space="0"/>
                  </w:tcBorders>
                  <w:shd w:val="clear" w:color="auto" w:fill="auto"/>
                  <w:noWrap/>
                  <w:vAlign w:val="center"/>
                </w:tcPr>
                <w:p w14:paraId="6B705BA7">
                  <w:pPr>
                    <w:pStyle w:val="31"/>
                    <w:rPr>
                      <w:rFonts w:hint="eastAsia"/>
                    </w:rPr>
                  </w:pPr>
                  <w:r>
                    <w:rPr>
                      <w:rFonts w:hint="eastAsia"/>
                    </w:rPr>
                    <w:t>2014ZK0602</w:t>
                  </w:r>
                </w:p>
              </w:tc>
              <w:tc>
                <w:tcPr>
                  <w:tcW w:w="1173" w:type="dxa"/>
                  <w:tcBorders>
                    <w:top w:val="nil"/>
                    <w:left w:val="nil"/>
                    <w:bottom w:val="single" w:color="auto" w:sz="4" w:space="0"/>
                    <w:right w:val="single" w:color="auto" w:sz="4" w:space="0"/>
                  </w:tcBorders>
                  <w:shd w:val="clear" w:color="auto" w:fill="auto"/>
                  <w:noWrap/>
                  <w:vAlign w:val="center"/>
                </w:tcPr>
                <w:p w14:paraId="348B7BA1">
                  <w:pPr>
                    <w:pStyle w:val="31"/>
                    <w:rPr>
                      <w:rFonts w:hint="eastAsia" w:eastAsia="宋体"/>
                      <w:lang w:eastAsia="zh-CN"/>
                    </w:rPr>
                  </w:pPr>
                  <w:r>
                    <w:rPr>
                      <w:rFonts w:hint="eastAsia"/>
                    </w:rPr>
                    <w:t>4725594</w:t>
                  </w:r>
                </w:p>
              </w:tc>
              <w:tc>
                <w:tcPr>
                  <w:tcW w:w="1013" w:type="dxa"/>
                  <w:tcBorders>
                    <w:top w:val="nil"/>
                    <w:left w:val="nil"/>
                    <w:bottom w:val="single" w:color="auto" w:sz="4" w:space="0"/>
                    <w:right w:val="single" w:color="auto" w:sz="4" w:space="0"/>
                  </w:tcBorders>
                  <w:shd w:val="clear" w:color="auto" w:fill="auto"/>
                  <w:noWrap/>
                  <w:vAlign w:val="center"/>
                </w:tcPr>
                <w:p w14:paraId="2A9D22B5">
                  <w:pPr>
                    <w:pStyle w:val="31"/>
                    <w:rPr>
                      <w:rFonts w:hint="eastAsia" w:eastAsia="宋体"/>
                      <w:lang w:eastAsia="zh-CN"/>
                    </w:rPr>
                  </w:pPr>
                  <w:r>
                    <w:rPr>
                      <w:rFonts w:hint="eastAsia"/>
                    </w:rPr>
                    <w:t>575268</w:t>
                  </w:r>
                </w:p>
              </w:tc>
              <w:tc>
                <w:tcPr>
                  <w:tcW w:w="1093" w:type="dxa"/>
                  <w:tcBorders>
                    <w:top w:val="nil"/>
                    <w:left w:val="nil"/>
                    <w:bottom w:val="single" w:color="auto" w:sz="4" w:space="0"/>
                    <w:right w:val="single" w:color="auto" w:sz="4" w:space="0"/>
                  </w:tcBorders>
                  <w:shd w:val="clear" w:color="auto" w:fill="auto"/>
                  <w:noWrap/>
                  <w:vAlign w:val="center"/>
                </w:tcPr>
                <w:p w14:paraId="43B593C1">
                  <w:pPr>
                    <w:pStyle w:val="31"/>
                    <w:rPr>
                      <w:rFonts w:hint="eastAsia"/>
                    </w:rPr>
                  </w:pPr>
                  <w:r>
                    <w:rPr>
                      <w:rFonts w:hint="eastAsia"/>
                    </w:rPr>
                    <w:t>17</w:t>
                  </w:r>
                </w:p>
              </w:tc>
              <w:tc>
                <w:tcPr>
                  <w:tcW w:w="1093" w:type="dxa"/>
                  <w:tcBorders>
                    <w:top w:val="nil"/>
                    <w:left w:val="nil"/>
                    <w:bottom w:val="single" w:color="auto" w:sz="4" w:space="0"/>
                    <w:right w:val="single" w:color="auto" w:sz="4" w:space="0"/>
                  </w:tcBorders>
                  <w:shd w:val="clear" w:color="auto" w:fill="auto"/>
                  <w:noWrap/>
                  <w:vAlign w:val="center"/>
                </w:tcPr>
                <w:p w14:paraId="5A43D1FE">
                  <w:pPr>
                    <w:pStyle w:val="31"/>
                    <w:rPr>
                      <w:rFonts w:hint="eastAsia"/>
                    </w:rPr>
                  </w:pPr>
                  <w:r>
                    <w:rPr>
                      <w:rFonts w:hint="eastAsia"/>
                    </w:rPr>
                    <w:t>75</w:t>
                  </w:r>
                </w:p>
              </w:tc>
              <w:tc>
                <w:tcPr>
                  <w:tcW w:w="1093" w:type="dxa"/>
                  <w:tcBorders>
                    <w:top w:val="nil"/>
                    <w:left w:val="nil"/>
                    <w:bottom w:val="single" w:color="auto" w:sz="4" w:space="0"/>
                    <w:right w:val="single" w:color="auto" w:sz="4" w:space="0"/>
                  </w:tcBorders>
                  <w:shd w:val="clear" w:color="auto" w:fill="auto"/>
                  <w:noWrap/>
                  <w:vAlign w:val="center"/>
                </w:tcPr>
                <w:p w14:paraId="13BA9838">
                  <w:pPr>
                    <w:pStyle w:val="31"/>
                    <w:rPr>
                      <w:rFonts w:hint="eastAsia"/>
                    </w:rPr>
                  </w:pPr>
                  <w:r>
                    <w:rPr>
                      <w:rFonts w:hint="eastAsia"/>
                    </w:rPr>
                    <w:t>410</w:t>
                  </w:r>
                </w:p>
              </w:tc>
              <w:tc>
                <w:tcPr>
                  <w:tcW w:w="1359" w:type="dxa"/>
                  <w:tcBorders>
                    <w:top w:val="nil"/>
                    <w:left w:val="nil"/>
                    <w:bottom w:val="single" w:color="auto" w:sz="4" w:space="0"/>
                    <w:right w:val="single" w:color="auto" w:sz="4" w:space="0"/>
                  </w:tcBorders>
                  <w:shd w:val="clear" w:color="auto" w:fill="auto"/>
                  <w:noWrap/>
                  <w:vAlign w:val="center"/>
                </w:tcPr>
                <w:p w14:paraId="35FBC8DB">
                  <w:pPr>
                    <w:pStyle w:val="31"/>
                    <w:rPr>
                      <w:rFonts w:hint="eastAsia"/>
                    </w:rPr>
                  </w:pPr>
                  <w:r>
                    <w:rPr>
                      <w:rFonts w:hint="eastAsia"/>
                    </w:rPr>
                    <w:t>1</w:t>
                  </w:r>
                </w:p>
              </w:tc>
            </w:tr>
            <w:tr w14:paraId="788BAD7D">
              <w:tblPrEx>
                <w:tblCellMar>
                  <w:top w:w="0" w:type="dxa"/>
                  <w:left w:w="108" w:type="dxa"/>
                  <w:bottom w:w="0" w:type="dxa"/>
                  <w:right w:w="108" w:type="dxa"/>
                </w:tblCellMar>
              </w:tblPrEx>
              <w:trPr>
                <w:trHeight w:val="280" w:hRule="atLeast"/>
              </w:trPr>
              <w:tc>
                <w:tcPr>
                  <w:tcW w:w="2192" w:type="dxa"/>
                  <w:tcBorders>
                    <w:top w:val="nil"/>
                    <w:left w:val="single" w:color="auto" w:sz="4" w:space="0"/>
                    <w:bottom w:val="single" w:color="auto" w:sz="4" w:space="0"/>
                    <w:right w:val="single" w:color="auto" w:sz="4" w:space="0"/>
                  </w:tcBorders>
                  <w:shd w:val="clear" w:color="auto" w:fill="auto"/>
                  <w:noWrap/>
                  <w:vAlign w:val="center"/>
                </w:tcPr>
                <w:p w14:paraId="695D0CFA">
                  <w:pPr>
                    <w:pStyle w:val="31"/>
                    <w:rPr>
                      <w:rFonts w:hint="eastAsia"/>
                    </w:rPr>
                  </w:pPr>
                  <w:r>
                    <w:rPr>
                      <w:rFonts w:hint="eastAsia"/>
                    </w:rPr>
                    <w:t>2014ZK0603</w:t>
                  </w:r>
                </w:p>
              </w:tc>
              <w:tc>
                <w:tcPr>
                  <w:tcW w:w="1173" w:type="dxa"/>
                  <w:tcBorders>
                    <w:top w:val="nil"/>
                    <w:left w:val="nil"/>
                    <w:bottom w:val="single" w:color="auto" w:sz="4" w:space="0"/>
                    <w:right w:val="single" w:color="auto" w:sz="4" w:space="0"/>
                  </w:tcBorders>
                  <w:shd w:val="clear" w:color="auto" w:fill="auto"/>
                  <w:noWrap/>
                  <w:vAlign w:val="center"/>
                </w:tcPr>
                <w:p w14:paraId="79546AD9">
                  <w:pPr>
                    <w:pStyle w:val="31"/>
                    <w:rPr>
                      <w:rFonts w:hint="eastAsia" w:eastAsia="宋体"/>
                      <w:lang w:eastAsia="zh-CN"/>
                    </w:rPr>
                  </w:pPr>
                  <w:r>
                    <w:rPr>
                      <w:rFonts w:hint="eastAsia"/>
                    </w:rPr>
                    <w:t>4725554</w:t>
                  </w:r>
                </w:p>
              </w:tc>
              <w:tc>
                <w:tcPr>
                  <w:tcW w:w="1013" w:type="dxa"/>
                  <w:tcBorders>
                    <w:top w:val="nil"/>
                    <w:left w:val="nil"/>
                    <w:bottom w:val="single" w:color="auto" w:sz="4" w:space="0"/>
                    <w:right w:val="single" w:color="auto" w:sz="4" w:space="0"/>
                  </w:tcBorders>
                  <w:shd w:val="clear" w:color="auto" w:fill="auto"/>
                  <w:noWrap/>
                  <w:vAlign w:val="center"/>
                </w:tcPr>
                <w:p w14:paraId="619EEBC6">
                  <w:pPr>
                    <w:pStyle w:val="31"/>
                    <w:rPr>
                      <w:rFonts w:hint="eastAsia" w:eastAsia="宋体"/>
                      <w:lang w:eastAsia="zh-CN"/>
                    </w:rPr>
                  </w:pPr>
                  <w:r>
                    <w:rPr>
                      <w:rFonts w:hint="eastAsia"/>
                    </w:rPr>
                    <w:t>575256</w:t>
                  </w:r>
                </w:p>
              </w:tc>
              <w:tc>
                <w:tcPr>
                  <w:tcW w:w="1093" w:type="dxa"/>
                  <w:tcBorders>
                    <w:top w:val="nil"/>
                    <w:left w:val="nil"/>
                    <w:bottom w:val="single" w:color="auto" w:sz="4" w:space="0"/>
                    <w:right w:val="single" w:color="auto" w:sz="4" w:space="0"/>
                  </w:tcBorders>
                  <w:shd w:val="clear" w:color="auto" w:fill="auto"/>
                  <w:noWrap/>
                  <w:vAlign w:val="center"/>
                </w:tcPr>
                <w:p w14:paraId="691F47EF">
                  <w:pPr>
                    <w:pStyle w:val="31"/>
                    <w:rPr>
                      <w:rFonts w:hint="eastAsia"/>
                    </w:rPr>
                  </w:pPr>
                  <w:r>
                    <w:rPr>
                      <w:rFonts w:hint="eastAsia"/>
                    </w:rPr>
                    <w:t>17</w:t>
                  </w:r>
                </w:p>
              </w:tc>
              <w:tc>
                <w:tcPr>
                  <w:tcW w:w="1093" w:type="dxa"/>
                  <w:tcBorders>
                    <w:top w:val="nil"/>
                    <w:left w:val="nil"/>
                    <w:bottom w:val="single" w:color="auto" w:sz="4" w:space="0"/>
                    <w:right w:val="single" w:color="auto" w:sz="4" w:space="0"/>
                  </w:tcBorders>
                  <w:shd w:val="clear" w:color="auto" w:fill="auto"/>
                  <w:noWrap/>
                  <w:vAlign w:val="center"/>
                </w:tcPr>
                <w:p w14:paraId="55AD044E">
                  <w:pPr>
                    <w:pStyle w:val="31"/>
                    <w:rPr>
                      <w:rFonts w:hint="eastAsia"/>
                    </w:rPr>
                  </w:pPr>
                  <w:r>
                    <w:rPr>
                      <w:rFonts w:hint="eastAsia"/>
                    </w:rPr>
                    <w:t>75</w:t>
                  </w:r>
                </w:p>
              </w:tc>
              <w:tc>
                <w:tcPr>
                  <w:tcW w:w="1093" w:type="dxa"/>
                  <w:tcBorders>
                    <w:top w:val="nil"/>
                    <w:left w:val="nil"/>
                    <w:bottom w:val="single" w:color="auto" w:sz="4" w:space="0"/>
                    <w:right w:val="single" w:color="auto" w:sz="4" w:space="0"/>
                  </w:tcBorders>
                  <w:shd w:val="clear" w:color="auto" w:fill="auto"/>
                  <w:noWrap/>
                  <w:vAlign w:val="center"/>
                </w:tcPr>
                <w:p w14:paraId="1769EA66">
                  <w:pPr>
                    <w:pStyle w:val="31"/>
                    <w:rPr>
                      <w:rFonts w:hint="eastAsia"/>
                    </w:rPr>
                  </w:pPr>
                  <w:r>
                    <w:rPr>
                      <w:rFonts w:hint="eastAsia"/>
                    </w:rPr>
                    <w:t>495</w:t>
                  </w:r>
                </w:p>
              </w:tc>
              <w:tc>
                <w:tcPr>
                  <w:tcW w:w="1359" w:type="dxa"/>
                  <w:tcBorders>
                    <w:top w:val="nil"/>
                    <w:left w:val="nil"/>
                    <w:bottom w:val="single" w:color="auto" w:sz="4" w:space="0"/>
                    <w:right w:val="single" w:color="auto" w:sz="4" w:space="0"/>
                  </w:tcBorders>
                  <w:shd w:val="clear" w:color="auto" w:fill="auto"/>
                  <w:noWrap/>
                  <w:vAlign w:val="center"/>
                </w:tcPr>
                <w:p w14:paraId="0971E765">
                  <w:pPr>
                    <w:pStyle w:val="31"/>
                    <w:rPr>
                      <w:rFonts w:hint="eastAsia"/>
                    </w:rPr>
                  </w:pPr>
                  <w:r>
                    <w:rPr>
                      <w:rFonts w:hint="eastAsia"/>
                    </w:rPr>
                    <w:t>1</w:t>
                  </w:r>
                </w:p>
              </w:tc>
            </w:tr>
            <w:tr w14:paraId="7631EE3E">
              <w:tblPrEx>
                <w:tblCellMar>
                  <w:top w:w="0" w:type="dxa"/>
                  <w:left w:w="108" w:type="dxa"/>
                  <w:bottom w:w="0" w:type="dxa"/>
                  <w:right w:w="108" w:type="dxa"/>
                </w:tblCellMar>
              </w:tblPrEx>
              <w:trPr>
                <w:trHeight w:val="280" w:hRule="atLeast"/>
              </w:trPr>
              <w:tc>
                <w:tcPr>
                  <w:tcW w:w="2192" w:type="dxa"/>
                  <w:tcBorders>
                    <w:top w:val="nil"/>
                    <w:left w:val="single" w:color="auto" w:sz="4" w:space="0"/>
                    <w:bottom w:val="single" w:color="auto" w:sz="4" w:space="0"/>
                    <w:right w:val="single" w:color="auto" w:sz="4" w:space="0"/>
                  </w:tcBorders>
                  <w:shd w:val="clear" w:color="auto" w:fill="auto"/>
                  <w:noWrap/>
                  <w:vAlign w:val="center"/>
                </w:tcPr>
                <w:p w14:paraId="59F594D7">
                  <w:pPr>
                    <w:pStyle w:val="31"/>
                    <w:rPr>
                      <w:rFonts w:hint="eastAsia"/>
                    </w:rPr>
                  </w:pPr>
                  <w:r>
                    <w:rPr>
                      <w:rFonts w:hint="eastAsia"/>
                    </w:rPr>
                    <w:t>2014ZK0902</w:t>
                  </w:r>
                </w:p>
              </w:tc>
              <w:tc>
                <w:tcPr>
                  <w:tcW w:w="1173" w:type="dxa"/>
                  <w:tcBorders>
                    <w:top w:val="nil"/>
                    <w:left w:val="nil"/>
                    <w:bottom w:val="single" w:color="auto" w:sz="4" w:space="0"/>
                    <w:right w:val="single" w:color="auto" w:sz="4" w:space="0"/>
                  </w:tcBorders>
                  <w:shd w:val="clear" w:color="auto" w:fill="auto"/>
                  <w:noWrap/>
                  <w:vAlign w:val="center"/>
                </w:tcPr>
                <w:p w14:paraId="6B919425">
                  <w:pPr>
                    <w:pStyle w:val="31"/>
                    <w:rPr>
                      <w:rFonts w:hint="eastAsia" w:eastAsia="宋体"/>
                      <w:lang w:eastAsia="zh-CN"/>
                    </w:rPr>
                  </w:pPr>
                  <w:r>
                    <w:rPr>
                      <w:rFonts w:hint="eastAsia"/>
                    </w:rPr>
                    <w:t>4725618</w:t>
                  </w:r>
                </w:p>
              </w:tc>
              <w:tc>
                <w:tcPr>
                  <w:tcW w:w="1013" w:type="dxa"/>
                  <w:tcBorders>
                    <w:top w:val="nil"/>
                    <w:left w:val="nil"/>
                    <w:bottom w:val="single" w:color="auto" w:sz="4" w:space="0"/>
                    <w:right w:val="single" w:color="auto" w:sz="4" w:space="0"/>
                  </w:tcBorders>
                  <w:shd w:val="clear" w:color="auto" w:fill="auto"/>
                  <w:noWrap/>
                  <w:vAlign w:val="center"/>
                </w:tcPr>
                <w:p w14:paraId="01D57A61">
                  <w:pPr>
                    <w:pStyle w:val="31"/>
                    <w:rPr>
                      <w:rFonts w:hint="eastAsia" w:eastAsia="宋体"/>
                      <w:lang w:eastAsia="zh-CN"/>
                    </w:rPr>
                  </w:pPr>
                  <w:r>
                    <w:rPr>
                      <w:rFonts w:hint="eastAsia"/>
                    </w:rPr>
                    <w:t>575108</w:t>
                  </w:r>
                </w:p>
              </w:tc>
              <w:tc>
                <w:tcPr>
                  <w:tcW w:w="1093" w:type="dxa"/>
                  <w:tcBorders>
                    <w:top w:val="nil"/>
                    <w:left w:val="nil"/>
                    <w:bottom w:val="single" w:color="auto" w:sz="4" w:space="0"/>
                    <w:right w:val="single" w:color="auto" w:sz="4" w:space="0"/>
                  </w:tcBorders>
                  <w:shd w:val="clear" w:color="auto" w:fill="auto"/>
                  <w:noWrap/>
                  <w:vAlign w:val="center"/>
                </w:tcPr>
                <w:p w14:paraId="173EA4DE">
                  <w:pPr>
                    <w:pStyle w:val="31"/>
                    <w:rPr>
                      <w:rFonts w:hint="eastAsia"/>
                    </w:rPr>
                  </w:pPr>
                  <w:r>
                    <w:rPr>
                      <w:rFonts w:hint="eastAsia"/>
                    </w:rPr>
                    <w:t>17</w:t>
                  </w:r>
                </w:p>
              </w:tc>
              <w:tc>
                <w:tcPr>
                  <w:tcW w:w="1093" w:type="dxa"/>
                  <w:tcBorders>
                    <w:top w:val="nil"/>
                    <w:left w:val="nil"/>
                    <w:bottom w:val="single" w:color="auto" w:sz="4" w:space="0"/>
                    <w:right w:val="single" w:color="auto" w:sz="4" w:space="0"/>
                  </w:tcBorders>
                  <w:shd w:val="clear" w:color="auto" w:fill="auto"/>
                  <w:noWrap/>
                  <w:vAlign w:val="center"/>
                </w:tcPr>
                <w:p w14:paraId="0419E124">
                  <w:pPr>
                    <w:pStyle w:val="31"/>
                    <w:rPr>
                      <w:rFonts w:hint="eastAsia"/>
                    </w:rPr>
                  </w:pPr>
                  <w:r>
                    <w:rPr>
                      <w:rFonts w:hint="eastAsia"/>
                    </w:rPr>
                    <w:t>75</w:t>
                  </w:r>
                </w:p>
              </w:tc>
              <w:tc>
                <w:tcPr>
                  <w:tcW w:w="1093" w:type="dxa"/>
                  <w:tcBorders>
                    <w:top w:val="nil"/>
                    <w:left w:val="nil"/>
                    <w:bottom w:val="single" w:color="auto" w:sz="4" w:space="0"/>
                    <w:right w:val="single" w:color="auto" w:sz="4" w:space="0"/>
                  </w:tcBorders>
                  <w:shd w:val="clear" w:color="auto" w:fill="auto"/>
                  <w:noWrap/>
                  <w:vAlign w:val="center"/>
                </w:tcPr>
                <w:p w14:paraId="6C96E1E4">
                  <w:pPr>
                    <w:pStyle w:val="31"/>
                    <w:rPr>
                      <w:rFonts w:hint="eastAsia"/>
                    </w:rPr>
                  </w:pPr>
                  <w:r>
                    <w:rPr>
                      <w:rFonts w:hint="eastAsia"/>
                    </w:rPr>
                    <w:t>330</w:t>
                  </w:r>
                </w:p>
              </w:tc>
              <w:tc>
                <w:tcPr>
                  <w:tcW w:w="1359" w:type="dxa"/>
                  <w:tcBorders>
                    <w:top w:val="nil"/>
                    <w:left w:val="nil"/>
                    <w:bottom w:val="single" w:color="auto" w:sz="4" w:space="0"/>
                    <w:right w:val="single" w:color="auto" w:sz="4" w:space="0"/>
                  </w:tcBorders>
                  <w:shd w:val="clear" w:color="auto" w:fill="auto"/>
                  <w:noWrap/>
                  <w:vAlign w:val="center"/>
                </w:tcPr>
                <w:p w14:paraId="1593EB6B">
                  <w:pPr>
                    <w:pStyle w:val="31"/>
                    <w:rPr>
                      <w:rFonts w:hint="eastAsia"/>
                    </w:rPr>
                  </w:pPr>
                  <w:r>
                    <w:rPr>
                      <w:rFonts w:hint="eastAsia"/>
                    </w:rPr>
                    <w:t>1</w:t>
                  </w:r>
                </w:p>
              </w:tc>
            </w:tr>
            <w:tr w14:paraId="19213962">
              <w:tblPrEx>
                <w:tblCellMar>
                  <w:top w:w="0" w:type="dxa"/>
                  <w:left w:w="108" w:type="dxa"/>
                  <w:bottom w:w="0" w:type="dxa"/>
                  <w:right w:w="108" w:type="dxa"/>
                </w:tblCellMar>
              </w:tblPrEx>
              <w:trPr>
                <w:trHeight w:val="280" w:hRule="atLeast"/>
              </w:trPr>
              <w:tc>
                <w:tcPr>
                  <w:tcW w:w="2192" w:type="dxa"/>
                  <w:tcBorders>
                    <w:top w:val="nil"/>
                    <w:left w:val="single" w:color="auto" w:sz="4" w:space="0"/>
                    <w:bottom w:val="single" w:color="auto" w:sz="4" w:space="0"/>
                    <w:right w:val="single" w:color="auto" w:sz="4" w:space="0"/>
                  </w:tcBorders>
                  <w:shd w:val="clear" w:color="auto" w:fill="auto"/>
                  <w:noWrap/>
                  <w:vAlign w:val="center"/>
                </w:tcPr>
                <w:p w14:paraId="756CDD9D">
                  <w:pPr>
                    <w:pStyle w:val="31"/>
                    <w:rPr>
                      <w:rFonts w:hint="eastAsia"/>
                    </w:rPr>
                  </w:pPr>
                  <w:r>
                    <w:rPr>
                      <w:rFonts w:hint="eastAsia"/>
                    </w:rPr>
                    <w:t>2014ZK1401</w:t>
                  </w:r>
                </w:p>
              </w:tc>
              <w:tc>
                <w:tcPr>
                  <w:tcW w:w="1173" w:type="dxa"/>
                  <w:tcBorders>
                    <w:top w:val="nil"/>
                    <w:left w:val="nil"/>
                    <w:bottom w:val="single" w:color="auto" w:sz="4" w:space="0"/>
                    <w:right w:val="single" w:color="auto" w:sz="4" w:space="0"/>
                  </w:tcBorders>
                  <w:shd w:val="clear" w:color="auto" w:fill="auto"/>
                  <w:noWrap/>
                  <w:vAlign w:val="center"/>
                </w:tcPr>
                <w:p w14:paraId="4A7B7201">
                  <w:pPr>
                    <w:pStyle w:val="31"/>
                    <w:rPr>
                      <w:rFonts w:hint="eastAsia" w:eastAsia="宋体"/>
                      <w:lang w:eastAsia="zh-CN"/>
                    </w:rPr>
                  </w:pPr>
                  <w:r>
                    <w:rPr>
                      <w:rFonts w:hint="eastAsia"/>
                    </w:rPr>
                    <w:t>4725689</w:t>
                  </w:r>
                </w:p>
              </w:tc>
              <w:tc>
                <w:tcPr>
                  <w:tcW w:w="1013" w:type="dxa"/>
                  <w:tcBorders>
                    <w:top w:val="nil"/>
                    <w:left w:val="nil"/>
                    <w:bottom w:val="single" w:color="auto" w:sz="4" w:space="0"/>
                    <w:right w:val="single" w:color="auto" w:sz="4" w:space="0"/>
                  </w:tcBorders>
                  <w:shd w:val="clear" w:color="auto" w:fill="auto"/>
                  <w:noWrap/>
                  <w:vAlign w:val="center"/>
                </w:tcPr>
                <w:p w14:paraId="7B48FAD2">
                  <w:pPr>
                    <w:pStyle w:val="31"/>
                    <w:rPr>
                      <w:rFonts w:hint="eastAsia" w:eastAsia="宋体"/>
                      <w:lang w:eastAsia="zh-CN"/>
                    </w:rPr>
                  </w:pPr>
                  <w:r>
                    <w:rPr>
                      <w:rFonts w:hint="eastAsia"/>
                    </w:rPr>
                    <w:t>575381</w:t>
                  </w:r>
                </w:p>
              </w:tc>
              <w:tc>
                <w:tcPr>
                  <w:tcW w:w="1093" w:type="dxa"/>
                  <w:tcBorders>
                    <w:top w:val="nil"/>
                    <w:left w:val="nil"/>
                    <w:bottom w:val="single" w:color="auto" w:sz="4" w:space="0"/>
                    <w:right w:val="single" w:color="auto" w:sz="4" w:space="0"/>
                  </w:tcBorders>
                  <w:shd w:val="clear" w:color="auto" w:fill="auto"/>
                  <w:noWrap/>
                  <w:vAlign w:val="center"/>
                </w:tcPr>
                <w:p w14:paraId="76868546">
                  <w:pPr>
                    <w:pStyle w:val="31"/>
                    <w:rPr>
                      <w:rFonts w:hint="eastAsia"/>
                    </w:rPr>
                  </w:pPr>
                  <w:r>
                    <w:rPr>
                      <w:rFonts w:hint="eastAsia"/>
                    </w:rPr>
                    <w:t>17</w:t>
                  </w:r>
                </w:p>
              </w:tc>
              <w:tc>
                <w:tcPr>
                  <w:tcW w:w="1093" w:type="dxa"/>
                  <w:tcBorders>
                    <w:top w:val="nil"/>
                    <w:left w:val="nil"/>
                    <w:bottom w:val="single" w:color="auto" w:sz="4" w:space="0"/>
                    <w:right w:val="single" w:color="auto" w:sz="4" w:space="0"/>
                  </w:tcBorders>
                  <w:shd w:val="clear" w:color="auto" w:fill="auto"/>
                  <w:noWrap/>
                  <w:vAlign w:val="center"/>
                </w:tcPr>
                <w:p w14:paraId="175DA0B6">
                  <w:pPr>
                    <w:pStyle w:val="31"/>
                    <w:rPr>
                      <w:rFonts w:hint="eastAsia"/>
                    </w:rPr>
                  </w:pPr>
                  <w:r>
                    <w:rPr>
                      <w:rFonts w:hint="eastAsia"/>
                    </w:rPr>
                    <w:t>80</w:t>
                  </w:r>
                </w:p>
              </w:tc>
              <w:tc>
                <w:tcPr>
                  <w:tcW w:w="1093" w:type="dxa"/>
                  <w:tcBorders>
                    <w:top w:val="nil"/>
                    <w:left w:val="nil"/>
                    <w:bottom w:val="single" w:color="auto" w:sz="4" w:space="0"/>
                    <w:right w:val="single" w:color="auto" w:sz="4" w:space="0"/>
                  </w:tcBorders>
                  <w:shd w:val="clear" w:color="auto" w:fill="auto"/>
                  <w:noWrap/>
                  <w:vAlign w:val="center"/>
                </w:tcPr>
                <w:p w14:paraId="16C415F7">
                  <w:pPr>
                    <w:pStyle w:val="31"/>
                    <w:rPr>
                      <w:rFonts w:hint="eastAsia"/>
                    </w:rPr>
                  </w:pPr>
                  <w:r>
                    <w:rPr>
                      <w:rFonts w:hint="eastAsia"/>
                    </w:rPr>
                    <w:t>170</w:t>
                  </w:r>
                </w:p>
              </w:tc>
              <w:tc>
                <w:tcPr>
                  <w:tcW w:w="1359" w:type="dxa"/>
                  <w:tcBorders>
                    <w:top w:val="nil"/>
                    <w:left w:val="nil"/>
                    <w:bottom w:val="single" w:color="auto" w:sz="4" w:space="0"/>
                    <w:right w:val="single" w:color="auto" w:sz="4" w:space="0"/>
                  </w:tcBorders>
                  <w:shd w:val="clear" w:color="auto" w:fill="auto"/>
                  <w:noWrap/>
                  <w:vAlign w:val="center"/>
                </w:tcPr>
                <w:p w14:paraId="1CE8FDDE">
                  <w:pPr>
                    <w:pStyle w:val="31"/>
                    <w:rPr>
                      <w:rFonts w:hint="eastAsia"/>
                    </w:rPr>
                  </w:pPr>
                  <w:r>
                    <w:rPr>
                      <w:rFonts w:hint="eastAsia"/>
                    </w:rPr>
                    <w:t>1</w:t>
                  </w:r>
                </w:p>
              </w:tc>
            </w:tr>
            <w:tr w14:paraId="14D821F2">
              <w:tblPrEx>
                <w:tblCellMar>
                  <w:top w:w="0" w:type="dxa"/>
                  <w:left w:w="108" w:type="dxa"/>
                  <w:bottom w:w="0" w:type="dxa"/>
                  <w:right w:w="108" w:type="dxa"/>
                </w:tblCellMar>
              </w:tblPrEx>
              <w:trPr>
                <w:trHeight w:val="280" w:hRule="atLeast"/>
              </w:trPr>
              <w:tc>
                <w:tcPr>
                  <w:tcW w:w="2192" w:type="dxa"/>
                  <w:tcBorders>
                    <w:top w:val="nil"/>
                    <w:left w:val="single" w:color="auto" w:sz="4" w:space="0"/>
                    <w:bottom w:val="single" w:color="auto" w:sz="4" w:space="0"/>
                    <w:right w:val="single" w:color="auto" w:sz="4" w:space="0"/>
                  </w:tcBorders>
                  <w:shd w:val="clear" w:color="auto" w:fill="auto"/>
                  <w:noWrap/>
                  <w:vAlign w:val="center"/>
                </w:tcPr>
                <w:p w14:paraId="77CE9625">
                  <w:pPr>
                    <w:pStyle w:val="31"/>
                    <w:rPr>
                      <w:rFonts w:hint="eastAsia"/>
                    </w:rPr>
                  </w:pPr>
                  <w:r>
                    <w:rPr>
                      <w:rFonts w:hint="eastAsia"/>
                    </w:rPr>
                    <w:t>2014ZK1402</w:t>
                  </w:r>
                </w:p>
              </w:tc>
              <w:tc>
                <w:tcPr>
                  <w:tcW w:w="1173" w:type="dxa"/>
                  <w:tcBorders>
                    <w:top w:val="nil"/>
                    <w:left w:val="nil"/>
                    <w:bottom w:val="single" w:color="auto" w:sz="4" w:space="0"/>
                    <w:right w:val="single" w:color="auto" w:sz="4" w:space="0"/>
                  </w:tcBorders>
                  <w:shd w:val="clear" w:color="auto" w:fill="auto"/>
                  <w:noWrap/>
                  <w:vAlign w:val="center"/>
                </w:tcPr>
                <w:p w14:paraId="7CA01144">
                  <w:pPr>
                    <w:pStyle w:val="31"/>
                    <w:rPr>
                      <w:rFonts w:hint="eastAsia" w:eastAsia="宋体"/>
                      <w:lang w:eastAsia="zh-CN"/>
                    </w:rPr>
                  </w:pPr>
                  <w:r>
                    <w:rPr>
                      <w:rFonts w:hint="eastAsia"/>
                    </w:rPr>
                    <w:t>4725650</w:t>
                  </w:r>
                </w:p>
              </w:tc>
              <w:tc>
                <w:tcPr>
                  <w:tcW w:w="1013" w:type="dxa"/>
                  <w:tcBorders>
                    <w:top w:val="nil"/>
                    <w:left w:val="nil"/>
                    <w:bottom w:val="single" w:color="auto" w:sz="4" w:space="0"/>
                    <w:right w:val="single" w:color="auto" w:sz="4" w:space="0"/>
                  </w:tcBorders>
                  <w:shd w:val="clear" w:color="auto" w:fill="auto"/>
                  <w:noWrap/>
                  <w:vAlign w:val="center"/>
                </w:tcPr>
                <w:p w14:paraId="2A0E15C4">
                  <w:pPr>
                    <w:pStyle w:val="31"/>
                    <w:rPr>
                      <w:rFonts w:hint="eastAsia" w:eastAsia="宋体"/>
                      <w:lang w:eastAsia="zh-CN"/>
                    </w:rPr>
                  </w:pPr>
                  <w:r>
                    <w:rPr>
                      <w:rFonts w:hint="eastAsia"/>
                    </w:rPr>
                    <w:t>575369</w:t>
                  </w:r>
                </w:p>
              </w:tc>
              <w:tc>
                <w:tcPr>
                  <w:tcW w:w="1093" w:type="dxa"/>
                  <w:tcBorders>
                    <w:top w:val="nil"/>
                    <w:left w:val="nil"/>
                    <w:bottom w:val="single" w:color="auto" w:sz="4" w:space="0"/>
                    <w:right w:val="single" w:color="auto" w:sz="4" w:space="0"/>
                  </w:tcBorders>
                  <w:shd w:val="clear" w:color="auto" w:fill="auto"/>
                  <w:noWrap/>
                  <w:vAlign w:val="center"/>
                </w:tcPr>
                <w:p w14:paraId="472AD6B7">
                  <w:pPr>
                    <w:pStyle w:val="31"/>
                    <w:rPr>
                      <w:rFonts w:hint="eastAsia"/>
                    </w:rPr>
                  </w:pPr>
                  <w:r>
                    <w:rPr>
                      <w:rFonts w:hint="eastAsia"/>
                    </w:rPr>
                    <w:t>17</w:t>
                  </w:r>
                </w:p>
              </w:tc>
              <w:tc>
                <w:tcPr>
                  <w:tcW w:w="1093" w:type="dxa"/>
                  <w:tcBorders>
                    <w:top w:val="nil"/>
                    <w:left w:val="nil"/>
                    <w:bottom w:val="single" w:color="auto" w:sz="4" w:space="0"/>
                    <w:right w:val="single" w:color="auto" w:sz="4" w:space="0"/>
                  </w:tcBorders>
                  <w:shd w:val="clear" w:color="auto" w:fill="auto"/>
                  <w:noWrap/>
                  <w:vAlign w:val="center"/>
                </w:tcPr>
                <w:p w14:paraId="5BC3C958">
                  <w:pPr>
                    <w:pStyle w:val="31"/>
                    <w:rPr>
                      <w:rFonts w:hint="eastAsia"/>
                    </w:rPr>
                  </w:pPr>
                  <w:r>
                    <w:rPr>
                      <w:rFonts w:hint="eastAsia"/>
                    </w:rPr>
                    <w:t>80</w:t>
                  </w:r>
                </w:p>
              </w:tc>
              <w:tc>
                <w:tcPr>
                  <w:tcW w:w="1093" w:type="dxa"/>
                  <w:tcBorders>
                    <w:top w:val="nil"/>
                    <w:left w:val="nil"/>
                    <w:bottom w:val="single" w:color="auto" w:sz="4" w:space="0"/>
                    <w:right w:val="single" w:color="auto" w:sz="4" w:space="0"/>
                  </w:tcBorders>
                  <w:shd w:val="clear" w:color="auto" w:fill="auto"/>
                  <w:noWrap/>
                  <w:vAlign w:val="center"/>
                </w:tcPr>
                <w:p w14:paraId="780E411C">
                  <w:pPr>
                    <w:pStyle w:val="31"/>
                    <w:rPr>
                      <w:rFonts w:hint="eastAsia"/>
                    </w:rPr>
                  </w:pPr>
                  <w:r>
                    <w:rPr>
                      <w:rFonts w:hint="eastAsia"/>
                    </w:rPr>
                    <w:t>260</w:t>
                  </w:r>
                </w:p>
              </w:tc>
              <w:tc>
                <w:tcPr>
                  <w:tcW w:w="1359" w:type="dxa"/>
                  <w:tcBorders>
                    <w:top w:val="nil"/>
                    <w:left w:val="nil"/>
                    <w:bottom w:val="single" w:color="auto" w:sz="4" w:space="0"/>
                    <w:right w:val="single" w:color="auto" w:sz="4" w:space="0"/>
                  </w:tcBorders>
                  <w:shd w:val="clear" w:color="auto" w:fill="auto"/>
                  <w:noWrap/>
                  <w:vAlign w:val="center"/>
                </w:tcPr>
                <w:p w14:paraId="0A275A63">
                  <w:pPr>
                    <w:pStyle w:val="31"/>
                    <w:rPr>
                      <w:rFonts w:hint="eastAsia"/>
                    </w:rPr>
                  </w:pPr>
                  <w:r>
                    <w:rPr>
                      <w:rFonts w:hint="eastAsia"/>
                    </w:rPr>
                    <w:t>1</w:t>
                  </w:r>
                </w:p>
              </w:tc>
            </w:tr>
            <w:tr w14:paraId="0C92B25E">
              <w:tblPrEx>
                <w:tblCellMar>
                  <w:top w:w="0" w:type="dxa"/>
                  <w:left w:w="108" w:type="dxa"/>
                  <w:bottom w:w="0" w:type="dxa"/>
                  <w:right w:w="108" w:type="dxa"/>
                </w:tblCellMar>
              </w:tblPrEx>
              <w:trPr>
                <w:trHeight w:val="280" w:hRule="atLeast"/>
              </w:trPr>
              <w:tc>
                <w:tcPr>
                  <w:tcW w:w="2192" w:type="dxa"/>
                  <w:tcBorders>
                    <w:top w:val="nil"/>
                    <w:left w:val="single" w:color="auto" w:sz="4" w:space="0"/>
                    <w:bottom w:val="single" w:color="auto" w:sz="4" w:space="0"/>
                    <w:right w:val="single" w:color="auto" w:sz="4" w:space="0"/>
                  </w:tcBorders>
                  <w:shd w:val="clear" w:color="auto" w:fill="auto"/>
                  <w:noWrap/>
                  <w:vAlign w:val="center"/>
                </w:tcPr>
                <w:p w14:paraId="60148079">
                  <w:pPr>
                    <w:pStyle w:val="31"/>
                    <w:rPr>
                      <w:rFonts w:hint="eastAsia"/>
                    </w:rPr>
                  </w:pPr>
                  <w:r>
                    <w:rPr>
                      <w:rFonts w:hint="eastAsia"/>
                    </w:rPr>
                    <w:t>2014ZK1403</w:t>
                  </w:r>
                </w:p>
              </w:tc>
              <w:tc>
                <w:tcPr>
                  <w:tcW w:w="1173" w:type="dxa"/>
                  <w:tcBorders>
                    <w:top w:val="nil"/>
                    <w:left w:val="nil"/>
                    <w:bottom w:val="single" w:color="auto" w:sz="4" w:space="0"/>
                    <w:right w:val="single" w:color="auto" w:sz="4" w:space="0"/>
                  </w:tcBorders>
                  <w:shd w:val="clear" w:color="auto" w:fill="auto"/>
                  <w:noWrap/>
                  <w:vAlign w:val="center"/>
                </w:tcPr>
                <w:p w14:paraId="23F49014">
                  <w:pPr>
                    <w:pStyle w:val="31"/>
                    <w:rPr>
                      <w:rFonts w:hint="eastAsia" w:eastAsia="宋体"/>
                      <w:lang w:eastAsia="zh-CN"/>
                    </w:rPr>
                  </w:pPr>
                  <w:r>
                    <w:rPr>
                      <w:rFonts w:hint="eastAsia"/>
                    </w:rPr>
                    <w:t>4725522</w:t>
                  </w:r>
                </w:p>
              </w:tc>
              <w:tc>
                <w:tcPr>
                  <w:tcW w:w="1013" w:type="dxa"/>
                  <w:tcBorders>
                    <w:top w:val="nil"/>
                    <w:left w:val="nil"/>
                    <w:bottom w:val="single" w:color="auto" w:sz="4" w:space="0"/>
                    <w:right w:val="single" w:color="auto" w:sz="4" w:space="0"/>
                  </w:tcBorders>
                  <w:shd w:val="clear" w:color="auto" w:fill="auto"/>
                  <w:noWrap/>
                  <w:vAlign w:val="center"/>
                </w:tcPr>
                <w:p w14:paraId="5047CEEF">
                  <w:pPr>
                    <w:pStyle w:val="31"/>
                    <w:rPr>
                      <w:rFonts w:hint="eastAsia" w:eastAsia="宋体"/>
                      <w:lang w:eastAsia="zh-CN"/>
                    </w:rPr>
                  </w:pPr>
                  <w:r>
                    <w:rPr>
                      <w:rFonts w:hint="eastAsia"/>
                    </w:rPr>
                    <w:t>575330</w:t>
                  </w:r>
                </w:p>
              </w:tc>
              <w:tc>
                <w:tcPr>
                  <w:tcW w:w="1093" w:type="dxa"/>
                  <w:tcBorders>
                    <w:top w:val="nil"/>
                    <w:left w:val="nil"/>
                    <w:bottom w:val="single" w:color="auto" w:sz="4" w:space="0"/>
                    <w:right w:val="single" w:color="auto" w:sz="4" w:space="0"/>
                  </w:tcBorders>
                  <w:shd w:val="clear" w:color="auto" w:fill="auto"/>
                  <w:noWrap/>
                  <w:vAlign w:val="center"/>
                </w:tcPr>
                <w:p w14:paraId="4823CD12">
                  <w:pPr>
                    <w:pStyle w:val="31"/>
                    <w:rPr>
                      <w:rFonts w:hint="eastAsia"/>
                    </w:rPr>
                  </w:pPr>
                  <w:r>
                    <w:rPr>
                      <w:rFonts w:hint="eastAsia"/>
                    </w:rPr>
                    <w:t>17</w:t>
                  </w:r>
                </w:p>
              </w:tc>
              <w:tc>
                <w:tcPr>
                  <w:tcW w:w="1093" w:type="dxa"/>
                  <w:tcBorders>
                    <w:top w:val="nil"/>
                    <w:left w:val="nil"/>
                    <w:bottom w:val="single" w:color="auto" w:sz="4" w:space="0"/>
                    <w:right w:val="single" w:color="auto" w:sz="4" w:space="0"/>
                  </w:tcBorders>
                  <w:shd w:val="clear" w:color="auto" w:fill="auto"/>
                  <w:noWrap/>
                  <w:vAlign w:val="center"/>
                </w:tcPr>
                <w:p w14:paraId="53C120EA">
                  <w:pPr>
                    <w:pStyle w:val="31"/>
                    <w:rPr>
                      <w:rFonts w:hint="eastAsia"/>
                    </w:rPr>
                  </w:pPr>
                  <w:r>
                    <w:rPr>
                      <w:rFonts w:hint="eastAsia"/>
                    </w:rPr>
                    <w:t>80</w:t>
                  </w:r>
                </w:p>
              </w:tc>
              <w:tc>
                <w:tcPr>
                  <w:tcW w:w="1093" w:type="dxa"/>
                  <w:tcBorders>
                    <w:top w:val="nil"/>
                    <w:left w:val="nil"/>
                    <w:bottom w:val="single" w:color="auto" w:sz="4" w:space="0"/>
                    <w:right w:val="single" w:color="auto" w:sz="4" w:space="0"/>
                  </w:tcBorders>
                  <w:shd w:val="clear" w:color="auto" w:fill="auto"/>
                  <w:noWrap/>
                  <w:vAlign w:val="center"/>
                </w:tcPr>
                <w:p w14:paraId="652698ED">
                  <w:pPr>
                    <w:pStyle w:val="31"/>
                    <w:rPr>
                      <w:rFonts w:hint="eastAsia"/>
                    </w:rPr>
                  </w:pPr>
                  <w:r>
                    <w:rPr>
                      <w:rFonts w:hint="eastAsia"/>
                    </w:rPr>
                    <w:t>610</w:t>
                  </w:r>
                </w:p>
              </w:tc>
              <w:tc>
                <w:tcPr>
                  <w:tcW w:w="1359" w:type="dxa"/>
                  <w:tcBorders>
                    <w:top w:val="nil"/>
                    <w:left w:val="nil"/>
                    <w:bottom w:val="single" w:color="auto" w:sz="4" w:space="0"/>
                    <w:right w:val="single" w:color="auto" w:sz="4" w:space="0"/>
                  </w:tcBorders>
                  <w:shd w:val="clear" w:color="auto" w:fill="auto"/>
                  <w:noWrap/>
                  <w:vAlign w:val="center"/>
                </w:tcPr>
                <w:p w14:paraId="62FB6A3A">
                  <w:pPr>
                    <w:pStyle w:val="31"/>
                    <w:rPr>
                      <w:rFonts w:hint="eastAsia"/>
                    </w:rPr>
                  </w:pPr>
                  <w:r>
                    <w:rPr>
                      <w:rFonts w:hint="eastAsia"/>
                    </w:rPr>
                    <w:t>1</w:t>
                  </w:r>
                </w:p>
              </w:tc>
            </w:tr>
            <w:tr w14:paraId="0353F486">
              <w:tblPrEx>
                <w:tblCellMar>
                  <w:top w:w="0" w:type="dxa"/>
                  <w:left w:w="108" w:type="dxa"/>
                  <w:bottom w:w="0" w:type="dxa"/>
                  <w:right w:w="108" w:type="dxa"/>
                </w:tblCellMar>
              </w:tblPrEx>
              <w:trPr>
                <w:trHeight w:val="280" w:hRule="atLeast"/>
              </w:trPr>
              <w:tc>
                <w:tcPr>
                  <w:tcW w:w="2192" w:type="dxa"/>
                  <w:tcBorders>
                    <w:top w:val="nil"/>
                    <w:left w:val="single" w:color="auto" w:sz="4" w:space="0"/>
                    <w:bottom w:val="single" w:color="auto" w:sz="4" w:space="0"/>
                    <w:right w:val="single" w:color="auto" w:sz="4" w:space="0"/>
                  </w:tcBorders>
                  <w:shd w:val="clear" w:color="auto" w:fill="auto"/>
                  <w:noWrap/>
                  <w:vAlign w:val="center"/>
                </w:tcPr>
                <w:p w14:paraId="7C7D8E7C">
                  <w:pPr>
                    <w:pStyle w:val="31"/>
                    <w:rPr>
                      <w:rFonts w:hint="eastAsia"/>
                    </w:rPr>
                  </w:pPr>
                  <w:r>
                    <w:rPr>
                      <w:rFonts w:hint="eastAsia"/>
                    </w:rPr>
                    <w:t>2014ZK2201</w:t>
                  </w:r>
                </w:p>
              </w:tc>
              <w:tc>
                <w:tcPr>
                  <w:tcW w:w="1173" w:type="dxa"/>
                  <w:tcBorders>
                    <w:top w:val="nil"/>
                    <w:left w:val="nil"/>
                    <w:bottom w:val="single" w:color="auto" w:sz="4" w:space="0"/>
                    <w:right w:val="single" w:color="auto" w:sz="4" w:space="0"/>
                  </w:tcBorders>
                  <w:shd w:val="clear" w:color="auto" w:fill="auto"/>
                  <w:noWrap/>
                  <w:vAlign w:val="center"/>
                </w:tcPr>
                <w:p w14:paraId="2B6C3F42">
                  <w:pPr>
                    <w:pStyle w:val="31"/>
                    <w:rPr>
                      <w:rFonts w:hint="eastAsia" w:eastAsia="宋体"/>
                      <w:lang w:eastAsia="zh-CN"/>
                    </w:rPr>
                  </w:pPr>
                  <w:r>
                    <w:rPr>
                      <w:rFonts w:hint="eastAsia"/>
                    </w:rPr>
                    <w:t>4725615</w:t>
                  </w:r>
                </w:p>
              </w:tc>
              <w:tc>
                <w:tcPr>
                  <w:tcW w:w="1013" w:type="dxa"/>
                  <w:tcBorders>
                    <w:top w:val="nil"/>
                    <w:left w:val="nil"/>
                    <w:bottom w:val="single" w:color="auto" w:sz="4" w:space="0"/>
                    <w:right w:val="single" w:color="auto" w:sz="4" w:space="0"/>
                  </w:tcBorders>
                  <w:shd w:val="clear" w:color="auto" w:fill="auto"/>
                  <w:noWrap/>
                  <w:vAlign w:val="center"/>
                </w:tcPr>
                <w:p w14:paraId="76C04A4F">
                  <w:pPr>
                    <w:pStyle w:val="31"/>
                    <w:rPr>
                      <w:rFonts w:hint="eastAsia" w:eastAsia="宋体"/>
                      <w:lang w:eastAsia="zh-CN"/>
                    </w:rPr>
                  </w:pPr>
                  <w:r>
                    <w:rPr>
                      <w:rFonts w:hint="eastAsia"/>
                    </w:rPr>
                    <w:t>575442</w:t>
                  </w:r>
                </w:p>
              </w:tc>
              <w:tc>
                <w:tcPr>
                  <w:tcW w:w="1093" w:type="dxa"/>
                  <w:tcBorders>
                    <w:top w:val="nil"/>
                    <w:left w:val="nil"/>
                    <w:bottom w:val="single" w:color="auto" w:sz="4" w:space="0"/>
                    <w:right w:val="single" w:color="auto" w:sz="4" w:space="0"/>
                  </w:tcBorders>
                  <w:shd w:val="clear" w:color="auto" w:fill="auto"/>
                  <w:noWrap/>
                  <w:vAlign w:val="center"/>
                </w:tcPr>
                <w:p w14:paraId="603CF5F5">
                  <w:pPr>
                    <w:pStyle w:val="31"/>
                    <w:rPr>
                      <w:rFonts w:hint="eastAsia"/>
                    </w:rPr>
                  </w:pPr>
                  <w:r>
                    <w:rPr>
                      <w:rFonts w:hint="eastAsia"/>
                    </w:rPr>
                    <w:t>17</w:t>
                  </w:r>
                </w:p>
              </w:tc>
              <w:tc>
                <w:tcPr>
                  <w:tcW w:w="1093" w:type="dxa"/>
                  <w:tcBorders>
                    <w:top w:val="nil"/>
                    <w:left w:val="nil"/>
                    <w:bottom w:val="single" w:color="auto" w:sz="4" w:space="0"/>
                    <w:right w:val="single" w:color="auto" w:sz="4" w:space="0"/>
                  </w:tcBorders>
                  <w:shd w:val="clear" w:color="auto" w:fill="auto"/>
                  <w:noWrap/>
                  <w:vAlign w:val="center"/>
                </w:tcPr>
                <w:p w14:paraId="4F34A464">
                  <w:pPr>
                    <w:pStyle w:val="31"/>
                    <w:rPr>
                      <w:rFonts w:hint="eastAsia"/>
                    </w:rPr>
                  </w:pPr>
                  <w:r>
                    <w:rPr>
                      <w:rFonts w:hint="eastAsia"/>
                    </w:rPr>
                    <w:t>75</w:t>
                  </w:r>
                </w:p>
              </w:tc>
              <w:tc>
                <w:tcPr>
                  <w:tcW w:w="1093" w:type="dxa"/>
                  <w:tcBorders>
                    <w:top w:val="nil"/>
                    <w:left w:val="nil"/>
                    <w:bottom w:val="single" w:color="auto" w:sz="4" w:space="0"/>
                    <w:right w:val="single" w:color="auto" w:sz="4" w:space="0"/>
                  </w:tcBorders>
                  <w:shd w:val="clear" w:color="auto" w:fill="auto"/>
                  <w:noWrap/>
                  <w:vAlign w:val="center"/>
                </w:tcPr>
                <w:p w14:paraId="7EC042A4">
                  <w:pPr>
                    <w:pStyle w:val="31"/>
                    <w:rPr>
                      <w:rFonts w:hint="eastAsia"/>
                    </w:rPr>
                  </w:pPr>
                  <w:r>
                    <w:rPr>
                      <w:rFonts w:hint="eastAsia"/>
                    </w:rPr>
                    <w:t>230</w:t>
                  </w:r>
                </w:p>
              </w:tc>
              <w:tc>
                <w:tcPr>
                  <w:tcW w:w="1359" w:type="dxa"/>
                  <w:tcBorders>
                    <w:top w:val="nil"/>
                    <w:left w:val="nil"/>
                    <w:bottom w:val="single" w:color="auto" w:sz="4" w:space="0"/>
                    <w:right w:val="single" w:color="auto" w:sz="4" w:space="0"/>
                  </w:tcBorders>
                  <w:shd w:val="clear" w:color="auto" w:fill="auto"/>
                  <w:noWrap/>
                  <w:vAlign w:val="center"/>
                </w:tcPr>
                <w:p w14:paraId="5A01871F">
                  <w:pPr>
                    <w:pStyle w:val="31"/>
                    <w:rPr>
                      <w:rFonts w:hint="eastAsia"/>
                    </w:rPr>
                  </w:pPr>
                  <w:r>
                    <w:rPr>
                      <w:rFonts w:hint="eastAsia"/>
                    </w:rPr>
                    <w:t>2</w:t>
                  </w:r>
                </w:p>
              </w:tc>
            </w:tr>
            <w:tr w14:paraId="71722609">
              <w:tblPrEx>
                <w:tblCellMar>
                  <w:top w:w="0" w:type="dxa"/>
                  <w:left w:w="108" w:type="dxa"/>
                  <w:bottom w:w="0" w:type="dxa"/>
                  <w:right w:w="108" w:type="dxa"/>
                </w:tblCellMar>
              </w:tblPrEx>
              <w:trPr>
                <w:trHeight w:val="280" w:hRule="atLeast"/>
              </w:trPr>
              <w:tc>
                <w:tcPr>
                  <w:tcW w:w="2192" w:type="dxa"/>
                  <w:tcBorders>
                    <w:top w:val="nil"/>
                    <w:left w:val="single" w:color="auto" w:sz="4" w:space="0"/>
                    <w:bottom w:val="single" w:color="auto" w:sz="4" w:space="0"/>
                    <w:right w:val="single" w:color="auto" w:sz="4" w:space="0"/>
                  </w:tcBorders>
                  <w:shd w:val="clear" w:color="auto" w:fill="auto"/>
                  <w:noWrap/>
                  <w:vAlign w:val="center"/>
                </w:tcPr>
                <w:p w14:paraId="1801A9CB">
                  <w:pPr>
                    <w:pStyle w:val="31"/>
                    <w:rPr>
                      <w:rFonts w:hint="eastAsia"/>
                    </w:rPr>
                  </w:pPr>
                  <w:r>
                    <w:rPr>
                      <w:rFonts w:hint="eastAsia"/>
                    </w:rPr>
                    <w:t>2014ZK2202</w:t>
                  </w:r>
                </w:p>
              </w:tc>
              <w:tc>
                <w:tcPr>
                  <w:tcW w:w="1173" w:type="dxa"/>
                  <w:tcBorders>
                    <w:top w:val="nil"/>
                    <w:left w:val="nil"/>
                    <w:bottom w:val="single" w:color="auto" w:sz="4" w:space="0"/>
                    <w:right w:val="single" w:color="auto" w:sz="4" w:space="0"/>
                  </w:tcBorders>
                  <w:shd w:val="clear" w:color="auto" w:fill="auto"/>
                  <w:noWrap/>
                  <w:vAlign w:val="center"/>
                </w:tcPr>
                <w:p w14:paraId="78E13AEF">
                  <w:pPr>
                    <w:pStyle w:val="31"/>
                    <w:rPr>
                      <w:rFonts w:hint="eastAsia" w:eastAsia="宋体"/>
                      <w:lang w:eastAsia="zh-CN"/>
                    </w:rPr>
                  </w:pPr>
                  <w:r>
                    <w:rPr>
                      <w:rFonts w:hint="eastAsia"/>
                    </w:rPr>
                    <w:t>4725562</w:t>
                  </w:r>
                </w:p>
              </w:tc>
              <w:tc>
                <w:tcPr>
                  <w:tcW w:w="1013" w:type="dxa"/>
                  <w:tcBorders>
                    <w:top w:val="nil"/>
                    <w:left w:val="nil"/>
                    <w:bottom w:val="single" w:color="auto" w:sz="4" w:space="0"/>
                    <w:right w:val="single" w:color="auto" w:sz="4" w:space="0"/>
                  </w:tcBorders>
                  <w:shd w:val="clear" w:color="auto" w:fill="auto"/>
                  <w:noWrap/>
                  <w:vAlign w:val="center"/>
                </w:tcPr>
                <w:p w14:paraId="0513AA43">
                  <w:pPr>
                    <w:pStyle w:val="31"/>
                    <w:rPr>
                      <w:rFonts w:hint="eastAsia" w:eastAsia="宋体"/>
                      <w:lang w:eastAsia="zh-CN"/>
                    </w:rPr>
                  </w:pPr>
                  <w:r>
                    <w:rPr>
                      <w:rFonts w:hint="eastAsia"/>
                    </w:rPr>
                    <w:t>575426</w:t>
                  </w:r>
                </w:p>
              </w:tc>
              <w:tc>
                <w:tcPr>
                  <w:tcW w:w="1093" w:type="dxa"/>
                  <w:tcBorders>
                    <w:top w:val="nil"/>
                    <w:left w:val="nil"/>
                    <w:bottom w:val="single" w:color="auto" w:sz="4" w:space="0"/>
                    <w:right w:val="single" w:color="auto" w:sz="4" w:space="0"/>
                  </w:tcBorders>
                  <w:shd w:val="clear" w:color="auto" w:fill="auto"/>
                  <w:noWrap/>
                  <w:vAlign w:val="center"/>
                </w:tcPr>
                <w:p w14:paraId="60A86238">
                  <w:pPr>
                    <w:pStyle w:val="31"/>
                    <w:rPr>
                      <w:rFonts w:hint="eastAsia"/>
                    </w:rPr>
                  </w:pPr>
                  <w:r>
                    <w:rPr>
                      <w:rFonts w:hint="eastAsia"/>
                    </w:rPr>
                    <w:t>17</w:t>
                  </w:r>
                </w:p>
              </w:tc>
              <w:tc>
                <w:tcPr>
                  <w:tcW w:w="1093" w:type="dxa"/>
                  <w:tcBorders>
                    <w:top w:val="nil"/>
                    <w:left w:val="nil"/>
                    <w:bottom w:val="single" w:color="auto" w:sz="4" w:space="0"/>
                    <w:right w:val="single" w:color="auto" w:sz="4" w:space="0"/>
                  </w:tcBorders>
                  <w:shd w:val="clear" w:color="auto" w:fill="auto"/>
                  <w:noWrap/>
                  <w:vAlign w:val="center"/>
                </w:tcPr>
                <w:p w14:paraId="2A562631">
                  <w:pPr>
                    <w:pStyle w:val="31"/>
                    <w:rPr>
                      <w:rFonts w:hint="eastAsia"/>
                    </w:rPr>
                  </w:pPr>
                  <w:r>
                    <w:rPr>
                      <w:rFonts w:hint="eastAsia"/>
                    </w:rPr>
                    <w:t>75</w:t>
                  </w:r>
                </w:p>
              </w:tc>
              <w:tc>
                <w:tcPr>
                  <w:tcW w:w="1093" w:type="dxa"/>
                  <w:tcBorders>
                    <w:top w:val="nil"/>
                    <w:left w:val="nil"/>
                    <w:bottom w:val="single" w:color="auto" w:sz="4" w:space="0"/>
                    <w:right w:val="single" w:color="auto" w:sz="4" w:space="0"/>
                  </w:tcBorders>
                  <w:shd w:val="clear" w:color="auto" w:fill="auto"/>
                  <w:noWrap/>
                  <w:vAlign w:val="center"/>
                </w:tcPr>
                <w:p w14:paraId="1AF04D8F">
                  <w:pPr>
                    <w:pStyle w:val="31"/>
                    <w:rPr>
                      <w:rFonts w:hint="eastAsia"/>
                    </w:rPr>
                  </w:pPr>
                  <w:r>
                    <w:rPr>
                      <w:rFonts w:hint="eastAsia"/>
                    </w:rPr>
                    <w:t>350</w:t>
                  </w:r>
                </w:p>
              </w:tc>
              <w:tc>
                <w:tcPr>
                  <w:tcW w:w="1359" w:type="dxa"/>
                  <w:tcBorders>
                    <w:top w:val="nil"/>
                    <w:left w:val="nil"/>
                    <w:bottom w:val="single" w:color="auto" w:sz="4" w:space="0"/>
                    <w:right w:val="single" w:color="auto" w:sz="4" w:space="0"/>
                  </w:tcBorders>
                  <w:shd w:val="clear" w:color="auto" w:fill="auto"/>
                  <w:noWrap/>
                  <w:vAlign w:val="center"/>
                </w:tcPr>
                <w:p w14:paraId="70D0D0E5">
                  <w:pPr>
                    <w:pStyle w:val="31"/>
                    <w:rPr>
                      <w:rFonts w:hint="eastAsia"/>
                    </w:rPr>
                  </w:pPr>
                  <w:r>
                    <w:rPr>
                      <w:rFonts w:hint="eastAsia"/>
                    </w:rPr>
                    <w:t>2</w:t>
                  </w:r>
                </w:p>
              </w:tc>
            </w:tr>
            <w:tr w14:paraId="11E99DFC">
              <w:tblPrEx>
                <w:tblCellMar>
                  <w:top w:w="0" w:type="dxa"/>
                  <w:left w:w="108" w:type="dxa"/>
                  <w:bottom w:w="0" w:type="dxa"/>
                  <w:right w:w="108" w:type="dxa"/>
                </w:tblCellMar>
              </w:tblPrEx>
              <w:trPr>
                <w:trHeight w:val="280" w:hRule="atLeast"/>
              </w:trPr>
              <w:tc>
                <w:tcPr>
                  <w:tcW w:w="2192" w:type="dxa"/>
                  <w:tcBorders>
                    <w:top w:val="nil"/>
                    <w:left w:val="single" w:color="auto" w:sz="4" w:space="0"/>
                    <w:bottom w:val="single" w:color="auto" w:sz="4" w:space="0"/>
                    <w:right w:val="single" w:color="auto" w:sz="4" w:space="0"/>
                  </w:tcBorders>
                  <w:shd w:val="clear" w:color="auto" w:fill="auto"/>
                  <w:noWrap/>
                  <w:vAlign w:val="center"/>
                </w:tcPr>
                <w:p w14:paraId="7F281B4A">
                  <w:pPr>
                    <w:pStyle w:val="31"/>
                    <w:rPr>
                      <w:rFonts w:hint="eastAsia"/>
                    </w:rPr>
                  </w:pPr>
                  <w:r>
                    <w:rPr>
                      <w:rFonts w:hint="eastAsia"/>
                    </w:rPr>
                    <w:t>2014ZK3001</w:t>
                  </w:r>
                </w:p>
              </w:tc>
              <w:tc>
                <w:tcPr>
                  <w:tcW w:w="1173" w:type="dxa"/>
                  <w:tcBorders>
                    <w:top w:val="nil"/>
                    <w:left w:val="nil"/>
                    <w:bottom w:val="single" w:color="auto" w:sz="4" w:space="0"/>
                    <w:right w:val="single" w:color="auto" w:sz="4" w:space="0"/>
                  </w:tcBorders>
                  <w:shd w:val="clear" w:color="auto" w:fill="auto"/>
                  <w:noWrap/>
                  <w:vAlign w:val="center"/>
                </w:tcPr>
                <w:p w14:paraId="39C3DB35">
                  <w:pPr>
                    <w:pStyle w:val="31"/>
                    <w:rPr>
                      <w:rFonts w:hint="eastAsia" w:eastAsia="宋体"/>
                      <w:lang w:eastAsia="zh-CN"/>
                    </w:rPr>
                  </w:pPr>
                  <w:r>
                    <w:rPr>
                      <w:rFonts w:hint="eastAsia"/>
                    </w:rPr>
                    <w:t>4725588</w:t>
                  </w:r>
                </w:p>
              </w:tc>
              <w:tc>
                <w:tcPr>
                  <w:tcW w:w="1013" w:type="dxa"/>
                  <w:tcBorders>
                    <w:top w:val="nil"/>
                    <w:left w:val="nil"/>
                    <w:bottom w:val="single" w:color="auto" w:sz="4" w:space="0"/>
                    <w:right w:val="single" w:color="auto" w:sz="4" w:space="0"/>
                  </w:tcBorders>
                  <w:shd w:val="clear" w:color="auto" w:fill="auto"/>
                  <w:noWrap/>
                  <w:vAlign w:val="center"/>
                </w:tcPr>
                <w:p w14:paraId="59D9D451">
                  <w:pPr>
                    <w:pStyle w:val="31"/>
                    <w:rPr>
                      <w:rFonts w:hint="eastAsia" w:eastAsia="宋体"/>
                      <w:lang w:eastAsia="zh-CN"/>
                    </w:rPr>
                  </w:pPr>
                  <w:r>
                    <w:rPr>
                      <w:rFonts w:hint="eastAsia"/>
                    </w:rPr>
                    <w:t>575517</w:t>
                  </w:r>
                </w:p>
              </w:tc>
              <w:tc>
                <w:tcPr>
                  <w:tcW w:w="1093" w:type="dxa"/>
                  <w:tcBorders>
                    <w:top w:val="nil"/>
                    <w:left w:val="nil"/>
                    <w:bottom w:val="single" w:color="auto" w:sz="4" w:space="0"/>
                    <w:right w:val="single" w:color="auto" w:sz="4" w:space="0"/>
                  </w:tcBorders>
                  <w:shd w:val="clear" w:color="auto" w:fill="auto"/>
                  <w:noWrap/>
                  <w:vAlign w:val="center"/>
                </w:tcPr>
                <w:p w14:paraId="4EB00F4E">
                  <w:pPr>
                    <w:pStyle w:val="31"/>
                    <w:rPr>
                      <w:rFonts w:hint="eastAsia"/>
                    </w:rPr>
                  </w:pPr>
                  <w:r>
                    <w:rPr>
                      <w:rFonts w:hint="eastAsia"/>
                    </w:rPr>
                    <w:t>17</w:t>
                  </w:r>
                </w:p>
              </w:tc>
              <w:tc>
                <w:tcPr>
                  <w:tcW w:w="1093" w:type="dxa"/>
                  <w:tcBorders>
                    <w:top w:val="nil"/>
                    <w:left w:val="nil"/>
                    <w:bottom w:val="single" w:color="auto" w:sz="4" w:space="0"/>
                    <w:right w:val="single" w:color="auto" w:sz="4" w:space="0"/>
                  </w:tcBorders>
                  <w:shd w:val="clear" w:color="auto" w:fill="auto"/>
                  <w:noWrap/>
                  <w:vAlign w:val="center"/>
                </w:tcPr>
                <w:p w14:paraId="3EB38A6B">
                  <w:pPr>
                    <w:pStyle w:val="31"/>
                    <w:rPr>
                      <w:rFonts w:hint="eastAsia"/>
                    </w:rPr>
                  </w:pPr>
                  <w:r>
                    <w:rPr>
                      <w:rFonts w:hint="eastAsia"/>
                    </w:rPr>
                    <w:t>75</w:t>
                  </w:r>
                </w:p>
              </w:tc>
              <w:tc>
                <w:tcPr>
                  <w:tcW w:w="1093" w:type="dxa"/>
                  <w:tcBorders>
                    <w:top w:val="nil"/>
                    <w:left w:val="nil"/>
                    <w:bottom w:val="single" w:color="auto" w:sz="4" w:space="0"/>
                    <w:right w:val="single" w:color="auto" w:sz="4" w:space="0"/>
                  </w:tcBorders>
                  <w:shd w:val="clear" w:color="auto" w:fill="auto"/>
                  <w:noWrap/>
                  <w:vAlign w:val="center"/>
                </w:tcPr>
                <w:p w14:paraId="15F97E4C">
                  <w:pPr>
                    <w:pStyle w:val="31"/>
                    <w:rPr>
                      <w:rFonts w:hint="eastAsia"/>
                    </w:rPr>
                  </w:pPr>
                  <w:r>
                    <w:rPr>
                      <w:rFonts w:hint="eastAsia"/>
                    </w:rPr>
                    <w:t>230</w:t>
                  </w:r>
                </w:p>
              </w:tc>
              <w:tc>
                <w:tcPr>
                  <w:tcW w:w="1359" w:type="dxa"/>
                  <w:tcBorders>
                    <w:top w:val="nil"/>
                    <w:left w:val="nil"/>
                    <w:bottom w:val="single" w:color="auto" w:sz="4" w:space="0"/>
                    <w:right w:val="single" w:color="auto" w:sz="4" w:space="0"/>
                  </w:tcBorders>
                  <w:shd w:val="clear" w:color="auto" w:fill="auto"/>
                  <w:noWrap/>
                  <w:vAlign w:val="center"/>
                </w:tcPr>
                <w:p w14:paraId="4E8F0DF9">
                  <w:pPr>
                    <w:pStyle w:val="31"/>
                    <w:rPr>
                      <w:rFonts w:hint="eastAsia"/>
                    </w:rPr>
                  </w:pPr>
                  <w:r>
                    <w:rPr>
                      <w:rFonts w:hint="eastAsia"/>
                    </w:rPr>
                    <w:t>2</w:t>
                  </w:r>
                </w:p>
              </w:tc>
            </w:tr>
            <w:tr w14:paraId="141D2104">
              <w:tblPrEx>
                <w:tblCellMar>
                  <w:top w:w="0" w:type="dxa"/>
                  <w:left w:w="108" w:type="dxa"/>
                  <w:bottom w:w="0" w:type="dxa"/>
                  <w:right w:w="108" w:type="dxa"/>
                </w:tblCellMar>
              </w:tblPrEx>
              <w:trPr>
                <w:trHeight w:val="280" w:hRule="atLeast"/>
              </w:trPr>
              <w:tc>
                <w:tcPr>
                  <w:tcW w:w="2192" w:type="dxa"/>
                  <w:tcBorders>
                    <w:top w:val="nil"/>
                    <w:left w:val="single" w:color="auto" w:sz="4" w:space="0"/>
                    <w:bottom w:val="single" w:color="auto" w:sz="4" w:space="0"/>
                    <w:right w:val="single" w:color="auto" w:sz="4" w:space="0"/>
                  </w:tcBorders>
                  <w:shd w:val="clear" w:color="auto" w:fill="auto"/>
                  <w:noWrap/>
                  <w:vAlign w:val="center"/>
                </w:tcPr>
                <w:p w14:paraId="135AD5CC">
                  <w:pPr>
                    <w:pStyle w:val="31"/>
                    <w:rPr>
                      <w:rFonts w:hint="eastAsia"/>
                    </w:rPr>
                  </w:pPr>
                  <w:r>
                    <w:rPr>
                      <w:rFonts w:hint="eastAsia"/>
                    </w:rPr>
                    <w:t>2014ZK4601</w:t>
                  </w:r>
                </w:p>
              </w:tc>
              <w:tc>
                <w:tcPr>
                  <w:tcW w:w="1173" w:type="dxa"/>
                  <w:tcBorders>
                    <w:top w:val="nil"/>
                    <w:left w:val="nil"/>
                    <w:bottom w:val="single" w:color="auto" w:sz="4" w:space="0"/>
                    <w:right w:val="single" w:color="auto" w:sz="4" w:space="0"/>
                  </w:tcBorders>
                  <w:shd w:val="clear" w:color="auto" w:fill="auto"/>
                  <w:noWrap/>
                  <w:vAlign w:val="center"/>
                </w:tcPr>
                <w:p w14:paraId="0FD9E891">
                  <w:pPr>
                    <w:pStyle w:val="31"/>
                    <w:rPr>
                      <w:rFonts w:hint="eastAsia" w:eastAsia="宋体"/>
                      <w:lang w:eastAsia="zh-CN"/>
                    </w:rPr>
                  </w:pPr>
                  <w:r>
                    <w:rPr>
                      <w:rFonts w:hint="eastAsia"/>
                    </w:rPr>
                    <w:t>4725536</w:t>
                  </w:r>
                </w:p>
              </w:tc>
              <w:tc>
                <w:tcPr>
                  <w:tcW w:w="1013" w:type="dxa"/>
                  <w:tcBorders>
                    <w:top w:val="nil"/>
                    <w:left w:val="nil"/>
                    <w:bottom w:val="single" w:color="auto" w:sz="4" w:space="0"/>
                    <w:right w:val="single" w:color="auto" w:sz="4" w:space="0"/>
                  </w:tcBorders>
                  <w:shd w:val="clear" w:color="auto" w:fill="auto"/>
                  <w:noWrap/>
                  <w:vAlign w:val="center"/>
                </w:tcPr>
                <w:p w14:paraId="5599DF4E">
                  <w:pPr>
                    <w:pStyle w:val="31"/>
                    <w:rPr>
                      <w:rFonts w:hint="eastAsia" w:eastAsia="宋体"/>
                      <w:lang w:eastAsia="zh-CN"/>
                    </w:rPr>
                  </w:pPr>
                  <w:r>
                    <w:rPr>
                      <w:rFonts w:hint="eastAsia"/>
                    </w:rPr>
                    <w:t>575669</w:t>
                  </w:r>
                </w:p>
              </w:tc>
              <w:tc>
                <w:tcPr>
                  <w:tcW w:w="1093" w:type="dxa"/>
                  <w:tcBorders>
                    <w:top w:val="nil"/>
                    <w:left w:val="nil"/>
                    <w:bottom w:val="single" w:color="auto" w:sz="4" w:space="0"/>
                    <w:right w:val="single" w:color="auto" w:sz="4" w:space="0"/>
                  </w:tcBorders>
                  <w:shd w:val="clear" w:color="auto" w:fill="auto"/>
                  <w:noWrap/>
                  <w:vAlign w:val="center"/>
                </w:tcPr>
                <w:p w14:paraId="02ABE4B3">
                  <w:pPr>
                    <w:pStyle w:val="31"/>
                    <w:rPr>
                      <w:rFonts w:hint="eastAsia"/>
                    </w:rPr>
                  </w:pPr>
                  <w:r>
                    <w:rPr>
                      <w:rFonts w:hint="eastAsia"/>
                    </w:rPr>
                    <w:t>17</w:t>
                  </w:r>
                </w:p>
              </w:tc>
              <w:tc>
                <w:tcPr>
                  <w:tcW w:w="1093" w:type="dxa"/>
                  <w:tcBorders>
                    <w:top w:val="nil"/>
                    <w:left w:val="nil"/>
                    <w:bottom w:val="single" w:color="auto" w:sz="4" w:space="0"/>
                    <w:right w:val="single" w:color="auto" w:sz="4" w:space="0"/>
                  </w:tcBorders>
                  <w:shd w:val="clear" w:color="auto" w:fill="auto"/>
                  <w:noWrap/>
                  <w:vAlign w:val="center"/>
                </w:tcPr>
                <w:p w14:paraId="252EB60E">
                  <w:pPr>
                    <w:pStyle w:val="31"/>
                    <w:rPr>
                      <w:rFonts w:hint="eastAsia"/>
                    </w:rPr>
                  </w:pPr>
                  <w:r>
                    <w:rPr>
                      <w:rFonts w:hint="eastAsia"/>
                    </w:rPr>
                    <w:t>75</w:t>
                  </w:r>
                </w:p>
              </w:tc>
              <w:tc>
                <w:tcPr>
                  <w:tcW w:w="1093" w:type="dxa"/>
                  <w:tcBorders>
                    <w:top w:val="nil"/>
                    <w:left w:val="nil"/>
                    <w:bottom w:val="single" w:color="auto" w:sz="4" w:space="0"/>
                    <w:right w:val="single" w:color="auto" w:sz="4" w:space="0"/>
                  </w:tcBorders>
                  <w:shd w:val="clear" w:color="auto" w:fill="auto"/>
                  <w:noWrap/>
                  <w:vAlign w:val="center"/>
                </w:tcPr>
                <w:p w14:paraId="61930C11">
                  <w:pPr>
                    <w:pStyle w:val="31"/>
                    <w:rPr>
                      <w:rFonts w:hint="eastAsia"/>
                    </w:rPr>
                  </w:pPr>
                  <w:r>
                    <w:rPr>
                      <w:rFonts w:hint="eastAsia"/>
                    </w:rPr>
                    <w:t>250</w:t>
                  </w:r>
                </w:p>
              </w:tc>
              <w:tc>
                <w:tcPr>
                  <w:tcW w:w="1359" w:type="dxa"/>
                  <w:tcBorders>
                    <w:top w:val="nil"/>
                    <w:left w:val="nil"/>
                    <w:bottom w:val="single" w:color="auto" w:sz="4" w:space="0"/>
                    <w:right w:val="single" w:color="auto" w:sz="4" w:space="0"/>
                  </w:tcBorders>
                  <w:shd w:val="clear" w:color="auto" w:fill="auto"/>
                  <w:noWrap/>
                  <w:vAlign w:val="center"/>
                </w:tcPr>
                <w:p w14:paraId="29ED7B07">
                  <w:pPr>
                    <w:pStyle w:val="31"/>
                    <w:rPr>
                      <w:rFonts w:hint="eastAsia"/>
                    </w:rPr>
                  </w:pPr>
                  <w:r>
                    <w:rPr>
                      <w:rFonts w:hint="eastAsia"/>
                    </w:rPr>
                    <w:t>2</w:t>
                  </w:r>
                </w:p>
              </w:tc>
            </w:tr>
            <w:tr w14:paraId="0A5A19FC">
              <w:tblPrEx>
                <w:tblCellMar>
                  <w:top w:w="0" w:type="dxa"/>
                  <w:left w:w="108" w:type="dxa"/>
                  <w:bottom w:w="0" w:type="dxa"/>
                  <w:right w:w="108" w:type="dxa"/>
                </w:tblCellMar>
              </w:tblPrEx>
              <w:trPr>
                <w:trHeight w:val="280" w:hRule="atLeast"/>
              </w:trPr>
              <w:tc>
                <w:tcPr>
                  <w:tcW w:w="2192" w:type="dxa"/>
                  <w:tcBorders>
                    <w:top w:val="nil"/>
                    <w:left w:val="single" w:color="auto" w:sz="4" w:space="0"/>
                    <w:bottom w:val="single" w:color="auto" w:sz="4" w:space="0"/>
                    <w:right w:val="single" w:color="auto" w:sz="4" w:space="0"/>
                  </w:tcBorders>
                  <w:shd w:val="clear" w:color="auto" w:fill="auto"/>
                  <w:noWrap/>
                  <w:vAlign w:val="center"/>
                </w:tcPr>
                <w:p w14:paraId="31D99FE6">
                  <w:pPr>
                    <w:pStyle w:val="31"/>
                    <w:rPr>
                      <w:rFonts w:hint="eastAsia"/>
                    </w:rPr>
                  </w:pPr>
                  <w:r>
                    <w:rPr>
                      <w:rFonts w:hint="eastAsia"/>
                    </w:rPr>
                    <w:t>2014ZK2501</w:t>
                  </w:r>
                </w:p>
              </w:tc>
              <w:tc>
                <w:tcPr>
                  <w:tcW w:w="1173" w:type="dxa"/>
                  <w:tcBorders>
                    <w:top w:val="nil"/>
                    <w:left w:val="nil"/>
                    <w:bottom w:val="single" w:color="auto" w:sz="4" w:space="0"/>
                    <w:right w:val="single" w:color="auto" w:sz="4" w:space="0"/>
                  </w:tcBorders>
                  <w:shd w:val="clear" w:color="auto" w:fill="auto"/>
                  <w:noWrap/>
                  <w:vAlign w:val="center"/>
                </w:tcPr>
                <w:p w14:paraId="13EC584D">
                  <w:pPr>
                    <w:pStyle w:val="31"/>
                    <w:rPr>
                      <w:rFonts w:hint="eastAsia" w:eastAsia="宋体"/>
                      <w:lang w:eastAsia="zh-CN"/>
                    </w:rPr>
                  </w:pPr>
                  <w:r>
                    <w:rPr>
                      <w:rFonts w:hint="eastAsia"/>
                    </w:rPr>
                    <w:t>4725670</w:t>
                  </w:r>
                </w:p>
              </w:tc>
              <w:tc>
                <w:tcPr>
                  <w:tcW w:w="1013" w:type="dxa"/>
                  <w:tcBorders>
                    <w:top w:val="nil"/>
                    <w:left w:val="nil"/>
                    <w:bottom w:val="single" w:color="auto" w:sz="4" w:space="0"/>
                    <w:right w:val="single" w:color="auto" w:sz="4" w:space="0"/>
                  </w:tcBorders>
                  <w:shd w:val="clear" w:color="auto" w:fill="auto"/>
                  <w:noWrap/>
                  <w:vAlign w:val="center"/>
                </w:tcPr>
                <w:p w14:paraId="5137F428">
                  <w:pPr>
                    <w:pStyle w:val="31"/>
                    <w:rPr>
                      <w:rFonts w:hint="eastAsia" w:eastAsia="宋体"/>
                      <w:lang w:eastAsia="zh-CN"/>
                    </w:rPr>
                  </w:pPr>
                  <w:r>
                    <w:rPr>
                      <w:rFonts w:hint="eastAsia"/>
                    </w:rPr>
                    <w:t>574957</w:t>
                  </w:r>
                </w:p>
              </w:tc>
              <w:tc>
                <w:tcPr>
                  <w:tcW w:w="1093" w:type="dxa"/>
                  <w:tcBorders>
                    <w:top w:val="nil"/>
                    <w:left w:val="nil"/>
                    <w:bottom w:val="single" w:color="auto" w:sz="4" w:space="0"/>
                    <w:right w:val="single" w:color="auto" w:sz="4" w:space="0"/>
                  </w:tcBorders>
                  <w:shd w:val="clear" w:color="auto" w:fill="auto"/>
                  <w:noWrap/>
                  <w:vAlign w:val="center"/>
                </w:tcPr>
                <w:p w14:paraId="4414AE44">
                  <w:pPr>
                    <w:pStyle w:val="31"/>
                    <w:rPr>
                      <w:rFonts w:hint="eastAsia"/>
                    </w:rPr>
                  </w:pPr>
                  <w:r>
                    <w:rPr>
                      <w:rFonts w:hint="eastAsia"/>
                    </w:rPr>
                    <w:t>17</w:t>
                  </w:r>
                </w:p>
              </w:tc>
              <w:tc>
                <w:tcPr>
                  <w:tcW w:w="1093" w:type="dxa"/>
                  <w:tcBorders>
                    <w:top w:val="nil"/>
                    <w:left w:val="nil"/>
                    <w:bottom w:val="single" w:color="auto" w:sz="4" w:space="0"/>
                    <w:right w:val="single" w:color="auto" w:sz="4" w:space="0"/>
                  </w:tcBorders>
                  <w:shd w:val="clear" w:color="auto" w:fill="auto"/>
                  <w:noWrap/>
                  <w:vAlign w:val="center"/>
                </w:tcPr>
                <w:p w14:paraId="5ED904F8">
                  <w:pPr>
                    <w:pStyle w:val="31"/>
                    <w:rPr>
                      <w:rFonts w:hint="eastAsia"/>
                    </w:rPr>
                  </w:pPr>
                  <w:r>
                    <w:rPr>
                      <w:rFonts w:hint="eastAsia"/>
                    </w:rPr>
                    <w:t>75</w:t>
                  </w:r>
                </w:p>
              </w:tc>
              <w:tc>
                <w:tcPr>
                  <w:tcW w:w="1093" w:type="dxa"/>
                  <w:tcBorders>
                    <w:top w:val="nil"/>
                    <w:left w:val="nil"/>
                    <w:bottom w:val="single" w:color="auto" w:sz="4" w:space="0"/>
                    <w:right w:val="single" w:color="auto" w:sz="4" w:space="0"/>
                  </w:tcBorders>
                  <w:shd w:val="clear" w:color="auto" w:fill="auto"/>
                  <w:noWrap/>
                  <w:vAlign w:val="center"/>
                </w:tcPr>
                <w:p w14:paraId="64E85E57">
                  <w:pPr>
                    <w:pStyle w:val="31"/>
                    <w:rPr>
                      <w:rFonts w:hint="eastAsia"/>
                    </w:rPr>
                  </w:pPr>
                  <w:r>
                    <w:rPr>
                      <w:rFonts w:hint="eastAsia"/>
                    </w:rPr>
                    <w:t>150</w:t>
                  </w:r>
                </w:p>
              </w:tc>
              <w:tc>
                <w:tcPr>
                  <w:tcW w:w="1359" w:type="dxa"/>
                  <w:tcBorders>
                    <w:top w:val="nil"/>
                    <w:left w:val="nil"/>
                    <w:bottom w:val="single" w:color="auto" w:sz="4" w:space="0"/>
                    <w:right w:val="single" w:color="auto" w:sz="4" w:space="0"/>
                  </w:tcBorders>
                  <w:shd w:val="clear" w:color="auto" w:fill="auto"/>
                  <w:noWrap/>
                  <w:vAlign w:val="center"/>
                </w:tcPr>
                <w:p w14:paraId="1405BF2B">
                  <w:pPr>
                    <w:pStyle w:val="31"/>
                    <w:rPr>
                      <w:rFonts w:hint="eastAsia"/>
                    </w:rPr>
                  </w:pPr>
                  <w:r>
                    <w:rPr>
                      <w:rFonts w:hint="eastAsia"/>
                    </w:rPr>
                    <w:t>2</w:t>
                  </w:r>
                </w:p>
              </w:tc>
            </w:tr>
            <w:tr w14:paraId="248DDA98">
              <w:tblPrEx>
                <w:tblCellMar>
                  <w:top w:w="0" w:type="dxa"/>
                  <w:left w:w="108" w:type="dxa"/>
                  <w:bottom w:w="0" w:type="dxa"/>
                  <w:right w:w="108" w:type="dxa"/>
                </w:tblCellMar>
              </w:tblPrEx>
              <w:trPr>
                <w:trHeight w:val="280" w:hRule="atLeast"/>
              </w:trPr>
              <w:tc>
                <w:tcPr>
                  <w:tcW w:w="6564"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4B2108AE">
                  <w:pPr>
                    <w:pStyle w:val="31"/>
                    <w:rPr>
                      <w:rFonts w:hint="eastAsia"/>
                    </w:rPr>
                  </w:pPr>
                  <w:r>
                    <w:rPr>
                      <w:rFonts w:hint="eastAsia"/>
                    </w:rPr>
                    <w:t>合计</w:t>
                  </w:r>
                </w:p>
              </w:tc>
              <w:tc>
                <w:tcPr>
                  <w:tcW w:w="1093" w:type="dxa"/>
                  <w:tcBorders>
                    <w:top w:val="nil"/>
                    <w:left w:val="nil"/>
                    <w:bottom w:val="single" w:color="auto" w:sz="4" w:space="0"/>
                    <w:right w:val="single" w:color="auto" w:sz="4" w:space="0"/>
                  </w:tcBorders>
                  <w:shd w:val="clear" w:color="auto" w:fill="auto"/>
                  <w:noWrap/>
                  <w:vAlign w:val="center"/>
                </w:tcPr>
                <w:p w14:paraId="74D1D8F3">
                  <w:pPr>
                    <w:pStyle w:val="31"/>
                    <w:rPr>
                      <w:rFonts w:hint="eastAsia"/>
                    </w:rPr>
                  </w:pPr>
                  <w:r>
                    <w:rPr>
                      <w:rFonts w:hint="eastAsia"/>
                    </w:rPr>
                    <w:t>3825</w:t>
                  </w:r>
                </w:p>
              </w:tc>
              <w:tc>
                <w:tcPr>
                  <w:tcW w:w="1359" w:type="dxa"/>
                  <w:tcBorders>
                    <w:top w:val="nil"/>
                    <w:left w:val="nil"/>
                    <w:bottom w:val="single" w:color="auto" w:sz="4" w:space="0"/>
                    <w:right w:val="single" w:color="auto" w:sz="4" w:space="0"/>
                  </w:tcBorders>
                  <w:shd w:val="clear" w:color="auto" w:fill="auto"/>
                  <w:noWrap/>
                  <w:vAlign w:val="center"/>
                </w:tcPr>
                <w:p w14:paraId="6D2F1B2A">
                  <w:pPr>
                    <w:pStyle w:val="31"/>
                    <w:rPr>
                      <w:rFonts w:hint="eastAsia"/>
                    </w:rPr>
                  </w:pPr>
                  <w:r>
                    <w:rPr>
                      <w:rFonts w:hint="eastAsia"/>
                    </w:rPr>
                    <w:t>　</w:t>
                  </w:r>
                </w:p>
              </w:tc>
            </w:tr>
            <w:tr w14:paraId="13F737CC">
              <w:tblPrEx>
                <w:tblCellMar>
                  <w:top w:w="0" w:type="dxa"/>
                  <w:left w:w="108" w:type="dxa"/>
                  <w:bottom w:w="0" w:type="dxa"/>
                  <w:right w:w="108" w:type="dxa"/>
                </w:tblCellMar>
              </w:tblPrEx>
              <w:trPr>
                <w:trHeight w:val="280" w:hRule="atLeast"/>
              </w:trPr>
              <w:tc>
                <w:tcPr>
                  <w:tcW w:w="901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1B77ABA3">
                  <w:r>
                    <w:rPr>
                      <w:rFonts w:hint="eastAsia"/>
                    </w:rPr>
                    <w:t>注：施工顺序为以6线为中心向两侧推进，其中2014ZK2201→2014ZK2202→2014ZK3001→2014ZK4601根据前孔见矿情况施工后孔。</w:t>
                  </w:r>
                </w:p>
              </w:tc>
            </w:tr>
          </w:tbl>
          <w:p w14:paraId="5DC13CEE">
            <w:pPr>
              <w:rPr>
                <w:rFonts w:hint="eastAsia"/>
              </w:rPr>
            </w:pPr>
            <w:r>
              <w:rPr>
                <w:rFonts w:hint="eastAsia"/>
              </w:rPr>
              <w:t>施工顺序方面，第一批次施工钻孔为1、6、14、9号勘查线上布设的相应钻孔，由6线向东、西两侧施工，根据第一批次钻孔施工情况，实施第二批次钻孔，第二批次钻孔中东侧钻孔按照2014ZK2201→2014ZK2202→2014ZK3001→2014ZK4601的顺序进行施工。</w:t>
            </w:r>
          </w:p>
          <w:p w14:paraId="2DA41231">
            <w:pPr>
              <w:rPr>
                <w:rFonts w:hint="eastAsia"/>
                <w:lang w:val="en-US" w:eastAsia="zh-CN"/>
              </w:rPr>
            </w:pPr>
            <w:r>
              <w:rPr>
                <w:rFonts w:hint="eastAsia"/>
                <w:lang w:val="en-US" w:eastAsia="zh-CN"/>
              </w:rPr>
              <w:t>本次设计钻探工作量5000米，在夏尔嘎特达坂金矿区及其走向延伸方向共布设钻探共计3825米；剩余机动工作量为1175米，根据夏尔嘎特达坂金矿区前期钻探施工的情况以及在南西区、包尔玉坑西区、包尔玉坑东等其他地区地表调查成果、槽探施工情况，补充开展深部钻探工作。</w:t>
            </w:r>
          </w:p>
          <w:p w14:paraId="13EC2667">
            <w:r>
              <w:rPr>
                <w:rFonts w:hint="eastAsia"/>
                <w:lang w:val="en-US" w:eastAsia="zh-CN"/>
              </w:rPr>
              <w:t>3、综合研究矿区矿（化）体地质特征、化探成果资料，重点研究矿体赋存规律；开展矿石工艺矿物学研究，对伴生、共生矿产的综合利用作出评价；建立成矿模型，确定矿体成因类型，为今后开展勘探地质工作提供地质依据。</w:t>
            </w:r>
          </w:p>
          <w:p w14:paraId="14955956">
            <w:pPr>
              <w:pStyle w:val="20"/>
              <w:ind w:firstLine="482"/>
            </w:pPr>
            <w:r>
              <w:rPr>
                <w:rFonts w:hint="eastAsia"/>
                <w:lang w:val="en-US" w:eastAsia="zh-CN"/>
              </w:rPr>
              <w:t>5</w:t>
            </w:r>
            <w:r>
              <w:t>.</w:t>
            </w:r>
            <w:r>
              <w:rPr>
                <w:rFonts w:hint="eastAsia"/>
              </w:rPr>
              <w:t>设计的主要实物工作量</w:t>
            </w:r>
          </w:p>
          <w:p w14:paraId="28A956C4">
            <w:pPr>
              <w:ind w:firstLine="480"/>
            </w:pPr>
            <w:r>
              <w:rPr>
                <w:rFonts w:hint="eastAsia"/>
              </w:rPr>
              <w:t>“</w:t>
            </w:r>
            <w:r>
              <w:rPr>
                <w:rFonts w:hint="eastAsia"/>
                <w:color w:val="000000"/>
                <w:lang w:eastAsia="zh-CN"/>
              </w:rPr>
              <w:t>新疆和静县冰湖南—萨阿尔明山南西区—浩恩吐尔一带金矿勘探项目</w:t>
            </w:r>
            <w:r>
              <w:rPr>
                <w:rFonts w:hint="eastAsia"/>
              </w:rPr>
              <w:t>”项目具体工作量见表2</w:t>
            </w:r>
            <w:r>
              <w:t>-</w:t>
            </w:r>
            <w:r>
              <w:rPr>
                <w:rFonts w:hint="eastAsia"/>
                <w:lang w:val="en-US" w:eastAsia="zh-CN"/>
              </w:rPr>
              <w:t>4</w:t>
            </w:r>
            <w:r>
              <w:t>。</w:t>
            </w:r>
          </w:p>
          <w:p w14:paraId="31A32C5A">
            <w:pPr>
              <w:pStyle w:val="33"/>
              <w:spacing w:before="120"/>
            </w:pPr>
            <w:r>
              <w:rPr>
                <w:rFonts w:hint="eastAsia"/>
              </w:rPr>
              <w:t>表2-</w:t>
            </w:r>
            <w:r>
              <w:rPr>
                <w:rFonts w:hint="eastAsia"/>
                <w:lang w:val="en-US" w:eastAsia="zh-CN"/>
              </w:rPr>
              <w:t>4</w:t>
            </w:r>
            <w:r>
              <w:rPr>
                <w:rFonts w:hint="eastAsia"/>
              </w:rPr>
              <w:t>主要实物工作量一览表</w:t>
            </w:r>
          </w:p>
          <w:tbl>
            <w:tblPr>
              <w:tblStyle w:val="23"/>
              <w:tblW w:w="90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2864"/>
              <w:gridCol w:w="954"/>
              <w:gridCol w:w="1435"/>
              <w:gridCol w:w="2950"/>
            </w:tblGrid>
            <w:tr w14:paraId="3896F6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801" w:type="dxa"/>
                  <w:tcBorders>
                    <w:tl2br w:val="nil"/>
                    <w:tr2bl w:val="nil"/>
                  </w:tcBorders>
                  <w:vAlign w:val="center"/>
                </w:tcPr>
                <w:p w14:paraId="261DBB51">
                  <w:pPr>
                    <w:pStyle w:val="31"/>
                  </w:pPr>
                  <w:r>
                    <w:rPr>
                      <w:rFonts w:hint="eastAsia"/>
                    </w:rPr>
                    <w:t>类别</w:t>
                  </w:r>
                </w:p>
              </w:tc>
              <w:tc>
                <w:tcPr>
                  <w:tcW w:w="2864" w:type="dxa"/>
                  <w:tcBorders>
                    <w:tl2br w:val="nil"/>
                    <w:tr2bl w:val="nil"/>
                  </w:tcBorders>
                  <w:vAlign w:val="center"/>
                </w:tcPr>
                <w:p w14:paraId="062C1D97">
                  <w:pPr>
                    <w:pStyle w:val="31"/>
                  </w:pPr>
                  <w:r>
                    <w:rPr>
                      <w:rFonts w:hint="eastAsia"/>
                    </w:rPr>
                    <w:t>工作内容</w:t>
                  </w:r>
                </w:p>
              </w:tc>
              <w:tc>
                <w:tcPr>
                  <w:tcW w:w="954" w:type="dxa"/>
                  <w:tcBorders>
                    <w:tl2br w:val="nil"/>
                    <w:tr2bl w:val="nil"/>
                  </w:tcBorders>
                  <w:vAlign w:val="center"/>
                </w:tcPr>
                <w:p w14:paraId="354DE553">
                  <w:pPr>
                    <w:pStyle w:val="31"/>
                  </w:pPr>
                  <w:r>
                    <w:rPr>
                      <w:rFonts w:hint="eastAsia"/>
                    </w:rPr>
                    <w:t>单位</w:t>
                  </w:r>
                </w:p>
              </w:tc>
              <w:tc>
                <w:tcPr>
                  <w:tcW w:w="1435" w:type="dxa"/>
                  <w:tcBorders>
                    <w:tl2br w:val="nil"/>
                    <w:tr2bl w:val="nil"/>
                  </w:tcBorders>
                  <w:vAlign w:val="center"/>
                </w:tcPr>
                <w:p w14:paraId="40AA7165">
                  <w:pPr>
                    <w:pStyle w:val="31"/>
                  </w:pPr>
                  <w:r>
                    <w:rPr>
                      <w:rFonts w:hint="eastAsia"/>
                    </w:rPr>
                    <w:t>设计实物工作量</w:t>
                  </w:r>
                </w:p>
              </w:tc>
              <w:tc>
                <w:tcPr>
                  <w:tcW w:w="2950" w:type="dxa"/>
                  <w:tcBorders>
                    <w:tl2br w:val="nil"/>
                    <w:tr2bl w:val="nil"/>
                  </w:tcBorders>
                  <w:vAlign w:val="center"/>
                </w:tcPr>
                <w:p w14:paraId="56104EC9">
                  <w:pPr>
                    <w:pStyle w:val="31"/>
                    <w:jc w:val="center"/>
                  </w:pPr>
                  <w:r>
                    <w:rPr>
                      <w:rFonts w:hint="eastAsia"/>
                    </w:rPr>
                    <w:t>备注</w:t>
                  </w:r>
                </w:p>
              </w:tc>
            </w:tr>
            <w:tr w14:paraId="23E5FC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801" w:type="dxa"/>
                  <w:vMerge w:val="restart"/>
                  <w:tcBorders>
                    <w:tl2br w:val="nil"/>
                    <w:tr2bl w:val="nil"/>
                  </w:tcBorders>
                  <w:vAlign w:val="center"/>
                </w:tcPr>
                <w:p w14:paraId="73D1DE44">
                  <w:pPr>
                    <w:pStyle w:val="31"/>
                  </w:pPr>
                  <w:r>
                    <w:rPr>
                      <w:rFonts w:hint="eastAsia"/>
                    </w:rPr>
                    <w:t>地质</w:t>
                  </w:r>
                </w:p>
              </w:tc>
              <w:tc>
                <w:tcPr>
                  <w:tcW w:w="2864" w:type="dxa"/>
                  <w:tcBorders>
                    <w:tl2br w:val="nil"/>
                    <w:tr2bl w:val="nil"/>
                  </w:tcBorders>
                  <w:vAlign w:val="center"/>
                </w:tcPr>
                <w:p w14:paraId="2C08028F">
                  <w:pPr>
                    <w:pStyle w:val="31"/>
                  </w:pPr>
                  <w:r>
                    <w:t>1:10000地质测量（草测）</w:t>
                  </w:r>
                </w:p>
              </w:tc>
              <w:tc>
                <w:tcPr>
                  <w:tcW w:w="954" w:type="dxa"/>
                  <w:tcBorders>
                    <w:tl2br w:val="nil"/>
                    <w:tr2bl w:val="nil"/>
                  </w:tcBorders>
                  <w:vAlign w:val="center"/>
                </w:tcPr>
                <w:p w14:paraId="39544E79">
                  <w:pPr>
                    <w:pStyle w:val="31"/>
                  </w:pPr>
                  <w:r>
                    <w:rPr>
                      <w:rFonts w:hint="eastAsia"/>
                    </w:rPr>
                    <w:t>km</w:t>
                  </w:r>
                  <w:r>
                    <w:rPr>
                      <w:rFonts w:hint="eastAsia"/>
                      <w:vertAlign w:val="superscript"/>
                    </w:rPr>
                    <w:t>2</w:t>
                  </w:r>
                </w:p>
              </w:tc>
              <w:tc>
                <w:tcPr>
                  <w:tcW w:w="1435" w:type="dxa"/>
                  <w:tcBorders>
                    <w:tl2br w:val="nil"/>
                    <w:tr2bl w:val="nil"/>
                  </w:tcBorders>
                  <w:vAlign w:val="center"/>
                </w:tcPr>
                <w:p w14:paraId="509B031A">
                  <w:pPr>
                    <w:pStyle w:val="31"/>
                  </w:pPr>
                  <w:r>
                    <w:t>10</w:t>
                  </w:r>
                </w:p>
              </w:tc>
              <w:tc>
                <w:tcPr>
                  <w:tcW w:w="2950" w:type="dxa"/>
                  <w:tcBorders>
                    <w:tl2br w:val="nil"/>
                    <w:tr2bl w:val="nil"/>
                  </w:tcBorders>
                  <w:vAlign w:val="center"/>
                </w:tcPr>
                <w:p w14:paraId="6DB9FDC8">
                  <w:pPr>
                    <w:pStyle w:val="31"/>
                    <w:jc w:val="center"/>
                  </w:pPr>
                  <w:r>
                    <w:rPr>
                      <w:rFonts w:hint="eastAsia"/>
                    </w:rPr>
                    <w:t>/</w:t>
                  </w:r>
                </w:p>
              </w:tc>
            </w:tr>
            <w:tr w14:paraId="1E3E5A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801" w:type="dxa"/>
                  <w:vMerge w:val="continue"/>
                  <w:tcBorders>
                    <w:tl2br w:val="nil"/>
                    <w:tr2bl w:val="nil"/>
                  </w:tcBorders>
                  <w:vAlign w:val="center"/>
                </w:tcPr>
                <w:p w14:paraId="279B91F5">
                  <w:pPr>
                    <w:pStyle w:val="31"/>
                    <w:rPr>
                      <w:rFonts w:hint="eastAsia"/>
                    </w:rPr>
                  </w:pPr>
                </w:p>
              </w:tc>
              <w:tc>
                <w:tcPr>
                  <w:tcW w:w="2864" w:type="dxa"/>
                  <w:tcBorders>
                    <w:tl2br w:val="nil"/>
                    <w:tr2bl w:val="nil"/>
                  </w:tcBorders>
                  <w:vAlign w:val="center"/>
                </w:tcPr>
                <w:p w14:paraId="157D47C8">
                  <w:pPr>
                    <w:pStyle w:val="31"/>
                    <w:rPr>
                      <w:rFonts w:hint="eastAsia"/>
                    </w:rPr>
                  </w:pPr>
                  <w:r>
                    <w:t>1:2000地质测量(草测)</w:t>
                  </w:r>
                </w:p>
              </w:tc>
              <w:tc>
                <w:tcPr>
                  <w:tcW w:w="954" w:type="dxa"/>
                  <w:tcBorders>
                    <w:tl2br w:val="nil"/>
                    <w:tr2bl w:val="nil"/>
                  </w:tcBorders>
                  <w:vAlign w:val="center"/>
                </w:tcPr>
                <w:p w14:paraId="4FCA21B8">
                  <w:pPr>
                    <w:pStyle w:val="31"/>
                    <w:rPr>
                      <w:rFonts w:hint="eastAsia"/>
                    </w:rPr>
                  </w:pPr>
                  <w:r>
                    <w:rPr>
                      <w:rFonts w:hint="eastAsia"/>
                    </w:rPr>
                    <w:t>km</w:t>
                  </w:r>
                  <w:r>
                    <w:rPr>
                      <w:rFonts w:hint="eastAsia"/>
                      <w:vertAlign w:val="superscript"/>
                    </w:rPr>
                    <w:t>2</w:t>
                  </w:r>
                </w:p>
              </w:tc>
              <w:tc>
                <w:tcPr>
                  <w:tcW w:w="1435" w:type="dxa"/>
                  <w:tcBorders>
                    <w:tl2br w:val="nil"/>
                    <w:tr2bl w:val="nil"/>
                  </w:tcBorders>
                  <w:vAlign w:val="center"/>
                </w:tcPr>
                <w:p w14:paraId="04E24A59">
                  <w:pPr>
                    <w:pStyle w:val="31"/>
                    <w:rPr>
                      <w:rFonts w:hint="eastAsia"/>
                    </w:rPr>
                  </w:pPr>
                  <w:r>
                    <w:t>2</w:t>
                  </w:r>
                </w:p>
              </w:tc>
              <w:tc>
                <w:tcPr>
                  <w:tcW w:w="2950" w:type="dxa"/>
                  <w:tcBorders>
                    <w:tl2br w:val="nil"/>
                    <w:tr2bl w:val="nil"/>
                  </w:tcBorders>
                  <w:vAlign w:val="center"/>
                </w:tcPr>
                <w:p w14:paraId="7A19E937">
                  <w:pPr>
                    <w:pStyle w:val="31"/>
                    <w:jc w:val="center"/>
                    <w:rPr>
                      <w:rFonts w:hint="eastAsia" w:ascii="Times New Roman" w:hAnsi="Times New Roman" w:eastAsia="宋体" w:cs="Times New Roman"/>
                      <w:snapToGrid/>
                      <w:spacing w:val="-8"/>
                      <w:kern w:val="2"/>
                      <w:sz w:val="21"/>
                      <w:szCs w:val="15"/>
                      <w:lang w:val="en-US" w:eastAsia="zh-CN" w:bidi="ar-SA"/>
                    </w:rPr>
                  </w:pPr>
                  <w:r>
                    <w:rPr>
                      <w:rFonts w:hint="eastAsia" w:ascii="Times New Roman" w:hAnsi="Times New Roman" w:eastAsia="宋体" w:cs="Times New Roman"/>
                      <w:snapToGrid/>
                      <w:spacing w:val="-8"/>
                      <w:kern w:val="2"/>
                      <w:sz w:val="21"/>
                      <w:szCs w:val="15"/>
                      <w:lang w:val="en-US" w:eastAsia="zh-CN" w:bidi="ar-SA"/>
                    </w:rPr>
                    <w:t>/</w:t>
                  </w:r>
                </w:p>
              </w:tc>
            </w:tr>
            <w:tr w14:paraId="6FAD59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801" w:type="dxa"/>
                  <w:vMerge w:val="continue"/>
                  <w:tcBorders>
                    <w:tl2br w:val="nil"/>
                    <w:tr2bl w:val="nil"/>
                  </w:tcBorders>
                  <w:vAlign w:val="center"/>
                </w:tcPr>
                <w:p w14:paraId="399B988C">
                  <w:pPr>
                    <w:pStyle w:val="31"/>
                    <w:rPr>
                      <w:rFonts w:hint="eastAsia"/>
                    </w:rPr>
                  </w:pPr>
                </w:p>
              </w:tc>
              <w:tc>
                <w:tcPr>
                  <w:tcW w:w="2864" w:type="dxa"/>
                  <w:tcBorders>
                    <w:tl2br w:val="nil"/>
                    <w:tr2bl w:val="nil"/>
                  </w:tcBorders>
                  <w:shd w:val="clear" w:color="auto" w:fill="auto"/>
                  <w:vAlign w:val="center"/>
                </w:tcPr>
                <w:p w14:paraId="06D89469">
                  <w:pPr>
                    <w:pStyle w:val="45"/>
                    <w:spacing w:line="240" w:lineRule="atLeast"/>
                    <w:ind w:firstLine="0" w:firstLineChars="0"/>
                    <w:jc w:val="center"/>
                    <w:rPr>
                      <w:rFonts w:hint="eastAsia" w:ascii="Times New Roman" w:hAnsi="Times New Roman" w:eastAsia="宋体" w:cs="Times New Roman"/>
                      <w:snapToGrid/>
                      <w:spacing w:val="-8"/>
                      <w:kern w:val="2"/>
                      <w:sz w:val="21"/>
                      <w:szCs w:val="15"/>
                      <w:lang w:val="en-US" w:eastAsia="zh-CN" w:bidi="ar-SA"/>
                    </w:rPr>
                  </w:pPr>
                  <w:r>
                    <w:t>1:1</w:t>
                  </w:r>
                  <w:r>
                    <w:rPr>
                      <w:rFonts w:hint="eastAsia"/>
                      <w:lang w:val="en-US" w:eastAsia="zh-CN"/>
                    </w:rPr>
                    <w:t>0000</w:t>
                  </w:r>
                  <w:r>
                    <w:t>激电中梯剖面（短导线）</w:t>
                  </w:r>
                </w:p>
              </w:tc>
              <w:tc>
                <w:tcPr>
                  <w:tcW w:w="954" w:type="dxa"/>
                  <w:tcBorders>
                    <w:tl2br w:val="nil"/>
                    <w:tr2bl w:val="nil"/>
                  </w:tcBorders>
                  <w:vAlign w:val="center"/>
                </w:tcPr>
                <w:p w14:paraId="58F10E2B">
                  <w:pPr>
                    <w:pStyle w:val="31"/>
                    <w:ind w:left="0" w:leftChars="0" w:firstLine="0" w:firstLineChars="0"/>
                    <w:rPr>
                      <w:rFonts w:hint="eastAsia"/>
                    </w:rPr>
                  </w:pPr>
                  <w:r>
                    <w:rPr>
                      <w:rFonts w:hint="eastAsia"/>
                    </w:rPr>
                    <w:t>km</w:t>
                  </w:r>
                </w:p>
              </w:tc>
              <w:tc>
                <w:tcPr>
                  <w:tcW w:w="1435" w:type="dxa"/>
                  <w:tcBorders>
                    <w:tl2br w:val="nil"/>
                    <w:tr2bl w:val="nil"/>
                  </w:tcBorders>
                  <w:vAlign w:val="center"/>
                </w:tcPr>
                <w:p w14:paraId="35E56E61">
                  <w:pPr>
                    <w:pStyle w:val="31"/>
                    <w:ind w:left="0" w:leftChars="0" w:firstLine="0" w:firstLineChars="0"/>
                    <w:rPr>
                      <w:rFonts w:hint="default" w:eastAsia="宋体"/>
                      <w:lang w:val="en-US" w:eastAsia="zh-CN"/>
                    </w:rPr>
                  </w:pPr>
                  <w:r>
                    <w:rPr>
                      <w:rFonts w:hint="eastAsia"/>
                      <w:lang w:val="en-US" w:eastAsia="zh-CN"/>
                    </w:rPr>
                    <w:t>10</w:t>
                  </w:r>
                </w:p>
              </w:tc>
              <w:tc>
                <w:tcPr>
                  <w:tcW w:w="2950" w:type="dxa"/>
                  <w:tcBorders>
                    <w:tl2br w:val="nil"/>
                    <w:tr2bl w:val="nil"/>
                  </w:tcBorders>
                  <w:vAlign w:val="center"/>
                </w:tcPr>
                <w:p w14:paraId="55B5738C">
                  <w:pPr>
                    <w:pStyle w:val="31"/>
                    <w:jc w:val="center"/>
                    <w:rPr>
                      <w:rFonts w:hint="default" w:ascii="Times New Roman" w:hAnsi="Times New Roman" w:eastAsia="宋体" w:cs="Times New Roman"/>
                      <w:snapToGrid/>
                      <w:spacing w:val="-8"/>
                      <w:kern w:val="2"/>
                      <w:sz w:val="21"/>
                      <w:szCs w:val="15"/>
                      <w:lang w:val="en-US" w:eastAsia="zh-CN" w:bidi="ar-SA"/>
                    </w:rPr>
                  </w:pPr>
                  <w:r>
                    <w:rPr>
                      <w:rFonts w:hint="eastAsia" w:ascii="Times New Roman" w:hAnsi="Times New Roman" w:eastAsia="宋体" w:cs="Times New Roman"/>
                      <w:snapToGrid/>
                      <w:spacing w:val="-8"/>
                      <w:kern w:val="2"/>
                      <w:sz w:val="21"/>
                      <w:szCs w:val="15"/>
                      <w:lang w:val="en-US" w:eastAsia="zh-CN" w:bidi="ar-SA"/>
                    </w:rPr>
                    <w:t>AB1200-1600m，点距40m</w:t>
                  </w:r>
                </w:p>
              </w:tc>
            </w:tr>
            <w:tr w14:paraId="0B173A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801" w:type="dxa"/>
                  <w:vMerge w:val="continue"/>
                  <w:tcBorders>
                    <w:tl2br w:val="nil"/>
                    <w:tr2bl w:val="nil"/>
                  </w:tcBorders>
                  <w:vAlign w:val="center"/>
                </w:tcPr>
                <w:p w14:paraId="33D4788E">
                  <w:pPr>
                    <w:pStyle w:val="31"/>
                    <w:rPr>
                      <w:rFonts w:hint="eastAsia"/>
                    </w:rPr>
                  </w:pPr>
                </w:p>
              </w:tc>
              <w:tc>
                <w:tcPr>
                  <w:tcW w:w="2864" w:type="dxa"/>
                  <w:tcBorders>
                    <w:tl2br w:val="nil"/>
                    <w:tr2bl w:val="nil"/>
                  </w:tcBorders>
                  <w:shd w:val="clear" w:color="auto" w:fill="auto"/>
                  <w:vAlign w:val="center"/>
                </w:tcPr>
                <w:p w14:paraId="4431FFD4">
                  <w:pPr>
                    <w:pStyle w:val="31"/>
                    <w:ind w:left="0" w:leftChars="0" w:firstLine="0" w:firstLineChars="0"/>
                    <w:rPr>
                      <w:rFonts w:hint="eastAsia" w:ascii="Times New Roman" w:hAnsi="Times New Roman" w:eastAsia="宋体" w:cs="Times New Roman"/>
                      <w:kern w:val="2"/>
                      <w:sz w:val="21"/>
                      <w:szCs w:val="22"/>
                      <w:lang w:val="en-US" w:eastAsia="zh-CN" w:bidi="ar-SA"/>
                    </w:rPr>
                  </w:pPr>
                  <w:r>
                    <w:rPr>
                      <w:spacing w:val="-8"/>
                      <w:sz w:val="21"/>
                      <w:szCs w:val="15"/>
                    </w:rPr>
                    <w:t>1</w:t>
                  </w:r>
                  <w:r>
                    <w:rPr>
                      <w:rFonts w:ascii="Cambria Math" w:hAnsi="Cambria Math" w:eastAsia="宋体" w:cs="Cambria Math"/>
                      <w:spacing w:val="-8"/>
                      <w:sz w:val="21"/>
                      <w:szCs w:val="15"/>
                    </w:rPr>
                    <w:t>∶</w:t>
                  </w:r>
                  <w:r>
                    <w:rPr>
                      <w:spacing w:val="-8"/>
                      <w:sz w:val="21"/>
                      <w:szCs w:val="15"/>
                    </w:rPr>
                    <w:t>1</w:t>
                  </w:r>
                  <w:r>
                    <w:rPr>
                      <w:rFonts w:hint="eastAsia"/>
                      <w:spacing w:val="-8"/>
                      <w:sz w:val="21"/>
                      <w:szCs w:val="15"/>
                      <w:lang w:val="en-US" w:eastAsia="zh-CN"/>
                    </w:rPr>
                    <w:t>0000</w:t>
                  </w:r>
                  <w:r>
                    <w:rPr>
                      <w:spacing w:val="-8"/>
                      <w:sz w:val="21"/>
                      <w:szCs w:val="15"/>
                    </w:rPr>
                    <w:t>地化剖面测量</w:t>
                  </w:r>
                </w:p>
              </w:tc>
              <w:tc>
                <w:tcPr>
                  <w:tcW w:w="954" w:type="dxa"/>
                  <w:tcBorders>
                    <w:tl2br w:val="nil"/>
                    <w:tr2bl w:val="nil"/>
                  </w:tcBorders>
                  <w:shd w:val="clear" w:color="auto" w:fill="auto"/>
                  <w:vAlign w:val="center"/>
                </w:tcPr>
                <w:p w14:paraId="4104C6E2">
                  <w:pPr>
                    <w:pStyle w:val="31"/>
                    <w:ind w:left="0" w:leftChars="0" w:firstLine="0" w:firstLineChars="0"/>
                    <w:rPr>
                      <w:rFonts w:hint="eastAsia" w:ascii="Times New Roman" w:hAnsi="Times New Roman" w:eastAsia="宋体" w:cs="Times New Roman"/>
                      <w:kern w:val="2"/>
                      <w:sz w:val="21"/>
                      <w:szCs w:val="22"/>
                      <w:lang w:val="en-US" w:eastAsia="zh-CN" w:bidi="ar-SA"/>
                    </w:rPr>
                  </w:pPr>
                  <w:r>
                    <w:rPr>
                      <w:rFonts w:hint="eastAsia"/>
                    </w:rPr>
                    <w:t>km</w:t>
                  </w:r>
                  <w:r>
                    <w:rPr>
                      <w:rFonts w:hint="eastAsia"/>
                      <w:vertAlign w:val="superscript"/>
                    </w:rPr>
                    <w:t>2</w:t>
                  </w:r>
                </w:p>
              </w:tc>
              <w:tc>
                <w:tcPr>
                  <w:tcW w:w="1435" w:type="dxa"/>
                  <w:tcBorders>
                    <w:tl2br w:val="nil"/>
                    <w:tr2bl w:val="nil"/>
                  </w:tcBorders>
                  <w:shd w:val="clear" w:color="auto" w:fill="auto"/>
                  <w:vAlign w:val="center"/>
                </w:tcPr>
                <w:p w14:paraId="196A9D74">
                  <w:pPr>
                    <w:pStyle w:val="31"/>
                    <w:ind w:left="0" w:leftChars="0" w:firstLine="0" w:firstLineChars="0"/>
                    <w:rPr>
                      <w:rFonts w:hint="eastAsia" w:ascii="Times New Roman" w:hAnsi="Times New Roman" w:eastAsia="宋体" w:cs="Times New Roman"/>
                      <w:kern w:val="2"/>
                      <w:sz w:val="21"/>
                      <w:szCs w:val="22"/>
                      <w:lang w:val="en-US" w:eastAsia="zh-CN" w:bidi="ar-SA"/>
                    </w:rPr>
                  </w:pPr>
                  <w:r>
                    <w:t>10</w:t>
                  </w:r>
                </w:p>
              </w:tc>
              <w:tc>
                <w:tcPr>
                  <w:tcW w:w="2950" w:type="dxa"/>
                  <w:tcBorders>
                    <w:tl2br w:val="nil"/>
                    <w:tr2bl w:val="nil"/>
                  </w:tcBorders>
                  <w:shd w:val="clear" w:color="auto" w:fill="auto"/>
                  <w:vAlign w:val="center"/>
                </w:tcPr>
                <w:p w14:paraId="35FF2D4B">
                  <w:pPr>
                    <w:pStyle w:val="31"/>
                    <w:ind w:left="0" w:leftChars="0" w:firstLine="0" w:firstLineChars="0"/>
                    <w:jc w:val="center"/>
                    <w:rPr>
                      <w:rFonts w:hint="eastAsia" w:ascii="Times New Roman" w:hAnsi="Times New Roman" w:eastAsia="宋体" w:cs="Times New Roman"/>
                      <w:snapToGrid/>
                      <w:spacing w:val="-8"/>
                      <w:kern w:val="2"/>
                      <w:sz w:val="21"/>
                      <w:szCs w:val="15"/>
                      <w:lang w:val="en-US" w:eastAsia="zh-CN" w:bidi="ar-SA"/>
                    </w:rPr>
                  </w:pPr>
                  <w:r>
                    <w:rPr>
                      <w:rFonts w:hint="eastAsia" w:ascii="Times New Roman" w:hAnsi="Times New Roman" w:eastAsia="宋体" w:cs="Times New Roman"/>
                      <w:snapToGrid/>
                      <w:spacing w:val="-8"/>
                      <w:kern w:val="2"/>
                      <w:sz w:val="21"/>
                      <w:szCs w:val="15"/>
                      <w:lang w:val="en-US" w:eastAsia="zh-CN" w:bidi="ar-SA"/>
                    </w:rPr>
                    <w:t>点距40m</w:t>
                  </w:r>
                </w:p>
              </w:tc>
            </w:tr>
            <w:tr w14:paraId="70692C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801" w:type="dxa"/>
                  <w:vMerge w:val="continue"/>
                  <w:tcBorders>
                    <w:tl2br w:val="nil"/>
                    <w:tr2bl w:val="nil"/>
                  </w:tcBorders>
                  <w:vAlign w:val="center"/>
                </w:tcPr>
                <w:p w14:paraId="54258C97">
                  <w:pPr>
                    <w:pStyle w:val="31"/>
                  </w:pPr>
                </w:p>
              </w:tc>
              <w:tc>
                <w:tcPr>
                  <w:tcW w:w="2864" w:type="dxa"/>
                  <w:tcBorders>
                    <w:tl2br w:val="nil"/>
                    <w:tr2bl w:val="nil"/>
                  </w:tcBorders>
                  <w:vAlign w:val="center"/>
                </w:tcPr>
                <w:p w14:paraId="618BA418">
                  <w:pPr>
                    <w:pStyle w:val="31"/>
                  </w:pPr>
                  <w:r>
                    <w:rPr>
                      <w:rFonts w:hint="eastAsia"/>
                    </w:rPr>
                    <w:t>槽探</w:t>
                  </w:r>
                </w:p>
              </w:tc>
              <w:tc>
                <w:tcPr>
                  <w:tcW w:w="954" w:type="dxa"/>
                  <w:tcBorders>
                    <w:tl2br w:val="nil"/>
                    <w:tr2bl w:val="nil"/>
                  </w:tcBorders>
                  <w:vAlign w:val="center"/>
                </w:tcPr>
                <w:p w14:paraId="07315C85">
                  <w:pPr>
                    <w:pStyle w:val="31"/>
                  </w:pPr>
                  <w:r>
                    <w:rPr>
                      <w:rFonts w:hint="eastAsia"/>
                    </w:rPr>
                    <w:t>m</w:t>
                  </w:r>
                  <w:r>
                    <w:rPr>
                      <w:rFonts w:hint="eastAsia"/>
                      <w:vertAlign w:val="superscript"/>
                    </w:rPr>
                    <w:t>3</w:t>
                  </w:r>
                </w:p>
              </w:tc>
              <w:tc>
                <w:tcPr>
                  <w:tcW w:w="1435" w:type="dxa"/>
                  <w:tcBorders>
                    <w:tl2br w:val="nil"/>
                    <w:tr2bl w:val="nil"/>
                  </w:tcBorders>
                  <w:vAlign w:val="center"/>
                </w:tcPr>
                <w:p w14:paraId="7C326F75">
                  <w:pPr>
                    <w:pStyle w:val="45"/>
                    <w:spacing w:line="240" w:lineRule="atLeast"/>
                    <w:ind w:firstLine="0" w:firstLineChars="0"/>
                    <w:jc w:val="center"/>
                  </w:pPr>
                  <w:r>
                    <w:t>5000</w:t>
                  </w:r>
                </w:p>
              </w:tc>
              <w:tc>
                <w:tcPr>
                  <w:tcW w:w="2950" w:type="dxa"/>
                  <w:tcBorders>
                    <w:tl2br w:val="nil"/>
                    <w:tr2bl w:val="nil"/>
                  </w:tcBorders>
                  <w:vAlign w:val="center"/>
                </w:tcPr>
                <w:p w14:paraId="26103DD7">
                  <w:pPr>
                    <w:pStyle w:val="31"/>
                    <w:jc w:val="center"/>
                    <w:rPr>
                      <w:rFonts w:hint="eastAsia" w:ascii="Times New Roman" w:hAnsi="Times New Roman" w:eastAsia="宋体" w:cs="Times New Roman"/>
                      <w:snapToGrid/>
                      <w:spacing w:val="-8"/>
                      <w:kern w:val="2"/>
                      <w:sz w:val="21"/>
                      <w:szCs w:val="15"/>
                      <w:lang w:val="en-US" w:eastAsia="zh-CN" w:bidi="ar-SA"/>
                    </w:rPr>
                  </w:pPr>
                  <w:r>
                    <w:rPr>
                      <w:rFonts w:hint="eastAsia" w:ascii="Times New Roman" w:hAnsi="Times New Roman" w:eastAsia="宋体" w:cs="Times New Roman"/>
                      <w:snapToGrid/>
                      <w:spacing w:val="-8"/>
                      <w:kern w:val="2"/>
                      <w:sz w:val="21"/>
                      <w:szCs w:val="15"/>
                      <w:lang w:val="en-US" w:eastAsia="zh-CN" w:bidi="ar-SA"/>
                    </w:rPr>
                    <w:t>/</w:t>
                  </w:r>
                </w:p>
              </w:tc>
            </w:tr>
            <w:tr w14:paraId="6B6080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801" w:type="dxa"/>
                  <w:vMerge w:val="continue"/>
                  <w:tcBorders>
                    <w:tl2br w:val="nil"/>
                    <w:tr2bl w:val="nil"/>
                  </w:tcBorders>
                  <w:vAlign w:val="center"/>
                </w:tcPr>
                <w:p w14:paraId="4D1D5FE9">
                  <w:pPr>
                    <w:pStyle w:val="31"/>
                  </w:pPr>
                </w:p>
              </w:tc>
              <w:tc>
                <w:tcPr>
                  <w:tcW w:w="2864" w:type="dxa"/>
                  <w:tcBorders>
                    <w:tl2br w:val="nil"/>
                    <w:tr2bl w:val="nil"/>
                  </w:tcBorders>
                  <w:vAlign w:val="center"/>
                </w:tcPr>
                <w:p w14:paraId="082C5405">
                  <w:pPr>
                    <w:pStyle w:val="31"/>
                  </w:pPr>
                  <w:r>
                    <w:rPr>
                      <w:rFonts w:hint="eastAsia"/>
                    </w:rPr>
                    <w:t>钻探</w:t>
                  </w:r>
                </w:p>
              </w:tc>
              <w:tc>
                <w:tcPr>
                  <w:tcW w:w="954" w:type="dxa"/>
                  <w:tcBorders>
                    <w:tl2br w:val="nil"/>
                    <w:tr2bl w:val="nil"/>
                  </w:tcBorders>
                  <w:vAlign w:val="center"/>
                </w:tcPr>
                <w:p w14:paraId="084C9DD2">
                  <w:pPr>
                    <w:pStyle w:val="31"/>
                  </w:pPr>
                  <w:r>
                    <w:rPr>
                      <w:rFonts w:hint="eastAsia"/>
                    </w:rPr>
                    <w:t>m</w:t>
                  </w:r>
                </w:p>
              </w:tc>
              <w:tc>
                <w:tcPr>
                  <w:tcW w:w="1435" w:type="dxa"/>
                  <w:tcBorders>
                    <w:tl2br w:val="nil"/>
                    <w:tr2bl w:val="nil"/>
                  </w:tcBorders>
                  <w:vAlign w:val="center"/>
                </w:tcPr>
                <w:p w14:paraId="5175B128">
                  <w:pPr>
                    <w:pStyle w:val="45"/>
                    <w:spacing w:line="240" w:lineRule="atLeast"/>
                    <w:ind w:firstLine="0" w:firstLineChars="0"/>
                    <w:jc w:val="center"/>
                  </w:pPr>
                  <w:r>
                    <w:t>5000</w:t>
                  </w:r>
                </w:p>
              </w:tc>
              <w:tc>
                <w:tcPr>
                  <w:tcW w:w="2950" w:type="dxa"/>
                  <w:tcBorders>
                    <w:tl2br w:val="nil"/>
                    <w:tr2bl w:val="nil"/>
                  </w:tcBorders>
                  <w:vAlign w:val="center"/>
                </w:tcPr>
                <w:p w14:paraId="6881E631">
                  <w:pPr>
                    <w:pStyle w:val="31"/>
                    <w:jc w:val="center"/>
                    <w:rPr>
                      <w:rFonts w:hint="eastAsia" w:ascii="Times New Roman" w:hAnsi="Times New Roman" w:eastAsia="宋体" w:cs="Times New Roman"/>
                      <w:snapToGrid/>
                      <w:spacing w:val="-8"/>
                      <w:kern w:val="2"/>
                      <w:sz w:val="21"/>
                      <w:szCs w:val="15"/>
                      <w:lang w:val="en-US" w:eastAsia="zh-CN" w:bidi="ar-SA"/>
                    </w:rPr>
                  </w:pPr>
                  <w:r>
                    <w:rPr>
                      <w:rFonts w:hint="eastAsia" w:ascii="Times New Roman" w:hAnsi="Times New Roman" w:eastAsia="宋体" w:cs="Times New Roman"/>
                      <w:snapToGrid/>
                      <w:spacing w:val="-8"/>
                      <w:kern w:val="2"/>
                      <w:sz w:val="21"/>
                      <w:szCs w:val="15"/>
                      <w:lang w:val="en-US" w:eastAsia="zh-CN" w:bidi="ar-SA"/>
                    </w:rPr>
                    <w:t>岩石Ⅶ级</w:t>
                  </w:r>
                </w:p>
              </w:tc>
            </w:tr>
            <w:tr w14:paraId="5EBD29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801" w:type="dxa"/>
                  <w:tcBorders>
                    <w:tl2br w:val="nil"/>
                    <w:tr2bl w:val="nil"/>
                  </w:tcBorders>
                  <w:vAlign w:val="center"/>
                </w:tcPr>
                <w:p w14:paraId="5EAEB90D">
                  <w:pPr>
                    <w:pStyle w:val="31"/>
                  </w:pPr>
                  <w:r>
                    <w:rPr>
                      <w:rFonts w:hint="eastAsia"/>
                    </w:rPr>
                    <w:t>测量</w:t>
                  </w:r>
                </w:p>
              </w:tc>
              <w:tc>
                <w:tcPr>
                  <w:tcW w:w="2864" w:type="dxa"/>
                  <w:tcBorders>
                    <w:tl2br w:val="nil"/>
                    <w:tr2bl w:val="nil"/>
                  </w:tcBorders>
                  <w:vAlign w:val="center"/>
                </w:tcPr>
                <w:p w14:paraId="7120DA84">
                  <w:pPr>
                    <w:pStyle w:val="31"/>
                    <w:ind w:left="0" w:leftChars="0" w:firstLine="0" w:firstLineChars="0"/>
                  </w:pPr>
                  <w:r>
                    <w:rPr>
                      <w:spacing w:val="-8"/>
                      <w:sz w:val="21"/>
                      <w:szCs w:val="15"/>
                    </w:rPr>
                    <w:t>可控源音频大地电磁测深测量</w:t>
                  </w:r>
                </w:p>
              </w:tc>
              <w:tc>
                <w:tcPr>
                  <w:tcW w:w="954" w:type="dxa"/>
                  <w:tcBorders>
                    <w:tl2br w:val="nil"/>
                    <w:tr2bl w:val="nil"/>
                  </w:tcBorders>
                  <w:vAlign w:val="center"/>
                </w:tcPr>
                <w:p w14:paraId="273F6C93">
                  <w:pPr>
                    <w:pStyle w:val="31"/>
                    <w:ind w:left="0" w:leftChars="0" w:firstLine="0" w:firstLineChars="0"/>
                  </w:pPr>
                  <w:r>
                    <w:t>点</w:t>
                  </w:r>
                </w:p>
              </w:tc>
              <w:tc>
                <w:tcPr>
                  <w:tcW w:w="1435" w:type="dxa"/>
                  <w:tcBorders>
                    <w:tl2br w:val="nil"/>
                    <w:tr2bl w:val="nil"/>
                  </w:tcBorders>
                  <w:vAlign w:val="center"/>
                </w:tcPr>
                <w:p w14:paraId="3C7372FA">
                  <w:pPr>
                    <w:pStyle w:val="31"/>
                    <w:ind w:left="0" w:leftChars="0" w:firstLine="0" w:firstLineChars="0"/>
                  </w:pPr>
                  <w:r>
                    <w:t>40</w:t>
                  </w:r>
                </w:p>
              </w:tc>
              <w:tc>
                <w:tcPr>
                  <w:tcW w:w="2950" w:type="dxa"/>
                  <w:tcBorders>
                    <w:tl2br w:val="nil"/>
                    <w:tr2bl w:val="nil"/>
                  </w:tcBorders>
                  <w:vAlign w:val="center"/>
                </w:tcPr>
                <w:p w14:paraId="7664C45B">
                  <w:pPr>
                    <w:pStyle w:val="31"/>
                    <w:ind w:left="0" w:leftChars="0" w:firstLine="0" w:firstLineChars="0"/>
                    <w:jc w:val="center"/>
                    <w:rPr>
                      <w:rFonts w:hint="eastAsia" w:ascii="Times New Roman" w:hAnsi="Times New Roman" w:eastAsia="宋体" w:cs="Times New Roman"/>
                      <w:snapToGrid/>
                      <w:spacing w:val="-8"/>
                      <w:kern w:val="2"/>
                      <w:sz w:val="21"/>
                      <w:szCs w:val="15"/>
                      <w:lang w:val="en-US" w:eastAsia="zh-CN" w:bidi="ar-SA"/>
                    </w:rPr>
                  </w:pPr>
                  <w:r>
                    <w:rPr>
                      <w:rFonts w:hint="eastAsia" w:ascii="Times New Roman" w:hAnsi="Times New Roman" w:eastAsia="宋体" w:cs="Times New Roman"/>
                      <w:snapToGrid/>
                      <w:spacing w:val="-8"/>
                      <w:kern w:val="2"/>
                      <w:sz w:val="21"/>
                      <w:szCs w:val="15"/>
                      <w:lang w:val="en-US" w:eastAsia="zh-CN" w:bidi="ar-SA"/>
                    </w:rPr>
                    <w:t>点距100-200m，125-8192Hz</w:t>
                  </w:r>
                </w:p>
              </w:tc>
            </w:tr>
            <w:tr w14:paraId="11E8F0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801" w:type="dxa"/>
                  <w:vMerge w:val="restart"/>
                  <w:tcBorders>
                    <w:tl2br w:val="nil"/>
                    <w:tr2bl w:val="nil"/>
                  </w:tcBorders>
                  <w:vAlign w:val="center"/>
                </w:tcPr>
                <w:p w14:paraId="2A71114A">
                  <w:pPr>
                    <w:pStyle w:val="31"/>
                  </w:pPr>
                  <w:r>
                    <w:rPr>
                      <w:rFonts w:hint="eastAsia"/>
                    </w:rPr>
                    <w:t>各类样品</w:t>
                  </w:r>
                </w:p>
              </w:tc>
              <w:tc>
                <w:tcPr>
                  <w:tcW w:w="2864" w:type="dxa"/>
                  <w:tcBorders>
                    <w:tl2br w:val="nil"/>
                    <w:tr2bl w:val="nil"/>
                  </w:tcBorders>
                  <w:vAlign w:val="center"/>
                </w:tcPr>
                <w:p w14:paraId="6B77DE1B">
                  <w:pPr>
                    <w:pStyle w:val="45"/>
                    <w:spacing w:line="240" w:lineRule="atLeast"/>
                    <w:ind w:firstLine="0" w:firstLineChars="0"/>
                    <w:jc w:val="center"/>
                  </w:pPr>
                  <w:r>
                    <w:t>基本分析</w:t>
                  </w:r>
                </w:p>
              </w:tc>
              <w:tc>
                <w:tcPr>
                  <w:tcW w:w="954" w:type="dxa"/>
                  <w:tcBorders>
                    <w:tl2br w:val="nil"/>
                    <w:tr2bl w:val="nil"/>
                  </w:tcBorders>
                  <w:vAlign w:val="center"/>
                </w:tcPr>
                <w:p w14:paraId="4C87F67B">
                  <w:pPr>
                    <w:pStyle w:val="45"/>
                    <w:spacing w:line="240" w:lineRule="atLeast"/>
                    <w:ind w:firstLine="0" w:firstLineChars="0"/>
                    <w:jc w:val="center"/>
                  </w:pPr>
                  <w:r>
                    <w:t>件</w:t>
                  </w:r>
                </w:p>
              </w:tc>
              <w:tc>
                <w:tcPr>
                  <w:tcW w:w="1435" w:type="dxa"/>
                  <w:tcBorders>
                    <w:tl2br w:val="nil"/>
                    <w:tr2bl w:val="nil"/>
                  </w:tcBorders>
                  <w:vAlign w:val="center"/>
                </w:tcPr>
                <w:p w14:paraId="4C11A691">
                  <w:pPr>
                    <w:pStyle w:val="31"/>
                    <w:rPr>
                      <w:rFonts w:hint="default" w:eastAsia="宋体"/>
                      <w:lang w:val="en-US" w:eastAsia="zh-CN"/>
                    </w:rPr>
                  </w:pPr>
                  <w:r>
                    <w:rPr>
                      <w:rFonts w:hint="eastAsia"/>
                      <w:lang w:val="en-US" w:eastAsia="zh-CN"/>
                    </w:rPr>
                    <w:t>2000</w:t>
                  </w:r>
                </w:p>
              </w:tc>
              <w:tc>
                <w:tcPr>
                  <w:tcW w:w="2950" w:type="dxa"/>
                  <w:tcBorders>
                    <w:tl2br w:val="nil"/>
                    <w:tr2bl w:val="nil"/>
                  </w:tcBorders>
                  <w:vAlign w:val="center"/>
                </w:tcPr>
                <w:p w14:paraId="293668EC">
                  <w:pPr>
                    <w:pStyle w:val="45"/>
                    <w:spacing w:line="240" w:lineRule="atLeast"/>
                    <w:ind w:left="0" w:leftChars="0" w:firstLine="0" w:firstLineChars="0"/>
                    <w:jc w:val="center"/>
                    <w:rPr>
                      <w:rFonts w:hint="eastAsia" w:ascii="Times New Roman" w:hAnsi="Times New Roman" w:eastAsia="宋体" w:cs="Times New Roman"/>
                      <w:snapToGrid/>
                      <w:spacing w:val="-8"/>
                      <w:kern w:val="2"/>
                      <w:sz w:val="21"/>
                      <w:szCs w:val="15"/>
                      <w:lang w:val="en-US" w:eastAsia="zh-CN" w:bidi="ar-SA"/>
                    </w:rPr>
                  </w:pPr>
                  <w:r>
                    <w:rPr>
                      <w:rFonts w:hint="eastAsia" w:ascii="Times New Roman" w:hAnsi="Times New Roman" w:eastAsia="宋体" w:cs="Times New Roman"/>
                      <w:snapToGrid/>
                      <w:spacing w:val="-8"/>
                      <w:kern w:val="2"/>
                      <w:sz w:val="21"/>
                      <w:szCs w:val="15"/>
                      <w:lang w:val="en-US" w:eastAsia="zh-CN" w:bidi="ar-SA"/>
                    </w:rPr>
                    <w:t>Au</w:t>
                  </w:r>
                </w:p>
              </w:tc>
            </w:tr>
            <w:tr w14:paraId="2ACDA4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801" w:type="dxa"/>
                  <w:vMerge w:val="continue"/>
                  <w:tcBorders>
                    <w:tl2br w:val="nil"/>
                    <w:tr2bl w:val="nil"/>
                  </w:tcBorders>
                  <w:vAlign w:val="center"/>
                </w:tcPr>
                <w:p w14:paraId="0D6A697F">
                  <w:pPr>
                    <w:pStyle w:val="31"/>
                  </w:pPr>
                </w:p>
              </w:tc>
              <w:tc>
                <w:tcPr>
                  <w:tcW w:w="2864" w:type="dxa"/>
                  <w:tcBorders>
                    <w:tl2br w:val="nil"/>
                    <w:tr2bl w:val="nil"/>
                  </w:tcBorders>
                  <w:vAlign w:val="center"/>
                </w:tcPr>
                <w:p w14:paraId="27F7B467">
                  <w:pPr>
                    <w:pStyle w:val="45"/>
                    <w:spacing w:line="240" w:lineRule="atLeast"/>
                    <w:ind w:firstLine="0" w:firstLineChars="0"/>
                    <w:jc w:val="center"/>
                  </w:pPr>
                  <w:r>
                    <w:t>组合分析</w:t>
                  </w:r>
                </w:p>
              </w:tc>
              <w:tc>
                <w:tcPr>
                  <w:tcW w:w="954" w:type="dxa"/>
                  <w:tcBorders>
                    <w:tl2br w:val="nil"/>
                    <w:tr2bl w:val="nil"/>
                  </w:tcBorders>
                  <w:vAlign w:val="center"/>
                </w:tcPr>
                <w:p w14:paraId="611D95B5">
                  <w:pPr>
                    <w:pStyle w:val="45"/>
                    <w:spacing w:line="240" w:lineRule="atLeast"/>
                    <w:ind w:firstLine="0" w:firstLineChars="0"/>
                    <w:jc w:val="center"/>
                  </w:pPr>
                  <w:r>
                    <w:t>件</w:t>
                  </w:r>
                </w:p>
              </w:tc>
              <w:tc>
                <w:tcPr>
                  <w:tcW w:w="1435" w:type="dxa"/>
                  <w:tcBorders>
                    <w:tl2br w:val="nil"/>
                    <w:tr2bl w:val="nil"/>
                  </w:tcBorders>
                  <w:vAlign w:val="center"/>
                </w:tcPr>
                <w:p w14:paraId="5635E24A">
                  <w:pPr>
                    <w:pStyle w:val="31"/>
                  </w:pPr>
                  <w:r>
                    <w:rPr>
                      <w:rFonts w:hint="eastAsia"/>
                    </w:rPr>
                    <w:t>30</w:t>
                  </w:r>
                </w:p>
              </w:tc>
              <w:tc>
                <w:tcPr>
                  <w:tcW w:w="2950" w:type="dxa"/>
                  <w:tcBorders>
                    <w:tl2br w:val="nil"/>
                    <w:tr2bl w:val="nil"/>
                  </w:tcBorders>
                  <w:vAlign w:val="center"/>
                </w:tcPr>
                <w:p w14:paraId="6BA366B7">
                  <w:pPr>
                    <w:pStyle w:val="45"/>
                    <w:spacing w:line="240" w:lineRule="atLeast"/>
                    <w:ind w:left="0" w:leftChars="0" w:firstLine="0" w:firstLineChars="0"/>
                    <w:jc w:val="center"/>
                    <w:rPr>
                      <w:rFonts w:hint="eastAsia" w:ascii="Times New Roman" w:hAnsi="Times New Roman" w:eastAsia="宋体" w:cs="Times New Roman"/>
                      <w:snapToGrid/>
                      <w:spacing w:val="-8"/>
                      <w:kern w:val="2"/>
                      <w:sz w:val="21"/>
                      <w:szCs w:val="15"/>
                      <w:lang w:val="en-US" w:eastAsia="zh-CN" w:bidi="ar-SA"/>
                    </w:rPr>
                  </w:pPr>
                  <w:r>
                    <w:rPr>
                      <w:rFonts w:hint="eastAsia" w:ascii="Times New Roman" w:hAnsi="Times New Roman" w:eastAsia="宋体" w:cs="Times New Roman"/>
                      <w:snapToGrid/>
                      <w:spacing w:val="-8"/>
                      <w:kern w:val="2"/>
                      <w:sz w:val="21"/>
                      <w:szCs w:val="15"/>
                      <w:lang w:val="en-US" w:eastAsia="zh-CN" w:bidi="ar-SA"/>
                    </w:rPr>
                    <w:t>Au、Ag、C、P、As、S</w:t>
                  </w:r>
                </w:p>
              </w:tc>
            </w:tr>
            <w:tr w14:paraId="077A02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01" w:type="dxa"/>
                  <w:vMerge w:val="continue"/>
                  <w:tcBorders>
                    <w:tl2br w:val="nil"/>
                    <w:tr2bl w:val="nil"/>
                  </w:tcBorders>
                  <w:vAlign w:val="center"/>
                </w:tcPr>
                <w:p w14:paraId="5BA7C0AA">
                  <w:pPr>
                    <w:pStyle w:val="31"/>
                  </w:pPr>
                </w:p>
              </w:tc>
              <w:tc>
                <w:tcPr>
                  <w:tcW w:w="2864" w:type="dxa"/>
                  <w:tcBorders>
                    <w:tl2br w:val="nil"/>
                    <w:tr2bl w:val="nil"/>
                  </w:tcBorders>
                  <w:vAlign w:val="center"/>
                </w:tcPr>
                <w:p w14:paraId="04A6EEA7">
                  <w:pPr>
                    <w:pStyle w:val="45"/>
                    <w:spacing w:line="240" w:lineRule="atLeast"/>
                    <w:ind w:firstLine="0" w:firstLineChars="0"/>
                    <w:jc w:val="center"/>
                  </w:pPr>
                  <w:r>
                    <w:t>化学全分析</w:t>
                  </w:r>
                </w:p>
              </w:tc>
              <w:tc>
                <w:tcPr>
                  <w:tcW w:w="954" w:type="dxa"/>
                  <w:tcBorders>
                    <w:tl2br w:val="nil"/>
                    <w:tr2bl w:val="nil"/>
                  </w:tcBorders>
                  <w:vAlign w:val="center"/>
                </w:tcPr>
                <w:p w14:paraId="5BF23BB0">
                  <w:pPr>
                    <w:pStyle w:val="45"/>
                    <w:spacing w:line="240" w:lineRule="atLeast"/>
                    <w:ind w:firstLine="0" w:firstLineChars="0"/>
                    <w:jc w:val="center"/>
                  </w:pPr>
                  <w:r>
                    <w:t>件</w:t>
                  </w:r>
                </w:p>
              </w:tc>
              <w:tc>
                <w:tcPr>
                  <w:tcW w:w="1435" w:type="dxa"/>
                  <w:tcBorders>
                    <w:tl2br w:val="nil"/>
                    <w:tr2bl w:val="nil"/>
                  </w:tcBorders>
                  <w:vAlign w:val="center"/>
                </w:tcPr>
                <w:p w14:paraId="4C73B2D2">
                  <w:pPr>
                    <w:pStyle w:val="31"/>
                    <w:rPr>
                      <w:rFonts w:hint="eastAsia" w:eastAsia="宋体"/>
                      <w:lang w:eastAsia="zh-CN"/>
                    </w:rPr>
                  </w:pPr>
                  <w:r>
                    <w:rPr>
                      <w:rFonts w:hint="eastAsia"/>
                      <w:lang w:val="en-US" w:eastAsia="zh-CN"/>
                    </w:rPr>
                    <w:t>5</w:t>
                  </w:r>
                </w:p>
              </w:tc>
              <w:tc>
                <w:tcPr>
                  <w:tcW w:w="2950" w:type="dxa"/>
                  <w:tcBorders>
                    <w:tl2br w:val="nil"/>
                    <w:tr2bl w:val="nil"/>
                  </w:tcBorders>
                  <w:vAlign w:val="center"/>
                </w:tcPr>
                <w:p w14:paraId="383C7134">
                  <w:pPr>
                    <w:pStyle w:val="45"/>
                    <w:spacing w:line="240" w:lineRule="atLeast"/>
                    <w:ind w:left="0" w:leftChars="0" w:firstLine="0" w:firstLineChars="0"/>
                    <w:jc w:val="center"/>
                    <w:rPr>
                      <w:rFonts w:hint="eastAsia" w:ascii="Times New Roman" w:hAnsi="Times New Roman" w:eastAsia="宋体" w:cs="Times New Roman"/>
                      <w:snapToGrid/>
                      <w:spacing w:val="-8"/>
                      <w:kern w:val="2"/>
                      <w:sz w:val="21"/>
                      <w:szCs w:val="15"/>
                      <w:lang w:val="en-US" w:eastAsia="zh-CN" w:bidi="ar-SA"/>
                    </w:rPr>
                  </w:pPr>
                  <w:r>
                    <w:rPr>
                      <w:rFonts w:hint="eastAsia" w:ascii="Times New Roman" w:hAnsi="Times New Roman" w:eastAsia="宋体" w:cs="Times New Roman"/>
                      <w:snapToGrid/>
                      <w:spacing w:val="-8"/>
                      <w:kern w:val="2"/>
                      <w:sz w:val="21"/>
                      <w:szCs w:val="15"/>
                      <w:lang w:val="en-US" w:eastAsia="zh-CN" w:bidi="ar-SA"/>
                    </w:rPr>
                    <w:t>Au、Ag、Cu、Pb、Zn、Co、Mo、Hg、Cd、Sn、W、Bi、Sb、As</w:t>
                  </w:r>
                </w:p>
              </w:tc>
            </w:tr>
            <w:tr w14:paraId="0E8971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801" w:type="dxa"/>
                  <w:vMerge w:val="continue"/>
                  <w:tcBorders>
                    <w:tl2br w:val="nil"/>
                    <w:tr2bl w:val="nil"/>
                  </w:tcBorders>
                  <w:vAlign w:val="center"/>
                </w:tcPr>
                <w:p w14:paraId="363B53D6">
                  <w:pPr>
                    <w:pStyle w:val="31"/>
                  </w:pPr>
                </w:p>
              </w:tc>
              <w:tc>
                <w:tcPr>
                  <w:tcW w:w="2864" w:type="dxa"/>
                  <w:tcBorders>
                    <w:tl2br w:val="nil"/>
                    <w:tr2bl w:val="nil"/>
                  </w:tcBorders>
                  <w:vAlign w:val="center"/>
                </w:tcPr>
                <w:p w14:paraId="1430CF2F">
                  <w:pPr>
                    <w:pStyle w:val="45"/>
                    <w:spacing w:line="240" w:lineRule="atLeast"/>
                    <w:ind w:firstLine="0" w:firstLineChars="0"/>
                    <w:jc w:val="center"/>
                  </w:pPr>
                  <w:r>
                    <w:t>物相分析</w:t>
                  </w:r>
                </w:p>
              </w:tc>
              <w:tc>
                <w:tcPr>
                  <w:tcW w:w="954" w:type="dxa"/>
                  <w:tcBorders>
                    <w:tl2br w:val="nil"/>
                    <w:tr2bl w:val="nil"/>
                  </w:tcBorders>
                  <w:vAlign w:val="center"/>
                </w:tcPr>
                <w:p w14:paraId="27BCE6C8">
                  <w:pPr>
                    <w:pStyle w:val="45"/>
                    <w:spacing w:line="240" w:lineRule="atLeast"/>
                    <w:ind w:firstLine="0" w:firstLineChars="0"/>
                    <w:jc w:val="center"/>
                  </w:pPr>
                  <w:r>
                    <w:t>件</w:t>
                  </w:r>
                </w:p>
              </w:tc>
              <w:tc>
                <w:tcPr>
                  <w:tcW w:w="1435" w:type="dxa"/>
                  <w:tcBorders>
                    <w:tl2br w:val="nil"/>
                    <w:tr2bl w:val="nil"/>
                  </w:tcBorders>
                  <w:vAlign w:val="center"/>
                </w:tcPr>
                <w:p w14:paraId="61D2075B">
                  <w:pPr>
                    <w:pStyle w:val="31"/>
                    <w:rPr>
                      <w:rFonts w:hint="eastAsia" w:eastAsia="宋体"/>
                      <w:lang w:eastAsia="zh-CN"/>
                    </w:rPr>
                  </w:pPr>
                  <w:r>
                    <w:rPr>
                      <w:rFonts w:hint="eastAsia"/>
                      <w:lang w:val="en-US" w:eastAsia="zh-CN"/>
                    </w:rPr>
                    <w:t>5</w:t>
                  </w:r>
                </w:p>
              </w:tc>
              <w:tc>
                <w:tcPr>
                  <w:tcW w:w="2950" w:type="dxa"/>
                  <w:tcBorders>
                    <w:tl2br w:val="nil"/>
                    <w:tr2bl w:val="nil"/>
                  </w:tcBorders>
                  <w:vAlign w:val="center"/>
                </w:tcPr>
                <w:p w14:paraId="4FE9F35B">
                  <w:pPr>
                    <w:pStyle w:val="45"/>
                    <w:spacing w:line="240" w:lineRule="atLeast"/>
                    <w:ind w:left="0" w:leftChars="0" w:firstLine="0" w:firstLineChars="0"/>
                    <w:jc w:val="center"/>
                  </w:pPr>
                  <w:r>
                    <w:t>金物相</w:t>
                  </w:r>
                </w:p>
              </w:tc>
            </w:tr>
            <w:tr w14:paraId="1B953A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801" w:type="dxa"/>
                  <w:vMerge w:val="continue"/>
                  <w:tcBorders>
                    <w:tl2br w:val="nil"/>
                    <w:tr2bl w:val="nil"/>
                  </w:tcBorders>
                  <w:vAlign w:val="center"/>
                </w:tcPr>
                <w:p w14:paraId="095286B9">
                  <w:pPr>
                    <w:pStyle w:val="31"/>
                  </w:pPr>
                </w:p>
              </w:tc>
              <w:tc>
                <w:tcPr>
                  <w:tcW w:w="2864" w:type="dxa"/>
                  <w:tcBorders>
                    <w:tl2br w:val="nil"/>
                    <w:tr2bl w:val="nil"/>
                  </w:tcBorders>
                  <w:vAlign w:val="center"/>
                </w:tcPr>
                <w:p w14:paraId="7B8F6EBF">
                  <w:pPr>
                    <w:pStyle w:val="45"/>
                    <w:spacing w:line="240" w:lineRule="atLeast"/>
                    <w:ind w:firstLine="0" w:firstLineChars="0"/>
                    <w:jc w:val="center"/>
                  </w:pPr>
                  <w:r>
                    <w:t>小体重</w:t>
                  </w:r>
                </w:p>
              </w:tc>
              <w:tc>
                <w:tcPr>
                  <w:tcW w:w="954" w:type="dxa"/>
                  <w:tcBorders>
                    <w:tl2br w:val="nil"/>
                    <w:tr2bl w:val="nil"/>
                  </w:tcBorders>
                  <w:vAlign w:val="center"/>
                </w:tcPr>
                <w:p w14:paraId="520E4AAC">
                  <w:pPr>
                    <w:pStyle w:val="45"/>
                    <w:spacing w:line="240" w:lineRule="atLeast"/>
                    <w:ind w:firstLine="0" w:firstLineChars="0"/>
                    <w:jc w:val="center"/>
                  </w:pPr>
                  <w:r>
                    <w:t>件</w:t>
                  </w:r>
                </w:p>
              </w:tc>
              <w:tc>
                <w:tcPr>
                  <w:tcW w:w="1435" w:type="dxa"/>
                  <w:tcBorders>
                    <w:tl2br w:val="nil"/>
                    <w:tr2bl w:val="nil"/>
                  </w:tcBorders>
                  <w:vAlign w:val="center"/>
                </w:tcPr>
                <w:p w14:paraId="5814EBC8">
                  <w:pPr>
                    <w:pStyle w:val="31"/>
                  </w:pPr>
                  <w:r>
                    <w:rPr>
                      <w:rFonts w:hint="eastAsia"/>
                      <w:lang w:val="en-US" w:eastAsia="zh-CN"/>
                    </w:rPr>
                    <w:t>6</w:t>
                  </w:r>
                  <w:r>
                    <w:rPr>
                      <w:rFonts w:hint="eastAsia"/>
                    </w:rPr>
                    <w:t>0</w:t>
                  </w:r>
                </w:p>
              </w:tc>
              <w:tc>
                <w:tcPr>
                  <w:tcW w:w="2950" w:type="dxa"/>
                  <w:tcBorders>
                    <w:tl2br w:val="nil"/>
                    <w:tr2bl w:val="nil"/>
                  </w:tcBorders>
                  <w:vAlign w:val="center"/>
                </w:tcPr>
                <w:p w14:paraId="615FAF5C">
                  <w:pPr>
                    <w:pStyle w:val="45"/>
                    <w:spacing w:line="240" w:lineRule="atLeast"/>
                    <w:ind w:firstLine="0" w:firstLineChars="0"/>
                    <w:jc w:val="center"/>
                  </w:pPr>
                  <w:r>
                    <w:t>同时分析Au</w:t>
                  </w:r>
                </w:p>
              </w:tc>
            </w:tr>
            <w:tr w14:paraId="316EE0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801" w:type="dxa"/>
                  <w:vMerge w:val="continue"/>
                  <w:tcBorders>
                    <w:tl2br w:val="nil"/>
                    <w:tr2bl w:val="nil"/>
                  </w:tcBorders>
                  <w:vAlign w:val="center"/>
                </w:tcPr>
                <w:p w14:paraId="23568A23">
                  <w:pPr>
                    <w:pStyle w:val="31"/>
                  </w:pPr>
                </w:p>
              </w:tc>
              <w:tc>
                <w:tcPr>
                  <w:tcW w:w="2864" w:type="dxa"/>
                  <w:tcBorders>
                    <w:tl2br w:val="nil"/>
                    <w:tr2bl w:val="nil"/>
                  </w:tcBorders>
                  <w:vAlign w:val="center"/>
                </w:tcPr>
                <w:p w14:paraId="591A8DE0">
                  <w:pPr>
                    <w:pStyle w:val="45"/>
                    <w:spacing w:line="240" w:lineRule="atLeast"/>
                    <w:ind w:firstLine="0" w:firstLineChars="0"/>
                    <w:jc w:val="center"/>
                  </w:pPr>
                  <w:r>
                    <w:t>光谱半定量分析</w:t>
                  </w:r>
                </w:p>
              </w:tc>
              <w:tc>
                <w:tcPr>
                  <w:tcW w:w="954" w:type="dxa"/>
                  <w:tcBorders>
                    <w:tl2br w:val="nil"/>
                    <w:tr2bl w:val="nil"/>
                  </w:tcBorders>
                  <w:vAlign w:val="center"/>
                </w:tcPr>
                <w:p w14:paraId="793291B3">
                  <w:pPr>
                    <w:pStyle w:val="45"/>
                    <w:spacing w:line="240" w:lineRule="atLeast"/>
                    <w:ind w:firstLine="0" w:firstLineChars="0"/>
                    <w:jc w:val="center"/>
                    <w:rPr>
                      <w:rFonts w:hint="eastAsia" w:eastAsia="宋体"/>
                      <w:lang w:eastAsia="zh-CN"/>
                    </w:rPr>
                  </w:pPr>
                  <w:r>
                    <w:rPr>
                      <w:rFonts w:hint="eastAsia"/>
                      <w:lang w:val="en-US" w:eastAsia="zh-CN"/>
                    </w:rPr>
                    <w:t>件</w:t>
                  </w:r>
                </w:p>
              </w:tc>
              <w:tc>
                <w:tcPr>
                  <w:tcW w:w="1435" w:type="dxa"/>
                  <w:tcBorders>
                    <w:tl2br w:val="nil"/>
                    <w:tr2bl w:val="nil"/>
                  </w:tcBorders>
                  <w:vAlign w:val="center"/>
                </w:tcPr>
                <w:p w14:paraId="41D6EA04">
                  <w:pPr>
                    <w:pStyle w:val="31"/>
                    <w:rPr>
                      <w:rFonts w:hint="default" w:eastAsia="宋体"/>
                      <w:lang w:val="en-US" w:eastAsia="zh-CN"/>
                    </w:rPr>
                  </w:pPr>
                  <w:r>
                    <w:rPr>
                      <w:rFonts w:hint="eastAsia"/>
                      <w:lang w:val="en-US" w:eastAsia="zh-CN"/>
                    </w:rPr>
                    <w:t>1250</w:t>
                  </w:r>
                </w:p>
              </w:tc>
              <w:tc>
                <w:tcPr>
                  <w:tcW w:w="2950" w:type="dxa"/>
                  <w:tcBorders>
                    <w:tl2br w:val="nil"/>
                    <w:tr2bl w:val="nil"/>
                  </w:tcBorders>
                  <w:vAlign w:val="center"/>
                </w:tcPr>
                <w:p w14:paraId="359A88E7">
                  <w:pPr>
                    <w:pStyle w:val="45"/>
                    <w:spacing w:line="240" w:lineRule="atLeast"/>
                    <w:ind w:left="0" w:leftChars="0" w:firstLine="0" w:firstLineChars="0"/>
                    <w:jc w:val="center"/>
                    <w:rPr>
                      <w:rFonts w:hint="eastAsia" w:eastAsia="宋体"/>
                      <w:lang w:val="en-US" w:eastAsia="zh-CN"/>
                    </w:rPr>
                  </w:pPr>
                  <w:r>
                    <w:rPr>
                      <w:rFonts w:hint="eastAsia" w:eastAsia="宋体"/>
                      <w:lang w:val="en-US" w:eastAsia="zh-CN"/>
                    </w:rPr>
                    <w:t>Au、Ag、Cu、Pb、Zn、Co、Mo、Hg、Cd、Sn、W、Bi、Sb、As(总共14项)</w:t>
                  </w:r>
                </w:p>
              </w:tc>
            </w:tr>
            <w:tr w14:paraId="73C69A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801" w:type="dxa"/>
                  <w:vMerge w:val="continue"/>
                  <w:tcBorders>
                    <w:tl2br w:val="nil"/>
                    <w:tr2bl w:val="nil"/>
                  </w:tcBorders>
                  <w:vAlign w:val="center"/>
                </w:tcPr>
                <w:p w14:paraId="40CF580D">
                  <w:pPr>
                    <w:pStyle w:val="31"/>
                  </w:pPr>
                </w:p>
              </w:tc>
              <w:tc>
                <w:tcPr>
                  <w:tcW w:w="2864" w:type="dxa"/>
                  <w:tcBorders>
                    <w:tl2br w:val="nil"/>
                    <w:tr2bl w:val="nil"/>
                  </w:tcBorders>
                  <w:vAlign w:val="center"/>
                </w:tcPr>
                <w:p w14:paraId="30E1150E">
                  <w:pPr>
                    <w:pStyle w:val="45"/>
                    <w:spacing w:line="240" w:lineRule="atLeast"/>
                    <w:ind w:firstLine="0" w:firstLineChars="0"/>
                    <w:jc w:val="center"/>
                    <w:rPr>
                      <w:rFonts w:hint="eastAsia"/>
                    </w:rPr>
                  </w:pPr>
                  <w:r>
                    <w:t>光片</w:t>
                  </w:r>
                </w:p>
              </w:tc>
              <w:tc>
                <w:tcPr>
                  <w:tcW w:w="954" w:type="dxa"/>
                  <w:tcBorders>
                    <w:tl2br w:val="nil"/>
                    <w:tr2bl w:val="nil"/>
                  </w:tcBorders>
                  <w:vAlign w:val="center"/>
                </w:tcPr>
                <w:p w14:paraId="239FC1AA">
                  <w:pPr>
                    <w:pStyle w:val="45"/>
                    <w:spacing w:line="240" w:lineRule="atLeast"/>
                    <w:ind w:firstLine="0" w:firstLineChars="0"/>
                    <w:jc w:val="center"/>
                    <w:rPr>
                      <w:rFonts w:hint="eastAsia"/>
                    </w:rPr>
                  </w:pPr>
                  <w:r>
                    <w:t>块</w:t>
                  </w:r>
                </w:p>
              </w:tc>
              <w:tc>
                <w:tcPr>
                  <w:tcW w:w="1435" w:type="dxa"/>
                  <w:tcBorders>
                    <w:tl2br w:val="nil"/>
                    <w:tr2bl w:val="nil"/>
                  </w:tcBorders>
                  <w:vAlign w:val="center"/>
                </w:tcPr>
                <w:p w14:paraId="485F8116">
                  <w:pPr>
                    <w:pStyle w:val="31"/>
                    <w:rPr>
                      <w:rFonts w:hint="default" w:eastAsia="宋体"/>
                      <w:lang w:val="en-US" w:eastAsia="zh-CN"/>
                    </w:rPr>
                  </w:pPr>
                  <w:r>
                    <w:rPr>
                      <w:rFonts w:hint="eastAsia"/>
                      <w:lang w:val="en-US" w:eastAsia="zh-CN"/>
                    </w:rPr>
                    <w:t>30</w:t>
                  </w:r>
                </w:p>
              </w:tc>
              <w:tc>
                <w:tcPr>
                  <w:tcW w:w="2950" w:type="dxa"/>
                  <w:tcBorders>
                    <w:tl2br w:val="nil"/>
                    <w:tr2bl w:val="nil"/>
                  </w:tcBorders>
                  <w:vAlign w:val="center"/>
                </w:tcPr>
                <w:p w14:paraId="11BFDEC6">
                  <w:pPr>
                    <w:pStyle w:val="45"/>
                    <w:spacing w:line="240" w:lineRule="atLeast"/>
                    <w:ind w:left="0" w:leftChars="0" w:firstLine="0" w:firstLineChars="0"/>
                    <w:jc w:val="center"/>
                    <w:rPr>
                      <w:rFonts w:hint="eastAsia" w:eastAsia="宋体"/>
                      <w:lang w:val="en-US" w:eastAsia="zh-CN"/>
                    </w:rPr>
                  </w:pPr>
                  <w:r>
                    <w:rPr>
                      <w:rFonts w:hint="eastAsia"/>
                      <w:lang w:val="en-US" w:eastAsia="zh-CN"/>
                    </w:rPr>
                    <w:t>/</w:t>
                  </w:r>
                </w:p>
              </w:tc>
            </w:tr>
            <w:tr w14:paraId="2B9751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801" w:type="dxa"/>
                  <w:vMerge w:val="continue"/>
                  <w:tcBorders>
                    <w:tl2br w:val="nil"/>
                    <w:tr2bl w:val="nil"/>
                  </w:tcBorders>
                  <w:vAlign w:val="center"/>
                </w:tcPr>
                <w:p w14:paraId="64292F15">
                  <w:pPr>
                    <w:pStyle w:val="31"/>
                  </w:pPr>
                </w:p>
              </w:tc>
              <w:tc>
                <w:tcPr>
                  <w:tcW w:w="2864" w:type="dxa"/>
                  <w:tcBorders>
                    <w:tl2br w:val="nil"/>
                    <w:tr2bl w:val="nil"/>
                  </w:tcBorders>
                  <w:vAlign w:val="center"/>
                </w:tcPr>
                <w:p w14:paraId="0282C18A">
                  <w:pPr>
                    <w:pStyle w:val="45"/>
                    <w:spacing w:line="240" w:lineRule="atLeast"/>
                    <w:ind w:firstLine="0" w:firstLineChars="0"/>
                    <w:jc w:val="center"/>
                    <w:rPr>
                      <w:rFonts w:hint="eastAsia"/>
                    </w:rPr>
                  </w:pPr>
                  <w:r>
                    <w:t>薄片</w:t>
                  </w:r>
                </w:p>
              </w:tc>
              <w:tc>
                <w:tcPr>
                  <w:tcW w:w="954" w:type="dxa"/>
                  <w:tcBorders>
                    <w:tl2br w:val="nil"/>
                    <w:tr2bl w:val="nil"/>
                  </w:tcBorders>
                  <w:vAlign w:val="center"/>
                </w:tcPr>
                <w:p w14:paraId="1CD07B7C">
                  <w:pPr>
                    <w:pStyle w:val="45"/>
                    <w:spacing w:line="240" w:lineRule="atLeast"/>
                    <w:ind w:firstLine="0" w:firstLineChars="0"/>
                    <w:jc w:val="center"/>
                    <w:rPr>
                      <w:rFonts w:hint="eastAsia" w:eastAsia="宋体"/>
                      <w:lang w:eastAsia="zh-CN"/>
                    </w:rPr>
                  </w:pPr>
                  <w:r>
                    <w:rPr>
                      <w:rFonts w:hint="eastAsia"/>
                      <w:lang w:val="en-US" w:eastAsia="zh-CN"/>
                    </w:rPr>
                    <w:t>块</w:t>
                  </w:r>
                </w:p>
              </w:tc>
              <w:tc>
                <w:tcPr>
                  <w:tcW w:w="1435" w:type="dxa"/>
                  <w:tcBorders>
                    <w:tl2br w:val="nil"/>
                    <w:tr2bl w:val="nil"/>
                  </w:tcBorders>
                  <w:vAlign w:val="center"/>
                </w:tcPr>
                <w:p w14:paraId="56A3B1AD">
                  <w:pPr>
                    <w:pStyle w:val="31"/>
                    <w:rPr>
                      <w:rFonts w:hint="default" w:eastAsia="宋体"/>
                      <w:lang w:val="en-US" w:eastAsia="zh-CN"/>
                    </w:rPr>
                  </w:pPr>
                  <w:r>
                    <w:rPr>
                      <w:rFonts w:hint="eastAsia"/>
                      <w:lang w:val="en-US" w:eastAsia="zh-CN"/>
                    </w:rPr>
                    <w:t>50</w:t>
                  </w:r>
                </w:p>
              </w:tc>
              <w:tc>
                <w:tcPr>
                  <w:tcW w:w="2950" w:type="dxa"/>
                  <w:tcBorders>
                    <w:tl2br w:val="nil"/>
                    <w:tr2bl w:val="nil"/>
                  </w:tcBorders>
                  <w:vAlign w:val="center"/>
                </w:tcPr>
                <w:p w14:paraId="08E4D57D">
                  <w:pPr>
                    <w:pStyle w:val="45"/>
                    <w:spacing w:line="240" w:lineRule="atLeast"/>
                    <w:ind w:firstLine="0" w:firstLineChars="0"/>
                    <w:jc w:val="center"/>
                    <w:rPr>
                      <w:rFonts w:hint="eastAsia"/>
                    </w:rPr>
                  </w:pPr>
                  <w:r>
                    <w:t>Au</w:t>
                  </w:r>
                </w:p>
              </w:tc>
            </w:tr>
          </w:tbl>
          <w:p w14:paraId="6D5DA8EC">
            <w:pPr>
              <w:pStyle w:val="20"/>
              <w:ind w:firstLine="482"/>
            </w:pPr>
            <w:r>
              <w:rPr>
                <w:rFonts w:hint="eastAsia"/>
                <w:lang w:val="en-US" w:eastAsia="zh-CN"/>
              </w:rPr>
              <w:t>6</w:t>
            </w:r>
            <w:r>
              <w:t>.</w:t>
            </w:r>
            <w:r>
              <w:rPr>
                <w:rFonts w:hint="eastAsia"/>
              </w:rPr>
              <w:t>主要</w:t>
            </w:r>
            <w:r>
              <w:rPr>
                <w:rFonts w:hint="eastAsia"/>
                <w:lang w:val="en-US" w:eastAsia="zh-CN"/>
              </w:rPr>
              <w:t>勘查</w:t>
            </w:r>
            <w:r>
              <w:rPr>
                <w:rFonts w:hint="eastAsia"/>
              </w:rPr>
              <w:t>设备</w:t>
            </w:r>
          </w:p>
          <w:p w14:paraId="5FF02F59">
            <w:pPr>
              <w:ind w:firstLine="480"/>
            </w:pPr>
            <w:r>
              <w:t>本项目主要勘查设备见表2-</w:t>
            </w:r>
            <w:r>
              <w:rPr>
                <w:rFonts w:hint="eastAsia"/>
                <w:lang w:val="en-US" w:eastAsia="zh-CN"/>
              </w:rPr>
              <w:t>5</w:t>
            </w:r>
            <w:r>
              <w:t>。</w:t>
            </w:r>
          </w:p>
          <w:p w14:paraId="55712648">
            <w:pPr>
              <w:pStyle w:val="33"/>
              <w:spacing w:before="120"/>
              <w:rPr>
                <w:highlight w:val="none"/>
              </w:rPr>
            </w:pPr>
            <w:r>
              <w:rPr>
                <w:rFonts w:hint="eastAsia"/>
                <w:highlight w:val="none"/>
              </w:rPr>
              <w:t>表2</w:t>
            </w:r>
            <w:r>
              <w:rPr>
                <w:highlight w:val="none"/>
              </w:rPr>
              <w:t>-</w:t>
            </w:r>
            <w:r>
              <w:rPr>
                <w:rFonts w:hint="eastAsia"/>
                <w:highlight w:val="none"/>
                <w:lang w:val="en-US" w:eastAsia="zh-CN"/>
              </w:rPr>
              <w:t>5</w:t>
            </w:r>
            <w:r>
              <w:rPr>
                <w:highlight w:val="none"/>
              </w:rPr>
              <w:t>主要</w:t>
            </w:r>
            <w:r>
              <w:rPr>
                <w:rFonts w:hint="eastAsia"/>
                <w:highlight w:val="none"/>
              </w:rPr>
              <w:t>勘查</w:t>
            </w:r>
            <w:r>
              <w:rPr>
                <w:highlight w:val="none"/>
              </w:rPr>
              <w:t>设备一览表</w:t>
            </w:r>
          </w:p>
          <w:tbl>
            <w:tblPr>
              <w:tblStyle w:val="23"/>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18"/>
              <w:gridCol w:w="3774"/>
              <w:gridCol w:w="2946"/>
              <w:gridCol w:w="1161"/>
            </w:tblGrid>
            <w:tr w14:paraId="7548BA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77C40AB4">
                  <w:pPr>
                    <w:pStyle w:val="36"/>
                  </w:pPr>
                  <w:r>
                    <w:rPr>
                      <w:rFonts w:hint="eastAsia"/>
                    </w:rPr>
                    <w:t>序号</w:t>
                  </w:r>
                </w:p>
              </w:tc>
              <w:tc>
                <w:tcPr>
                  <w:tcW w:w="2096" w:type="pct"/>
                  <w:tcBorders>
                    <w:tl2br w:val="nil"/>
                    <w:tr2bl w:val="nil"/>
                  </w:tcBorders>
                </w:tcPr>
                <w:p w14:paraId="73050DFB">
                  <w:pPr>
                    <w:pStyle w:val="36"/>
                  </w:pPr>
                  <w:r>
                    <w:rPr>
                      <w:rFonts w:hint="eastAsia"/>
                    </w:rPr>
                    <w:t>设备名称</w:t>
                  </w:r>
                </w:p>
              </w:tc>
              <w:tc>
                <w:tcPr>
                  <w:tcW w:w="1636" w:type="pct"/>
                  <w:tcBorders>
                    <w:tl2br w:val="nil"/>
                    <w:tr2bl w:val="nil"/>
                  </w:tcBorders>
                </w:tcPr>
                <w:p w14:paraId="3B85B0BA">
                  <w:pPr>
                    <w:pStyle w:val="36"/>
                  </w:pPr>
                  <w:r>
                    <w:rPr>
                      <w:rFonts w:hint="eastAsia"/>
                    </w:rPr>
                    <w:t>类型</w:t>
                  </w:r>
                </w:p>
              </w:tc>
              <w:tc>
                <w:tcPr>
                  <w:tcW w:w="645" w:type="pct"/>
                  <w:tcBorders>
                    <w:tl2br w:val="nil"/>
                    <w:tr2bl w:val="nil"/>
                  </w:tcBorders>
                </w:tcPr>
                <w:p w14:paraId="58745F53">
                  <w:pPr>
                    <w:pStyle w:val="36"/>
                  </w:pPr>
                  <w:r>
                    <w:rPr>
                      <w:rFonts w:hint="eastAsia"/>
                    </w:rPr>
                    <w:t>数量</w:t>
                  </w:r>
                </w:p>
              </w:tc>
            </w:tr>
            <w:tr w14:paraId="2E0A9D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30F3EBE8">
                  <w:pPr>
                    <w:pStyle w:val="36"/>
                  </w:pPr>
                  <w:r>
                    <w:rPr>
                      <w:rFonts w:hint="eastAsia"/>
                    </w:rPr>
                    <w:t>1</w:t>
                  </w:r>
                </w:p>
              </w:tc>
              <w:tc>
                <w:tcPr>
                  <w:tcW w:w="2096" w:type="pct"/>
                  <w:tcBorders>
                    <w:tl2br w:val="nil"/>
                    <w:tr2bl w:val="nil"/>
                  </w:tcBorders>
                  <w:vAlign w:val="center"/>
                </w:tcPr>
                <w:p w14:paraId="748C94FB">
                  <w:pPr>
                    <w:pStyle w:val="36"/>
                  </w:pPr>
                  <w:r>
                    <w:rPr>
                      <w:rFonts w:hint="eastAsia"/>
                    </w:rPr>
                    <w:t>越野小车</w:t>
                  </w:r>
                </w:p>
              </w:tc>
              <w:tc>
                <w:tcPr>
                  <w:tcW w:w="1636" w:type="pct"/>
                  <w:tcBorders>
                    <w:tl2br w:val="nil"/>
                    <w:tr2bl w:val="nil"/>
                  </w:tcBorders>
                  <w:vAlign w:val="center"/>
                </w:tcPr>
                <w:p w14:paraId="464C8840">
                  <w:pPr>
                    <w:pStyle w:val="36"/>
                  </w:pPr>
                  <w:r>
                    <w:rPr>
                      <w:rFonts w:hint="eastAsia"/>
                    </w:rPr>
                    <w:t>庆铃</w:t>
                  </w:r>
                </w:p>
              </w:tc>
              <w:tc>
                <w:tcPr>
                  <w:tcW w:w="645" w:type="pct"/>
                  <w:tcBorders>
                    <w:tl2br w:val="nil"/>
                    <w:tr2bl w:val="nil"/>
                  </w:tcBorders>
                  <w:vAlign w:val="center"/>
                </w:tcPr>
                <w:p w14:paraId="25094C34">
                  <w:pPr>
                    <w:pStyle w:val="36"/>
                  </w:pPr>
                  <w:r>
                    <w:rPr>
                      <w:rFonts w:hint="eastAsia"/>
                    </w:rPr>
                    <w:t>2</w:t>
                  </w:r>
                </w:p>
              </w:tc>
            </w:tr>
            <w:tr w14:paraId="63C8CE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4E4461CB">
                  <w:pPr>
                    <w:pStyle w:val="36"/>
                  </w:pPr>
                  <w:r>
                    <w:rPr>
                      <w:rFonts w:hint="eastAsia"/>
                    </w:rPr>
                    <w:t>2</w:t>
                  </w:r>
                </w:p>
              </w:tc>
              <w:tc>
                <w:tcPr>
                  <w:tcW w:w="2096" w:type="pct"/>
                  <w:tcBorders>
                    <w:tl2br w:val="nil"/>
                    <w:tr2bl w:val="nil"/>
                  </w:tcBorders>
                  <w:vAlign w:val="center"/>
                </w:tcPr>
                <w:p w14:paraId="3E83102A">
                  <w:pPr>
                    <w:pStyle w:val="36"/>
                  </w:pPr>
                  <w:r>
                    <w:rPr>
                      <w:rFonts w:hint="eastAsia"/>
                    </w:rPr>
                    <w:t>越野小车</w:t>
                  </w:r>
                </w:p>
              </w:tc>
              <w:tc>
                <w:tcPr>
                  <w:tcW w:w="1636" w:type="pct"/>
                  <w:tcBorders>
                    <w:tl2br w:val="nil"/>
                    <w:tr2bl w:val="nil"/>
                  </w:tcBorders>
                  <w:vAlign w:val="center"/>
                </w:tcPr>
                <w:p w14:paraId="11CBD217">
                  <w:pPr>
                    <w:pStyle w:val="36"/>
                  </w:pPr>
                  <w:r>
                    <w:rPr>
                      <w:rFonts w:hint="eastAsia"/>
                    </w:rPr>
                    <w:t>庆铃</w:t>
                  </w:r>
                </w:p>
              </w:tc>
              <w:tc>
                <w:tcPr>
                  <w:tcW w:w="645" w:type="pct"/>
                  <w:tcBorders>
                    <w:tl2br w:val="nil"/>
                    <w:tr2bl w:val="nil"/>
                  </w:tcBorders>
                  <w:vAlign w:val="center"/>
                </w:tcPr>
                <w:p w14:paraId="6152527A">
                  <w:pPr>
                    <w:pStyle w:val="36"/>
                  </w:pPr>
                  <w:r>
                    <w:rPr>
                      <w:rFonts w:hint="eastAsia"/>
                    </w:rPr>
                    <w:t>1</w:t>
                  </w:r>
                </w:p>
              </w:tc>
            </w:tr>
            <w:tr w14:paraId="25DA6D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25065E15">
                  <w:pPr>
                    <w:pStyle w:val="36"/>
                  </w:pPr>
                  <w:r>
                    <w:rPr>
                      <w:rFonts w:hint="eastAsia"/>
                    </w:rPr>
                    <w:t>3</w:t>
                  </w:r>
                </w:p>
              </w:tc>
              <w:tc>
                <w:tcPr>
                  <w:tcW w:w="2096" w:type="pct"/>
                  <w:tcBorders>
                    <w:tl2br w:val="nil"/>
                    <w:tr2bl w:val="nil"/>
                  </w:tcBorders>
                  <w:vAlign w:val="center"/>
                </w:tcPr>
                <w:p w14:paraId="51EBDD91">
                  <w:pPr>
                    <w:pStyle w:val="36"/>
                  </w:pPr>
                  <w:r>
                    <w:rPr>
                      <w:rFonts w:hint="eastAsia"/>
                    </w:rPr>
                    <w:t>载重汽车</w:t>
                  </w:r>
                </w:p>
              </w:tc>
              <w:tc>
                <w:tcPr>
                  <w:tcW w:w="1636" w:type="pct"/>
                  <w:tcBorders>
                    <w:tl2br w:val="nil"/>
                    <w:tr2bl w:val="nil"/>
                  </w:tcBorders>
                  <w:vAlign w:val="center"/>
                </w:tcPr>
                <w:p w14:paraId="69765E5A">
                  <w:pPr>
                    <w:pStyle w:val="36"/>
                  </w:pPr>
                  <w:r>
                    <w:rPr>
                      <w:rFonts w:hint="eastAsia"/>
                    </w:rPr>
                    <w:t>/</w:t>
                  </w:r>
                </w:p>
              </w:tc>
              <w:tc>
                <w:tcPr>
                  <w:tcW w:w="645" w:type="pct"/>
                  <w:tcBorders>
                    <w:tl2br w:val="nil"/>
                    <w:tr2bl w:val="nil"/>
                  </w:tcBorders>
                  <w:vAlign w:val="center"/>
                </w:tcPr>
                <w:p w14:paraId="007A3FCE">
                  <w:pPr>
                    <w:pStyle w:val="36"/>
                  </w:pPr>
                  <w:r>
                    <w:rPr>
                      <w:rFonts w:hint="eastAsia"/>
                    </w:rPr>
                    <w:t>1</w:t>
                  </w:r>
                </w:p>
              </w:tc>
            </w:tr>
            <w:tr w14:paraId="39140E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6037A9DB">
                  <w:pPr>
                    <w:pStyle w:val="36"/>
                  </w:pPr>
                  <w:r>
                    <w:rPr>
                      <w:rFonts w:hint="eastAsia"/>
                    </w:rPr>
                    <w:t>4</w:t>
                  </w:r>
                </w:p>
              </w:tc>
              <w:tc>
                <w:tcPr>
                  <w:tcW w:w="2096" w:type="pct"/>
                  <w:tcBorders>
                    <w:tl2br w:val="nil"/>
                    <w:tr2bl w:val="nil"/>
                  </w:tcBorders>
                  <w:vAlign w:val="center"/>
                </w:tcPr>
                <w:p w14:paraId="10CB3535">
                  <w:pPr>
                    <w:pStyle w:val="36"/>
                  </w:pPr>
                  <w:r>
                    <w:rPr>
                      <w:rFonts w:hint="eastAsia"/>
                    </w:rPr>
                    <w:t>车载北斗终端</w:t>
                  </w:r>
                </w:p>
              </w:tc>
              <w:tc>
                <w:tcPr>
                  <w:tcW w:w="1636" w:type="pct"/>
                  <w:tcBorders>
                    <w:tl2br w:val="nil"/>
                    <w:tr2bl w:val="nil"/>
                  </w:tcBorders>
                  <w:vAlign w:val="center"/>
                </w:tcPr>
                <w:p w14:paraId="2B22F067">
                  <w:pPr>
                    <w:pStyle w:val="36"/>
                  </w:pPr>
                  <w:r>
                    <w:rPr>
                      <w:rFonts w:hint="eastAsia"/>
                    </w:rPr>
                    <w:t>/</w:t>
                  </w:r>
                </w:p>
              </w:tc>
              <w:tc>
                <w:tcPr>
                  <w:tcW w:w="645" w:type="pct"/>
                  <w:tcBorders>
                    <w:tl2br w:val="nil"/>
                    <w:tr2bl w:val="nil"/>
                  </w:tcBorders>
                  <w:vAlign w:val="center"/>
                </w:tcPr>
                <w:p w14:paraId="2BC63370">
                  <w:pPr>
                    <w:pStyle w:val="36"/>
                  </w:pPr>
                  <w:r>
                    <w:rPr>
                      <w:rFonts w:hint="eastAsia"/>
                    </w:rPr>
                    <w:t>4</w:t>
                  </w:r>
                </w:p>
              </w:tc>
            </w:tr>
            <w:tr w14:paraId="4ED3D0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2B11F374">
                  <w:pPr>
                    <w:pStyle w:val="36"/>
                  </w:pPr>
                  <w:r>
                    <w:rPr>
                      <w:rFonts w:hint="eastAsia"/>
                    </w:rPr>
                    <w:t>5</w:t>
                  </w:r>
                </w:p>
              </w:tc>
              <w:tc>
                <w:tcPr>
                  <w:tcW w:w="2096" w:type="pct"/>
                  <w:tcBorders>
                    <w:tl2br w:val="nil"/>
                    <w:tr2bl w:val="nil"/>
                  </w:tcBorders>
                  <w:vAlign w:val="center"/>
                </w:tcPr>
                <w:p w14:paraId="3DC668D8">
                  <w:pPr>
                    <w:pStyle w:val="36"/>
                  </w:pPr>
                  <w:r>
                    <w:rPr>
                      <w:rFonts w:hint="eastAsia"/>
                    </w:rPr>
                    <w:t>全球定位系统RTK</w:t>
                  </w:r>
                </w:p>
              </w:tc>
              <w:tc>
                <w:tcPr>
                  <w:tcW w:w="1636" w:type="pct"/>
                  <w:tcBorders>
                    <w:tl2br w:val="nil"/>
                    <w:tr2bl w:val="nil"/>
                  </w:tcBorders>
                  <w:vAlign w:val="center"/>
                </w:tcPr>
                <w:p w14:paraId="7F496BE7">
                  <w:pPr>
                    <w:pStyle w:val="36"/>
                  </w:pPr>
                  <w:r>
                    <w:rPr>
                      <w:rFonts w:hint="eastAsia"/>
                    </w:rPr>
                    <w:t>/</w:t>
                  </w:r>
                </w:p>
              </w:tc>
              <w:tc>
                <w:tcPr>
                  <w:tcW w:w="645" w:type="pct"/>
                  <w:tcBorders>
                    <w:tl2br w:val="nil"/>
                    <w:tr2bl w:val="nil"/>
                  </w:tcBorders>
                  <w:vAlign w:val="center"/>
                </w:tcPr>
                <w:p w14:paraId="61566089">
                  <w:pPr>
                    <w:pStyle w:val="36"/>
                  </w:pPr>
                  <w:r>
                    <w:rPr>
                      <w:rFonts w:hint="eastAsia"/>
                    </w:rPr>
                    <w:t>1</w:t>
                  </w:r>
                </w:p>
              </w:tc>
            </w:tr>
            <w:tr w14:paraId="61765A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7576A773">
                  <w:pPr>
                    <w:pStyle w:val="36"/>
                  </w:pPr>
                  <w:r>
                    <w:rPr>
                      <w:rFonts w:hint="eastAsia"/>
                    </w:rPr>
                    <w:t>6</w:t>
                  </w:r>
                </w:p>
              </w:tc>
              <w:tc>
                <w:tcPr>
                  <w:tcW w:w="2096" w:type="pct"/>
                  <w:tcBorders>
                    <w:tl2br w:val="nil"/>
                    <w:tr2bl w:val="nil"/>
                  </w:tcBorders>
                  <w:vAlign w:val="center"/>
                </w:tcPr>
                <w:p w14:paraId="467FCF9B">
                  <w:pPr>
                    <w:pStyle w:val="36"/>
                  </w:pPr>
                  <w:r>
                    <w:rPr>
                      <w:rFonts w:hint="eastAsia"/>
                    </w:rPr>
                    <w:t>水罐</w:t>
                  </w:r>
                </w:p>
              </w:tc>
              <w:tc>
                <w:tcPr>
                  <w:tcW w:w="1636" w:type="pct"/>
                  <w:tcBorders>
                    <w:tl2br w:val="nil"/>
                    <w:tr2bl w:val="nil"/>
                  </w:tcBorders>
                  <w:vAlign w:val="center"/>
                </w:tcPr>
                <w:p w14:paraId="646217B8">
                  <w:pPr>
                    <w:pStyle w:val="36"/>
                  </w:pPr>
                  <w:r>
                    <w:rPr>
                      <w:rFonts w:hint="eastAsia"/>
                    </w:rPr>
                    <w:t>/</w:t>
                  </w:r>
                </w:p>
              </w:tc>
              <w:tc>
                <w:tcPr>
                  <w:tcW w:w="645" w:type="pct"/>
                  <w:tcBorders>
                    <w:tl2br w:val="nil"/>
                    <w:tr2bl w:val="nil"/>
                  </w:tcBorders>
                  <w:vAlign w:val="center"/>
                </w:tcPr>
                <w:p w14:paraId="7C17E4E4">
                  <w:pPr>
                    <w:pStyle w:val="36"/>
                  </w:pPr>
                  <w:r>
                    <w:rPr>
                      <w:rFonts w:hint="eastAsia"/>
                    </w:rPr>
                    <w:t>3</w:t>
                  </w:r>
                </w:p>
              </w:tc>
            </w:tr>
            <w:tr w14:paraId="0A41CB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699E8639">
                  <w:pPr>
                    <w:pStyle w:val="36"/>
                  </w:pPr>
                  <w:r>
                    <w:rPr>
                      <w:rFonts w:hint="eastAsia"/>
                    </w:rPr>
                    <w:t>7</w:t>
                  </w:r>
                </w:p>
              </w:tc>
              <w:tc>
                <w:tcPr>
                  <w:tcW w:w="2096" w:type="pct"/>
                  <w:tcBorders>
                    <w:tl2br w:val="nil"/>
                    <w:tr2bl w:val="nil"/>
                  </w:tcBorders>
                  <w:vAlign w:val="center"/>
                </w:tcPr>
                <w:p w14:paraId="3B918B48">
                  <w:pPr>
                    <w:pStyle w:val="36"/>
                  </w:pPr>
                  <w:r>
                    <w:rPr>
                      <w:rFonts w:hint="eastAsia"/>
                    </w:rPr>
                    <w:t>岩心钻机</w:t>
                  </w:r>
                </w:p>
              </w:tc>
              <w:tc>
                <w:tcPr>
                  <w:tcW w:w="1636" w:type="pct"/>
                  <w:tcBorders>
                    <w:tl2br w:val="nil"/>
                    <w:tr2bl w:val="nil"/>
                  </w:tcBorders>
                  <w:vAlign w:val="center"/>
                </w:tcPr>
                <w:p w14:paraId="32E44070">
                  <w:pPr>
                    <w:pStyle w:val="36"/>
                  </w:pPr>
                  <w:r>
                    <w:rPr>
                      <w:rFonts w:hint="eastAsia"/>
                    </w:rPr>
                    <w:t>1000型</w:t>
                  </w:r>
                </w:p>
              </w:tc>
              <w:tc>
                <w:tcPr>
                  <w:tcW w:w="645" w:type="pct"/>
                  <w:tcBorders>
                    <w:tl2br w:val="nil"/>
                    <w:tr2bl w:val="nil"/>
                  </w:tcBorders>
                  <w:vAlign w:val="center"/>
                </w:tcPr>
                <w:p w14:paraId="70D9F5C0">
                  <w:pPr>
                    <w:pStyle w:val="36"/>
                  </w:pPr>
                  <w:r>
                    <w:rPr>
                      <w:rFonts w:hint="eastAsia"/>
                    </w:rPr>
                    <w:t>1</w:t>
                  </w:r>
                </w:p>
              </w:tc>
            </w:tr>
            <w:tr w14:paraId="156387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601B7E42">
                  <w:pPr>
                    <w:pStyle w:val="36"/>
                  </w:pPr>
                  <w:r>
                    <w:rPr>
                      <w:rFonts w:hint="eastAsia"/>
                    </w:rPr>
                    <w:t>8</w:t>
                  </w:r>
                </w:p>
              </w:tc>
              <w:tc>
                <w:tcPr>
                  <w:tcW w:w="2096" w:type="pct"/>
                  <w:tcBorders>
                    <w:tl2br w:val="nil"/>
                    <w:tr2bl w:val="nil"/>
                  </w:tcBorders>
                  <w:vAlign w:val="center"/>
                </w:tcPr>
                <w:p w14:paraId="2669EE26">
                  <w:pPr>
                    <w:pStyle w:val="36"/>
                  </w:pPr>
                  <w:r>
                    <w:rPr>
                      <w:rFonts w:hint="eastAsia"/>
                    </w:rPr>
                    <w:t>油罐</w:t>
                  </w:r>
                </w:p>
              </w:tc>
              <w:tc>
                <w:tcPr>
                  <w:tcW w:w="1636" w:type="pct"/>
                  <w:tcBorders>
                    <w:tl2br w:val="nil"/>
                    <w:tr2bl w:val="nil"/>
                  </w:tcBorders>
                  <w:vAlign w:val="center"/>
                </w:tcPr>
                <w:p w14:paraId="7BB4D7E6">
                  <w:pPr>
                    <w:pStyle w:val="36"/>
                  </w:pPr>
                  <w:r>
                    <w:rPr>
                      <w:rFonts w:hint="eastAsia"/>
                    </w:rPr>
                    <w:t>/</w:t>
                  </w:r>
                </w:p>
              </w:tc>
              <w:tc>
                <w:tcPr>
                  <w:tcW w:w="645" w:type="pct"/>
                  <w:tcBorders>
                    <w:tl2br w:val="nil"/>
                    <w:tr2bl w:val="nil"/>
                  </w:tcBorders>
                  <w:vAlign w:val="center"/>
                </w:tcPr>
                <w:p w14:paraId="4F902DE8">
                  <w:pPr>
                    <w:pStyle w:val="36"/>
                  </w:pPr>
                  <w:r>
                    <w:rPr>
                      <w:rFonts w:hint="eastAsia"/>
                    </w:rPr>
                    <w:t>1</w:t>
                  </w:r>
                </w:p>
              </w:tc>
            </w:tr>
            <w:tr w14:paraId="3C264C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58245182">
                  <w:pPr>
                    <w:pStyle w:val="36"/>
                  </w:pPr>
                  <w:r>
                    <w:rPr>
                      <w:rFonts w:hint="eastAsia"/>
                    </w:rPr>
                    <w:t>9</w:t>
                  </w:r>
                </w:p>
              </w:tc>
              <w:tc>
                <w:tcPr>
                  <w:tcW w:w="2096" w:type="pct"/>
                  <w:tcBorders>
                    <w:tl2br w:val="nil"/>
                    <w:tr2bl w:val="nil"/>
                  </w:tcBorders>
                  <w:vAlign w:val="center"/>
                </w:tcPr>
                <w:p w14:paraId="2561FDC7">
                  <w:pPr>
                    <w:pStyle w:val="36"/>
                  </w:pPr>
                  <w:r>
                    <w:rPr>
                      <w:rFonts w:hint="eastAsia"/>
                    </w:rPr>
                    <w:t>钻塔</w:t>
                  </w:r>
                </w:p>
              </w:tc>
              <w:tc>
                <w:tcPr>
                  <w:tcW w:w="1636" w:type="pct"/>
                  <w:tcBorders>
                    <w:tl2br w:val="nil"/>
                    <w:tr2bl w:val="nil"/>
                  </w:tcBorders>
                  <w:vAlign w:val="center"/>
                </w:tcPr>
                <w:p w14:paraId="5A41C1B0">
                  <w:pPr>
                    <w:pStyle w:val="36"/>
                  </w:pPr>
                  <w:r>
                    <w:rPr>
                      <w:rFonts w:hint="eastAsia"/>
                    </w:rPr>
                    <w:t>/</w:t>
                  </w:r>
                </w:p>
              </w:tc>
              <w:tc>
                <w:tcPr>
                  <w:tcW w:w="645" w:type="pct"/>
                  <w:tcBorders>
                    <w:tl2br w:val="nil"/>
                    <w:tr2bl w:val="nil"/>
                  </w:tcBorders>
                  <w:vAlign w:val="center"/>
                </w:tcPr>
                <w:p w14:paraId="7BCB5950">
                  <w:pPr>
                    <w:pStyle w:val="36"/>
                  </w:pPr>
                  <w:r>
                    <w:rPr>
                      <w:rFonts w:hint="eastAsia"/>
                    </w:rPr>
                    <w:t>1</w:t>
                  </w:r>
                </w:p>
              </w:tc>
            </w:tr>
            <w:tr w14:paraId="0B361C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18353F3A">
                  <w:pPr>
                    <w:pStyle w:val="36"/>
                  </w:pPr>
                  <w:r>
                    <w:rPr>
                      <w:rFonts w:hint="eastAsia"/>
                    </w:rPr>
                    <w:t>10</w:t>
                  </w:r>
                </w:p>
              </w:tc>
              <w:tc>
                <w:tcPr>
                  <w:tcW w:w="2096" w:type="pct"/>
                  <w:tcBorders>
                    <w:tl2br w:val="nil"/>
                    <w:tr2bl w:val="nil"/>
                  </w:tcBorders>
                  <w:vAlign w:val="center"/>
                </w:tcPr>
                <w:p w14:paraId="71D5048E">
                  <w:pPr>
                    <w:pStyle w:val="36"/>
                  </w:pPr>
                  <w:r>
                    <w:rPr>
                      <w:rFonts w:hint="eastAsia"/>
                    </w:rPr>
                    <w:t>泥浆泵</w:t>
                  </w:r>
                </w:p>
              </w:tc>
              <w:tc>
                <w:tcPr>
                  <w:tcW w:w="1636" w:type="pct"/>
                  <w:tcBorders>
                    <w:tl2br w:val="nil"/>
                    <w:tr2bl w:val="nil"/>
                  </w:tcBorders>
                  <w:vAlign w:val="center"/>
                </w:tcPr>
                <w:p w14:paraId="60D71BCA">
                  <w:pPr>
                    <w:pStyle w:val="36"/>
                  </w:pPr>
                  <w:r>
                    <w:rPr>
                      <w:rFonts w:hint="eastAsia"/>
                    </w:rPr>
                    <w:t>/</w:t>
                  </w:r>
                </w:p>
              </w:tc>
              <w:tc>
                <w:tcPr>
                  <w:tcW w:w="645" w:type="pct"/>
                  <w:tcBorders>
                    <w:tl2br w:val="nil"/>
                    <w:tr2bl w:val="nil"/>
                  </w:tcBorders>
                  <w:vAlign w:val="center"/>
                </w:tcPr>
                <w:p w14:paraId="3F1222C1">
                  <w:pPr>
                    <w:pStyle w:val="36"/>
                  </w:pPr>
                  <w:r>
                    <w:rPr>
                      <w:rFonts w:hint="eastAsia"/>
                    </w:rPr>
                    <w:t>1</w:t>
                  </w:r>
                </w:p>
              </w:tc>
            </w:tr>
            <w:tr w14:paraId="7F57DC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0FED626E">
                  <w:pPr>
                    <w:pStyle w:val="36"/>
                  </w:pPr>
                  <w:r>
                    <w:rPr>
                      <w:rFonts w:hint="eastAsia"/>
                    </w:rPr>
                    <w:t>11</w:t>
                  </w:r>
                </w:p>
              </w:tc>
              <w:tc>
                <w:tcPr>
                  <w:tcW w:w="2096" w:type="pct"/>
                  <w:tcBorders>
                    <w:tl2br w:val="nil"/>
                    <w:tr2bl w:val="nil"/>
                  </w:tcBorders>
                  <w:vAlign w:val="center"/>
                </w:tcPr>
                <w:p w14:paraId="57D6F6A0">
                  <w:pPr>
                    <w:pStyle w:val="36"/>
                  </w:pPr>
                  <w:r>
                    <w:rPr>
                      <w:rFonts w:hint="eastAsia"/>
                    </w:rPr>
                    <w:t>泥浆搅拌机</w:t>
                  </w:r>
                </w:p>
              </w:tc>
              <w:tc>
                <w:tcPr>
                  <w:tcW w:w="1636" w:type="pct"/>
                  <w:tcBorders>
                    <w:tl2br w:val="nil"/>
                    <w:tr2bl w:val="nil"/>
                  </w:tcBorders>
                  <w:vAlign w:val="center"/>
                </w:tcPr>
                <w:p w14:paraId="24F04231">
                  <w:pPr>
                    <w:pStyle w:val="36"/>
                  </w:pPr>
                  <w:r>
                    <w:rPr>
                      <w:rFonts w:hint="eastAsia"/>
                    </w:rPr>
                    <w:t>/</w:t>
                  </w:r>
                </w:p>
              </w:tc>
              <w:tc>
                <w:tcPr>
                  <w:tcW w:w="645" w:type="pct"/>
                  <w:tcBorders>
                    <w:tl2br w:val="nil"/>
                    <w:tr2bl w:val="nil"/>
                  </w:tcBorders>
                  <w:vAlign w:val="center"/>
                </w:tcPr>
                <w:p w14:paraId="43018FCA">
                  <w:pPr>
                    <w:pStyle w:val="36"/>
                  </w:pPr>
                  <w:r>
                    <w:rPr>
                      <w:rFonts w:hint="eastAsia"/>
                    </w:rPr>
                    <w:t>1</w:t>
                  </w:r>
                </w:p>
              </w:tc>
            </w:tr>
            <w:tr w14:paraId="087D59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07894BCB">
                  <w:pPr>
                    <w:pStyle w:val="36"/>
                  </w:pPr>
                  <w:r>
                    <w:rPr>
                      <w:rFonts w:hint="eastAsia"/>
                    </w:rPr>
                    <w:t>12</w:t>
                  </w:r>
                </w:p>
              </w:tc>
              <w:tc>
                <w:tcPr>
                  <w:tcW w:w="2096" w:type="pct"/>
                  <w:tcBorders>
                    <w:tl2br w:val="nil"/>
                    <w:tr2bl w:val="nil"/>
                  </w:tcBorders>
                  <w:vAlign w:val="center"/>
                </w:tcPr>
                <w:p w14:paraId="051D6BC0">
                  <w:pPr>
                    <w:pStyle w:val="36"/>
                  </w:pPr>
                  <w:r>
                    <w:rPr>
                      <w:rFonts w:hint="eastAsia"/>
                    </w:rPr>
                    <w:t>绞车</w:t>
                  </w:r>
                </w:p>
              </w:tc>
              <w:tc>
                <w:tcPr>
                  <w:tcW w:w="1636" w:type="pct"/>
                  <w:tcBorders>
                    <w:tl2br w:val="nil"/>
                    <w:tr2bl w:val="nil"/>
                  </w:tcBorders>
                  <w:vAlign w:val="center"/>
                </w:tcPr>
                <w:p w14:paraId="0D406BB9">
                  <w:pPr>
                    <w:pStyle w:val="36"/>
                  </w:pPr>
                  <w:r>
                    <w:rPr>
                      <w:rFonts w:hint="eastAsia"/>
                    </w:rPr>
                    <w:t>/</w:t>
                  </w:r>
                </w:p>
              </w:tc>
              <w:tc>
                <w:tcPr>
                  <w:tcW w:w="645" w:type="pct"/>
                  <w:tcBorders>
                    <w:tl2br w:val="nil"/>
                    <w:tr2bl w:val="nil"/>
                  </w:tcBorders>
                  <w:vAlign w:val="center"/>
                </w:tcPr>
                <w:p w14:paraId="6E5157B4">
                  <w:pPr>
                    <w:pStyle w:val="36"/>
                  </w:pPr>
                  <w:r>
                    <w:rPr>
                      <w:rFonts w:hint="eastAsia"/>
                    </w:rPr>
                    <w:t>1</w:t>
                  </w:r>
                </w:p>
              </w:tc>
            </w:tr>
            <w:tr w14:paraId="40CB5B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6D67ABE9">
                  <w:pPr>
                    <w:pStyle w:val="36"/>
                  </w:pPr>
                  <w:r>
                    <w:rPr>
                      <w:rFonts w:hint="eastAsia"/>
                    </w:rPr>
                    <w:t>13</w:t>
                  </w:r>
                </w:p>
              </w:tc>
              <w:tc>
                <w:tcPr>
                  <w:tcW w:w="2096" w:type="pct"/>
                  <w:tcBorders>
                    <w:tl2br w:val="nil"/>
                    <w:tr2bl w:val="nil"/>
                  </w:tcBorders>
                  <w:vAlign w:val="center"/>
                </w:tcPr>
                <w:p w14:paraId="31AE9542">
                  <w:pPr>
                    <w:pStyle w:val="36"/>
                  </w:pPr>
                  <w:r>
                    <w:rPr>
                      <w:rFonts w:hint="eastAsia"/>
                    </w:rPr>
                    <w:t>陀螺测斜仪</w:t>
                  </w:r>
                </w:p>
              </w:tc>
              <w:tc>
                <w:tcPr>
                  <w:tcW w:w="1636" w:type="pct"/>
                  <w:tcBorders>
                    <w:tl2br w:val="nil"/>
                    <w:tr2bl w:val="nil"/>
                  </w:tcBorders>
                  <w:vAlign w:val="center"/>
                </w:tcPr>
                <w:p w14:paraId="081FBFD1">
                  <w:pPr>
                    <w:pStyle w:val="36"/>
                  </w:pPr>
                  <w:r>
                    <w:rPr>
                      <w:rFonts w:hint="eastAsia"/>
                    </w:rPr>
                    <w:t>CX-6B</w:t>
                  </w:r>
                </w:p>
              </w:tc>
              <w:tc>
                <w:tcPr>
                  <w:tcW w:w="645" w:type="pct"/>
                  <w:tcBorders>
                    <w:tl2br w:val="nil"/>
                    <w:tr2bl w:val="nil"/>
                  </w:tcBorders>
                  <w:vAlign w:val="center"/>
                </w:tcPr>
                <w:p w14:paraId="03A30616">
                  <w:pPr>
                    <w:pStyle w:val="36"/>
                  </w:pPr>
                  <w:r>
                    <w:rPr>
                      <w:rFonts w:hint="eastAsia"/>
                    </w:rPr>
                    <w:t>1</w:t>
                  </w:r>
                </w:p>
              </w:tc>
            </w:tr>
            <w:tr w14:paraId="2072BA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508904E5">
                  <w:pPr>
                    <w:pStyle w:val="36"/>
                  </w:pPr>
                  <w:r>
                    <w:rPr>
                      <w:rFonts w:hint="eastAsia"/>
                    </w:rPr>
                    <w:t>14</w:t>
                  </w:r>
                </w:p>
              </w:tc>
              <w:tc>
                <w:tcPr>
                  <w:tcW w:w="2096" w:type="pct"/>
                  <w:tcBorders>
                    <w:tl2br w:val="nil"/>
                    <w:tr2bl w:val="nil"/>
                  </w:tcBorders>
                  <w:vAlign w:val="center"/>
                </w:tcPr>
                <w:p w14:paraId="6121A720">
                  <w:pPr>
                    <w:pStyle w:val="36"/>
                  </w:pPr>
                  <w:r>
                    <w:rPr>
                      <w:rFonts w:hint="eastAsia"/>
                    </w:rPr>
                    <w:t>柴油发电机组</w:t>
                  </w:r>
                </w:p>
              </w:tc>
              <w:tc>
                <w:tcPr>
                  <w:tcW w:w="1636" w:type="pct"/>
                  <w:tcBorders>
                    <w:tl2br w:val="nil"/>
                    <w:tr2bl w:val="nil"/>
                  </w:tcBorders>
                  <w:vAlign w:val="center"/>
                </w:tcPr>
                <w:p w14:paraId="1295FCBB">
                  <w:pPr>
                    <w:pStyle w:val="36"/>
                  </w:pPr>
                  <w:r>
                    <w:rPr>
                      <w:rFonts w:hint="eastAsia"/>
                    </w:rPr>
                    <w:t>/</w:t>
                  </w:r>
                </w:p>
              </w:tc>
              <w:tc>
                <w:tcPr>
                  <w:tcW w:w="645" w:type="pct"/>
                  <w:tcBorders>
                    <w:tl2br w:val="nil"/>
                    <w:tr2bl w:val="nil"/>
                  </w:tcBorders>
                  <w:vAlign w:val="center"/>
                </w:tcPr>
                <w:p w14:paraId="60AA5A70">
                  <w:pPr>
                    <w:pStyle w:val="36"/>
                  </w:pPr>
                  <w:r>
                    <w:rPr>
                      <w:rFonts w:hint="eastAsia"/>
                    </w:rPr>
                    <w:t>1</w:t>
                  </w:r>
                </w:p>
              </w:tc>
            </w:tr>
            <w:tr w14:paraId="0A18D7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00576E53">
                  <w:pPr>
                    <w:pStyle w:val="36"/>
                  </w:pPr>
                  <w:r>
                    <w:rPr>
                      <w:rFonts w:hint="eastAsia"/>
                    </w:rPr>
                    <w:t>15</w:t>
                  </w:r>
                </w:p>
              </w:tc>
              <w:tc>
                <w:tcPr>
                  <w:tcW w:w="2096" w:type="pct"/>
                  <w:tcBorders>
                    <w:tl2br w:val="nil"/>
                    <w:tr2bl w:val="nil"/>
                  </w:tcBorders>
                  <w:vAlign w:val="center"/>
                </w:tcPr>
                <w:p w14:paraId="56C2E53D">
                  <w:pPr>
                    <w:pStyle w:val="36"/>
                  </w:pPr>
                  <w:r>
                    <w:rPr>
                      <w:rFonts w:hint="eastAsia"/>
                    </w:rPr>
                    <w:t>潜水泵</w:t>
                  </w:r>
                </w:p>
              </w:tc>
              <w:tc>
                <w:tcPr>
                  <w:tcW w:w="1636" w:type="pct"/>
                  <w:tcBorders>
                    <w:tl2br w:val="nil"/>
                    <w:tr2bl w:val="nil"/>
                  </w:tcBorders>
                  <w:vAlign w:val="center"/>
                </w:tcPr>
                <w:p w14:paraId="74401AB7">
                  <w:pPr>
                    <w:pStyle w:val="36"/>
                  </w:pPr>
                  <w:r>
                    <w:rPr>
                      <w:rFonts w:hint="eastAsia"/>
                    </w:rPr>
                    <w:t>/</w:t>
                  </w:r>
                </w:p>
              </w:tc>
              <w:tc>
                <w:tcPr>
                  <w:tcW w:w="645" w:type="pct"/>
                  <w:tcBorders>
                    <w:tl2br w:val="nil"/>
                    <w:tr2bl w:val="nil"/>
                  </w:tcBorders>
                  <w:vAlign w:val="center"/>
                </w:tcPr>
                <w:p w14:paraId="7AC9F1AC">
                  <w:pPr>
                    <w:pStyle w:val="36"/>
                  </w:pPr>
                  <w:r>
                    <w:rPr>
                      <w:rFonts w:hint="eastAsia"/>
                    </w:rPr>
                    <w:t>1</w:t>
                  </w:r>
                </w:p>
              </w:tc>
            </w:tr>
            <w:tr w14:paraId="75CA50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49DC57CB">
                  <w:pPr>
                    <w:pStyle w:val="36"/>
                  </w:pPr>
                  <w:r>
                    <w:rPr>
                      <w:rFonts w:hint="eastAsia"/>
                    </w:rPr>
                    <w:t>16</w:t>
                  </w:r>
                </w:p>
              </w:tc>
              <w:tc>
                <w:tcPr>
                  <w:tcW w:w="2096" w:type="pct"/>
                  <w:tcBorders>
                    <w:tl2br w:val="nil"/>
                    <w:tr2bl w:val="nil"/>
                  </w:tcBorders>
                  <w:vAlign w:val="center"/>
                </w:tcPr>
                <w:p w14:paraId="3C177D18">
                  <w:pPr>
                    <w:pStyle w:val="36"/>
                  </w:pPr>
                  <w:r>
                    <w:rPr>
                      <w:rFonts w:hint="eastAsia"/>
                    </w:rPr>
                    <w:t>对讲机</w:t>
                  </w:r>
                </w:p>
              </w:tc>
              <w:tc>
                <w:tcPr>
                  <w:tcW w:w="1636" w:type="pct"/>
                  <w:tcBorders>
                    <w:tl2br w:val="nil"/>
                    <w:tr2bl w:val="nil"/>
                  </w:tcBorders>
                  <w:vAlign w:val="center"/>
                </w:tcPr>
                <w:p w14:paraId="6542C7AD">
                  <w:pPr>
                    <w:pStyle w:val="36"/>
                  </w:pPr>
                  <w:r>
                    <w:rPr>
                      <w:rFonts w:hint="eastAsia"/>
                    </w:rPr>
                    <w:t>/</w:t>
                  </w:r>
                </w:p>
              </w:tc>
              <w:tc>
                <w:tcPr>
                  <w:tcW w:w="645" w:type="pct"/>
                  <w:tcBorders>
                    <w:tl2br w:val="nil"/>
                    <w:tr2bl w:val="nil"/>
                  </w:tcBorders>
                  <w:vAlign w:val="center"/>
                </w:tcPr>
                <w:p w14:paraId="37CCAE9F">
                  <w:pPr>
                    <w:pStyle w:val="36"/>
                  </w:pPr>
                  <w:r>
                    <w:rPr>
                      <w:rFonts w:hint="eastAsia"/>
                    </w:rPr>
                    <w:t>4</w:t>
                  </w:r>
                </w:p>
              </w:tc>
            </w:tr>
            <w:tr w14:paraId="18D313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1B31DE75">
                  <w:pPr>
                    <w:pStyle w:val="36"/>
                  </w:pPr>
                  <w:r>
                    <w:rPr>
                      <w:rFonts w:hint="eastAsia"/>
                    </w:rPr>
                    <w:t>17</w:t>
                  </w:r>
                </w:p>
              </w:tc>
              <w:tc>
                <w:tcPr>
                  <w:tcW w:w="2096" w:type="pct"/>
                  <w:tcBorders>
                    <w:tl2br w:val="nil"/>
                    <w:tr2bl w:val="nil"/>
                  </w:tcBorders>
                  <w:vAlign w:val="center"/>
                </w:tcPr>
                <w:p w14:paraId="22F3E3D7">
                  <w:pPr>
                    <w:pStyle w:val="36"/>
                  </w:pPr>
                  <w:r>
                    <w:rPr>
                      <w:rFonts w:hint="eastAsia"/>
                    </w:rPr>
                    <w:t>卫星地面接收设备、电视机</w:t>
                  </w:r>
                </w:p>
              </w:tc>
              <w:tc>
                <w:tcPr>
                  <w:tcW w:w="1636" w:type="pct"/>
                  <w:tcBorders>
                    <w:tl2br w:val="nil"/>
                    <w:tr2bl w:val="nil"/>
                  </w:tcBorders>
                  <w:vAlign w:val="center"/>
                </w:tcPr>
                <w:p w14:paraId="62C22B3A">
                  <w:pPr>
                    <w:pStyle w:val="36"/>
                  </w:pPr>
                  <w:r>
                    <w:rPr>
                      <w:rFonts w:hint="eastAsia"/>
                    </w:rPr>
                    <w:t>/</w:t>
                  </w:r>
                </w:p>
              </w:tc>
              <w:tc>
                <w:tcPr>
                  <w:tcW w:w="645" w:type="pct"/>
                  <w:tcBorders>
                    <w:tl2br w:val="nil"/>
                    <w:tr2bl w:val="nil"/>
                  </w:tcBorders>
                  <w:vAlign w:val="center"/>
                </w:tcPr>
                <w:p w14:paraId="3176F2E7">
                  <w:pPr>
                    <w:pStyle w:val="36"/>
                  </w:pPr>
                  <w:r>
                    <w:rPr>
                      <w:rFonts w:hint="eastAsia"/>
                    </w:rPr>
                    <w:t>1</w:t>
                  </w:r>
                </w:p>
              </w:tc>
            </w:tr>
            <w:tr w14:paraId="41346F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30FFFDC9">
                  <w:pPr>
                    <w:pStyle w:val="36"/>
                  </w:pPr>
                  <w:r>
                    <w:rPr>
                      <w:rFonts w:hint="eastAsia"/>
                    </w:rPr>
                    <w:t>18</w:t>
                  </w:r>
                </w:p>
              </w:tc>
              <w:tc>
                <w:tcPr>
                  <w:tcW w:w="2096" w:type="pct"/>
                  <w:tcBorders>
                    <w:tl2br w:val="nil"/>
                    <w:tr2bl w:val="nil"/>
                  </w:tcBorders>
                  <w:vAlign w:val="center"/>
                </w:tcPr>
                <w:p w14:paraId="758D73DE">
                  <w:pPr>
                    <w:pStyle w:val="36"/>
                  </w:pPr>
                  <w:r>
                    <w:rPr>
                      <w:rFonts w:hint="eastAsia"/>
                    </w:rPr>
                    <w:t>电台</w:t>
                  </w:r>
                </w:p>
              </w:tc>
              <w:tc>
                <w:tcPr>
                  <w:tcW w:w="1636" w:type="pct"/>
                  <w:tcBorders>
                    <w:tl2br w:val="nil"/>
                    <w:tr2bl w:val="nil"/>
                  </w:tcBorders>
                  <w:vAlign w:val="center"/>
                </w:tcPr>
                <w:p w14:paraId="6646F185">
                  <w:pPr>
                    <w:pStyle w:val="36"/>
                  </w:pPr>
                  <w:r>
                    <w:rPr>
                      <w:rFonts w:hint="eastAsia"/>
                    </w:rPr>
                    <w:t>/</w:t>
                  </w:r>
                </w:p>
              </w:tc>
              <w:tc>
                <w:tcPr>
                  <w:tcW w:w="645" w:type="pct"/>
                  <w:tcBorders>
                    <w:tl2br w:val="nil"/>
                    <w:tr2bl w:val="nil"/>
                  </w:tcBorders>
                  <w:vAlign w:val="center"/>
                </w:tcPr>
                <w:p w14:paraId="3887B708">
                  <w:pPr>
                    <w:pStyle w:val="36"/>
                  </w:pPr>
                  <w:r>
                    <w:rPr>
                      <w:rFonts w:hint="eastAsia"/>
                    </w:rPr>
                    <w:t>1</w:t>
                  </w:r>
                </w:p>
              </w:tc>
            </w:tr>
            <w:tr w14:paraId="45F987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7E5198F0">
                  <w:pPr>
                    <w:pStyle w:val="36"/>
                  </w:pPr>
                  <w:r>
                    <w:rPr>
                      <w:rFonts w:hint="eastAsia"/>
                    </w:rPr>
                    <w:t>19</w:t>
                  </w:r>
                </w:p>
              </w:tc>
              <w:tc>
                <w:tcPr>
                  <w:tcW w:w="2096" w:type="pct"/>
                  <w:tcBorders>
                    <w:tl2br w:val="nil"/>
                    <w:tr2bl w:val="nil"/>
                  </w:tcBorders>
                  <w:vAlign w:val="center"/>
                </w:tcPr>
                <w:p w14:paraId="51FBDA17">
                  <w:pPr>
                    <w:pStyle w:val="36"/>
                  </w:pPr>
                  <w:r>
                    <w:rPr>
                      <w:rFonts w:hint="eastAsia"/>
                    </w:rPr>
                    <w:t>笔记本电脑</w:t>
                  </w:r>
                </w:p>
              </w:tc>
              <w:tc>
                <w:tcPr>
                  <w:tcW w:w="1636" w:type="pct"/>
                  <w:tcBorders>
                    <w:tl2br w:val="nil"/>
                    <w:tr2bl w:val="nil"/>
                  </w:tcBorders>
                  <w:vAlign w:val="center"/>
                </w:tcPr>
                <w:p w14:paraId="2482DC4D">
                  <w:pPr>
                    <w:pStyle w:val="36"/>
                  </w:pPr>
                  <w:r>
                    <w:rPr>
                      <w:rFonts w:hint="eastAsia"/>
                    </w:rPr>
                    <w:t>/</w:t>
                  </w:r>
                </w:p>
              </w:tc>
              <w:tc>
                <w:tcPr>
                  <w:tcW w:w="645" w:type="pct"/>
                  <w:tcBorders>
                    <w:tl2br w:val="nil"/>
                    <w:tr2bl w:val="nil"/>
                  </w:tcBorders>
                  <w:vAlign w:val="center"/>
                </w:tcPr>
                <w:p w14:paraId="1FA70E9D">
                  <w:pPr>
                    <w:pStyle w:val="36"/>
                  </w:pPr>
                  <w:r>
                    <w:rPr>
                      <w:rFonts w:hint="eastAsia"/>
                    </w:rPr>
                    <w:t>9</w:t>
                  </w:r>
                </w:p>
              </w:tc>
            </w:tr>
            <w:tr w14:paraId="4063C0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13D285F2">
                  <w:pPr>
                    <w:pStyle w:val="36"/>
                  </w:pPr>
                  <w:r>
                    <w:rPr>
                      <w:rFonts w:hint="eastAsia"/>
                    </w:rPr>
                    <w:t>20</w:t>
                  </w:r>
                </w:p>
              </w:tc>
              <w:tc>
                <w:tcPr>
                  <w:tcW w:w="2096" w:type="pct"/>
                  <w:tcBorders>
                    <w:tl2br w:val="nil"/>
                    <w:tr2bl w:val="nil"/>
                  </w:tcBorders>
                  <w:vAlign w:val="center"/>
                </w:tcPr>
                <w:p w14:paraId="21EE367C">
                  <w:pPr>
                    <w:pStyle w:val="36"/>
                  </w:pPr>
                  <w:r>
                    <w:rPr>
                      <w:rFonts w:hint="eastAsia"/>
                    </w:rPr>
                    <w:t>台式计算机</w:t>
                  </w:r>
                </w:p>
              </w:tc>
              <w:tc>
                <w:tcPr>
                  <w:tcW w:w="1636" w:type="pct"/>
                  <w:tcBorders>
                    <w:tl2br w:val="nil"/>
                    <w:tr2bl w:val="nil"/>
                  </w:tcBorders>
                  <w:vAlign w:val="center"/>
                </w:tcPr>
                <w:p w14:paraId="72B0468D">
                  <w:pPr>
                    <w:pStyle w:val="36"/>
                  </w:pPr>
                  <w:r>
                    <w:rPr>
                      <w:rFonts w:hint="eastAsia"/>
                    </w:rPr>
                    <w:t>/</w:t>
                  </w:r>
                </w:p>
              </w:tc>
              <w:tc>
                <w:tcPr>
                  <w:tcW w:w="645" w:type="pct"/>
                  <w:tcBorders>
                    <w:tl2br w:val="nil"/>
                    <w:tr2bl w:val="nil"/>
                  </w:tcBorders>
                  <w:vAlign w:val="center"/>
                </w:tcPr>
                <w:p w14:paraId="3F1A8228">
                  <w:pPr>
                    <w:pStyle w:val="36"/>
                  </w:pPr>
                  <w:r>
                    <w:rPr>
                      <w:rFonts w:hint="eastAsia"/>
                    </w:rPr>
                    <w:t>2</w:t>
                  </w:r>
                </w:p>
              </w:tc>
            </w:tr>
            <w:tr w14:paraId="6A602E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2BAE35DB">
                  <w:pPr>
                    <w:pStyle w:val="36"/>
                  </w:pPr>
                  <w:r>
                    <w:rPr>
                      <w:rFonts w:hint="eastAsia"/>
                    </w:rPr>
                    <w:t>21</w:t>
                  </w:r>
                </w:p>
              </w:tc>
              <w:tc>
                <w:tcPr>
                  <w:tcW w:w="2096" w:type="pct"/>
                  <w:tcBorders>
                    <w:tl2br w:val="nil"/>
                    <w:tr2bl w:val="nil"/>
                  </w:tcBorders>
                  <w:vAlign w:val="center"/>
                </w:tcPr>
                <w:p w14:paraId="7758744C">
                  <w:pPr>
                    <w:pStyle w:val="36"/>
                  </w:pPr>
                  <w:r>
                    <w:rPr>
                      <w:rFonts w:hint="eastAsia"/>
                    </w:rPr>
                    <w:t>照相机</w:t>
                  </w:r>
                </w:p>
              </w:tc>
              <w:tc>
                <w:tcPr>
                  <w:tcW w:w="1636" w:type="pct"/>
                  <w:tcBorders>
                    <w:tl2br w:val="nil"/>
                    <w:tr2bl w:val="nil"/>
                  </w:tcBorders>
                  <w:vAlign w:val="center"/>
                </w:tcPr>
                <w:p w14:paraId="0C7D8B31">
                  <w:pPr>
                    <w:pStyle w:val="36"/>
                  </w:pPr>
                  <w:r>
                    <w:rPr>
                      <w:rFonts w:hint="eastAsia"/>
                    </w:rPr>
                    <w:t>/</w:t>
                  </w:r>
                </w:p>
              </w:tc>
              <w:tc>
                <w:tcPr>
                  <w:tcW w:w="645" w:type="pct"/>
                  <w:tcBorders>
                    <w:tl2br w:val="nil"/>
                    <w:tr2bl w:val="nil"/>
                  </w:tcBorders>
                  <w:vAlign w:val="center"/>
                </w:tcPr>
                <w:p w14:paraId="100F8349">
                  <w:pPr>
                    <w:pStyle w:val="36"/>
                  </w:pPr>
                  <w:r>
                    <w:rPr>
                      <w:rFonts w:hint="eastAsia"/>
                    </w:rPr>
                    <w:t>4</w:t>
                  </w:r>
                </w:p>
              </w:tc>
            </w:tr>
            <w:tr w14:paraId="42B28D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0D0A8960">
                  <w:pPr>
                    <w:pStyle w:val="36"/>
                  </w:pPr>
                  <w:r>
                    <w:rPr>
                      <w:rFonts w:hint="eastAsia"/>
                    </w:rPr>
                    <w:t>22</w:t>
                  </w:r>
                </w:p>
              </w:tc>
              <w:tc>
                <w:tcPr>
                  <w:tcW w:w="2096" w:type="pct"/>
                  <w:tcBorders>
                    <w:tl2br w:val="nil"/>
                    <w:tr2bl w:val="nil"/>
                  </w:tcBorders>
                  <w:vAlign w:val="center"/>
                </w:tcPr>
                <w:p w14:paraId="0B7FE199">
                  <w:pPr>
                    <w:pStyle w:val="36"/>
                  </w:pPr>
                  <w:r>
                    <w:rPr>
                      <w:rFonts w:hint="eastAsia"/>
                    </w:rPr>
                    <w:t>12通道GPS定位仪</w:t>
                  </w:r>
                </w:p>
              </w:tc>
              <w:tc>
                <w:tcPr>
                  <w:tcW w:w="1636" w:type="pct"/>
                  <w:tcBorders>
                    <w:tl2br w:val="nil"/>
                    <w:tr2bl w:val="nil"/>
                  </w:tcBorders>
                  <w:vAlign w:val="center"/>
                </w:tcPr>
                <w:p w14:paraId="6A918EAF">
                  <w:pPr>
                    <w:pStyle w:val="36"/>
                  </w:pPr>
                  <w:r>
                    <w:rPr>
                      <w:rFonts w:hint="eastAsia"/>
                    </w:rPr>
                    <w:t>/</w:t>
                  </w:r>
                </w:p>
              </w:tc>
              <w:tc>
                <w:tcPr>
                  <w:tcW w:w="645" w:type="pct"/>
                  <w:tcBorders>
                    <w:tl2br w:val="nil"/>
                    <w:tr2bl w:val="nil"/>
                  </w:tcBorders>
                  <w:vAlign w:val="center"/>
                </w:tcPr>
                <w:p w14:paraId="6A9B45E3">
                  <w:pPr>
                    <w:pStyle w:val="36"/>
                  </w:pPr>
                  <w:r>
                    <w:rPr>
                      <w:rFonts w:hint="eastAsia"/>
                    </w:rPr>
                    <w:t>4</w:t>
                  </w:r>
                </w:p>
              </w:tc>
            </w:tr>
            <w:tr w14:paraId="118CCA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1FED191F">
                  <w:pPr>
                    <w:pStyle w:val="36"/>
                  </w:pPr>
                  <w:r>
                    <w:rPr>
                      <w:rFonts w:hint="eastAsia"/>
                    </w:rPr>
                    <w:t>23</w:t>
                  </w:r>
                </w:p>
              </w:tc>
              <w:tc>
                <w:tcPr>
                  <w:tcW w:w="2096" w:type="pct"/>
                  <w:tcBorders>
                    <w:tl2br w:val="nil"/>
                    <w:tr2bl w:val="nil"/>
                  </w:tcBorders>
                  <w:vAlign w:val="center"/>
                </w:tcPr>
                <w:p w14:paraId="0221B12B">
                  <w:pPr>
                    <w:pStyle w:val="36"/>
                  </w:pPr>
                  <w:r>
                    <w:rPr>
                      <w:rFonts w:hint="eastAsia"/>
                    </w:rPr>
                    <w:t>发电机</w:t>
                  </w:r>
                </w:p>
              </w:tc>
              <w:tc>
                <w:tcPr>
                  <w:tcW w:w="1636" w:type="pct"/>
                  <w:tcBorders>
                    <w:tl2br w:val="nil"/>
                    <w:tr2bl w:val="nil"/>
                  </w:tcBorders>
                  <w:vAlign w:val="center"/>
                </w:tcPr>
                <w:p w14:paraId="71A7F9CD">
                  <w:pPr>
                    <w:pStyle w:val="36"/>
                  </w:pPr>
                  <w:r>
                    <w:rPr>
                      <w:rFonts w:hint="eastAsia"/>
                    </w:rPr>
                    <w:t>Cummins6BTA-5.9-C180</w:t>
                  </w:r>
                </w:p>
              </w:tc>
              <w:tc>
                <w:tcPr>
                  <w:tcW w:w="645" w:type="pct"/>
                  <w:tcBorders>
                    <w:tl2br w:val="nil"/>
                    <w:tr2bl w:val="nil"/>
                  </w:tcBorders>
                  <w:vAlign w:val="center"/>
                </w:tcPr>
                <w:p w14:paraId="20AC6A2E">
                  <w:pPr>
                    <w:pStyle w:val="36"/>
                  </w:pPr>
                  <w:r>
                    <w:rPr>
                      <w:rFonts w:hint="eastAsia"/>
                    </w:rPr>
                    <w:t>1</w:t>
                  </w:r>
                </w:p>
              </w:tc>
            </w:tr>
            <w:tr w14:paraId="1B9431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25CE233F">
                  <w:pPr>
                    <w:pStyle w:val="36"/>
                  </w:pPr>
                  <w:r>
                    <w:rPr>
                      <w:rFonts w:hint="eastAsia"/>
                    </w:rPr>
                    <w:t>24</w:t>
                  </w:r>
                </w:p>
              </w:tc>
              <w:tc>
                <w:tcPr>
                  <w:tcW w:w="2096" w:type="pct"/>
                  <w:tcBorders>
                    <w:tl2br w:val="nil"/>
                    <w:tr2bl w:val="nil"/>
                  </w:tcBorders>
                  <w:vAlign w:val="center"/>
                </w:tcPr>
                <w:p w14:paraId="05E2EEB6">
                  <w:pPr>
                    <w:pStyle w:val="36"/>
                  </w:pPr>
                  <w:r>
                    <w:rPr>
                      <w:rFonts w:hint="eastAsia"/>
                    </w:rPr>
                    <w:t>发电机</w:t>
                  </w:r>
                </w:p>
              </w:tc>
              <w:tc>
                <w:tcPr>
                  <w:tcW w:w="1636" w:type="pct"/>
                  <w:tcBorders>
                    <w:tl2br w:val="nil"/>
                    <w:tr2bl w:val="nil"/>
                  </w:tcBorders>
                  <w:vAlign w:val="center"/>
                </w:tcPr>
                <w:p w14:paraId="114DF143">
                  <w:pPr>
                    <w:pStyle w:val="36"/>
                  </w:pPr>
                  <w:r>
                    <w:rPr>
                      <w:rFonts w:hint="eastAsia"/>
                    </w:rPr>
                    <w:t>雅马哈</w:t>
                  </w:r>
                </w:p>
              </w:tc>
              <w:tc>
                <w:tcPr>
                  <w:tcW w:w="645" w:type="pct"/>
                  <w:tcBorders>
                    <w:tl2br w:val="nil"/>
                    <w:tr2bl w:val="nil"/>
                  </w:tcBorders>
                  <w:vAlign w:val="center"/>
                </w:tcPr>
                <w:p w14:paraId="38D6E639">
                  <w:pPr>
                    <w:pStyle w:val="36"/>
                  </w:pPr>
                  <w:r>
                    <w:rPr>
                      <w:rFonts w:hint="eastAsia"/>
                    </w:rPr>
                    <w:t>1</w:t>
                  </w:r>
                </w:p>
              </w:tc>
            </w:tr>
            <w:tr w14:paraId="573777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2ED3DB18">
                  <w:pPr>
                    <w:pStyle w:val="36"/>
                  </w:pPr>
                  <w:r>
                    <w:rPr>
                      <w:rFonts w:hint="eastAsia"/>
                    </w:rPr>
                    <w:t>25</w:t>
                  </w:r>
                </w:p>
              </w:tc>
              <w:tc>
                <w:tcPr>
                  <w:tcW w:w="2096" w:type="pct"/>
                  <w:tcBorders>
                    <w:tl2br w:val="nil"/>
                    <w:tr2bl w:val="nil"/>
                  </w:tcBorders>
                  <w:vAlign w:val="center"/>
                </w:tcPr>
                <w:p w14:paraId="47963F48">
                  <w:pPr>
                    <w:pStyle w:val="36"/>
                  </w:pPr>
                  <w:r>
                    <w:rPr>
                      <w:rFonts w:hint="eastAsia"/>
                      <w:lang w:eastAsia="zh-CN"/>
                    </w:rPr>
                    <w:t>帐篷</w:t>
                  </w:r>
                </w:p>
              </w:tc>
              <w:tc>
                <w:tcPr>
                  <w:tcW w:w="1636" w:type="pct"/>
                  <w:tcBorders>
                    <w:tl2br w:val="nil"/>
                    <w:tr2bl w:val="nil"/>
                  </w:tcBorders>
                  <w:vAlign w:val="center"/>
                </w:tcPr>
                <w:p w14:paraId="5DA85B80">
                  <w:pPr>
                    <w:pStyle w:val="36"/>
                  </w:pPr>
                  <w:r>
                    <w:rPr>
                      <w:rFonts w:hint="eastAsia"/>
                    </w:rPr>
                    <w:t>/</w:t>
                  </w:r>
                </w:p>
              </w:tc>
              <w:tc>
                <w:tcPr>
                  <w:tcW w:w="645" w:type="pct"/>
                  <w:tcBorders>
                    <w:tl2br w:val="nil"/>
                    <w:tr2bl w:val="nil"/>
                  </w:tcBorders>
                  <w:vAlign w:val="center"/>
                </w:tcPr>
                <w:p w14:paraId="61ABB192">
                  <w:pPr>
                    <w:pStyle w:val="36"/>
                  </w:pPr>
                  <w:r>
                    <w:rPr>
                      <w:rFonts w:hint="eastAsia"/>
                    </w:rPr>
                    <w:t>9</w:t>
                  </w:r>
                </w:p>
              </w:tc>
            </w:tr>
            <w:tr w14:paraId="2FFED5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6FAC6EE3">
                  <w:pPr>
                    <w:pStyle w:val="36"/>
                  </w:pPr>
                  <w:r>
                    <w:rPr>
                      <w:rFonts w:hint="eastAsia"/>
                    </w:rPr>
                    <w:t>26</w:t>
                  </w:r>
                </w:p>
              </w:tc>
              <w:tc>
                <w:tcPr>
                  <w:tcW w:w="2096" w:type="pct"/>
                  <w:tcBorders>
                    <w:tl2br w:val="nil"/>
                    <w:tr2bl w:val="nil"/>
                  </w:tcBorders>
                  <w:vAlign w:val="center"/>
                </w:tcPr>
                <w:p w14:paraId="3EE82A9D">
                  <w:pPr>
                    <w:pStyle w:val="36"/>
                  </w:pPr>
                  <w:r>
                    <w:rPr>
                      <w:rFonts w:hint="eastAsia"/>
                    </w:rPr>
                    <w:t>电视机</w:t>
                  </w:r>
                </w:p>
              </w:tc>
              <w:tc>
                <w:tcPr>
                  <w:tcW w:w="1636" w:type="pct"/>
                  <w:tcBorders>
                    <w:tl2br w:val="nil"/>
                    <w:tr2bl w:val="nil"/>
                  </w:tcBorders>
                  <w:vAlign w:val="center"/>
                </w:tcPr>
                <w:p w14:paraId="228F23B4">
                  <w:pPr>
                    <w:pStyle w:val="36"/>
                  </w:pPr>
                  <w:r>
                    <w:rPr>
                      <w:rFonts w:hint="eastAsia"/>
                    </w:rPr>
                    <w:t>/</w:t>
                  </w:r>
                </w:p>
              </w:tc>
              <w:tc>
                <w:tcPr>
                  <w:tcW w:w="645" w:type="pct"/>
                  <w:tcBorders>
                    <w:tl2br w:val="nil"/>
                    <w:tr2bl w:val="nil"/>
                  </w:tcBorders>
                  <w:vAlign w:val="center"/>
                </w:tcPr>
                <w:p w14:paraId="7F9B8B0D">
                  <w:pPr>
                    <w:pStyle w:val="36"/>
                  </w:pPr>
                  <w:r>
                    <w:rPr>
                      <w:rFonts w:hint="eastAsia"/>
                    </w:rPr>
                    <w:t>2</w:t>
                  </w:r>
                </w:p>
              </w:tc>
            </w:tr>
            <w:tr w14:paraId="237713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3AF0FBAC">
                  <w:pPr>
                    <w:pStyle w:val="36"/>
                  </w:pPr>
                  <w:r>
                    <w:rPr>
                      <w:rFonts w:hint="eastAsia"/>
                    </w:rPr>
                    <w:t>27</w:t>
                  </w:r>
                </w:p>
              </w:tc>
              <w:tc>
                <w:tcPr>
                  <w:tcW w:w="2096" w:type="pct"/>
                  <w:tcBorders>
                    <w:tl2br w:val="nil"/>
                    <w:tr2bl w:val="nil"/>
                  </w:tcBorders>
                  <w:vAlign w:val="center"/>
                </w:tcPr>
                <w:p w14:paraId="76AA909B">
                  <w:pPr>
                    <w:pStyle w:val="36"/>
                  </w:pPr>
                  <w:r>
                    <w:rPr>
                      <w:rFonts w:hint="eastAsia"/>
                    </w:rPr>
                    <w:t>电冰柜</w:t>
                  </w:r>
                </w:p>
              </w:tc>
              <w:tc>
                <w:tcPr>
                  <w:tcW w:w="1636" w:type="pct"/>
                  <w:tcBorders>
                    <w:tl2br w:val="nil"/>
                    <w:tr2bl w:val="nil"/>
                  </w:tcBorders>
                  <w:vAlign w:val="center"/>
                </w:tcPr>
                <w:p w14:paraId="362C0D00">
                  <w:pPr>
                    <w:pStyle w:val="36"/>
                  </w:pPr>
                  <w:r>
                    <w:rPr>
                      <w:rFonts w:hint="eastAsia"/>
                    </w:rPr>
                    <w:t>/</w:t>
                  </w:r>
                </w:p>
              </w:tc>
              <w:tc>
                <w:tcPr>
                  <w:tcW w:w="645" w:type="pct"/>
                  <w:tcBorders>
                    <w:tl2br w:val="nil"/>
                    <w:tr2bl w:val="nil"/>
                  </w:tcBorders>
                  <w:vAlign w:val="center"/>
                </w:tcPr>
                <w:p w14:paraId="2347D2FC">
                  <w:pPr>
                    <w:pStyle w:val="36"/>
                  </w:pPr>
                  <w:r>
                    <w:rPr>
                      <w:rFonts w:hint="eastAsia"/>
                    </w:rPr>
                    <w:t>2</w:t>
                  </w:r>
                </w:p>
              </w:tc>
            </w:tr>
            <w:tr w14:paraId="72DDF1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683EDB0A">
                  <w:pPr>
                    <w:pStyle w:val="36"/>
                  </w:pPr>
                  <w:r>
                    <w:rPr>
                      <w:rFonts w:hint="eastAsia"/>
                    </w:rPr>
                    <w:t>28</w:t>
                  </w:r>
                </w:p>
              </w:tc>
              <w:tc>
                <w:tcPr>
                  <w:tcW w:w="2096" w:type="pct"/>
                  <w:tcBorders>
                    <w:tl2br w:val="nil"/>
                    <w:tr2bl w:val="nil"/>
                  </w:tcBorders>
                  <w:vAlign w:val="center"/>
                </w:tcPr>
                <w:p w14:paraId="305EA0AE">
                  <w:pPr>
                    <w:pStyle w:val="36"/>
                  </w:pPr>
                  <w:r>
                    <w:rPr>
                      <w:rFonts w:hint="eastAsia"/>
                    </w:rPr>
                    <w:t>美国伊诺思lnnov-X便携式矿石分析仪</w:t>
                  </w:r>
                </w:p>
              </w:tc>
              <w:tc>
                <w:tcPr>
                  <w:tcW w:w="1636" w:type="pct"/>
                  <w:tcBorders>
                    <w:tl2br w:val="nil"/>
                    <w:tr2bl w:val="nil"/>
                  </w:tcBorders>
                  <w:vAlign w:val="center"/>
                </w:tcPr>
                <w:p w14:paraId="6396A3E1">
                  <w:pPr>
                    <w:pStyle w:val="36"/>
                  </w:pPr>
                  <w:r>
                    <w:rPr>
                      <w:rFonts w:hint="eastAsia"/>
                    </w:rPr>
                    <w:t>/</w:t>
                  </w:r>
                </w:p>
              </w:tc>
              <w:tc>
                <w:tcPr>
                  <w:tcW w:w="645" w:type="pct"/>
                  <w:tcBorders>
                    <w:tl2br w:val="nil"/>
                    <w:tr2bl w:val="nil"/>
                  </w:tcBorders>
                  <w:vAlign w:val="center"/>
                </w:tcPr>
                <w:p w14:paraId="34B9169B">
                  <w:pPr>
                    <w:pStyle w:val="36"/>
                  </w:pPr>
                  <w:r>
                    <w:rPr>
                      <w:rFonts w:hint="eastAsia"/>
                    </w:rPr>
                    <w:t>1</w:t>
                  </w:r>
                </w:p>
              </w:tc>
            </w:tr>
            <w:tr w14:paraId="47FFA2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32FFF2F1">
                  <w:pPr>
                    <w:pStyle w:val="36"/>
                  </w:pPr>
                  <w:r>
                    <w:rPr>
                      <w:rFonts w:hint="eastAsia"/>
                    </w:rPr>
                    <w:t>29</w:t>
                  </w:r>
                </w:p>
              </w:tc>
              <w:tc>
                <w:tcPr>
                  <w:tcW w:w="2096" w:type="pct"/>
                  <w:tcBorders>
                    <w:tl2br w:val="nil"/>
                    <w:tr2bl w:val="nil"/>
                  </w:tcBorders>
                  <w:vAlign w:val="center"/>
                </w:tcPr>
                <w:p w14:paraId="1901902C">
                  <w:pPr>
                    <w:pStyle w:val="36"/>
                  </w:pPr>
                  <w:r>
                    <w:rPr>
                      <w:rFonts w:hint="eastAsia"/>
                    </w:rPr>
                    <w:t>痕金分析仪</w:t>
                  </w:r>
                </w:p>
              </w:tc>
              <w:tc>
                <w:tcPr>
                  <w:tcW w:w="1636" w:type="pct"/>
                  <w:tcBorders>
                    <w:tl2br w:val="nil"/>
                    <w:tr2bl w:val="nil"/>
                  </w:tcBorders>
                  <w:vAlign w:val="center"/>
                </w:tcPr>
                <w:p w14:paraId="0D573C64">
                  <w:pPr>
                    <w:pStyle w:val="36"/>
                  </w:pPr>
                  <w:r>
                    <w:rPr>
                      <w:rFonts w:hint="eastAsia"/>
                    </w:rPr>
                    <w:t>/</w:t>
                  </w:r>
                </w:p>
              </w:tc>
              <w:tc>
                <w:tcPr>
                  <w:tcW w:w="645" w:type="pct"/>
                  <w:tcBorders>
                    <w:tl2br w:val="nil"/>
                    <w:tr2bl w:val="nil"/>
                  </w:tcBorders>
                  <w:vAlign w:val="center"/>
                </w:tcPr>
                <w:p w14:paraId="3E1930EA">
                  <w:pPr>
                    <w:pStyle w:val="36"/>
                  </w:pPr>
                  <w:r>
                    <w:rPr>
                      <w:rFonts w:hint="eastAsia"/>
                    </w:rPr>
                    <w:t>1</w:t>
                  </w:r>
                </w:p>
              </w:tc>
            </w:tr>
            <w:tr w14:paraId="0058EF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7093A0D7">
                  <w:pPr>
                    <w:pStyle w:val="36"/>
                  </w:pPr>
                  <w:r>
                    <w:rPr>
                      <w:rFonts w:hint="eastAsia"/>
                    </w:rPr>
                    <w:t>30</w:t>
                  </w:r>
                </w:p>
              </w:tc>
              <w:tc>
                <w:tcPr>
                  <w:tcW w:w="2096" w:type="pct"/>
                  <w:tcBorders>
                    <w:tl2br w:val="nil"/>
                    <w:tr2bl w:val="nil"/>
                  </w:tcBorders>
                  <w:vAlign w:val="center"/>
                </w:tcPr>
                <w:p w14:paraId="3D48FDBC">
                  <w:pPr>
                    <w:pStyle w:val="36"/>
                  </w:pPr>
                  <w:r>
                    <w:rPr>
                      <w:rFonts w:hint="eastAsia"/>
                    </w:rPr>
                    <w:t>偏光显微镜</w:t>
                  </w:r>
                </w:p>
              </w:tc>
              <w:tc>
                <w:tcPr>
                  <w:tcW w:w="1636" w:type="pct"/>
                  <w:tcBorders>
                    <w:tl2br w:val="nil"/>
                    <w:tr2bl w:val="nil"/>
                  </w:tcBorders>
                  <w:vAlign w:val="center"/>
                </w:tcPr>
                <w:p w14:paraId="306AAE18">
                  <w:pPr>
                    <w:pStyle w:val="36"/>
                  </w:pPr>
                  <w:r>
                    <w:rPr>
                      <w:rFonts w:hint="eastAsia"/>
                    </w:rPr>
                    <w:t>/</w:t>
                  </w:r>
                </w:p>
              </w:tc>
              <w:tc>
                <w:tcPr>
                  <w:tcW w:w="645" w:type="pct"/>
                  <w:tcBorders>
                    <w:tl2br w:val="nil"/>
                    <w:tr2bl w:val="nil"/>
                  </w:tcBorders>
                  <w:vAlign w:val="center"/>
                </w:tcPr>
                <w:p w14:paraId="5DAD0A28">
                  <w:pPr>
                    <w:pStyle w:val="36"/>
                  </w:pPr>
                  <w:r>
                    <w:rPr>
                      <w:rFonts w:hint="eastAsia"/>
                    </w:rPr>
                    <w:t>1</w:t>
                  </w:r>
                </w:p>
              </w:tc>
            </w:tr>
            <w:tr w14:paraId="06EC3B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621" w:type="pct"/>
                  <w:tcBorders>
                    <w:tl2br w:val="nil"/>
                    <w:tr2bl w:val="nil"/>
                  </w:tcBorders>
                </w:tcPr>
                <w:p w14:paraId="67AE11DE">
                  <w:pPr>
                    <w:pStyle w:val="36"/>
                  </w:pPr>
                  <w:r>
                    <w:rPr>
                      <w:rFonts w:hint="eastAsia"/>
                    </w:rPr>
                    <w:t>31</w:t>
                  </w:r>
                </w:p>
              </w:tc>
              <w:tc>
                <w:tcPr>
                  <w:tcW w:w="2096" w:type="pct"/>
                  <w:tcBorders>
                    <w:tl2br w:val="nil"/>
                    <w:tr2bl w:val="nil"/>
                  </w:tcBorders>
                  <w:vAlign w:val="center"/>
                </w:tcPr>
                <w:p w14:paraId="0C7F61FA">
                  <w:pPr>
                    <w:pStyle w:val="36"/>
                  </w:pPr>
                  <w:r>
                    <w:rPr>
                      <w:rFonts w:hint="eastAsia"/>
                    </w:rPr>
                    <w:t>磨片机</w:t>
                  </w:r>
                </w:p>
              </w:tc>
              <w:tc>
                <w:tcPr>
                  <w:tcW w:w="1636" w:type="pct"/>
                  <w:tcBorders>
                    <w:tl2br w:val="nil"/>
                    <w:tr2bl w:val="nil"/>
                  </w:tcBorders>
                  <w:vAlign w:val="center"/>
                </w:tcPr>
                <w:p w14:paraId="50713EEB">
                  <w:pPr>
                    <w:pStyle w:val="36"/>
                  </w:pPr>
                  <w:r>
                    <w:rPr>
                      <w:rFonts w:hint="eastAsia"/>
                    </w:rPr>
                    <w:t>/</w:t>
                  </w:r>
                </w:p>
              </w:tc>
              <w:tc>
                <w:tcPr>
                  <w:tcW w:w="645" w:type="pct"/>
                  <w:tcBorders>
                    <w:tl2br w:val="nil"/>
                    <w:tr2bl w:val="nil"/>
                  </w:tcBorders>
                  <w:vAlign w:val="center"/>
                </w:tcPr>
                <w:p w14:paraId="31D14F44">
                  <w:pPr>
                    <w:pStyle w:val="36"/>
                  </w:pPr>
                  <w:r>
                    <w:rPr>
                      <w:rFonts w:hint="eastAsia"/>
                    </w:rPr>
                    <w:t>1</w:t>
                  </w:r>
                </w:p>
              </w:tc>
            </w:tr>
            <w:tr w14:paraId="4AF8AD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710B4D72">
                  <w:pPr>
                    <w:pStyle w:val="36"/>
                  </w:pPr>
                  <w:r>
                    <w:rPr>
                      <w:rFonts w:hint="eastAsia"/>
                    </w:rPr>
                    <w:t>32</w:t>
                  </w:r>
                </w:p>
              </w:tc>
              <w:tc>
                <w:tcPr>
                  <w:tcW w:w="2096" w:type="pct"/>
                  <w:tcBorders>
                    <w:tl2br w:val="nil"/>
                    <w:tr2bl w:val="nil"/>
                  </w:tcBorders>
                  <w:vAlign w:val="center"/>
                </w:tcPr>
                <w:p w14:paraId="504E0274">
                  <w:pPr>
                    <w:pStyle w:val="36"/>
                  </w:pPr>
                  <w:r>
                    <w:rPr>
                      <w:rFonts w:hint="eastAsia"/>
                    </w:rPr>
                    <w:t>切片机</w:t>
                  </w:r>
                </w:p>
              </w:tc>
              <w:tc>
                <w:tcPr>
                  <w:tcW w:w="1636" w:type="pct"/>
                  <w:tcBorders>
                    <w:tl2br w:val="nil"/>
                    <w:tr2bl w:val="nil"/>
                  </w:tcBorders>
                  <w:vAlign w:val="center"/>
                </w:tcPr>
                <w:p w14:paraId="582AF46E">
                  <w:pPr>
                    <w:pStyle w:val="36"/>
                  </w:pPr>
                  <w:r>
                    <w:rPr>
                      <w:rFonts w:hint="eastAsia"/>
                    </w:rPr>
                    <w:t>/</w:t>
                  </w:r>
                </w:p>
              </w:tc>
              <w:tc>
                <w:tcPr>
                  <w:tcW w:w="645" w:type="pct"/>
                  <w:tcBorders>
                    <w:tl2br w:val="nil"/>
                    <w:tr2bl w:val="nil"/>
                  </w:tcBorders>
                  <w:vAlign w:val="center"/>
                </w:tcPr>
                <w:p w14:paraId="49EA7677">
                  <w:pPr>
                    <w:pStyle w:val="36"/>
                  </w:pPr>
                  <w:r>
                    <w:rPr>
                      <w:rFonts w:hint="eastAsia"/>
                    </w:rPr>
                    <w:t>1</w:t>
                  </w:r>
                </w:p>
              </w:tc>
            </w:tr>
            <w:tr w14:paraId="0080A2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314AD694">
                  <w:pPr>
                    <w:pStyle w:val="36"/>
                  </w:pPr>
                  <w:r>
                    <w:rPr>
                      <w:rFonts w:hint="eastAsia"/>
                    </w:rPr>
                    <w:t>33</w:t>
                  </w:r>
                </w:p>
              </w:tc>
              <w:tc>
                <w:tcPr>
                  <w:tcW w:w="2096" w:type="pct"/>
                  <w:tcBorders>
                    <w:tl2br w:val="nil"/>
                    <w:tr2bl w:val="nil"/>
                  </w:tcBorders>
                  <w:vAlign w:val="center"/>
                </w:tcPr>
                <w:p w14:paraId="2987E256">
                  <w:pPr>
                    <w:pStyle w:val="36"/>
                  </w:pPr>
                  <w:r>
                    <w:rPr>
                      <w:rFonts w:hint="eastAsia"/>
                    </w:rPr>
                    <w:t>卫星电话</w:t>
                  </w:r>
                </w:p>
              </w:tc>
              <w:tc>
                <w:tcPr>
                  <w:tcW w:w="1636" w:type="pct"/>
                  <w:tcBorders>
                    <w:tl2br w:val="nil"/>
                    <w:tr2bl w:val="nil"/>
                  </w:tcBorders>
                  <w:vAlign w:val="center"/>
                </w:tcPr>
                <w:p w14:paraId="6D509456">
                  <w:pPr>
                    <w:pStyle w:val="36"/>
                  </w:pPr>
                  <w:r>
                    <w:rPr>
                      <w:rFonts w:hint="eastAsia"/>
                    </w:rPr>
                    <w:t>/</w:t>
                  </w:r>
                </w:p>
              </w:tc>
              <w:tc>
                <w:tcPr>
                  <w:tcW w:w="645" w:type="pct"/>
                  <w:tcBorders>
                    <w:tl2br w:val="nil"/>
                    <w:tr2bl w:val="nil"/>
                  </w:tcBorders>
                  <w:vAlign w:val="center"/>
                </w:tcPr>
                <w:p w14:paraId="244CB57D">
                  <w:pPr>
                    <w:pStyle w:val="36"/>
                  </w:pPr>
                  <w:r>
                    <w:rPr>
                      <w:rFonts w:hint="eastAsia"/>
                    </w:rPr>
                    <w:t>2</w:t>
                  </w:r>
                </w:p>
              </w:tc>
            </w:tr>
            <w:tr w14:paraId="70EB58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14:paraId="0CD1C0C4">
                  <w:pPr>
                    <w:pStyle w:val="36"/>
                  </w:pPr>
                  <w:r>
                    <w:rPr>
                      <w:rFonts w:hint="eastAsia"/>
                    </w:rPr>
                    <w:t>34</w:t>
                  </w:r>
                </w:p>
              </w:tc>
              <w:tc>
                <w:tcPr>
                  <w:tcW w:w="2096" w:type="pct"/>
                  <w:tcBorders>
                    <w:tl2br w:val="nil"/>
                    <w:tr2bl w:val="nil"/>
                  </w:tcBorders>
                  <w:vAlign w:val="center"/>
                </w:tcPr>
                <w:p w14:paraId="7BCBA2A2">
                  <w:pPr>
                    <w:pStyle w:val="36"/>
                  </w:pPr>
                  <w:r>
                    <w:rPr>
                      <w:rFonts w:hint="eastAsia"/>
                    </w:rPr>
                    <w:t>打印机</w:t>
                  </w:r>
                </w:p>
              </w:tc>
              <w:tc>
                <w:tcPr>
                  <w:tcW w:w="1636" w:type="pct"/>
                  <w:tcBorders>
                    <w:tl2br w:val="nil"/>
                    <w:tr2bl w:val="nil"/>
                  </w:tcBorders>
                  <w:vAlign w:val="center"/>
                </w:tcPr>
                <w:p w14:paraId="77DCC2BB">
                  <w:pPr>
                    <w:pStyle w:val="36"/>
                  </w:pPr>
                  <w:r>
                    <w:rPr>
                      <w:rFonts w:hint="eastAsia"/>
                    </w:rPr>
                    <w:t>/</w:t>
                  </w:r>
                </w:p>
              </w:tc>
              <w:tc>
                <w:tcPr>
                  <w:tcW w:w="645" w:type="pct"/>
                  <w:tcBorders>
                    <w:tl2br w:val="nil"/>
                    <w:tr2bl w:val="nil"/>
                  </w:tcBorders>
                  <w:vAlign w:val="center"/>
                </w:tcPr>
                <w:p w14:paraId="66734FD3">
                  <w:pPr>
                    <w:pStyle w:val="36"/>
                  </w:pPr>
                  <w:r>
                    <w:rPr>
                      <w:rFonts w:hint="eastAsia"/>
                    </w:rPr>
                    <w:t>1</w:t>
                  </w:r>
                </w:p>
              </w:tc>
            </w:tr>
            <w:tr w14:paraId="3CC669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18" w:type="dxa"/>
                  <w:tcBorders>
                    <w:tl2br w:val="nil"/>
                    <w:tr2bl w:val="nil"/>
                  </w:tcBorders>
                  <w:vAlign w:val="top"/>
                </w:tcPr>
                <w:p w14:paraId="750A7E93">
                  <w:pPr>
                    <w:pStyle w:val="36"/>
                    <w:ind w:firstLine="0" w:firstLineChars="0"/>
                    <w:rPr>
                      <w:rFonts w:hint="default"/>
                      <w:lang w:val="en-US"/>
                    </w:rPr>
                  </w:pPr>
                  <w:r>
                    <w:rPr>
                      <w:rFonts w:hint="eastAsia"/>
                      <w:lang w:val="en-US" w:eastAsia="zh-CN"/>
                    </w:rPr>
                    <w:t>35</w:t>
                  </w:r>
                </w:p>
              </w:tc>
              <w:tc>
                <w:tcPr>
                  <w:tcW w:w="3774" w:type="dxa"/>
                  <w:tcBorders>
                    <w:tl2br w:val="nil"/>
                    <w:tr2bl w:val="nil"/>
                  </w:tcBorders>
                  <w:vAlign w:val="center"/>
                </w:tcPr>
                <w:p w14:paraId="4A8D247A">
                  <w:pPr>
                    <w:pStyle w:val="36"/>
                    <w:ind w:firstLine="0" w:firstLineChars="0"/>
                    <w:rPr>
                      <w:rFonts w:hint="eastAsia"/>
                    </w:rPr>
                  </w:pPr>
                  <w:r>
                    <w:rPr>
                      <w:rFonts w:hint="default" w:ascii="Times New Roman" w:hAnsi="Times New Roman" w:cs="Times New Roman" w:eastAsiaTheme="minorEastAsia"/>
                      <w:color w:val="auto"/>
                      <w:sz w:val="21"/>
                      <w:szCs w:val="21"/>
                      <w:lang w:val="en-US" w:eastAsia="zh-CN"/>
                    </w:rPr>
                    <w:t>一体化污水处理设施</w:t>
                  </w:r>
                </w:p>
              </w:tc>
              <w:tc>
                <w:tcPr>
                  <w:tcW w:w="2946" w:type="dxa"/>
                  <w:tcBorders>
                    <w:tl2br w:val="nil"/>
                    <w:tr2bl w:val="nil"/>
                  </w:tcBorders>
                  <w:vAlign w:val="center"/>
                </w:tcPr>
                <w:p w14:paraId="3A1C3483">
                  <w:pPr>
                    <w:pStyle w:val="36"/>
                    <w:ind w:firstLine="0" w:firstLineChars="0"/>
                    <w:rPr>
                      <w:rFonts w:hint="eastAsia"/>
                    </w:rPr>
                  </w:pPr>
                  <w:r>
                    <w:rPr>
                      <w:rFonts w:hint="eastAsia"/>
                      <w:lang w:val="en-US" w:eastAsia="zh-CN"/>
                    </w:rPr>
                    <w:t>/</w:t>
                  </w:r>
                </w:p>
              </w:tc>
              <w:tc>
                <w:tcPr>
                  <w:tcW w:w="1161" w:type="dxa"/>
                  <w:tcBorders>
                    <w:tl2br w:val="nil"/>
                    <w:tr2bl w:val="nil"/>
                  </w:tcBorders>
                  <w:vAlign w:val="center"/>
                </w:tcPr>
                <w:p w14:paraId="00850CF2">
                  <w:pPr>
                    <w:pStyle w:val="36"/>
                    <w:ind w:firstLine="0" w:firstLineChars="0"/>
                    <w:rPr>
                      <w:rFonts w:hint="eastAsia"/>
                    </w:rPr>
                  </w:pPr>
                  <w:r>
                    <w:rPr>
                      <w:rFonts w:hint="eastAsia"/>
                      <w:lang w:val="en-US" w:eastAsia="zh-CN"/>
                    </w:rPr>
                    <w:t>1</w:t>
                  </w:r>
                </w:p>
              </w:tc>
            </w:tr>
          </w:tbl>
          <w:p w14:paraId="11E23258">
            <w:pPr>
              <w:pStyle w:val="20"/>
              <w:ind w:firstLine="482"/>
            </w:pPr>
            <w:r>
              <w:rPr>
                <w:rFonts w:hint="eastAsia"/>
                <w:lang w:val="en-US" w:eastAsia="zh-CN"/>
              </w:rPr>
              <w:t>7</w:t>
            </w:r>
            <w:r>
              <w:rPr>
                <w:rFonts w:hint="eastAsia"/>
              </w:rPr>
              <w:t>、主要</w:t>
            </w:r>
            <w:r>
              <w:t>原、辅材料</w:t>
            </w:r>
            <w:r>
              <w:rPr>
                <w:rFonts w:hint="eastAsia"/>
              </w:rPr>
              <w:t>用量</w:t>
            </w:r>
          </w:p>
          <w:p w14:paraId="5B65E8C9">
            <w:pPr>
              <w:ind w:firstLine="480"/>
            </w:pPr>
            <w:r>
              <w:t>本项目主要原辅材料</w:t>
            </w:r>
            <w:r>
              <w:rPr>
                <w:rFonts w:hint="eastAsia"/>
              </w:rPr>
              <w:t>消耗</w:t>
            </w:r>
            <w:r>
              <w:t>见表</w:t>
            </w:r>
            <w:r>
              <w:rPr>
                <w:rFonts w:hint="eastAsia"/>
              </w:rPr>
              <w:t>2</w:t>
            </w:r>
            <w:r>
              <w:t>-</w:t>
            </w:r>
            <w:r>
              <w:rPr>
                <w:rFonts w:hint="eastAsia"/>
                <w:lang w:val="en-US" w:eastAsia="zh-CN"/>
              </w:rPr>
              <w:t>6</w:t>
            </w:r>
            <w:r>
              <w:rPr>
                <w:rFonts w:hint="eastAsia"/>
              </w:rPr>
              <w:t>。</w:t>
            </w:r>
          </w:p>
          <w:p w14:paraId="1536AFFF">
            <w:pPr>
              <w:pStyle w:val="33"/>
              <w:spacing w:before="120"/>
              <w:rPr>
                <w:bCs/>
                <w:highlight w:val="none"/>
              </w:rPr>
            </w:pPr>
            <w:r>
              <w:rPr>
                <w:rFonts w:hint="eastAsia"/>
                <w:highlight w:val="none"/>
              </w:rPr>
              <w:t>表2</w:t>
            </w:r>
            <w:r>
              <w:rPr>
                <w:highlight w:val="none"/>
              </w:rPr>
              <w:t>-</w:t>
            </w:r>
            <w:r>
              <w:rPr>
                <w:rFonts w:hint="eastAsia"/>
                <w:highlight w:val="none"/>
                <w:lang w:val="en-US" w:eastAsia="zh-CN"/>
              </w:rPr>
              <w:t>6</w:t>
            </w:r>
            <w:r>
              <w:rPr>
                <w:rFonts w:hint="eastAsia"/>
                <w:highlight w:val="none"/>
              </w:rPr>
              <w:t>主要原、辅材料消耗一览表</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31"/>
              <w:gridCol w:w="1730"/>
              <w:gridCol w:w="1518"/>
              <w:gridCol w:w="2293"/>
              <w:gridCol w:w="2628"/>
            </w:tblGrid>
            <w:tr w14:paraId="342439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blHeader/>
                <w:jc w:val="center"/>
              </w:trPr>
              <w:tc>
                <w:tcPr>
                  <w:tcW w:w="833" w:type="dxa"/>
                  <w:tcBorders>
                    <w:tl2br w:val="nil"/>
                    <w:tr2bl w:val="nil"/>
                  </w:tcBorders>
                </w:tcPr>
                <w:p w14:paraId="5A6E015A">
                  <w:pPr>
                    <w:pStyle w:val="36"/>
                  </w:pPr>
                  <w:r>
                    <w:t>序号</w:t>
                  </w:r>
                </w:p>
              </w:tc>
              <w:tc>
                <w:tcPr>
                  <w:tcW w:w="1736" w:type="dxa"/>
                  <w:tcBorders>
                    <w:tl2br w:val="nil"/>
                    <w:tr2bl w:val="nil"/>
                  </w:tcBorders>
                </w:tcPr>
                <w:p w14:paraId="6BBF6B6B">
                  <w:pPr>
                    <w:pStyle w:val="36"/>
                  </w:pPr>
                  <w:r>
                    <w:t>名称</w:t>
                  </w:r>
                </w:p>
              </w:tc>
              <w:tc>
                <w:tcPr>
                  <w:tcW w:w="1521" w:type="dxa"/>
                  <w:tcBorders>
                    <w:tl2br w:val="nil"/>
                    <w:tr2bl w:val="nil"/>
                  </w:tcBorders>
                </w:tcPr>
                <w:p w14:paraId="2620C4F6">
                  <w:pPr>
                    <w:pStyle w:val="36"/>
                  </w:pPr>
                  <w:r>
                    <w:t>用量</w:t>
                  </w:r>
                </w:p>
              </w:tc>
              <w:tc>
                <w:tcPr>
                  <w:tcW w:w="2302" w:type="dxa"/>
                  <w:tcBorders>
                    <w:tl2br w:val="nil"/>
                    <w:tr2bl w:val="nil"/>
                  </w:tcBorders>
                </w:tcPr>
                <w:p w14:paraId="1358393B">
                  <w:pPr>
                    <w:pStyle w:val="36"/>
                  </w:pPr>
                  <w:r>
                    <w:t>来源</w:t>
                  </w:r>
                </w:p>
              </w:tc>
              <w:tc>
                <w:tcPr>
                  <w:tcW w:w="2638" w:type="dxa"/>
                  <w:tcBorders>
                    <w:tl2br w:val="nil"/>
                    <w:tr2bl w:val="nil"/>
                  </w:tcBorders>
                </w:tcPr>
                <w:p w14:paraId="4D63402D">
                  <w:pPr>
                    <w:pStyle w:val="36"/>
                  </w:pPr>
                  <w:r>
                    <w:t>备注</w:t>
                  </w:r>
                </w:p>
              </w:tc>
            </w:tr>
            <w:tr w14:paraId="58FB8E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6" w:hRule="atLeast"/>
                <w:tblHeader/>
                <w:jc w:val="center"/>
              </w:trPr>
              <w:tc>
                <w:tcPr>
                  <w:tcW w:w="833" w:type="dxa"/>
                  <w:tcBorders>
                    <w:tl2br w:val="nil"/>
                    <w:tr2bl w:val="nil"/>
                  </w:tcBorders>
                  <w:vAlign w:val="center"/>
                </w:tcPr>
                <w:p w14:paraId="1DA1AC7C">
                  <w:pPr>
                    <w:pStyle w:val="36"/>
                  </w:pPr>
                  <w:r>
                    <w:t>1</w:t>
                  </w:r>
                </w:p>
              </w:tc>
              <w:tc>
                <w:tcPr>
                  <w:tcW w:w="1736" w:type="dxa"/>
                  <w:tcBorders>
                    <w:tl2br w:val="nil"/>
                    <w:tr2bl w:val="nil"/>
                  </w:tcBorders>
                  <w:vAlign w:val="center"/>
                </w:tcPr>
                <w:p w14:paraId="43706088">
                  <w:pPr>
                    <w:pStyle w:val="36"/>
                  </w:pPr>
                  <w:r>
                    <w:rPr>
                      <w:rFonts w:hint="eastAsia"/>
                    </w:rPr>
                    <w:t>专用泥浆</w:t>
                  </w:r>
                </w:p>
              </w:tc>
              <w:tc>
                <w:tcPr>
                  <w:tcW w:w="1521" w:type="dxa"/>
                  <w:tcBorders>
                    <w:tl2br w:val="nil"/>
                    <w:tr2bl w:val="nil"/>
                  </w:tcBorders>
                  <w:vAlign w:val="center"/>
                </w:tcPr>
                <w:p w14:paraId="4EF35B3B">
                  <w:pPr>
                    <w:pStyle w:val="36"/>
                  </w:pPr>
                  <w:r>
                    <w:rPr>
                      <w:rFonts w:hint="eastAsia"/>
                    </w:rPr>
                    <w:t>0</w:t>
                  </w:r>
                  <w:r>
                    <w:t>.</w:t>
                  </w:r>
                  <w:r>
                    <w:rPr>
                      <w:rFonts w:hint="eastAsia"/>
                    </w:rPr>
                    <w:t>3t</w:t>
                  </w:r>
                </w:p>
              </w:tc>
              <w:tc>
                <w:tcPr>
                  <w:tcW w:w="2302" w:type="dxa"/>
                  <w:tcBorders>
                    <w:tl2br w:val="nil"/>
                    <w:tr2bl w:val="nil"/>
                  </w:tcBorders>
                  <w:vAlign w:val="center"/>
                </w:tcPr>
                <w:p w14:paraId="154568ED">
                  <w:pPr>
                    <w:pStyle w:val="36"/>
                  </w:pPr>
                  <w:r>
                    <w:rPr>
                      <w:rFonts w:hint="eastAsia"/>
                    </w:rPr>
                    <w:t>外购</w:t>
                  </w:r>
                </w:p>
              </w:tc>
              <w:tc>
                <w:tcPr>
                  <w:tcW w:w="2638" w:type="dxa"/>
                  <w:tcBorders>
                    <w:tl2br w:val="nil"/>
                    <w:tr2bl w:val="nil"/>
                  </w:tcBorders>
                  <w:vAlign w:val="center"/>
                </w:tcPr>
                <w:p w14:paraId="125BF5AC">
                  <w:pPr>
                    <w:pStyle w:val="36"/>
                  </w:pPr>
                  <w:r>
                    <w:rPr>
                      <w:rFonts w:hint="eastAsia"/>
                    </w:rPr>
                    <w:t>钻探辅料，现场配置泥浆；</w:t>
                  </w:r>
                </w:p>
              </w:tc>
            </w:tr>
            <w:tr w14:paraId="657E2F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833" w:type="dxa"/>
                  <w:tcBorders>
                    <w:tl2br w:val="nil"/>
                    <w:tr2bl w:val="nil"/>
                  </w:tcBorders>
                  <w:vAlign w:val="center"/>
                </w:tcPr>
                <w:p w14:paraId="2FC8BF0C">
                  <w:pPr>
                    <w:pStyle w:val="36"/>
                  </w:pPr>
                  <w:r>
                    <w:rPr>
                      <w:rFonts w:hint="eastAsia"/>
                    </w:rPr>
                    <w:t>2</w:t>
                  </w:r>
                </w:p>
              </w:tc>
              <w:tc>
                <w:tcPr>
                  <w:tcW w:w="1736" w:type="dxa"/>
                  <w:tcBorders>
                    <w:tl2br w:val="nil"/>
                    <w:tr2bl w:val="nil"/>
                  </w:tcBorders>
                  <w:vAlign w:val="center"/>
                </w:tcPr>
                <w:p w14:paraId="2BBD8DDE">
                  <w:pPr>
                    <w:pStyle w:val="36"/>
                  </w:pPr>
                  <w:r>
                    <w:rPr>
                      <w:rFonts w:hint="eastAsia"/>
                    </w:rPr>
                    <w:t>膨润土</w:t>
                  </w:r>
                </w:p>
              </w:tc>
              <w:tc>
                <w:tcPr>
                  <w:tcW w:w="1521" w:type="dxa"/>
                  <w:tcBorders>
                    <w:tl2br w:val="nil"/>
                    <w:tr2bl w:val="nil"/>
                  </w:tcBorders>
                  <w:vAlign w:val="center"/>
                </w:tcPr>
                <w:p w14:paraId="13BCD319">
                  <w:pPr>
                    <w:pStyle w:val="36"/>
                  </w:pPr>
                  <w:r>
                    <w:rPr>
                      <w:rFonts w:hint="eastAsia"/>
                    </w:rPr>
                    <w:t>0.5t</w:t>
                  </w:r>
                </w:p>
              </w:tc>
              <w:tc>
                <w:tcPr>
                  <w:tcW w:w="2302" w:type="dxa"/>
                  <w:tcBorders>
                    <w:tl2br w:val="nil"/>
                    <w:tr2bl w:val="nil"/>
                  </w:tcBorders>
                  <w:vAlign w:val="center"/>
                </w:tcPr>
                <w:p w14:paraId="26E2F67B">
                  <w:pPr>
                    <w:pStyle w:val="36"/>
                  </w:pPr>
                  <w:r>
                    <w:rPr>
                      <w:rFonts w:hint="eastAsia"/>
                    </w:rPr>
                    <w:t>外购</w:t>
                  </w:r>
                </w:p>
              </w:tc>
              <w:tc>
                <w:tcPr>
                  <w:tcW w:w="2638" w:type="dxa"/>
                  <w:tcBorders>
                    <w:tl2br w:val="nil"/>
                    <w:tr2bl w:val="nil"/>
                  </w:tcBorders>
                  <w:vAlign w:val="center"/>
                </w:tcPr>
                <w:p w14:paraId="0E6F3149">
                  <w:pPr>
                    <w:pStyle w:val="36"/>
                  </w:pPr>
                  <w:r>
                    <w:rPr>
                      <w:rFonts w:hint="eastAsia"/>
                    </w:rPr>
                    <w:t>钻探辅料；包装形式：吨袋；存放位置：钻井平台上风向的平整区域，避免粉尘污染工作区。</w:t>
                  </w:r>
                </w:p>
              </w:tc>
            </w:tr>
            <w:tr w14:paraId="2FA752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833" w:type="dxa"/>
                  <w:tcBorders>
                    <w:tl2br w:val="nil"/>
                    <w:tr2bl w:val="nil"/>
                  </w:tcBorders>
                  <w:vAlign w:val="center"/>
                </w:tcPr>
                <w:p w14:paraId="0FB485AD">
                  <w:pPr>
                    <w:pStyle w:val="36"/>
                  </w:pPr>
                  <w:r>
                    <w:rPr>
                      <w:rFonts w:hint="eastAsia"/>
                    </w:rPr>
                    <w:t>3</w:t>
                  </w:r>
                </w:p>
              </w:tc>
              <w:tc>
                <w:tcPr>
                  <w:tcW w:w="1736" w:type="dxa"/>
                  <w:tcBorders>
                    <w:tl2br w:val="nil"/>
                    <w:tr2bl w:val="nil"/>
                  </w:tcBorders>
                  <w:vAlign w:val="center"/>
                </w:tcPr>
                <w:p w14:paraId="4EF59FEB">
                  <w:pPr>
                    <w:pStyle w:val="36"/>
                  </w:pPr>
                  <w:r>
                    <w:t>水</w:t>
                  </w:r>
                </w:p>
              </w:tc>
              <w:tc>
                <w:tcPr>
                  <w:tcW w:w="1521" w:type="dxa"/>
                  <w:tcBorders>
                    <w:tl2br w:val="nil"/>
                    <w:tr2bl w:val="nil"/>
                  </w:tcBorders>
                  <w:vAlign w:val="center"/>
                </w:tcPr>
                <w:p w14:paraId="05E0B7CB">
                  <w:pPr>
                    <w:pStyle w:val="36"/>
                  </w:pPr>
                  <w:r>
                    <w:rPr>
                      <w:rFonts w:hint="eastAsia"/>
                      <w:lang w:val="en-US" w:eastAsia="zh-CN"/>
                    </w:rPr>
                    <w:t>633.75</w:t>
                  </w:r>
                  <w:r>
                    <w:rPr>
                      <w:rFonts w:hint="eastAsia"/>
                    </w:rPr>
                    <w:t>t/a</w:t>
                  </w:r>
                </w:p>
              </w:tc>
              <w:tc>
                <w:tcPr>
                  <w:tcW w:w="2302" w:type="dxa"/>
                  <w:tcBorders>
                    <w:tl2br w:val="nil"/>
                    <w:tr2bl w:val="nil"/>
                  </w:tcBorders>
                  <w:vAlign w:val="center"/>
                </w:tcPr>
                <w:p w14:paraId="2F3889EF">
                  <w:pPr>
                    <w:pStyle w:val="36"/>
                  </w:pPr>
                  <w:r>
                    <w:rPr>
                      <w:color w:val="000000"/>
                    </w:rPr>
                    <w:t>定期从邻近乡镇拉运至生活营地内储水箱储存</w:t>
                  </w:r>
                </w:p>
              </w:tc>
              <w:tc>
                <w:tcPr>
                  <w:tcW w:w="2638" w:type="dxa"/>
                  <w:tcBorders>
                    <w:tl2br w:val="nil"/>
                    <w:tr2bl w:val="nil"/>
                  </w:tcBorders>
                  <w:vAlign w:val="center"/>
                </w:tcPr>
                <w:p w14:paraId="1EF7DE72">
                  <w:pPr>
                    <w:pStyle w:val="36"/>
                  </w:pPr>
                  <w:r>
                    <w:t>生产</w:t>
                  </w:r>
                  <w:r>
                    <w:rPr>
                      <w:rFonts w:hint="eastAsia"/>
                    </w:rPr>
                    <w:t>、生活</w:t>
                  </w:r>
                  <w:r>
                    <w:t>用水</w:t>
                  </w:r>
                </w:p>
              </w:tc>
            </w:tr>
            <w:tr w14:paraId="2F25CD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833" w:type="dxa"/>
                  <w:tcBorders>
                    <w:tl2br w:val="nil"/>
                    <w:tr2bl w:val="nil"/>
                  </w:tcBorders>
                  <w:vAlign w:val="center"/>
                </w:tcPr>
                <w:p w14:paraId="2AC3678B">
                  <w:pPr>
                    <w:pStyle w:val="36"/>
                  </w:pPr>
                  <w:r>
                    <w:rPr>
                      <w:rFonts w:hint="eastAsia"/>
                    </w:rPr>
                    <w:t>4</w:t>
                  </w:r>
                </w:p>
              </w:tc>
              <w:tc>
                <w:tcPr>
                  <w:tcW w:w="1736" w:type="dxa"/>
                  <w:tcBorders>
                    <w:tl2br w:val="nil"/>
                    <w:tr2bl w:val="nil"/>
                  </w:tcBorders>
                  <w:vAlign w:val="center"/>
                </w:tcPr>
                <w:p w14:paraId="07226708">
                  <w:pPr>
                    <w:pStyle w:val="36"/>
                  </w:pPr>
                  <w:r>
                    <w:t>电</w:t>
                  </w:r>
                </w:p>
              </w:tc>
              <w:tc>
                <w:tcPr>
                  <w:tcW w:w="1521" w:type="dxa"/>
                  <w:tcBorders>
                    <w:tl2br w:val="nil"/>
                    <w:tr2bl w:val="nil"/>
                  </w:tcBorders>
                  <w:vAlign w:val="center"/>
                </w:tcPr>
                <w:p w14:paraId="7DF39142">
                  <w:pPr>
                    <w:pStyle w:val="36"/>
                  </w:pPr>
                  <w:r>
                    <w:rPr>
                      <w:rFonts w:hint="eastAsia"/>
                    </w:rPr>
                    <w:t>12</w:t>
                  </w:r>
                  <w:r>
                    <w:rPr>
                      <w:rFonts w:hint="eastAsia"/>
                      <w:lang w:val="en-US" w:eastAsia="zh-CN"/>
                    </w:rPr>
                    <w:t>万</w:t>
                  </w:r>
                  <w:r>
                    <w:t>kW·h</w:t>
                  </w:r>
                </w:p>
              </w:tc>
              <w:tc>
                <w:tcPr>
                  <w:tcW w:w="2302" w:type="dxa"/>
                  <w:tcBorders>
                    <w:tl2br w:val="nil"/>
                    <w:tr2bl w:val="nil"/>
                  </w:tcBorders>
                  <w:vAlign w:val="center"/>
                </w:tcPr>
                <w:p w14:paraId="39D63519">
                  <w:pPr>
                    <w:pStyle w:val="36"/>
                  </w:pPr>
                  <w:r>
                    <w:t>柴油发电机</w:t>
                  </w:r>
                </w:p>
              </w:tc>
              <w:tc>
                <w:tcPr>
                  <w:tcW w:w="2638" w:type="dxa"/>
                  <w:tcBorders>
                    <w:tl2br w:val="nil"/>
                    <w:tr2bl w:val="nil"/>
                  </w:tcBorders>
                  <w:vAlign w:val="center"/>
                </w:tcPr>
                <w:p w14:paraId="0AF5E662">
                  <w:pPr>
                    <w:pStyle w:val="36"/>
                  </w:pPr>
                  <w:r>
                    <w:t>生产</w:t>
                  </w:r>
                  <w:r>
                    <w:rPr>
                      <w:rFonts w:hint="eastAsia"/>
                    </w:rPr>
                    <w:t>、生活</w:t>
                  </w:r>
                  <w:r>
                    <w:t>用电</w:t>
                  </w:r>
                </w:p>
              </w:tc>
            </w:tr>
            <w:tr w14:paraId="12CC84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833" w:type="dxa"/>
                  <w:tcBorders>
                    <w:tl2br w:val="nil"/>
                    <w:tr2bl w:val="nil"/>
                  </w:tcBorders>
                  <w:vAlign w:val="center"/>
                </w:tcPr>
                <w:p w14:paraId="0531CF93">
                  <w:pPr>
                    <w:pStyle w:val="36"/>
                  </w:pPr>
                  <w:r>
                    <w:t>5</w:t>
                  </w:r>
                </w:p>
              </w:tc>
              <w:tc>
                <w:tcPr>
                  <w:tcW w:w="1736" w:type="dxa"/>
                  <w:tcBorders>
                    <w:tl2br w:val="nil"/>
                    <w:tr2bl w:val="nil"/>
                  </w:tcBorders>
                  <w:vAlign w:val="center"/>
                </w:tcPr>
                <w:p w14:paraId="5E0E747D">
                  <w:pPr>
                    <w:pStyle w:val="36"/>
                  </w:pPr>
                  <w:r>
                    <w:rPr>
                      <w:rFonts w:hint="eastAsia"/>
                    </w:rPr>
                    <w:t>柴油</w:t>
                  </w:r>
                </w:p>
              </w:tc>
              <w:tc>
                <w:tcPr>
                  <w:tcW w:w="1521" w:type="dxa"/>
                  <w:tcBorders>
                    <w:tl2br w:val="nil"/>
                    <w:tr2bl w:val="nil"/>
                  </w:tcBorders>
                  <w:vAlign w:val="center"/>
                </w:tcPr>
                <w:p w14:paraId="7077ACFC">
                  <w:pPr>
                    <w:pStyle w:val="36"/>
                  </w:pPr>
                  <w:r>
                    <w:rPr>
                      <w:rFonts w:hint="eastAsia"/>
                    </w:rPr>
                    <w:t>30t/a</w:t>
                  </w:r>
                </w:p>
              </w:tc>
              <w:tc>
                <w:tcPr>
                  <w:tcW w:w="2302" w:type="dxa"/>
                  <w:tcBorders>
                    <w:tl2br w:val="nil"/>
                    <w:tr2bl w:val="nil"/>
                  </w:tcBorders>
                  <w:vAlign w:val="center"/>
                </w:tcPr>
                <w:p w14:paraId="304DBF84">
                  <w:pPr>
                    <w:pStyle w:val="36"/>
                  </w:pPr>
                  <w:r>
                    <w:rPr>
                      <w:rFonts w:hint="eastAsia"/>
                    </w:rPr>
                    <w:t>外购</w:t>
                  </w:r>
                </w:p>
              </w:tc>
              <w:tc>
                <w:tcPr>
                  <w:tcW w:w="2638" w:type="dxa"/>
                  <w:tcBorders>
                    <w:tl2br w:val="nil"/>
                    <w:tr2bl w:val="nil"/>
                  </w:tcBorders>
                  <w:vAlign w:val="center"/>
                </w:tcPr>
                <w:p w14:paraId="768EAA57">
                  <w:pPr>
                    <w:pStyle w:val="36"/>
                  </w:pPr>
                  <w:r>
                    <w:rPr>
                      <w:rFonts w:hint="eastAsia"/>
                    </w:rPr>
                    <w:t>柴油发电机</w:t>
                  </w:r>
                </w:p>
              </w:tc>
            </w:tr>
            <w:tr w14:paraId="52B3D5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833" w:type="dxa"/>
                  <w:tcBorders>
                    <w:tl2br w:val="nil"/>
                    <w:tr2bl w:val="nil"/>
                  </w:tcBorders>
                  <w:vAlign w:val="center"/>
                </w:tcPr>
                <w:p w14:paraId="75C516CA">
                  <w:pPr>
                    <w:pStyle w:val="36"/>
                  </w:pPr>
                  <w:r>
                    <w:rPr>
                      <w:rFonts w:hint="eastAsia"/>
                    </w:rPr>
                    <w:t>6</w:t>
                  </w:r>
                </w:p>
              </w:tc>
              <w:tc>
                <w:tcPr>
                  <w:tcW w:w="1736" w:type="dxa"/>
                  <w:tcBorders>
                    <w:tl2br w:val="nil"/>
                    <w:tr2bl w:val="nil"/>
                  </w:tcBorders>
                  <w:vAlign w:val="center"/>
                </w:tcPr>
                <w:p w14:paraId="6411BF36">
                  <w:pPr>
                    <w:pStyle w:val="36"/>
                  </w:pPr>
                  <w:r>
                    <w:rPr>
                      <w:rFonts w:hint="eastAsia"/>
                    </w:rPr>
                    <w:t>水泥</w:t>
                  </w:r>
                </w:p>
              </w:tc>
              <w:tc>
                <w:tcPr>
                  <w:tcW w:w="1521" w:type="dxa"/>
                  <w:tcBorders>
                    <w:tl2br w:val="nil"/>
                    <w:tr2bl w:val="nil"/>
                  </w:tcBorders>
                  <w:vAlign w:val="center"/>
                </w:tcPr>
                <w:p w14:paraId="61B2352D">
                  <w:pPr>
                    <w:pStyle w:val="36"/>
                  </w:pPr>
                  <w:r>
                    <w:rPr>
                      <w:rFonts w:hint="eastAsia"/>
                    </w:rPr>
                    <w:t>0.8t/a</w:t>
                  </w:r>
                </w:p>
              </w:tc>
              <w:tc>
                <w:tcPr>
                  <w:tcW w:w="2302" w:type="dxa"/>
                  <w:tcBorders>
                    <w:tl2br w:val="nil"/>
                    <w:tr2bl w:val="nil"/>
                  </w:tcBorders>
                  <w:vAlign w:val="center"/>
                </w:tcPr>
                <w:p w14:paraId="6D2670D2">
                  <w:pPr>
                    <w:pStyle w:val="36"/>
                  </w:pPr>
                  <w:r>
                    <w:rPr>
                      <w:rFonts w:hint="eastAsia"/>
                    </w:rPr>
                    <w:t>外购</w:t>
                  </w:r>
                </w:p>
              </w:tc>
              <w:tc>
                <w:tcPr>
                  <w:tcW w:w="2638" w:type="dxa"/>
                  <w:tcBorders>
                    <w:tl2br w:val="nil"/>
                    <w:tr2bl w:val="nil"/>
                  </w:tcBorders>
                  <w:vAlign w:val="center"/>
                </w:tcPr>
                <w:p w14:paraId="2A1E4350">
                  <w:pPr>
                    <w:pStyle w:val="36"/>
                  </w:pPr>
                  <w:r>
                    <w:rPr>
                      <w:rFonts w:hint="eastAsia"/>
                    </w:rPr>
                    <w:t>用于钻探后的孔封堵、沉淀池固化</w:t>
                  </w:r>
                </w:p>
              </w:tc>
            </w:tr>
          </w:tbl>
          <w:p w14:paraId="23A20928">
            <w:pPr>
              <w:pStyle w:val="20"/>
              <w:ind w:firstLine="482"/>
              <w:rPr>
                <w:color w:val="000000"/>
                <w:szCs w:val="21"/>
              </w:rPr>
            </w:pPr>
            <w:r>
              <w:rPr>
                <w:rFonts w:hint="eastAsia"/>
                <w:color w:val="000000"/>
                <w:szCs w:val="21"/>
                <w:lang w:val="en-US" w:eastAsia="zh-CN"/>
              </w:rPr>
              <w:t>8</w:t>
            </w:r>
            <w:r>
              <w:rPr>
                <w:rFonts w:hint="eastAsia"/>
                <w:color w:val="000000"/>
                <w:szCs w:val="21"/>
              </w:rPr>
              <w:t>、</w:t>
            </w:r>
            <w:r>
              <w:rPr>
                <w:rFonts w:hint="eastAsia"/>
                <w:lang w:bidi="ar"/>
              </w:rPr>
              <w:t>公用工程</w:t>
            </w:r>
          </w:p>
          <w:p w14:paraId="4412D6F9">
            <w:pPr>
              <w:ind w:firstLine="480"/>
            </w:pPr>
            <w:r>
              <w:rPr>
                <w:rFonts w:hint="eastAsia"/>
              </w:rPr>
              <w:t>（1）给水工程</w:t>
            </w:r>
          </w:p>
          <w:p w14:paraId="22322CD0">
            <w:pPr>
              <w:ind w:firstLine="480"/>
            </w:pPr>
            <w:r>
              <w:rPr>
                <w:rFonts w:hint="eastAsia"/>
                <w:bCs/>
              </w:rPr>
              <w:t>本项目</w:t>
            </w:r>
            <w:r>
              <w:rPr>
                <w:bCs/>
              </w:rPr>
              <w:t>生产</w:t>
            </w:r>
            <w:r>
              <w:rPr>
                <w:rFonts w:hint="eastAsia"/>
                <w:bCs/>
              </w:rPr>
              <w:t>生活</w:t>
            </w:r>
            <w:r>
              <w:rPr>
                <w:bCs/>
              </w:rPr>
              <w:t>用水定期从邻近乡镇拉运至生活营地内储水箱储存</w:t>
            </w:r>
            <w:r>
              <w:rPr>
                <w:rFonts w:hint="eastAsia"/>
                <w:bCs/>
              </w:rPr>
              <w:t>。</w:t>
            </w:r>
          </w:p>
          <w:p w14:paraId="1BB97FD6">
            <w:pPr>
              <w:ind w:firstLine="480"/>
            </w:pPr>
            <w:r>
              <w:rPr>
                <w:rFonts w:hint="eastAsia"/>
              </w:rPr>
              <w:t>（2）排水工程</w:t>
            </w:r>
          </w:p>
          <w:p w14:paraId="14BCB919">
            <w:pPr>
              <w:ind w:firstLine="480"/>
            </w:pPr>
            <w:r>
              <w:rPr>
                <w:rFonts w:hint="eastAsia"/>
                <w:bCs/>
              </w:rPr>
              <w:t>项目生产废水进入沉淀池循环利用，不外排。</w:t>
            </w:r>
            <w:r>
              <w:rPr>
                <w:rFonts w:hint="eastAsia"/>
                <w:bCs/>
                <w:lang w:val="en-US" w:eastAsia="zh-CN"/>
              </w:rPr>
              <w:t>生活污水排入一体化污水处理设施后，用于洒水降尘和周边绿化，不外排</w:t>
            </w:r>
          </w:p>
          <w:p w14:paraId="07841B6E">
            <w:pPr>
              <w:ind w:firstLine="480"/>
            </w:pPr>
            <w:r>
              <w:rPr>
                <w:rFonts w:hint="eastAsia"/>
              </w:rPr>
              <w:t>（</w:t>
            </w:r>
            <w:r>
              <w:t>3</w:t>
            </w:r>
            <w:r>
              <w:rPr>
                <w:rFonts w:hint="eastAsia"/>
              </w:rPr>
              <w:t>）供电工程</w:t>
            </w:r>
          </w:p>
          <w:p w14:paraId="5F3ABDDD">
            <w:pPr>
              <w:ind w:firstLine="480"/>
            </w:pPr>
            <w:r>
              <w:rPr>
                <w:rFonts w:hint="eastAsia"/>
                <w:bCs/>
              </w:rPr>
              <w:t>本项目生产用电来自项目自备的柴油发电机供电，</w:t>
            </w:r>
            <w:r>
              <w:rPr>
                <w:rFonts w:hint="eastAsia"/>
              </w:rPr>
              <w:t>柴油分期从</w:t>
            </w:r>
            <w:r>
              <w:rPr>
                <w:rFonts w:hint="eastAsia"/>
                <w:lang w:eastAsia="zh-CN"/>
              </w:rPr>
              <w:t>和静县巴音布鲁克镇</w:t>
            </w:r>
            <w:r>
              <w:rPr>
                <w:rFonts w:hint="eastAsia"/>
              </w:rPr>
              <w:t>购买。</w:t>
            </w:r>
          </w:p>
          <w:p w14:paraId="2852C543">
            <w:pPr>
              <w:pStyle w:val="20"/>
              <w:ind w:firstLine="482"/>
            </w:pPr>
            <w:r>
              <w:rPr>
                <w:rFonts w:hint="eastAsia"/>
                <w:lang w:val="en-US" w:eastAsia="zh-CN"/>
              </w:rPr>
              <w:t>9</w:t>
            </w:r>
            <w:r>
              <w:rPr>
                <w:rFonts w:hint="eastAsia"/>
              </w:rPr>
              <w:t>、土石方平衡分析</w:t>
            </w:r>
          </w:p>
          <w:p w14:paraId="6F35FCCD">
            <w:pPr>
              <w:ind w:firstLine="480"/>
            </w:pPr>
            <w:r>
              <w:rPr>
                <w:rFonts w:hint="eastAsia"/>
              </w:rPr>
              <w:t>本项目主要产生土石方的工程为钻探、槽探。</w:t>
            </w:r>
          </w:p>
          <w:p w14:paraId="7DF0FC50">
            <w:pPr>
              <w:ind w:firstLine="480"/>
              <w:rPr>
                <w:highlight w:val="yellow"/>
              </w:rPr>
            </w:pPr>
            <w:r>
              <w:t>本项目</w:t>
            </w:r>
            <w:r>
              <w:rPr>
                <w:rFonts w:hint="eastAsia"/>
              </w:rPr>
              <w:t>钻探</w:t>
            </w:r>
            <w:r>
              <w:t>总工程量为</w:t>
            </w:r>
            <w:r>
              <w:rPr>
                <w:rFonts w:hint="eastAsia"/>
                <w:lang w:val="en-US" w:eastAsia="zh-CN"/>
              </w:rPr>
              <w:t>5</w:t>
            </w:r>
            <w:r>
              <w:rPr>
                <w:rFonts w:hint="eastAsia"/>
              </w:rPr>
              <w:t>000</w:t>
            </w:r>
            <w:r>
              <w:t>m，钻探</w:t>
            </w:r>
            <w:r>
              <w:rPr>
                <w:rFonts w:hint="eastAsia"/>
              </w:rPr>
              <w:t>开孔直径不小于75</w:t>
            </w:r>
            <w:r>
              <w:t>mm</w:t>
            </w:r>
            <w:r>
              <w:rPr>
                <w:rFonts w:hint="eastAsia"/>
              </w:rPr>
              <w:t>，</w:t>
            </w:r>
            <w:r>
              <w:t>岩心产生的土方量为</w:t>
            </w:r>
            <w:r>
              <w:rPr>
                <w:rFonts w:hint="eastAsia"/>
                <w:lang w:val="en-US" w:eastAsia="zh-CN"/>
              </w:rPr>
              <w:t>22.1</w:t>
            </w:r>
            <w:r>
              <w:t>m</w:t>
            </w:r>
            <w:r>
              <w:rPr>
                <w:vertAlign w:val="superscript"/>
              </w:rPr>
              <w:t>3</w:t>
            </w:r>
            <w:r>
              <w:t>(V=πr</w:t>
            </w:r>
            <w:r>
              <w:rPr>
                <w:vertAlign w:val="superscript"/>
              </w:rPr>
              <w:t>2</w:t>
            </w:r>
            <w:r>
              <w:t>×h)，</w:t>
            </w:r>
            <w:r>
              <w:rPr>
                <w:rFonts w:hint="eastAsia"/>
              </w:rPr>
              <w:t>部分采样</w:t>
            </w:r>
            <w:r>
              <w:t>带回实验室分析</w:t>
            </w:r>
            <w:r>
              <w:rPr>
                <w:rFonts w:hint="eastAsia"/>
              </w:rPr>
              <w:t>。</w:t>
            </w:r>
            <w:r>
              <w:t>按每孔周边需剥离面积</w:t>
            </w:r>
            <w:r>
              <w:rPr>
                <w:rFonts w:hint="eastAsia"/>
              </w:rPr>
              <w:t>15</w:t>
            </w:r>
            <w:r>
              <w:t>m</w:t>
            </w:r>
            <w:r>
              <w:rPr>
                <w:vertAlign w:val="superscript"/>
              </w:rPr>
              <w:t>2</w:t>
            </w:r>
            <w:r>
              <w:t>计算，</w:t>
            </w:r>
            <w:r>
              <w:rPr>
                <w:rFonts w:hint="eastAsia"/>
              </w:rPr>
              <w:t>本次评价按</w:t>
            </w:r>
            <w:r>
              <w:rPr>
                <w:rFonts w:hint="eastAsia"/>
                <w:lang w:val="en-US" w:eastAsia="zh-CN"/>
              </w:rPr>
              <w:t>12</w:t>
            </w:r>
            <w:r>
              <w:rPr>
                <w:rFonts w:hint="eastAsia"/>
              </w:rPr>
              <w:t>个钻孔计，</w:t>
            </w:r>
            <w:r>
              <w:t>共计需剥离</w:t>
            </w:r>
            <w:r>
              <w:rPr>
                <w:rFonts w:hint="eastAsia"/>
              </w:rPr>
              <w:t>1</w:t>
            </w:r>
            <w:r>
              <w:rPr>
                <w:rFonts w:hint="eastAsia"/>
                <w:lang w:val="en-US" w:eastAsia="zh-CN"/>
              </w:rPr>
              <w:t>8</w:t>
            </w:r>
            <w:r>
              <w:rPr>
                <w:rFonts w:hint="eastAsia"/>
              </w:rPr>
              <w:t>0</w:t>
            </w:r>
            <w:r>
              <w:t>m</w:t>
            </w:r>
            <w:r>
              <w:rPr>
                <w:vertAlign w:val="superscript"/>
              </w:rPr>
              <w:t>2</w:t>
            </w:r>
            <w:r>
              <w:t>，剥离厚度按20cm计算，每孔需剥离</w:t>
            </w:r>
            <w:r>
              <w:rPr>
                <w:rFonts w:hint="eastAsia"/>
              </w:rPr>
              <w:t>3</w:t>
            </w:r>
            <w:r>
              <w:t>m</w:t>
            </w:r>
            <w:r>
              <w:rPr>
                <w:vertAlign w:val="superscript"/>
              </w:rPr>
              <w:t>3</w:t>
            </w:r>
            <w:r>
              <w:t>，共需要堆放约</w:t>
            </w:r>
            <w:r>
              <w:rPr>
                <w:rFonts w:hint="eastAsia"/>
                <w:lang w:val="en-US" w:eastAsia="zh-CN"/>
              </w:rPr>
              <w:t>36</w:t>
            </w:r>
            <w:r>
              <w:t>m</w:t>
            </w:r>
            <w:r>
              <w:rPr>
                <w:vertAlign w:val="superscript"/>
              </w:rPr>
              <w:t>3</w:t>
            </w:r>
            <w:r>
              <w:t>(松散系数k=1.3</w:t>
            </w:r>
            <w:r>
              <w:rPr>
                <w:rFonts w:hint="eastAsia"/>
              </w:rPr>
              <w:t>，</w:t>
            </w:r>
            <w:r>
              <w:t>剥离松</w:t>
            </w:r>
            <w:r>
              <w:rPr>
                <w:rFonts w:hint="eastAsia"/>
              </w:rPr>
              <w:t>散</w:t>
            </w:r>
            <w:r>
              <w:t>方</w:t>
            </w:r>
            <w:r>
              <w:rPr>
                <w:rFonts w:hint="eastAsia"/>
                <w:lang w:val="en-US" w:eastAsia="zh-CN"/>
              </w:rPr>
              <w:t>46.8</w:t>
            </w:r>
            <w:r>
              <w:t>m</w:t>
            </w:r>
            <w:r>
              <w:rPr>
                <w:vertAlign w:val="superscript"/>
              </w:rPr>
              <w:t>3</w:t>
            </w:r>
            <w:r>
              <w:t>)</w:t>
            </w:r>
            <w:r>
              <w:rPr>
                <w:rFonts w:hint="eastAsia"/>
              </w:rPr>
              <w:t>；槽探总工程量为</w:t>
            </w:r>
            <w:r>
              <w:rPr>
                <w:rFonts w:hint="eastAsia"/>
                <w:lang w:val="en-US" w:eastAsia="zh-CN"/>
              </w:rPr>
              <w:t>5</w:t>
            </w:r>
            <w:r>
              <w:rPr>
                <w:rFonts w:hint="eastAsia"/>
              </w:rPr>
              <w:t>000m</w:t>
            </w:r>
            <w:r>
              <w:rPr>
                <w:vertAlign w:val="superscript"/>
              </w:rPr>
              <w:t>3</w:t>
            </w:r>
            <w:r>
              <w:rPr>
                <w:rFonts w:hint="eastAsia"/>
              </w:rPr>
              <w:t>。</w:t>
            </w:r>
          </w:p>
          <w:p w14:paraId="53D2F63E">
            <w:pPr>
              <w:pStyle w:val="33"/>
              <w:spacing w:before="120"/>
              <w:rPr>
                <w:rFonts w:hint="eastAsia" w:eastAsia="宋体"/>
                <w:lang w:val="en-US" w:eastAsia="zh-CN"/>
              </w:rPr>
            </w:pPr>
            <w:r>
              <w:t>表</w:t>
            </w:r>
            <w:r>
              <w:rPr>
                <w:rFonts w:hint="eastAsia"/>
              </w:rPr>
              <w:t>2</w:t>
            </w:r>
            <w:r>
              <w:t>-</w:t>
            </w:r>
            <w:r>
              <w:rPr>
                <w:rFonts w:hint="eastAsia"/>
                <w:lang w:val="en-US" w:eastAsia="zh-CN"/>
              </w:rPr>
              <w:t>7</w:t>
            </w:r>
            <w:r>
              <w:rPr>
                <w:rFonts w:hint="eastAsia"/>
              </w:rPr>
              <w:t>土石方平衡</w:t>
            </w:r>
            <w:r>
              <w:t>一览表</w:t>
            </w:r>
            <w:r>
              <w:rPr>
                <w:rFonts w:hint="eastAsia"/>
                <w:lang w:val="en-US" w:eastAsia="zh-CN"/>
              </w:rPr>
              <w:t>k</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641"/>
              <w:gridCol w:w="1855"/>
              <w:gridCol w:w="1696"/>
              <w:gridCol w:w="1207"/>
              <w:gridCol w:w="2635"/>
            </w:tblGrid>
            <w:tr w14:paraId="77F3E8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0" w:hRule="atLeast"/>
                <w:tblHeader/>
                <w:jc w:val="center"/>
              </w:trPr>
              <w:tc>
                <w:tcPr>
                  <w:tcW w:w="908" w:type="pct"/>
                  <w:vMerge w:val="restart"/>
                  <w:vAlign w:val="center"/>
                </w:tcPr>
                <w:p w14:paraId="1CC520E2">
                  <w:pPr>
                    <w:pStyle w:val="31"/>
                  </w:pPr>
                  <w:r>
                    <w:rPr>
                      <w:rFonts w:hint="eastAsia"/>
                    </w:rPr>
                    <w:t>项目</w:t>
                  </w:r>
                </w:p>
              </w:tc>
              <w:tc>
                <w:tcPr>
                  <w:tcW w:w="1026" w:type="pct"/>
                  <w:vMerge w:val="restart"/>
                  <w:vAlign w:val="center"/>
                </w:tcPr>
                <w:p w14:paraId="51BDBE24">
                  <w:pPr>
                    <w:pStyle w:val="31"/>
                  </w:pPr>
                  <w:r>
                    <w:rPr>
                      <w:rFonts w:hint="eastAsia"/>
                    </w:rPr>
                    <w:t>挖方m</w:t>
                  </w:r>
                  <w:r>
                    <w:rPr>
                      <w:rFonts w:hint="eastAsia"/>
                      <w:vertAlign w:val="superscript"/>
                    </w:rPr>
                    <w:t>3</w:t>
                  </w:r>
                </w:p>
              </w:tc>
              <w:tc>
                <w:tcPr>
                  <w:tcW w:w="938" w:type="pct"/>
                  <w:vMerge w:val="restart"/>
                  <w:vAlign w:val="center"/>
                </w:tcPr>
                <w:p w14:paraId="7719137B">
                  <w:pPr>
                    <w:pStyle w:val="31"/>
                  </w:pPr>
                  <w:r>
                    <w:rPr>
                      <w:rFonts w:hint="eastAsia"/>
                    </w:rPr>
                    <w:t>填方m</w:t>
                  </w:r>
                  <w:r>
                    <w:rPr>
                      <w:rFonts w:hint="eastAsia"/>
                      <w:vertAlign w:val="superscript"/>
                    </w:rPr>
                    <w:t>3</w:t>
                  </w:r>
                </w:p>
              </w:tc>
              <w:tc>
                <w:tcPr>
                  <w:tcW w:w="2126" w:type="pct"/>
                  <w:gridSpan w:val="2"/>
                  <w:vAlign w:val="center"/>
                </w:tcPr>
                <w:p w14:paraId="3CE8ACC1">
                  <w:pPr>
                    <w:pStyle w:val="31"/>
                  </w:pPr>
                  <w:r>
                    <w:rPr>
                      <w:rFonts w:hint="eastAsia"/>
                    </w:rPr>
                    <w:t>调出</w:t>
                  </w:r>
                </w:p>
              </w:tc>
            </w:tr>
            <w:tr w14:paraId="531205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atLeast"/>
                <w:tblHeader/>
                <w:jc w:val="center"/>
              </w:trPr>
              <w:tc>
                <w:tcPr>
                  <w:tcW w:w="908" w:type="pct"/>
                  <w:vMerge w:val="continue"/>
                  <w:vAlign w:val="center"/>
                </w:tcPr>
                <w:p w14:paraId="2411E990">
                  <w:pPr>
                    <w:pStyle w:val="31"/>
                  </w:pPr>
                </w:p>
              </w:tc>
              <w:tc>
                <w:tcPr>
                  <w:tcW w:w="1026" w:type="pct"/>
                  <w:vMerge w:val="continue"/>
                  <w:vAlign w:val="center"/>
                </w:tcPr>
                <w:p w14:paraId="3D5012D8">
                  <w:pPr>
                    <w:pStyle w:val="31"/>
                  </w:pPr>
                </w:p>
              </w:tc>
              <w:tc>
                <w:tcPr>
                  <w:tcW w:w="938" w:type="pct"/>
                  <w:vMerge w:val="continue"/>
                  <w:vAlign w:val="center"/>
                </w:tcPr>
                <w:p w14:paraId="6D690CDB">
                  <w:pPr>
                    <w:pStyle w:val="31"/>
                  </w:pPr>
                </w:p>
              </w:tc>
              <w:tc>
                <w:tcPr>
                  <w:tcW w:w="668" w:type="pct"/>
                  <w:vAlign w:val="center"/>
                </w:tcPr>
                <w:p w14:paraId="49680424">
                  <w:pPr>
                    <w:pStyle w:val="31"/>
                  </w:pPr>
                  <w:r>
                    <w:rPr>
                      <w:rFonts w:hint="eastAsia"/>
                    </w:rPr>
                    <w:t>数量m</w:t>
                  </w:r>
                  <w:r>
                    <w:rPr>
                      <w:rFonts w:hint="eastAsia"/>
                      <w:vertAlign w:val="superscript"/>
                    </w:rPr>
                    <w:t>3</w:t>
                  </w:r>
                </w:p>
              </w:tc>
              <w:tc>
                <w:tcPr>
                  <w:tcW w:w="1458" w:type="pct"/>
                  <w:vAlign w:val="center"/>
                </w:tcPr>
                <w:p w14:paraId="683DA041">
                  <w:pPr>
                    <w:pStyle w:val="31"/>
                  </w:pPr>
                  <w:r>
                    <w:rPr>
                      <w:rFonts w:hint="eastAsia"/>
                    </w:rPr>
                    <w:t>去向</w:t>
                  </w:r>
                </w:p>
              </w:tc>
            </w:tr>
            <w:tr w14:paraId="38D23C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7" w:hRule="atLeast"/>
                <w:tblHeader/>
                <w:jc w:val="center"/>
              </w:trPr>
              <w:tc>
                <w:tcPr>
                  <w:tcW w:w="908" w:type="pct"/>
                  <w:vAlign w:val="center"/>
                </w:tcPr>
                <w:p w14:paraId="54552EE4">
                  <w:pPr>
                    <w:pStyle w:val="31"/>
                  </w:pPr>
                  <w:r>
                    <w:rPr>
                      <w:rFonts w:hint="eastAsia"/>
                    </w:rPr>
                    <w:t>钻探岩心</w:t>
                  </w:r>
                </w:p>
              </w:tc>
              <w:tc>
                <w:tcPr>
                  <w:tcW w:w="1026" w:type="pct"/>
                  <w:vAlign w:val="center"/>
                </w:tcPr>
                <w:p w14:paraId="40478E9C">
                  <w:pPr>
                    <w:pStyle w:val="31"/>
                  </w:pPr>
                  <w:r>
                    <w:rPr>
                      <w:rFonts w:hint="eastAsia"/>
                      <w:lang w:val="en-US" w:eastAsia="zh-CN"/>
                    </w:rPr>
                    <w:t>22.1</w:t>
                  </w:r>
                </w:p>
              </w:tc>
              <w:tc>
                <w:tcPr>
                  <w:tcW w:w="938" w:type="pct"/>
                  <w:vAlign w:val="center"/>
                </w:tcPr>
                <w:p w14:paraId="5B55A477">
                  <w:pPr>
                    <w:pStyle w:val="31"/>
                  </w:pPr>
                  <w:r>
                    <w:rPr>
                      <w:rFonts w:hint="eastAsia"/>
                    </w:rPr>
                    <w:t>0</w:t>
                  </w:r>
                </w:p>
              </w:tc>
              <w:tc>
                <w:tcPr>
                  <w:tcW w:w="668" w:type="pct"/>
                  <w:vAlign w:val="center"/>
                </w:tcPr>
                <w:p w14:paraId="1CF58B82">
                  <w:pPr>
                    <w:pStyle w:val="31"/>
                    <w:rPr>
                      <w:kern w:val="0"/>
                    </w:rPr>
                  </w:pPr>
                  <w:r>
                    <w:rPr>
                      <w:rFonts w:hint="eastAsia"/>
                      <w:lang w:val="en-US" w:eastAsia="zh-CN"/>
                    </w:rPr>
                    <w:t>22.1</w:t>
                  </w:r>
                </w:p>
              </w:tc>
              <w:tc>
                <w:tcPr>
                  <w:tcW w:w="1458" w:type="pct"/>
                  <w:vAlign w:val="center"/>
                </w:tcPr>
                <w:p w14:paraId="33B93C54">
                  <w:pPr>
                    <w:pStyle w:val="31"/>
                  </w:pPr>
                  <w:r>
                    <w:rPr>
                      <w:rFonts w:hint="eastAsia"/>
                    </w:rPr>
                    <w:t>送至实验室分析，封存</w:t>
                  </w:r>
                </w:p>
              </w:tc>
            </w:tr>
            <w:tr w14:paraId="2AEBB3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8" w:hRule="atLeast"/>
                <w:tblHeader/>
                <w:jc w:val="center"/>
              </w:trPr>
              <w:tc>
                <w:tcPr>
                  <w:tcW w:w="908" w:type="pct"/>
                  <w:vAlign w:val="center"/>
                </w:tcPr>
                <w:p w14:paraId="136259DA">
                  <w:pPr>
                    <w:pStyle w:val="31"/>
                  </w:pPr>
                  <w:r>
                    <w:rPr>
                      <w:rFonts w:hint="eastAsia"/>
                    </w:rPr>
                    <w:t>钻探剥离</w:t>
                  </w:r>
                </w:p>
              </w:tc>
              <w:tc>
                <w:tcPr>
                  <w:tcW w:w="1026" w:type="pct"/>
                  <w:vAlign w:val="center"/>
                </w:tcPr>
                <w:p w14:paraId="7B812348">
                  <w:pPr>
                    <w:pStyle w:val="31"/>
                  </w:pPr>
                  <w:r>
                    <w:rPr>
                      <w:rFonts w:hint="eastAsia"/>
                      <w:lang w:val="en-US" w:eastAsia="zh-CN"/>
                    </w:rPr>
                    <w:t>46.8</w:t>
                  </w:r>
                  <w:r>
                    <w:rPr>
                      <w:rFonts w:hint="eastAsia"/>
                    </w:rPr>
                    <w:t>（松散方）</w:t>
                  </w:r>
                </w:p>
              </w:tc>
              <w:tc>
                <w:tcPr>
                  <w:tcW w:w="938" w:type="pct"/>
                  <w:vAlign w:val="center"/>
                </w:tcPr>
                <w:p w14:paraId="0C087213">
                  <w:pPr>
                    <w:pStyle w:val="31"/>
                    <w:rPr>
                      <w:b/>
                      <w:bCs/>
                    </w:rPr>
                  </w:pPr>
                  <w:r>
                    <w:rPr>
                      <w:rFonts w:hint="eastAsia"/>
                      <w:lang w:val="en-US" w:eastAsia="zh-CN"/>
                    </w:rPr>
                    <w:t>46.8</w:t>
                  </w:r>
                  <w:r>
                    <w:rPr>
                      <w:rFonts w:hint="eastAsia"/>
                    </w:rPr>
                    <w:t>（松散方）</w:t>
                  </w:r>
                </w:p>
              </w:tc>
              <w:tc>
                <w:tcPr>
                  <w:tcW w:w="668" w:type="pct"/>
                  <w:vAlign w:val="center"/>
                </w:tcPr>
                <w:p w14:paraId="368FCEF0">
                  <w:pPr>
                    <w:pStyle w:val="31"/>
                    <w:rPr>
                      <w:kern w:val="0"/>
                    </w:rPr>
                  </w:pPr>
                  <w:r>
                    <w:rPr>
                      <w:rFonts w:hint="eastAsia"/>
                      <w:kern w:val="0"/>
                    </w:rPr>
                    <w:t>0</w:t>
                  </w:r>
                </w:p>
              </w:tc>
              <w:tc>
                <w:tcPr>
                  <w:tcW w:w="1458" w:type="pct"/>
                  <w:vAlign w:val="center"/>
                </w:tcPr>
                <w:p w14:paraId="4FA73F7D">
                  <w:pPr>
                    <w:pStyle w:val="31"/>
                  </w:pPr>
                  <w:r>
                    <w:rPr>
                      <w:rFonts w:hint="eastAsia"/>
                    </w:rPr>
                    <w:t>钻孔周边剥离的表土回覆、绿化</w:t>
                  </w:r>
                </w:p>
              </w:tc>
            </w:tr>
            <w:tr w14:paraId="7114D3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8" w:hRule="atLeast"/>
                <w:tblHeader/>
                <w:jc w:val="center"/>
              </w:trPr>
              <w:tc>
                <w:tcPr>
                  <w:tcW w:w="908" w:type="pct"/>
                  <w:vAlign w:val="center"/>
                </w:tcPr>
                <w:p w14:paraId="316C1548">
                  <w:pPr>
                    <w:pStyle w:val="31"/>
                  </w:pPr>
                  <w:r>
                    <w:rPr>
                      <w:rFonts w:hint="eastAsia"/>
                    </w:rPr>
                    <w:t>槽探</w:t>
                  </w:r>
                </w:p>
              </w:tc>
              <w:tc>
                <w:tcPr>
                  <w:tcW w:w="1026" w:type="pct"/>
                  <w:vAlign w:val="center"/>
                </w:tcPr>
                <w:p w14:paraId="3A4BC55F">
                  <w:pPr>
                    <w:pStyle w:val="31"/>
                  </w:pPr>
                  <w:r>
                    <w:rPr>
                      <w:rFonts w:hint="eastAsia"/>
                      <w:lang w:val="en-US" w:eastAsia="zh-CN"/>
                    </w:rPr>
                    <w:t>5</w:t>
                  </w:r>
                  <w:r>
                    <w:rPr>
                      <w:rFonts w:hint="eastAsia"/>
                    </w:rPr>
                    <w:t>000</w:t>
                  </w:r>
                </w:p>
              </w:tc>
              <w:tc>
                <w:tcPr>
                  <w:tcW w:w="938" w:type="pct"/>
                  <w:vAlign w:val="center"/>
                </w:tcPr>
                <w:p w14:paraId="73F16308">
                  <w:pPr>
                    <w:pStyle w:val="31"/>
                  </w:pPr>
                  <w:r>
                    <w:rPr>
                      <w:rFonts w:hint="eastAsia"/>
                      <w:lang w:val="en-US" w:eastAsia="zh-CN"/>
                    </w:rPr>
                    <w:t>5</w:t>
                  </w:r>
                  <w:r>
                    <w:rPr>
                      <w:rFonts w:hint="eastAsia"/>
                    </w:rPr>
                    <w:t>000</w:t>
                  </w:r>
                </w:p>
              </w:tc>
              <w:tc>
                <w:tcPr>
                  <w:tcW w:w="668" w:type="pct"/>
                  <w:vAlign w:val="center"/>
                </w:tcPr>
                <w:p w14:paraId="3720B26F">
                  <w:pPr>
                    <w:pStyle w:val="31"/>
                  </w:pPr>
                  <w:r>
                    <w:rPr>
                      <w:rFonts w:hint="eastAsia"/>
                    </w:rPr>
                    <w:t>0</w:t>
                  </w:r>
                </w:p>
              </w:tc>
              <w:tc>
                <w:tcPr>
                  <w:tcW w:w="1458" w:type="pct"/>
                  <w:vAlign w:val="center"/>
                </w:tcPr>
                <w:p w14:paraId="3A4AF9AD">
                  <w:pPr>
                    <w:pStyle w:val="31"/>
                  </w:pPr>
                  <w:r>
                    <w:rPr>
                      <w:rFonts w:hint="eastAsia"/>
                    </w:rPr>
                    <w:t>堆放于探槽周边，用于回填及表层覆土</w:t>
                  </w:r>
                </w:p>
              </w:tc>
            </w:tr>
            <w:tr w14:paraId="731E55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8" w:hRule="atLeast"/>
                <w:tblHeader/>
                <w:jc w:val="center"/>
              </w:trPr>
              <w:tc>
                <w:tcPr>
                  <w:tcW w:w="908" w:type="pct"/>
                  <w:vAlign w:val="center"/>
                </w:tcPr>
                <w:p w14:paraId="13BCAB0A">
                  <w:pPr>
                    <w:pStyle w:val="31"/>
                  </w:pPr>
                  <w:r>
                    <w:rPr>
                      <w:rFonts w:hint="eastAsia"/>
                    </w:rPr>
                    <w:t>合计</w:t>
                  </w:r>
                </w:p>
              </w:tc>
              <w:tc>
                <w:tcPr>
                  <w:tcW w:w="1026" w:type="pct"/>
                  <w:vAlign w:val="center"/>
                </w:tcPr>
                <w:p w14:paraId="0A43E73B">
                  <w:pPr>
                    <w:pStyle w:val="31"/>
                    <w:rPr>
                      <w:rFonts w:hint="default" w:eastAsia="宋体"/>
                      <w:lang w:val="en-US" w:eastAsia="zh-CN"/>
                    </w:rPr>
                  </w:pPr>
                  <w:r>
                    <w:rPr>
                      <w:rFonts w:hint="eastAsia"/>
                      <w:lang w:val="en-US" w:eastAsia="zh-CN"/>
                    </w:rPr>
                    <w:t>5068.9</w:t>
                  </w:r>
                </w:p>
              </w:tc>
              <w:tc>
                <w:tcPr>
                  <w:tcW w:w="938" w:type="pct"/>
                  <w:vAlign w:val="center"/>
                </w:tcPr>
                <w:p w14:paraId="70BE8F3F">
                  <w:pPr>
                    <w:pStyle w:val="31"/>
                    <w:rPr>
                      <w:rFonts w:hint="default" w:eastAsia="宋体"/>
                      <w:lang w:val="en-US" w:eastAsia="zh-CN"/>
                    </w:rPr>
                  </w:pPr>
                  <w:r>
                    <w:rPr>
                      <w:rFonts w:hint="eastAsia"/>
                      <w:lang w:val="en-US" w:eastAsia="zh-CN"/>
                    </w:rPr>
                    <w:t>5046.8</w:t>
                  </w:r>
                </w:p>
              </w:tc>
              <w:tc>
                <w:tcPr>
                  <w:tcW w:w="668" w:type="pct"/>
                  <w:vAlign w:val="center"/>
                </w:tcPr>
                <w:p w14:paraId="262486AD">
                  <w:pPr>
                    <w:pStyle w:val="31"/>
                    <w:rPr>
                      <w:rFonts w:hint="default" w:eastAsia="宋体"/>
                      <w:lang w:val="en-US" w:eastAsia="zh-CN"/>
                    </w:rPr>
                  </w:pPr>
                  <w:r>
                    <w:rPr>
                      <w:rFonts w:hint="eastAsia"/>
                      <w:lang w:val="en-US" w:eastAsia="zh-CN"/>
                    </w:rPr>
                    <w:t>22.1</w:t>
                  </w:r>
                </w:p>
              </w:tc>
              <w:tc>
                <w:tcPr>
                  <w:tcW w:w="1458" w:type="pct"/>
                  <w:vAlign w:val="center"/>
                </w:tcPr>
                <w:p w14:paraId="078701CF">
                  <w:pPr>
                    <w:pStyle w:val="31"/>
                  </w:pPr>
                  <w:r>
                    <w:rPr>
                      <w:rFonts w:hint="eastAsia"/>
                    </w:rPr>
                    <w:t>/</w:t>
                  </w:r>
                </w:p>
              </w:tc>
            </w:tr>
          </w:tbl>
          <w:p w14:paraId="075F8011">
            <w:pPr>
              <w:pStyle w:val="20"/>
              <w:ind w:firstLine="482"/>
            </w:pPr>
            <w:r>
              <w:rPr>
                <w:rFonts w:hint="eastAsia"/>
                <w:lang w:val="en-US" w:eastAsia="zh-CN"/>
              </w:rPr>
              <w:t>10</w:t>
            </w:r>
            <w:r>
              <w:rPr>
                <w:rFonts w:hint="eastAsia"/>
              </w:rPr>
              <w:t>、工作制度和职工人数</w:t>
            </w:r>
          </w:p>
          <w:p w14:paraId="6B928934">
            <w:pPr>
              <w:ind w:firstLine="480"/>
              <w:rPr>
                <w:b/>
                <w:color w:val="000000"/>
                <w:szCs w:val="21"/>
              </w:rPr>
            </w:pPr>
            <w:r>
              <w:rPr>
                <w:rFonts w:hint="eastAsia"/>
              </w:rPr>
              <w:t>本项目工作人数1</w:t>
            </w:r>
            <w:r>
              <w:rPr>
                <w:rFonts w:hint="eastAsia"/>
                <w:lang w:val="en-US" w:eastAsia="zh-CN"/>
              </w:rPr>
              <w:t>5</w:t>
            </w:r>
            <w:r>
              <w:rPr>
                <w:rFonts w:hint="eastAsia"/>
              </w:rPr>
              <w:t>人，年工作</w:t>
            </w:r>
            <w:r>
              <w:rPr>
                <w:rFonts w:hint="eastAsia"/>
                <w:lang w:val="en-US" w:eastAsia="zh-CN"/>
              </w:rPr>
              <w:t>150</w:t>
            </w:r>
            <w:r>
              <w:rPr>
                <w:rFonts w:hint="eastAsia"/>
              </w:rPr>
              <w:t>天，每天8小时。</w:t>
            </w:r>
          </w:p>
        </w:tc>
      </w:tr>
      <w:tr w14:paraId="14DDFF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456" w:type="dxa"/>
            <w:vAlign w:val="center"/>
          </w:tcPr>
          <w:p w14:paraId="5741EACA">
            <w:pPr>
              <w:pStyle w:val="31"/>
            </w:pPr>
            <w:r>
              <w:rPr>
                <w:rFonts w:hint="eastAsia"/>
              </w:rPr>
              <w:t>总平面及现场布置</w:t>
            </w:r>
          </w:p>
        </w:tc>
        <w:tc>
          <w:tcPr>
            <w:tcW w:w="8790" w:type="dxa"/>
          </w:tcPr>
          <w:p w14:paraId="216F516B">
            <w:pPr>
              <w:ind w:firstLine="480"/>
            </w:pPr>
            <w:r>
              <w:rPr>
                <w:rFonts w:hint="eastAsia"/>
              </w:rPr>
              <w:t>本项目采用地质测量、钻探及槽探等综合勘查方法进行勘查工作。</w:t>
            </w:r>
          </w:p>
          <w:p w14:paraId="658F7B43">
            <w:pPr>
              <w:ind w:firstLine="480"/>
            </w:pPr>
            <w:r>
              <w:rPr>
                <w:rFonts w:hint="eastAsia" w:ascii="宋体" w:hAnsi="宋体" w:cs="宋体"/>
                <w:color w:val="000000"/>
                <w:kern w:val="0"/>
                <w:lang w:bidi="ar"/>
              </w:rPr>
              <w:t>总平面布置相对比较简单，</w:t>
            </w:r>
            <w:r>
              <w:rPr>
                <w:rFonts w:hint="eastAsia"/>
              </w:rPr>
              <w:t>钻孔施工应选用技术性能先进、可靠，节能、环保，易于搬运、安装和拆卸，占地面积小的设备。设备运输尽可能利用现有道路，对于钻探设备难以进入的地区宜选用模块化便携式或履带自行式设备，减少新建道路修建，不需新修施工运输道路的地段，可采用机械化施工；交通不便、植被茂密的地段，可采用人工开挖施工，以避免修路及机械施工造成土地、植被景观的破坏。噪声源强在85~95dB（A），经距离衰减后，场界能够达到《工业企业厂界环境噪声排放标准》（GB12348-2008）中2类标准，对周边影响较小。本项目钻探产生的弃渣，堆放于各施工点附近，要求不占用草地，施工完成后进行土地恢复，对环境影响较小。</w:t>
            </w:r>
          </w:p>
          <w:p w14:paraId="219FB173">
            <w:pPr>
              <w:ind w:firstLine="480"/>
            </w:pPr>
            <w:r>
              <w:rPr>
                <w:rFonts w:hint="eastAsia"/>
              </w:rPr>
              <w:t>本项目生产用水定期从邻近乡镇拉运至生活营地内储水箱储存。产生的生产废水循环使用，不外排。项目钻探用电来自项目自备的柴油发电机供电，故本项目工程布局合理。</w:t>
            </w:r>
          </w:p>
          <w:p w14:paraId="21E37462">
            <w:pPr>
              <w:ind w:firstLine="480"/>
            </w:pPr>
            <w:r>
              <w:t>施工区域不占用耕地，无风景名胜区，无珍稀保护动、植物，对周边环境影响较小。由于本项目施工人员较少，施工人员居住在临时搭建的帐篷内，对周围环境影响较小。项目平面布置详见《附图2项目区平面布置图》和《附图3项目区影像图》。</w:t>
            </w:r>
          </w:p>
          <w:p w14:paraId="13FC4D13">
            <w:pPr>
              <w:ind w:firstLine="480"/>
            </w:pPr>
            <w:r>
              <w:t>综上所述，项目各勘探活动影响范围内无自然保护区、风景名胜保护区、饮用水源地等敏感点。探矿范围内多为山区，矿区范围内无居民，无珍稀保护植物、未发现珍稀保护动物。在探矿过程中采取相应的保护措施后，对矿区生态环境影响较小。从环境保护角度分析项目选址是合理可行的，不存在制约性因素。</w:t>
            </w:r>
          </w:p>
        </w:tc>
      </w:tr>
      <w:tr w14:paraId="121666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15" w:hRule="atLeast"/>
          <w:jc w:val="center"/>
        </w:trPr>
        <w:tc>
          <w:tcPr>
            <w:tcW w:w="456" w:type="dxa"/>
            <w:vAlign w:val="center"/>
          </w:tcPr>
          <w:p w14:paraId="171F57CC">
            <w:pPr>
              <w:pStyle w:val="31"/>
            </w:pPr>
            <w:r>
              <w:rPr>
                <w:rFonts w:hint="eastAsia"/>
              </w:rPr>
              <w:t>施工方案</w:t>
            </w:r>
          </w:p>
        </w:tc>
        <w:tc>
          <w:tcPr>
            <w:tcW w:w="8790" w:type="dxa"/>
          </w:tcPr>
          <w:p w14:paraId="6F155117">
            <w:pPr>
              <w:adjustRightInd w:val="0"/>
              <w:snapToGrid w:val="0"/>
              <w:ind w:firstLine="482"/>
              <w:rPr>
                <w:b/>
                <w:bCs/>
              </w:rPr>
            </w:pPr>
            <w:r>
              <w:rPr>
                <w:rFonts w:hint="eastAsia"/>
                <w:b/>
                <w:bCs/>
              </w:rPr>
              <w:t>（一）工艺流程</w:t>
            </w:r>
          </w:p>
          <w:p w14:paraId="655D97ED">
            <w:pPr>
              <w:adjustRightInd w:val="0"/>
              <w:snapToGrid w:val="0"/>
              <w:ind w:firstLine="360" w:firstLineChars="150"/>
              <w:outlineLvl w:val="2"/>
            </w:pPr>
            <w:r>
              <w:rPr>
                <w:rFonts w:hint="eastAsia"/>
              </w:rPr>
              <w:t>本勘探项目产生环境影响的时段</w:t>
            </w:r>
            <w:r>
              <w:t>主要为野外勘探期。探矿工作主要包括地质测量</w:t>
            </w:r>
            <w:r>
              <w:rPr>
                <w:rFonts w:hint="eastAsia"/>
              </w:rPr>
              <w:t>、钻探、槽探</w:t>
            </w:r>
            <w:r>
              <w:t>，工程实施过程中主要的污染来</w:t>
            </w:r>
            <w:r>
              <w:rPr>
                <w:rFonts w:hint="eastAsia"/>
              </w:rPr>
              <w:t>源于钻探</w:t>
            </w:r>
            <w:r>
              <w:t>过程中扬尘、机械噪声、工程弃渣及工作人员在地质测量和生活过程中产生的生活污水和垃圾。</w:t>
            </w:r>
            <w:r>
              <w:rPr>
                <w:rFonts w:hint="eastAsia"/>
              </w:rPr>
              <w:t>本次评价对象为矿产资源勘探期间可能产生的“三废”污染及生态破坏、水土流失对项目周围的环境影响。</w:t>
            </w:r>
          </w:p>
          <w:p w14:paraId="4D26F130">
            <w:pPr>
              <w:adjustRightInd w:val="0"/>
              <w:snapToGrid w:val="0"/>
              <w:ind w:firstLine="361" w:firstLineChars="150"/>
              <w:outlineLvl w:val="2"/>
              <w:rPr>
                <w:b/>
              </w:rPr>
            </w:pPr>
            <w:r>
              <w:rPr>
                <w:rFonts w:hint="eastAsia"/>
                <w:b/>
              </w:rPr>
              <w:t>1</w:t>
            </w:r>
            <w:r>
              <w:rPr>
                <w:b/>
              </w:rPr>
              <w:t>.</w:t>
            </w:r>
            <w:r>
              <w:rPr>
                <w:rFonts w:hint="eastAsia"/>
                <w:b/>
              </w:rPr>
              <w:t>钻探施工工艺及产污流程</w:t>
            </w:r>
          </w:p>
          <w:p w14:paraId="5DDCEFD1">
            <w:pPr>
              <w:pStyle w:val="8"/>
              <w:ind w:firstLine="480"/>
            </w:pPr>
            <w:r>
              <w:t>钻探是用钻机按一定设计角度和方向施工钻孔，通过钻孔采取</w:t>
            </w:r>
            <w:r>
              <w:rPr>
                <w:rFonts w:hint="eastAsia"/>
              </w:rPr>
              <w:t>岩心</w:t>
            </w:r>
            <w:r>
              <w:t>、岩屑，以探查地下岩层、矿体等分布及储量的一种探矿手段，在研究和分析相邻工程所见的地质体、构造、蚀变、矿化的空间分布的基础上，选择地表矿化较好的矿体进行深部验证钻探验证。</w:t>
            </w:r>
          </w:p>
          <w:p w14:paraId="39369DBD">
            <w:pPr>
              <w:adjustRightInd w:val="0"/>
              <w:snapToGrid w:val="0"/>
              <w:ind w:firstLine="360" w:firstLineChars="150"/>
              <w:outlineLvl w:val="2"/>
            </w:pPr>
            <w:r>
              <w:t>钻孔全部采用金刚石钻进、绳索取心工艺，采用75mm口径金刚石钻进，</w:t>
            </w:r>
            <w:r>
              <w:rPr>
                <w:rFonts w:hint="eastAsia"/>
              </w:rPr>
              <w:t>岩心采取率一般不低于70%，矿心采取率一般不低于80%</w:t>
            </w:r>
            <w:r>
              <w:t>，岩矿心取出后，按先后顺序排好，孔斜测量</w:t>
            </w:r>
            <w:r>
              <w:rPr>
                <w:rFonts w:hint="eastAsia"/>
              </w:rPr>
              <w:t>、孔深验证</w:t>
            </w:r>
            <w:r>
              <w:t>须及时，不得终孔一次进行，结果填写表格。</w:t>
            </w:r>
          </w:p>
          <w:p w14:paraId="521BE207">
            <w:pPr>
              <w:pStyle w:val="33"/>
              <w:spacing w:before="120"/>
            </w:pPr>
            <w:r>
              <w:drawing>
                <wp:anchor distT="0" distB="0" distL="114300" distR="114300" simplePos="0" relativeHeight="251662336" behindDoc="0" locked="0" layoutInCell="1" allowOverlap="1">
                  <wp:simplePos x="0" y="0"/>
                  <wp:positionH relativeFrom="column">
                    <wp:posOffset>112395</wp:posOffset>
                  </wp:positionH>
                  <wp:positionV relativeFrom="paragraph">
                    <wp:posOffset>240665</wp:posOffset>
                  </wp:positionV>
                  <wp:extent cx="5777230" cy="2021205"/>
                  <wp:effectExtent l="0" t="0" r="13970" b="17145"/>
                  <wp:wrapTopAndBottom/>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0"/>
                          <a:stretch>
                            <a:fillRect/>
                          </a:stretch>
                        </pic:blipFill>
                        <pic:spPr>
                          <a:xfrm>
                            <a:off x="0" y="0"/>
                            <a:ext cx="5777230" cy="2021205"/>
                          </a:xfrm>
                          <a:prstGeom prst="rect">
                            <a:avLst/>
                          </a:prstGeom>
                          <a:noFill/>
                          <a:ln>
                            <a:noFill/>
                          </a:ln>
                        </pic:spPr>
                      </pic:pic>
                    </a:graphicData>
                  </a:graphic>
                </wp:anchor>
              </w:drawing>
            </w:r>
            <w:r>
              <w:rPr>
                <w:rFonts w:hint="eastAsia"/>
              </w:rPr>
              <w:t>图1</w:t>
            </w:r>
            <w:r>
              <w:t>钻探工艺流程图</w:t>
            </w:r>
          </w:p>
          <w:p w14:paraId="5D64433B">
            <w:pPr>
              <w:ind w:firstLine="482"/>
              <w:rPr>
                <w:b/>
                <w:szCs w:val="28"/>
              </w:rPr>
            </w:pPr>
            <w:r>
              <w:rPr>
                <w:rFonts w:hint="eastAsia"/>
                <w:b/>
                <w:szCs w:val="28"/>
              </w:rPr>
              <w:t>工艺说明：</w:t>
            </w:r>
          </w:p>
          <w:p w14:paraId="2A4B6ADA">
            <w:pPr>
              <w:ind w:firstLine="480"/>
            </w:pPr>
            <w:r>
              <w:rPr>
                <w:rFonts w:hint="eastAsia"/>
              </w:rPr>
              <w:t>（1）原始班报表</w:t>
            </w:r>
          </w:p>
          <w:p w14:paraId="66120E5A">
            <w:pPr>
              <w:ind w:firstLine="480"/>
            </w:pPr>
            <w:r>
              <w:rPr>
                <w:rFonts w:hint="eastAsia"/>
              </w:rPr>
              <w:t>由钻机各班指定专人在现场用碳素笔及时填写原始报表，要做到真实、齐全、准确、整洁。</w:t>
            </w:r>
          </w:p>
          <w:p w14:paraId="61ADC521">
            <w:pPr>
              <w:ind w:firstLine="480"/>
            </w:pPr>
            <w:r>
              <w:rPr>
                <w:rFonts w:hint="eastAsia"/>
              </w:rPr>
              <w:t>（2）岩心采取率</w:t>
            </w:r>
          </w:p>
          <w:p w14:paraId="7E3E6F94">
            <w:pPr>
              <w:ind w:firstLine="480"/>
            </w:pPr>
            <w:r>
              <w:rPr>
                <w:rFonts w:hint="eastAsia"/>
              </w:rPr>
              <w:t>一般浮土、流沙层及表面覆盖物不计算采取率。矿体及其顶底板5m内的矿芯、岩心平均采取率不低于80%，厚大矿体内部矿芯采取率低于80%的连续长度不能超过5m，当矿芯采取率连续5m低于80％时，要查明原因，并采取补救措施。围岩岩心的分层平均采取率不得低于70%。采取率的计算，应以真正的岩矿芯为准。原始岩矿芯可包括碎块、碎砂、泥状物，不可将岩粉、流砂、坍塌掉块物等加在岩矿芯中计算。</w:t>
            </w:r>
          </w:p>
          <w:p w14:paraId="0E6D5CC2">
            <w:pPr>
              <w:ind w:firstLine="480"/>
            </w:pPr>
            <w:r>
              <w:rPr>
                <w:rFonts w:hint="eastAsia"/>
              </w:rPr>
              <w:t>岩矿芯由机台当班作业人员负责清洗干净，破碎岩矿芯严禁淘洗水冲。岩矿芯从岩心管中取出时，要尽量保证岩矿芯的原始状态，取出后不准颠倒错乱位置，自上而下按次序装箱，在岩心上用漆或油浸色笔写明回次数、总块数和块号（松软、破碎及易溶的岩矿芯应装入布袋塑料袋中），用铅笔填写岩心牌，放好岩心隔板，并妥善保管。</w:t>
            </w:r>
          </w:p>
          <w:p w14:paraId="634D90FE">
            <w:pPr>
              <w:ind w:firstLine="480"/>
            </w:pPr>
            <w:r>
              <w:rPr>
                <w:rFonts w:hint="eastAsia"/>
              </w:rPr>
              <w:t>（3）孔深校正</w:t>
            </w:r>
          </w:p>
          <w:p w14:paraId="452AAA21">
            <w:pPr>
              <w:ind w:firstLine="480"/>
            </w:pPr>
            <w:r>
              <w:rPr>
                <w:rFonts w:hint="eastAsia"/>
              </w:rPr>
              <w:t>下列情况应校正孔深：</w:t>
            </w:r>
          </w:p>
          <w:p w14:paraId="273A08E0">
            <w:pPr>
              <w:ind w:firstLine="480"/>
            </w:pPr>
            <w:r>
              <w:rPr>
                <w:rFonts w:hint="eastAsia"/>
              </w:rPr>
              <w:t>①斜孔每钻进50m及其倍数时校正；</w:t>
            </w:r>
          </w:p>
          <w:p w14:paraId="02E93488">
            <w:pPr>
              <w:ind w:firstLine="480"/>
            </w:pPr>
            <w:r>
              <w:rPr>
                <w:rFonts w:hint="eastAsia"/>
              </w:rPr>
              <w:t>②进出矿层时（矿层厚度小于5m时，只测量一次）；</w:t>
            </w:r>
          </w:p>
          <w:p w14:paraId="48C21232">
            <w:pPr>
              <w:ind w:firstLine="480"/>
            </w:pPr>
            <w:r>
              <w:rPr>
                <w:rFonts w:hint="eastAsia"/>
              </w:rPr>
              <w:t>③经地质编录人员确认的重要构造位置及划分地质时代的层位；</w:t>
            </w:r>
          </w:p>
          <w:p w14:paraId="277FB9F9">
            <w:pPr>
              <w:ind w:firstLine="480"/>
            </w:pPr>
            <w:r>
              <w:rPr>
                <w:rFonts w:hint="eastAsia"/>
              </w:rPr>
              <w:t>④下套管前和终孔后。</w:t>
            </w:r>
          </w:p>
          <w:p w14:paraId="25383D5D">
            <w:pPr>
              <w:ind w:firstLine="480"/>
            </w:pPr>
            <w:r>
              <w:rPr>
                <w:rFonts w:hint="eastAsia"/>
              </w:rPr>
              <w:t>孔深校正最大允许误差率为千分之一，允许累计计算，校正孔深的原始数据，要详细记录在班报表内。误差的绝对值在千分之一以内，班报表孔深不做修改，超过千分之一，应进行消除处理。</w:t>
            </w:r>
          </w:p>
          <w:p w14:paraId="7C8F8E53">
            <w:pPr>
              <w:ind w:firstLine="480"/>
            </w:pPr>
            <w:r>
              <w:rPr>
                <w:rFonts w:hint="eastAsia"/>
              </w:rPr>
              <w:t>（4）钻孔弯曲度测量</w:t>
            </w:r>
          </w:p>
          <w:p w14:paraId="661DBB6B">
            <w:pPr>
              <w:ind w:firstLine="480"/>
            </w:pPr>
            <w:r>
              <w:rPr>
                <w:rFonts w:hint="eastAsia"/>
              </w:rPr>
              <w:t>根据《地质岩心钻探规程》（DZ/T0227-2010）的要求，钻孔施工过程中，钻孔开孔后25m应测量一次倾角和方位角，在钻进过程中直孔每钻进100m、斜孔每钻进50m进行一次弯曲度测量，在进出矿层时必须进行弯曲度测量，在钻孔终孔后必须进行弯曲度测量，要严格按照《地质岩心钻探规程》（DZ/T0227-2010）的要求进行弯曲度测量工作，斜孔每100m天顶角偏斜不得超过3°。</w:t>
            </w:r>
          </w:p>
          <w:p w14:paraId="657EDC62">
            <w:pPr>
              <w:ind w:firstLine="480"/>
            </w:pPr>
            <w:r>
              <w:rPr>
                <w:rFonts w:hint="eastAsia"/>
              </w:rPr>
              <w:t>（5）简易水文观测</w:t>
            </w:r>
          </w:p>
          <w:p w14:paraId="4FE1ADEC">
            <w:pPr>
              <w:ind w:firstLine="480"/>
            </w:pPr>
            <w:r>
              <w:rPr>
                <w:rFonts w:hint="eastAsia"/>
              </w:rPr>
              <w:t>简易水文观测的目的，是为了了解岩层含水段的数目、厚度、埋藏深度及其富水性。简易水文地质由钻探部门执行，地质编录人员要进行认真监督和配合。</w:t>
            </w:r>
          </w:p>
          <w:p w14:paraId="5F86C800">
            <w:pPr>
              <w:ind w:firstLine="480"/>
            </w:pPr>
            <w:r>
              <w:rPr>
                <w:rFonts w:hint="eastAsia"/>
              </w:rPr>
              <w:t>①在以清水为冲洗液的钻孔中，每班至少观测水位1-2回次，每观测回次中，提钻前、下钻后各测量一次水位，间隔时间应大于5分钟，终孔要测稳定水位。以泥浆为冲洗液的钻孔中，一般可不进行水位测量。</w:t>
            </w:r>
          </w:p>
          <w:p w14:paraId="74135666">
            <w:pPr>
              <w:ind w:firstLine="480"/>
            </w:pPr>
            <w:r>
              <w:rPr>
                <w:rFonts w:hint="eastAsia"/>
              </w:rPr>
              <w:t>②钻进过程中遇到涌水、漏水、涌砂、掉块、坍塌、所径、逸气、裂隙、溶洞及钻具掉落等异常现象时，应及时记录其深度；</w:t>
            </w:r>
          </w:p>
          <w:p w14:paraId="1278A567">
            <w:pPr>
              <w:ind w:firstLine="480"/>
            </w:pPr>
            <w:r>
              <w:rPr>
                <w:rFonts w:hint="eastAsia"/>
              </w:rPr>
              <w:t>③假日、机修或其他原因停钻时间较长时，需进行水位的观测；</w:t>
            </w:r>
          </w:p>
          <w:p w14:paraId="0DF5244B">
            <w:pPr>
              <w:ind w:firstLine="480"/>
            </w:pPr>
            <w:r>
              <w:rPr>
                <w:rFonts w:hint="eastAsia"/>
              </w:rPr>
              <w:t>（6）封孔</w:t>
            </w:r>
          </w:p>
          <w:p w14:paraId="02691205">
            <w:pPr>
              <w:ind w:firstLine="480"/>
            </w:pPr>
            <w:r>
              <w:rPr>
                <w:rFonts w:hint="eastAsia"/>
              </w:rPr>
              <w:t>终孔前探矿部门根据地质部门提出的实际钻孔柱状图和封孔要求编写封孔设计书，经矿区技术负责人，水文地质组长签字后，交钻机按设计要求认真封孔，并填写好封孔记录。</w:t>
            </w:r>
          </w:p>
          <w:p w14:paraId="573B6201">
            <w:pPr>
              <w:ind w:firstLine="480"/>
            </w:pPr>
            <w:r>
              <w:rPr>
                <w:rFonts w:hint="eastAsia"/>
              </w:rPr>
              <w:t>封孔的要求：</w:t>
            </w:r>
          </w:p>
          <w:p w14:paraId="7CB04F81">
            <w:pPr>
              <w:ind w:firstLine="480"/>
            </w:pPr>
            <w:r>
              <w:rPr>
                <w:rFonts w:hint="eastAsia"/>
              </w:rPr>
              <w:t>①见易溶、易蚀、易流散、易被破坏的工业矿层含水层、含水构造的钻孔须在顶、底板上下各5m范围内的隔水层处，用Po32.5普通硅酸盐水泥封闭；</w:t>
            </w:r>
          </w:p>
          <w:p w14:paraId="066D28D3">
            <w:pPr>
              <w:ind w:firstLine="480"/>
            </w:pPr>
            <w:r>
              <w:rPr>
                <w:rFonts w:hint="eastAsia"/>
              </w:rPr>
              <w:t>②见除了上述之外的其他固体矿层，但未见含水层和含水构造并且孔位低于侵蚀基准面的钻孔，可用Po32.5普通硅酸盐水泥或其他隔水材料封闭钻孔最上部隔水层与透水层交界处；</w:t>
            </w:r>
          </w:p>
          <w:p w14:paraId="7028F89C">
            <w:pPr>
              <w:ind w:firstLine="480"/>
            </w:pPr>
            <w:r>
              <w:rPr>
                <w:rFonts w:hint="eastAsia"/>
              </w:rPr>
              <w:t>③矿层不厚或矿层与矿层、矿层与含水层较近时，可一并封闭；</w:t>
            </w:r>
          </w:p>
          <w:p w14:paraId="156E4756">
            <w:pPr>
              <w:ind w:firstLine="480"/>
            </w:pPr>
            <w:r>
              <w:rPr>
                <w:rFonts w:hint="eastAsia"/>
              </w:rPr>
              <w:t>④需要进行地下水动态观测钻孔，可暂不封闭。但对矿床充水有严重影响的钻孔，必须封闭；</w:t>
            </w:r>
          </w:p>
          <w:p w14:paraId="3898F17C">
            <w:pPr>
              <w:ind w:firstLine="480"/>
            </w:pPr>
            <w:r>
              <w:rPr>
                <w:rFonts w:hint="eastAsia"/>
              </w:rPr>
              <w:t>封孔后必须在孔口中心设立水泥标志桩（用水泥固定）。为了检查封孔的质量，必要时选择一定数量的钻孔进行封孔质量检查。</w:t>
            </w:r>
          </w:p>
          <w:p w14:paraId="25C5DA36">
            <w:pPr>
              <w:ind w:firstLine="480"/>
            </w:pPr>
            <w:r>
              <w:rPr>
                <w:rFonts w:hint="eastAsia"/>
              </w:rPr>
              <w:t>（7）环境保护</w:t>
            </w:r>
          </w:p>
          <w:p w14:paraId="263A2B75">
            <w:pPr>
              <w:ind w:firstLine="480"/>
              <w:rPr>
                <w:b/>
              </w:rPr>
            </w:pPr>
            <w:r>
              <w:rPr>
                <w:rFonts w:hint="eastAsia"/>
              </w:rPr>
              <w:t>钻探施工需严格执行《绿色地质勘查工作规范》（DZ/T0374-2021），对生活垃圾及废弃物分类处置（可降解垃圾深埋、不可降解垃圾清运），废渣集中利用，钻机场地铺设防渗膜，泥浆池规范回填，终孔后实施复绿，确保"人走场清"，做好复绿工作。</w:t>
            </w:r>
          </w:p>
          <w:p w14:paraId="5285D552">
            <w:pPr>
              <w:ind w:firstLine="482"/>
              <w:rPr>
                <w:b/>
              </w:rPr>
            </w:pPr>
            <w:r>
              <w:rPr>
                <w:rFonts w:hint="eastAsia"/>
                <w:b/>
              </w:rPr>
              <w:t>2</w:t>
            </w:r>
            <w:r>
              <w:rPr>
                <w:b/>
              </w:rPr>
              <w:t>.</w:t>
            </w:r>
            <w:r>
              <w:rPr>
                <w:rFonts w:hint="eastAsia"/>
                <w:b/>
              </w:rPr>
              <w:t>槽探施工工艺及产污流程</w:t>
            </w:r>
          </w:p>
          <w:p w14:paraId="24EA7316">
            <w:pPr>
              <w:ind w:firstLine="480"/>
            </w:pPr>
            <w:r>
              <w:rPr>
                <w:rFonts w:hint="eastAsia"/>
              </w:rPr>
              <w:t>槽探工程主要用于对含矿构造破碎带、构造、重要地质界线和化探剖面异常的揭露和地表矿体的系统控制。槽探工程布设在垂直于含矿构造等地质体上。</w:t>
            </w:r>
          </w:p>
          <w:p w14:paraId="0CB74C99">
            <w:pPr>
              <w:ind w:firstLine="480"/>
            </w:pPr>
            <w:r>
              <w:rPr>
                <w:rFonts w:hint="eastAsia"/>
              </w:rPr>
              <w:t>槽探工程布设应尽量垂直矿（化）体、构造带、异常高值区等地质体。探槽开口宽一般1～1.5m，底宽0.8m，长度根据需要而定，槽壁坡度一般75°左右，槽深一般不超过3m，以揭露出新鲜岩石0.3～0.5m为准。其质量验收由地质人员负责。随工程竣工及时编录采样。</w:t>
            </w:r>
          </w:p>
          <w:p w14:paraId="1EEF504F">
            <w:pPr>
              <w:ind w:firstLine="480"/>
            </w:pPr>
            <w:r>
              <w:rPr>
                <w:rFonts w:hint="eastAsia"/>
              </w:rPr>
              <w:t>样品采集在槽壁或槽底上采取，水平或垂直矿体布样，用刻槽法采样，规格10×3cm。刻槽样的实际重量与理论重量相差应不超过10%。探槽编录随工程竣工及时进行，现场绘制素描图，图面全面真实地反映工程所揭露的地质现象，取样位置及长度清晰，图面整洁、美观，文字描述应简明扼要，重点突出，主要是岩矿石定名、颜色、结构、构造、产状、形态、断层、矿物成分、接触关系等。槽探编一壁一底的展开图，素描图比例尺一般为1:100。探槽编录时，编绘一壁一底，应将基岩出露较高、地质现象较丰富的一壁作为编绘壁。绘图时，探槽方向变大或者变小超过15°时，素描图中槽底拐弯处的地质界线需进行处理，探槽方向变大时，采用裂开法绘拐弯处槽底图。探槽方向变小时绘图，采用重叠拼接法绘拐弯处的槽底图。在完成探槽的编录、布样及标注后，应对编绘壁及刻槽样进行拍照。</w:t>
            </w:r>
          </w:p>
          <w:p w14:paraId="19C6E4BB">
            <w:pPr>
              <w:adjustRightInd w:val="0"/>
              <w:snapToGrid w:val="0"/>
              <w:ind w:firstLine="0" w:firstLineChars="0"/>
              <w:outlineLvl w:val="2"/>
              <w:rPr>
                <w:b/>
                <w:bCs/>
                <w:color w:val="FF0000"/>
                <w:sz w:val="21"/>
                <w:szCs w:val="21"/>
              </w:rPr>
            </w:pPr>
          </w:p>
          <w:p w14:paraId="011C5B47">
            <w:pPr>
              <w:adjustRightInd w:val="0"/>
              <w:snapToGrid w:val="0"/>
              <w:ind w:firstLine="0" w:firstLineChars="0"/>
              <w:outlineLvl w:val="2"/>
              <w:rPr>
                <w:b/>
                <w:bCs/>
                <w:color w:val="FF0000"/>
                <w:sz w:val="21"/>
                <w:szCs w:val="21"/>
              </w:rPr>
            </w:pPr>
          </w:p>
          <w:p w14:paraId="1A71AFEC">
            <w:pPr>
              <w:adjustRightInd w:val="0"/>
              <w:snapToGrid w:val="0"/>
              <w:ind w:firstLine="0" w:firstLineChars="0"/>
              <w:outlineLvl w:val="2"/>
              <w:rPr>
                <w:b/>
                <w:bCs/>
                <w:color w:val="FF0000"/>
                <w:sz w:val="21"/>
                <w:szCs w:val="21"/>
              </w:rPr>
            </w:pPr>
          </w:p>
          <w:p w14:paraId="7263F22A">
            <w:pPr>
              <w:adjustRightInd w:val="0"/>
              <w:snapToGrid w:val="0"/>
              <w:ind w:firstLine="0" w:firstLineChars="0"/>
              <w:outlineLvl w:val="2"/>
              <w:rPr>
                <w:b/>
                <w:bCs/>
                <w:color w:val="FF0000"/>
                <w:sz w:val="21"/>
                <w:szCs w:val="21"/>
              </w:rPr>
            </w:pPr>
            <w:r>
              <mc:AlternateContent>
                <mc:Choice Requires="wpg">
                  <w:drawing>
                    <wp:anchor distT="0" distB="0" distL="114300" distR="114300" simplePos="0" relativeHeight="251661312" behindDoc="0" locked="0" layoutInCell="1" allowOverlap="1">
                      <wp:simplePos x="0" y="0"/>
                      <wp:positionH relativeFrom="column">
                        <wp:posOffset>706120</wp:posOffset>
                      </wp:positionH>
                      <wp:positionV relativeFrom="paragraph">
                        <wp:posOffset>78740</wp:posOffset>
                      </wp:positionV>
                      <wp:extent cx="3839845" cy="2138045"/>
                      <wp:effectExtent l="7620" t="8255" r="0" b="25400"/>
                      <wp:wrapNone/>
                      <wp:docPr id="25" name="组合 25"/>
                      <wp:cNvGraphicFramePr/>
                      <a:graphic xmlns:a="http://schemas.openxmlformats.org/drawingml/2006/main">
                        <a:graphicData uri="http://schemas.microsoft.com/office/word/2010/wordprocessingGroup">
                          <wpg:wgp>
                            <wpg:cNvGrpSpPr/>
                            <wpg:grpSpPr>
                              <a:xfrm>
                                <a:off x="0" y="0"/>
                                <a:ext cx="3839845" cy="2138045"/>
                                <a:chOff x="4153" y="311580"/>
                                <a:chExt cx="6047" cy="3367"/>
                              </a:xfrm>
                            </wpg:grpSpPr>
                            <wps:wsp>
                              <wps:cNvPr id="9" name="文本框 9"/>
                              <wps:cNvSpPr txBox="1">
                                <a:spLocks noChangeArrowheads="1"/>
                              </wps:cNvSpPr>
                              <wps:spPr bwMode="auto">
                                <a:xfrm>
                                  <a:off x="4647" y="311580"/>
                                  <a:ext cx="1410" cy="465"/>
                                </a:xfrm>
                                <a:prstGeom prst="rect">
                                  <a:avLst/>
                                </a:prstGeom>
                                <a:noFill/>
                                <a:ln w="15875">
                                  <a:solidFill>
                                    <a:srgbClr val="000000"/>
                                  </a:solidFill>
                                  <a:miter lim="800000"/>
                                </a:ln>
                                <a:effectLst/>
                              </wps:spPr>
                              <wps:txbx>
                                <w:txbxContent>
                                  <w:p w14:paraId="465FEC57">
                                    <w:pPr>
                                      <w:pStyle w:val="31"/>
                                    </w:pPr>
                                    <w:r>
                                      <w:rPr>
                                        <w:rFonts w:hint="eastAsia"/>
                                      </w:rPr>
                                      <w:t>施工放样</w:t>
                                    </w:r>
                                  </w:p>
                                  <w:p w14:paraId="235B3F24">
                                    <w:pPr>
                                      <w:ind w:firstLine="480"/>
                                    </w:pPr>
                                  </w:p>
                                </w:txbxContent>
                              </wps:txbx>
                              <wps:bodyPr rot="0" vert="horz" wrap="square" lIns="91440" tIns="45720" rIns="91440" bIns="45720" anchor="t" anchorCtr="0" upright="1">
                                <a:noAutofit/>
                              </wps:bodyPr>
                            </wps:wsp>
                            <wps:wsp>
                              <wps:cNvPr id="1" name="文本框 1"/>
                              <wps:cNvSpPr txBox="1">
                                <a:spLocks noChangeArrowheads="1"/>
                              </wps:cNvSpPr>
                              <wps:spPr bwMode="auto">
                                <a:xfrm>
                                  <a:off x="4482" y="312554"/>
                                  <a:ext cx="1679" cy="465"/>
                                </a:xfrm>
                                <a:prstGeom prst="rect">
                                  <a:avLst/>
                                </a:prstGeom>
                                <a:noFill/>
                                <a:ln w="15875">
                                  <a:solidFill>
                                    <a:srgbClr val="000000"/>
                                  </a:solidFill>
                                  <a:miter lim="800000"/>
                                </a:ln>
                                <a:effectLst/>
                              </wps:spPr>
                              <wps:txbx>
                                <w:txbxContent>
                                  <w:p w14:paraId="3E5D5954">
                                    <w:pPr>
                                      <w:pStyle w:val="31"/>
                                    </w:pPr>
                                    <w:r>
                                      <w:rPr>
                                        <w:rFonts w:hint="eastAsia"/>
                                      </w:rPr>
                                      <w:t>地面掘除清理</w:t>
                                    </w:r>
                                  </w:p>
                                </w:txbxContent>
                              </wps:txbx>
                              <wps:bodyPr rot="0" vert="horz" wrap="square" lIns="91440" tIns="45720" rIns="91440" bIns="45720" anchor="t" anchorCtr="0" upright="1">
                                <a:noAutofit/>
                              </wps:bodyPr>
                            </wps:wsp>
                            <wps:wsp>
                              <wps:cNvPr id="7" name="文本框 7"/>
                              <wps:cNvSpPr txBox="1">
                                <a:spLocks noChangeArrowheads="1"/>
                              </wps:cNvSpPr>
                              <wps:spPr bwMode="auto">
                                <a:xfrm>
                                  <a:off x="4520" y="314482"/>
                                  <a:ext cx="1679" cy="465"/>
                                </a:xfrm>
                                <a:prstGeom prst="rect">
                                  <a:avLst/>
                                </a:prstGeom>
                                <a:noFill/>
                                <a:ln w="15875">
                                  <a:solidFill>
                                    <a:srgbClr val="000000"/>
                                  </a:solidFill>
                                  <a:miter lim="800000"/>
                                </a:ln>
                                <a:effectLst/>
                              </wps:spPr>
                              <wps:txbx>
                                <w:txbxContent>
                                  <w:p w14:paraId="3BDF6989">
                                    <w:pPr>
                                      <w:pStyle w:val="31"/>
                                    </w:pPr>
                                    <w:r>
                                      <w:rPr>
                                        <w:rFonts w:hint="eastAsia"/>
                                      </w:rPr>
                                      <w:t>地表平整压实</w:t>
                                    </w:r>
                                  </w:p>
                                </w:txbxContent>
                              </wps:txbx>
                              <wps:bodyPr rot="0" vert="horz" wrap="square" lIns="91440" tIns="45720" rIns="91440" bIns="45720" anchor="t" anchorCtr="0" upright="1">
                                <a:noAutofit/>
                              </wps:bodyPr>
                            </wps:wsp>
                            <wps:wsp>
                              <wps:cNvPr id="2" name="文本框 2"/>
                              <wps:cNvSpPr txBox="1">
                                <a:spLocks noChangeArrowheads="1"/>
                              </wps:cNvSpPr>
                              <wps:spPr bwMode="auto">
                                <a:xfrm>
                                  <a:off x="4153" y="313575"/>
                                  <a:ext cx="1994" cy="465"/>
                                </a:xfrm>
                                <a:prstGeom prst="rect">
                                  <a:avLst/>
                                </a:prstGeom>
                                <a:noFill/>
                                <a:ln w="15875">
                                  <a:solidFill>
                                    <a:srgbClr val="000000"/>
                                  </a:solidFill>
                                  <a:miter lim="800000"/>
                                </a:ln>
                                <a:effectLst/>
                              </wps:spPr>
                              <wps:txbx>
                                <w:txbxContent>
                                  <w:p w14:paraId="18BE4E6A">
                                    <w:pPr>
                                      <w:pStyle w:val="31"/>
                                    </w:pPr>
                                    <w:r>
                                      <w:rPr>
                                        <w:rFonts w:hint="eastAsia"/>
                                      </w:rPr>
                                      <w:t>槽探、钻探施工</w:t>
                                    </w:r>
                                  </w:p>
                                </w:txbxContent>
                              </wps:txbx>
                              <wps:bodyPr rot="0" vert="horz" wrap="square" lIns="91440" tIns="45720" rIns="91440" bIns="45720" anchor="t" anchorCtr="0" upright="1">
                                <a:noAutofit/>
                              </wps:bodyPr>
                            </wps:wsp>
                            <wps:wsp>
                              <wps:cNvPr id="3" name="直接连接符 3"/>
                              <wps:cNvCnPr>
                                <a:cxnSpLocks noChangeShapeType="1"/>
                              </wps:cNvCnPr>
                              <wps:spPr bwMode="auto">
                                <a:xfrm>
                                  <a:off x="5329" y="312075"/>
                                  <a:ext cx="1" cy="465"/>
                                </a:xfrm>
                                <a:prstGeom prst="line">
                                  <a:avLst/>
                                </a:prstGeom>
                                <a:noFill/>
                                <a:ln w="15875">
                                  <a:solidFill>
                                    <a:srgbClr val="000000"/>
                                  </a:solidFill>
                                  <a:round/>
                                  <a:tailEnd type="arrow" w="med" len="med"/>
                                </a:ln>
                                <a:effectLst/>
                              </wps:spPr>
                              <wps:bodyPr/>
                            </wps:wsp>
                            <wps:wsp>
                              <wps:cNvPr id="4" name="直接连接符 4"/>
                              <wps:cNvCnPr>
                                <a:cxnSpLocks noChangeShapeType="1"/>
                              </wps:cNvCnPr>
                              <wps:spPr bwMode="auto">
                                <a:xfrm>
                                  <a:off x="5314" y="313074"/>
                                  <a:ext cx="1" cy="465"/>
                                </a:xfrm>
                                <a:prstGeom prst="line">
                                  <a:avLst/>
                                </a:prstGeom>
                                <a:noFill/>
                                <a:ln w="15875">
                                  <a:solidFill>
                                    <a:srgbClr val="000000"/>
                                  </a:solidFill>
                                  <a:round/>
                                  <a:tailEnd type="arrow" w="med" len="med"/>
                                </a:ln>
                                <a:effectLst/>
                              </wps:spPr>
                              <wps:bodyPr/>
                            </wps:wsp>
                            <wps:wsp>
                              <wps:cNvPr id="5" name="直接连接符 5"/>
                              <wps:cNvCnPr>
                                <a:cxnSpLocks noChangeShapeType="1"/>
                              </wps:cNvCnPr>
                              <wps:spPr bwMode="auto">
                                <a:xfrm>
                                  <a:off x="5298" y="314052"/>
                                  <a:ext cx="0" cy="384"/>
                                </a:xfrm>
                                <a:prstGeom prst="line">
                                  <a:avLst/>
                                </a:prstGeom>
                                <a:noFill/>
                                <a:ln w="15875">
                                  <a:solidFill>
                                    <a:srgbClr val="000000"/>
                                  </a:solidFill>
                                  <a:round/>
                                  <a:tailEnd type="arrow" w="med" len="med"/>
                                </a:ln>
                                <a:effectLst/>
                              </wps:spPr>
                              <wps:bodyPr/>
                            </wps:wsp>
                            <wps:wsp>
                              <wps:cNvPr id="6" name="直接连接符 6"/>
                              <wps:cNvCnPr>
                                <a:cxnSpLocks noChangeShapeType="1"/>
                              </wps:cNvCnPr>
                              <wps:spPr bwMode="auto">
                                <a:xfrm>
                                  <a:off x="6190" y="312787"/>
                                  <a:ext cx="796" cy="1"/>
                                </a:xfrm>
                                <a:prstGeom prst="line">
                                  <a:avLst/>
                                </a:prstGeom>
                                <a:noFill/>
                                <a:ln w="15875">
                                  <a:solidFill>
                                    <a:srgbClr val="000000"/>
                                  </a:solidFill>
                                  <a:prstDash val="dash"/>
                                  <a:round/>
                                  <a:tailEnd type="arrow" w="med" len="med"/>
                                </a:ln>
                                <a:effectLst/>
                              </wps:spPr>
                              <wps:bodyPr/>
                            </wps:wsp>
                            <wps:wsp>
                              <wps:cNvPr id="13" name="直接连接符 13"/>
                              <wps:cNvCnPr>
                                <a:cxnSpLocks noChangeShapeType="1"/>
                              </wps:cNvCnPr>
                              <wps:spPr bwMode="auto">
                                <a:xfrm>
                                  <a:off x="6139" y="313812"/>
                                  <a:ext cx="796" cy="1"/>
                                </a:xfrm>
                                <a:prstGeom prst="line">
                                  <a:avLst/>
                                </a:prstGeom>
                                <a:noFill/>
                                <a:ln w="15875">
                                  <a:solidFill>
                                    <a:srgbClr val="000000"/>
                                  </a:solidFill>
                                  <a:prstDash val="dash"/>
                                  <a:round/>
                                  <a:tailEnd type="arrow" w="med" len="med"/>
                                </a:ln>
                                <a:effectLst/>
                              </wps:spPr>
                              <wps:bodyPr/>
                            </wps:wsp>
                            <wps:wsp>
                              <wps:cNvPr id="12" name="直接连接符 12"/>
                              <wps:cNvCnPr>
                                <a:cxnSpLocks noChangeShapeType="1"/>
                              </wps:cNvCnPr>
                              <wps:spPr bwMode="auto">
                                <a:xfrm>
                                  <a:off x="6208" y="314684"/>
                                  <a:ext cx="796" cy="1"/>
                                </a:xfrm>
                                <a:prstGeom prst="line">
                                  <a:avLst/>
                                </a:prstGeom>
                                <a:noFill/>
                                <a:ln w="15875">
                                  <a:solidFill>
                                    <a:srgbClr val="000000"/>
                                  </a:solidFill>
                                  <a:prstDash val="dash"/>
                                  <a:round/>
                                  <a:tailEnd type="arrow" w="med" len="med"/>
                                </a:ln>
                                <a:effectLst/>
                              </wps:spPr>
                              <wps:bodyPr/>
                            </wps:wsp>
                            <wps:wsp>
                              <wps:cNvPr id="14" name="文本框 14"/>
                              <wps:cNvSpPr txBox="1">
                                <a:spLocks noChangeArrowheads="1"/>
                              </wps:cNvSpPr>
                              <wps:spPr bwMode="auto">
                                <a:xfrm>
                                  <a:off x="6890" y="313583"/>
                                  <a:ext cx="2830" cy="465"/>
                                </a:xfrm>
                                <a:prstGeom prst="rect">
                                  <a:avLst/>
                                </a:prstGeom>
                                <a:noFill/>
                                <a:ln>
                                  <a:noFill/>
                                </a:ln>
                                <a:effectLst/>
                              </wps:spPr>
                              <wps:txbx>
                                <w:txbxContent>
                                  <w:p w14:paraId="3CD1D748">
                                    <w:pPr>
                                      <w:pStyle w:val="31"/>
                                    </w:pPr>
                                    <w:r>
                                      <w:rPr>
                                        <w:rFonts w:hint="eastAsia"/>
                                      </w:rPr>
                                      <w:t>扬尘、噪声、生态破坏</w:t>
                                    </w:r>
                                  </w:p>
                                </w:txbxContent>
                              </wps:txbx>
                              <wps:bodyPr rot="0" vert="horz" wrap="square" lIns="91440" tIns="45720" rIns="91440" bIns="45720" anchor="t" anchorCtr="0" upright="1">
                                <a:noAutofit/>
                              </wps:bodyPr>
                            </wps:wsp>
                            <wps:wsp>
                              <wps:cNvPr id="10" name="文本框 10"/>
                              <wps:cNvSpPr txBox="1">
                                <a:spLocks noChangeArrowheads="1"/>
                              </wps:cNvSpPr>
                              <wps:spPr bwMode="auto">
                                <a:xfrm>
                                  <a:off x="6986" y="312532"/>
                                  <a:ext cx="3136" cy="450"/>
                                </a:xfrm>
                                <a:prstGeom prst="rect">
                                  <a:avLst/>
                                </a:prstGeom>
                                <a:noFill/>
                                <a:ln>
                                  <a:noFill/>
                                </a:ln>
                                <a:effectLst/>
                              </wps:spPr>
                              <wps:txbx>
                                <w:txbxContent>
                                  <w:p w14:paraId="7E629118">
                                    <w:pPr>
                                      <w:pStyle w:val="31"/>
                                    </w:pPr>
                                    <w:r>
                                      <w:rPr>
                                        <w:rFonts w:hint="eastAsia"/>
                                      </w:rPr>
                                      <w:t>扬尘、噪声、废土石、生态破坏</w:t>
                                    </w:r>
                                  </w:p>
                                  <w:p w14:paraId="32ABCD46">
                                    <w:pPr>
                                      <w:ind w:firstLine="480"/>
                                    </w:pPr>
                                  </w:p>
                                </w:txbxContent>
                              </wps:txbx>
                              <wps:bodyPr rot="0" vert="horz" wrap="square" lIns="91440" tIns="45720" rIns="91440" bIns="45720" anchor="t" anchorCtr="0" upright="1">
                                <a:noAutofit/>
                              </wps:bodyPr>
                            </wps:wsp>
                            <wps:wsp>
                              <wps:cNvPr id="11" name="文本框 11"/>
                              <wps:cNvSpPr txBox="1">
                                <a:spLocks noChangeArrowheads="1"/>
                              </wps:cNvSpPr>
                              <wps:spPr bwMode="auto">
                                <a:xfrm>
                                  <a:off x="7064" y="314450"/>
                                  <a:ext cx="3136" cy="450"/>
                                </a:xfrm>
                                <a:prstGeom prst="rect">
                                  <a:avLst/>
                                </a:prstGeom>
                                <a:noFill/>
                                <a:ln>
                                  <a:noFill/>
                                </a:ln>
                                <a:effectLst/>
                              </wps:spPr>
                              <wps:txbx>
                                <w:txbxContent>
                                  <w:p w14:paraId="55423011">
                                    <w:pPr>
                                      <w:pStyle w:val="31"/>
                                    </w:pPr>
                                    <w:r>
                                      <w:rPr>
                                        <w:rFonts w:hint="eastAsia"/>
                                      </w:rPr>
                                      <w:t>扬尘、噪声、废石、生态破坏</w:t>
                                    </w:r>
                                  </w:p>
                                  <w:p w14:paraId="0B89AF3A">
                                    <w:pPr>
                                      <w:ind w:firstLine="480"/>
                                    </w:pP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55.6pt;margin-top:6.2pt;height:168.35pt;width:302.35pt;z-index:251661312;mso-width-relative:page;mso-height-relative:page;" coordorigin="4153,311580" coordsize="6047,3367" o:gfxdata="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">
                      <o:lock v:ext="edit" aspectratio="f"/>
                      <v:shape id="_x0000_s1026" o:spid="_x0000_s1026" o:spt="202" type="#_x0000_t202" style="position:absolute;left:4647;top:311580;height:465;width:1410;" filled="f" stroked="t" coordsize="21600,21600" o:gfxdata="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vJvq5AAAA2gAA&#10;AA8AAAAAAAAAAQAgAAAAIgAAAGRycy9kb3ducmV2LnhtbFBLAQIUABQAAAAIAIdO4kAzLwWeOwAA&#10;ADkAAAAQAAAAAAAAAAEAIAAAAAgBAABkcnMvc2hhcGV4bWwueG1sUEsFBgAAAAAGAAYAWwEAALID&#10;AAAAAA==&#10;">
                        <v:fill on="f" focussize="0,0"/>
                        <v:stroke weight="1.25pt" color="#000000" miterlimit="8" joinstyle="miter"/>
                        <v:imagedata o:title=""/>
                        <o:lock v:ext="edit" aspectratio="f"/>
                        <v:textbox>
                          <w:txbxContent>
                            <w:p w14:paraId="465FEC57">
                              <w:pPr>
                                <w:pStyle w:val="31"/>
                              </w:pPr>
                              <w:r>
                                <w:rPr>
                                  <w:rFonts w:hint="eastAsia"/>
                                </w:rPr>
                                <w:t>施工放样</w:t>
                              </w:r>
                            </w:p>
                            <w:p w14:paraId="235B3F24">
                              <w:pPr>
                                <w:ind w:firstLine="480"/>
                              </w:pPr>
                            </w:p>
                          </w:txbxContent>
                        </v:textbox>
                      </v:shape>
                      <v:shape id="_x0000_s1026" o:spid="_x0000_s1026" o:spt="202" type="#_x0000_t202" style="position:absolute;left:4482;top:312554;height:465;width:1679;" filled="f" stroked="t" coordsize="21600,21600" o:gfxdata="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VZKvy5AAAA2gAA&#10;AA8AAAAAAAAAAQAgAAAAIgAAAGRycy9kb3ducmV2LnhtbFBLAQIUABQAAAAIAIdO4kAzLwWeOwAA&#10;ADkAAAAQAAAAAAAAAAEAIAAAAAgBAABkcnMvc2hhcGV4bWwueG1sUEsFBgAAAAAGAAYAWwEAALID&#10;AAAAAA==&#10;">
                        <v:fill on="f" focussize="0,0"/>
                        <v:stroke weight="1.25pt" color="#000000" miterlimit="8" joinstyle="miter"/>
                        <v:imagedata o:title=""/>
                        <o:lock v:ext="edit" aspectratio="f"/>
                        <v:textbox>
                          <w:txbxContent>
                            <w:p w14:paraId="3E5D5954">
                              <w:pPr>
                                <w:pStyle w:val="31"/>
                              </w:pPr>
                              <w:r>
                                <w:rPr>
                                  <w:rFonts w:hint="eastAsia"/>
                                </w:rPr>
                                <w:t>地面掘除清理</w:t>
                              </w:r>
                            </w:p>
                          </w:txbxContent>
                        </v:textbox>
                      </v:shape>
                      <v:shape id="_x0000_s1026" o:spid="_x0000_s1026" o:spt="202" type="#_x0000_t202" style="position:absolute;left:4520;top:314482;height:465;width:1679;" filled="f" stroked="t" coordsize="21600,21600" o:gfxdata="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BcTugAAANoA&#10;AAAPAAAAAAAAAAEAIAAAACIAAABkcnMvZG93bnJldi54bWxQSwECFAAUAAAACACHTuJAMy8FnjsA&#10;AAA5AAAAEAAAAAAAAAABACAAAAAJAQAAZHJzL3NoYXBleG1sLnhtbFBLBQYAAAAABgAGAFsBAACz&#10;AwAAAAA=&#10;">
                        <v:fill on="f" focussize="0,0"/>
                        <v:stroke weight="1.25pt" color="#000000" miterlimit="8" joinstyle="miter"/>
                        <v:imagedata o:title=""/>
                        <o:lock v:ext="edit" aspectratio="f"/>
                        <v:textbox>
                          <w:txbxContent>
                            <w:p w14:paraId="3BDF6989">
                              <w:pPr>
                                <w:pStyle w:val="31"/>
                              </w:pPr>
                              <w:r>
                                <w:rPr>
                                  <w:rFonts w:hint="eastAsia"/>
                                </w:rPr>
                                <w:t>地表平整压实</w:t>
                              </w:r>
                            </w:p>
                          </w:txbxContent>
                        </v:textbox>
                      </v:shape>
                      <v:shape id="_x0000_s1026" o:spid="_x0000_s1026" o:spt="202" type="#_x0000_t202" style="position:absolute;left:4153;top:313575;height:465;width:1994;" filled="f" stroked="t" coordsize="21600,21600" o:gfxdata="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WLtIu5AAAA2gAA&#10;AA8AAAAAAAAAAQAgAAAAIgAAAGRycy9kb3ducmV2LnhtbFBLAQIUABQAAAAIAIdO4kAzLwWeOwAA&#10;ADkAAAAQAAAAAAAAAAEAIAAAAAgBAABkcnMvc2hhcGV4bWwueG1sUEsFBgAAAAAGAAYAWwEAALID&#10;AAAAAA==&#10;">
                        <v:fill on="f" focussize="0,0"/>
                        <v:stroke weight="1.25pt" color="#000000" miterlimit="8" joinstyle="miter"/>
                        <v:imagedata o:title=""/>
                        <o:lock v:ext="edit" aspectratio="f"/>
                        <v:textbox>
                          <w:txbxContent>
                            <w:p w14:paraId="18BE4E6A">
                              <w:pPr>
                                <w:pStyle w:val="31"/>
                              </w:pPr>
                              <w:r>
                                <w:rPr>
                                  <w:rFonts w:hint="eastAsia"/>
                                </w:rPr>
                                <w:t>槽探、钻探施工</w:t>
                              </w:r>
                            </w:p>
                          </w:txbxContent>
                        </v:textbox>
                      </v:shape>
                      <v:line id="_x0000_s1026" o:spid="_x0000_s1026" o:spt="20" style="position:absolute;left:5329;top:312075;height:465;width:1;" filled="f" stroked="t" coordsize="21600,21600" o:gfxdata="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3cNAL4A&#10;AADaAAAADwAAAAAAAAABACAAAAAiAAAAZHJzL2Rvd25yZXYueG1sUEsBAhQAFAAAAAgAh07iQDMv&#10;BZ47AAAAOQAAABAAAAAAAAAAAQAgAAAADQEAAGRycy9zaGFwZXhtbC54bWxQSwUGAAAAAAYABgBb&#10;AQAAtwMAAAAA&#10;">
                        <v:fill on="f" focussize="0,0"/>
                        <v:stroke weight="1.25pt" color="#000000" joinstyle="round" endarrow="open"/>
                        <v:imagedata o:title=""/>
                        <o:lock v:ext="edit" aspectratio="f"/>
                      </v:line>
                      <v:line id="_x0000_s1026" o:spid="_x0000_s1026" o:spt="20" style="position:absolute;left:5314;top:313074;height:465;width:1;" filled="f" stroked="t" coordsize="21600,21600" o:gfxdata="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npV0vQAA&#10;ANoAAAAPAAAAAAAAAAEAIAAAACIAAABkcnMvZG93bnJldi54bWxQSwECFAAUAAAACACHTuJAMy8F&#10;njsAAAA5AAAAEAAAAAAAAAABACAAAAAMAQAAZHJzL3NoYXBleG1sLnhtbFBLBQYAAAAABgAGAFsB&#10;AAC2AwAAAAA=&#10;">
                        <v:fill on="f" focussize="0,0"/>
                        <v:stroke weight="1.25pt" color="#000000" joinstyle="round" endarrow="open"/>
                        <v:imagedata o:title=""/>
                        <o:lock v:ext="edit" aspectratio="f"/>
                      </v:line>
                      <v:line id="_x0000_s1026" o:spid="_x0000_s1026" o:spt="20" style="position:absolute;left:5298;top:314052;height:384;width:0;" filled="f" stroked="t" coordsize="21600,21600" o:gfxdata="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Iw774A&#10;AADaAAAADwAAAAAAAAABACAAAAAiAAAAZHJzL2Rvd25yZXYueG1sUEsBAhQAFAAAAAgAh07iQDMv&#10;BZ47AAAAOQAAABAAAAAAAAAAAQAgAAAADQEAAGRycy9zaGFwZXhtbC54bWxQSwUGAAAAAAYABgBb&#10;AQAAtwMAAAAA&#10;">
                        <v:fill on="f" focussize="0,0"/>
                        <v:stroke weight="1.25pt" color="#000000" joinstyle="round" endarrow="open"/>
                        <v:imagedata o:title=""/>
                        <o:lock v:ext="edit" aspectratio="f"/>
                      </v:line>
                      <v:line id="_x0000_s1026" o:spid="_x0000_s1026" o:spt="20" style="position:absolute;left:6190;top:312787;height:1;width:796;" filled="f" stroked="t" coordsize="21600,21600" o:gfxdata="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RMBvrsAAADa&#10;AAAADwAAAAAAAAABACAAAAAiAAAAZHJzL2Rvd25yZXYueG1sUEsBAhQAFAAAAAgAh07iQDMvBZ47&#10;AAAAOQAAABAAAAAAAAAAAQAgAAAACgEAAGRycy9zaGFwZXhtbC54bWxQSwUGAAAAAAYABgBbAQAA&#10;tAMAAAAA&#10;">
                        <v:fill on="f" focussize="0,0"/>
                        <v:stroke weight="1.25pt" color="#000000" joinstyle="round" dashstyle="dash" endarrow="open"/>
                        <v:imagedata o:title=""/>
                        <o:lock v:ext="edit" aspectratio="f"/>
                      </v:line>
                      <v:line id="_x0000_s1026" o:spid="_x0000_s1026" o:spt="20" style="position:absolute;left:6139;top:313812;height:1;width:796;" filled="f" stroked="t" coordsize="21600,21600" o:gfxdata="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Ga7AbsAAADb&#10;AAAADwAAAAAAAAABACAAAAAiAAAAZHJzL2Rvd25yZXYueG1sUEsBAhQAFAAAAAgAh07iQDMvBZ47&#10;AAAAOQAAABAAAAAAAAAAAQAgAAAACgEAAGRycy9zaGFwZXhtbC54bWxQSwUGAAAAAAYABgBbAQAA&#10;tAMAAAAA&#10;">
                        <v:fill on="f" focussize="0,0"/>
                        <v:stroke weight="1.25pt" color="#000000" joinstyle="round" dashstyle="dash" endarrow="open"/>
                        <v:imagedata o:title=""/>
                        <o:lock v:ext="edit" aspectratio="f"/>
                      </v:line>
                      <v:line id="_x0000_s1026" o:spid="_x0000_s1026" o:spt="20" style="position:absolute;left:6208;top:314684;height:1;width:796;" filled="f" stroked="t" coordsize="21600,21600" o:gfxdata="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oemrsAAADb&#10;AAAADwAAAAAAAAABACAAAAAiAAAAZHJzL2Rvd25yZXYueG1sUEsBAhQAFAAAAAgAh07iQDMvBZ47&#10;AAAAOQAAABAAAAAAAAAAAQAgAAAACgEAAGRycy9zaGFwZXhtbC54bWxQSwUGAAAAAAYABgBbAQAA&#10;tAMAAAAA&#10;">
                        <v:fill on="f" focussize="0,0"/>
                        <v:stroke weight="1.25pt" color="#000000" joinstyle="round" dashstyle="dash" endarrow="open"/>
                        <v:imagedata o:title=""/>
                        <o:lock v:ext="edit" aspectratio="f"/>
                      </v:line>
                      <v:shape id="_x0000_s1026" o:spid="_x0000_s1026" o:spt="202" type="#_x0000_t202" style="position:absolute;left:6890;top:313583;height:465;width:2830;" filled="f" stroked="f" coordsize="21600,21600" o:gfxdata="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IgPW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3CD1D748">
                              <w:pPr>
                                <w:pStyle w:val="31"/>
                              </w:pPr>
                              <w:r>
                                <w:rPr>
                                  <w:rFonts w:hint="eastAsia"/>
                                </w:rPr>
                                <w:t>扬尘、噪声、生态破坏</w:t>
                              </w:r>
                            </w:p>
                          </w:txbxContent>
                        </v:textbox>
                      </v:shape>
                      <v:shape id="_x0000_s1026" o:spid="_x0000_s1026" o:spt="202" type="#_x0000_t202" style="position:absolute;left:6986;top:312532;height:450;width:3136;" filled="f" stroked="f" coordsize="21600,21600" o:gfxdata="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s4b2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E629118">
                              <w:pPr>
                                <w:pStyle w:val="31"/>
                              </w:pPr>
                              <w:r>
                                <w:rPr>
                                  <w:rFonts w:hint="eastAsia"/>
                                </w:rPr>
                                <w:t>扬尘、噪声、废土石、生态破坏</w:t>
                              </w:r>
                            </w:p>
                            <w:p w14:paraId="32ABCD46">
                              <w:pPr>
                                <w:ind w:firstLine="480"/>
                              </w:pPr>
                            </w:p>
                          </w:txbxContent>
                        </v:textbox>
                      </v:shape>
                      <v:shape id="_x0000_s1026" o:spid="_x0000_s1026" o:spt="202" type="#_x0000_t202" style="position:absolute;left:7064;top:314450;height:450;width:3136;" filled="f" stroked="f" coordsize="21600,21600" o:gfxdata="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yNt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55423011">
                              <w:pPr>
                                <w:pStyle w:val="31"/>
                              </w:pPr>
                              <w:r>
                                <w:rPr>
                                  <w:rFonts w:hint="eastAsia"/>
                                </w:rPr>
                                <w:t>扬尘、噪声、废石、生态破坏</w:t>
                              </w:r>
                            </w:p>
                            <w:p w14:paraId="0B89AF3A">
                              <w:pPr>
                                <w:ind w:firstLine="480"/>
                              </w:pPr>
                            </w:p>
                          </w:txbxContent>
                        </v:textbox>
                      </v:shape>
                    </v:group>
                  </w:pict>
                </mc:Fallback>
              </mc:AlternateContent>
            </w:r>
          </w:p>
          <w:p w14:paraId="044E437A">
            <w:pPr>
              <w:adjustRightInd w:val="0"/>
              <w:snapToGrid w:val="0"/>
              <w:ind w:firstLine="0" w:firstLineChars="0"/>
              <w:outlineLvl w:val="2"/>
              <w:rPr>
                <w:b/>
                <w:bCs/>
                <w:color w:val="FF0000"/>
                <w:sz w:val="21"/>
                <w:szCs w:val="21"/>
              </w:rPr>
            </w:pPr>
          </w:p>
          <w:p w14:paraId="26F1891B">
            <w:pPr>
              <w:adjustRightInd w:val="0"/>
              <w:snapToGrid w:val="0"/>
              <w:ind w:firstLine="0" w:firstLineChars="0"/>
              <w:outlineLvl w:val="2"/>
              <w:rPr>
                <w:b/>
                <w:bCs/>
                <w:color w:val="FF0000"/>
                <w:sz w:val="21"/>
                <w:szCs w:val="21"/>
              </w:rPr>
            </w:pPr>
          </w:p>
          <w:p w14:paraId="6F7AFF7D">
            <w:pPr>
              <w:adjustRightInd w:val="0"/>
              <w:snapToGrid w:val="0"/>
              <w:ind w:firstLine="0" w:firstLineChars="0"/>
              <w:outlineLvl w:val="2"/>
              <w:rPr>
                <w:b/>
                <w:bCs/>
                <w:color w:val="FF0000"/>
                <w:sz w:val="21"/>
                <w:szCs w:val="21"/>
              </w:rPr>
            </w:pPr>
          </w:p>
          <w:p w14:paraId="1FE8DCA5">
            <w:pPr>
              <w:adjustRightInd w:val="0"/>
              <w:snapToGrid w:val="0"/>
              <w:ind w:firstLine="0" w:firstLineChars="0"/>
              <w:outlineLvl w:val="2"/>
              <w:rPr>
                <w:b/>
                <w:bCs/>
                <w:color w:val="FF0000"/>
                <w:sz w:val="21"/>
                <w:szCs w:val="21"/>
              </w:rPr>
            </w:pPr>
          </w:p>
          <w:p w14:paraId="76B73E96">
            <w:pPr>
              <w:adjustRightInd w:val="0"/>
              <w:snapToGrid w:val="0"/>
              <w:ind w:firstLine="0" w:firstLineChars="0"/>
              <w:outlineLvl w:val="2"/>
              <w:rPr>
                <w:b/>
                <w:bCs/>
                <w:color w:val="FF0000"/>
                <w:sz w:val="21"/>
                <w:szCs w:val="21"/>
              </w:rPr>
            </w:pPr>
          </w:p>
          <w:p w14:paraId="01D009A2">
            <w:pPr>
              <w:adjustRightInd w:val="0"/>
              <w:snapToGrid w:val="0"/>
              <w:ind w:firstLine="0" w:firstLineChars="0"/>
              <w:outlineLvl w:val="2"/>
              <w:rPr>
                <w:b/>
                <w:bCs/>
                <w:color w:val="FF0000"/>
                <w:sz w:val="21"/>
                <w:szCs w:val="21"/>
              </w:rPr>
            </w:pPr>
          </w:p>
          <w:p w14:paraId="2DA3F9D5">
            <w:pPr>
              <w:adjustRightInd w:val="0"/>
              <w:snapToGrid w:val="0"/>
              <w:ind w:firstLine="0" w:firstLineChars="0"/>
              <w:outlineLvl w:val="2"/>
              <w:rPr>
                <w:b/>
                <w:bCs/>
                <w:color w:val="FF0000"/>
                <w:sz w:val="21"/>
                <w:szCs w:val="21"/>
              </w:rPr>
            </w:pPr>
          </w:p>
          <w:p w14:paraId="2D815127">
            <w:pPr>
              <w:adjustRightInd w:val="0"/>
              <w:snapToGrid w:val="0"/>
              <w:ind w:firstLine="0" w:firstLineChars="0"/>
              <w:outlineLvl w:val="2"/>
              <w:rPr>
                <w:b/>
                <w:bCs/>
                <w:color w:val="FF0000"/>
                <w:sz w:val="21"/>
                <w:szCs w:val="21"/>
              </w:rPr>
            </w:pPr>
          </w:p>
          <w:p w14:paraId="2DA8B477">
            <w:pPr>
              <w:adjustRightInd w:val="0"/>
              <w:snapToGrid w:val="0"/>
              <w:ind w:firstLine="0" w:firstLineChars="0"/>
              <w:outlineLvl w:val="2"/>
              <w:rPr>
                <w:b/>
                <w:bCs/>
                <w:color w:val="FF0000"/>
                <w:sz w:val="21"/>
                <w:szCs w:val="21"/>
              </w:rPr>
            </w:pPr>
          </w:p>
          <w:p w14:paraId="1380DC72">
            <w:pPr>
              <w:adjustRightInd w:val="0"/>
              <w:snapToGrid w:val="0"/>
              <w:spacing w:line="240" w:lineRule="auto"/>
              <w:ind w:firstLine="422"/>
              <w:jc w:val="center"/>
              <w:rPr>
                <w:b/>
              </w:rPr>
            </w:pPr>
            <w:r>
              <w:rPr>
                <w:rFonts w:hint="eastAsia"/>
                <w:b/>
                <w:bCs/>
                <w:sz w:val="21"/>
                <w:szCs w:val="21"/>
              </w:rPr>
              <w:t>图</w:t>
            </w:r>
            <w:r>
              <w:rPr>
                <w:b/>
                <w:bCs/>
                <w:sz w:val="21"/>
                <w:szCs w:val="21"/>
              </w:rPr>
              <w:t>2</w:t>
            </w:r>
            <w:r>
              <w:rPr>
                <w:rFonts w:hint="eastAsia"/>
                <w:b/>
                <w:bCs/>
                <w:sz w:val="21"/>
                <w:szCs w:val="21"/>
              </w:rPr>
              <w:t>槽探工艺流程及产污环节图</w:t>
            </w:r>
          </w:p>
          <w:p w14:paraId="0FD96CB1">
            <w:pPr>
              <w:ind w:firstLine="482"/>
              <w:rPr>
                <w:b/>
              </w:rPr>
            </w:pPr>
            <w:r>
              <w:rPr>
                <w:rFonts w:hint="eastAsia"/>
                <w:b/>
              </w:rPr>
              <w:t>3</w:t>
            </w:r>
            <w:r>
              <w:rPr>
                <w:b/>
              </w:rPr>
              <w:t>.</w:t>
            </w:r>
            <w:r>
              <w:rPr>
                <w:rFonts w:hint="eastAsia"/>
                <w:b/>
              </w:rPr>
              <w:t>施工时序</w:t>
            </w:r>
          </w:p>
          <w:p w14:paraId="0CAF672F">
            <w:pPr>
              <w:ind w:firstLine="480"/>
              <w:rPr>
                <w:rFonts w:hint="eastAsia" w:ascii="宋体" w:hAnsi="宋体"/>
              </w:rPr>
            </w:pPr>
            <w:r>
              <w:rPr>
                <w:rFonts w:hint="eastAsia" w:ascii="宋体" w:hAnsi="宋体"/>
              </w:rPr>
              <w:t>施工顺序为：施工放样→地面掘除清理→地表平整压实→钻探/槽探施工。</w:t>
            </w:r>
          </w:p>
          <w:p w14:paraId="41368A35">
            <w:pPr>
              <w:ind w:firstLine="482"/>
              <w:rPr>
                <w:b/>
              </w:rPr>
            </w:pPr>
            <w:r>
              <w:rPr>
                <w:rFonts w:hint="eastAsia"/>
                <w:b/>
              </w:rPr>
              <w:t>4</w:t>
            </w:r>
            <w:r>
              <w:rPr>
                <w:b/>
              </w:rPr>
              <w:t>.</w:t>
            </w:r>
            <w:r>
              <w:rPr>
                <w:rFonts w:hint="eastAsia"/>
                <w:b/>
              </w:rPr>
              <w:t>建设周期</w:t>
            </w:r>
          </w:p>
          <w:p w14:paraId="7B112260">
            <w:pPr>
              <w:adjustRightInd w:val="0"/>
              <w:snapToGrid w:val="0"/>
              <w:ind w:firstLine="480"/>
            </w:pPr>
            <w:r>
              <w:t>本工程施工总工期安排</w:t>
            </w:r>
            <w:r>
              <w:rPr>
                <w:rFonts w:hint="eastAsia"/>
                <w:lang w:val="en-US" w:eastAsia="zh-CN"/>
              </w:rPr>
              <w:t>9</w:t>
            </w:r>
            <w:r>
              <w:rPr>
                <w:rFonts w:hint="eastAsia"/>
              </w:rPr>
              <w:t>个月</w:t>
            </w:r>
            <w:r>
              <w:t>，202</w:t>
            </w:r>
            <w:r>
              <w:rPr>
                <w:rFonts w:hint="eastAsia"/>
              </w:rPr>
              <w:t>5</w:t>
            </w:r>
            <w:r>
              <w:t>年</w:t>
            </w:r>
            <w:r>
              <w:rPr>
                <w:rFonts w:hint="eastAsia"/>
                <w:lang w:val="en-US" w:eastAsia="zh-CN"/>
              </w:rPr>
              <w:t>12</w:t>
            </w:r>
            <w:r>
              <w:t>月至202</w:t>
            </w:r>
            <w:r>
              <w:rPr>
                <w:rFonts w:hint="eastAsia"/>
              </w:rPr>
              <w:t>6</w:t>
            </w:r>
            <w:r>
              <w:t>年</w:t>
            </w:r>
            <w:r>
              <w:rPr>
                <w:rFonts w:hint="eastAsia"/>
                <w:lang w:val="en-US" w:eastAsia="zh-CN"/>
              </w:rPr>
              <w:t>8</w:t>
            </w:r>
            <w:r>
              <w:rPr>
                <w:rFonts w:hint="eastAsia"/>
              </w:rPr>
              <w:t>月，根据天气情况具体安排施工时段，一年施工期</w:t>
            </w:r>
            <w:r>
              <w:rPr>
                <w:rFonts w:hint="eastAsia"/>
                <w:lang w:val="en-US" w:eastAsia="zh-CN"/>
              </w:rPr>
              <w:t>150</w:t>
            </w:r>
            <w:r>
              <w:rPr>
                <w:rFonts w:hint="eastAsia"/>
              </w:rPr>
              <w:t>d，</w:t>
            </w:r>
            <w:r>
              <w:t>本项目施工高峰期劳动定员可达</w:t>
            </w:r>
            <w:r>
              <w:rPr>
                <w:rFonts w:hint="eastAsia"/>
              </w:rPr>
              <w:t>1</w:t>
            </w:r>
            <w:r>
              <w:rPr>
                <w:rFonts w:hint="eastAsia"/>
                <w:lang w:val="en-US" w:eastAsia="zh-CN"/>
              </w:rPr>
              <w:t>5</w:t>
            </w:r>
            <w:r>
              <w:t>人/天。</w:t>
            </w:r>
          </w:p>
        </w:tc>
      </w:tr>
      <w:tr w14:paraId="3790F5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7" w:hRule="atLeast"/>
          <w:jc w:val="center"/>
        </w:trPr>
        <w:tc>
          <w:tcPr>
            <w:tcW w:w="456" w:type="dxa"/>
            <w:vAlign w:val="center"/>
          </w:tcPr>
          <w:p w14:paraId="43EDF44F">
            <w:pPr>
              <w:pStyle w:val="31"/>
            </w:pPr>
            <w:r>
              <w:rPr>
                <w:rFonts w:hint="eastAsia"/>
              </w:rPr>
              <w:t>其他</w:t>
            </w:r>
          </w:p>
        </w:tc>
        <w:tc>
          <w:tcPr>
            <w:tcW w:w="8790" w:type="dxa"/>
          </w:tcPr>
          <w:p w14:paraId="41180665">
            <w:pPr>
              <w:adjustRightInd w:val="0"/>
              <w:snapToGrid w:val="0"/>
              <w:ind w:firstLine="480"/>
              <w:rPr>
                <w:bCs/>
                <w:color w:val="000000"/>
              </w:rPr>
            </w:pPr>
          </w:p>
          <w:p w14:paraId="4936E267">
            <w:pPr>
              <w:adjustRightInd w:val="0"/>
              <w:snapToGrid w:val="0"/>
              <w:ind w:firstLine="480"/>
              <w:rPr>
                <w:bCs/>
                <w:color w:val="000000"/>
              </w:rPr>
            </w:pPr>
          </w:p>
          <w:p w14:paraId="26D682FE">
            <w:pPr>
              <w:adjustRightInd w:val="0"/>
              <w:snapToGrid w:val="0"/>
              <w:ind w:firstLine="480"/>
              <w:rPr>
                <w:bCs/>
                <w:color w:val="000000"/>
              </w:rPr>
            </w:pPr>
          </w:p>
          <w:p w14:paraId="4270DD8E">
            <w:pPr>
              <w:adjustRightInd w:val="0"/>
              <w:snapToGrid w:val="0"/>
              <w:ind w:firstLine="480"/>
              <w:rPr>
                <w:bCs/>
                <w:color w:val="000000"/>
              </w:rPr>
            </w:pPr>
            <w:r>
              <w:rPr>
                <w:rFonts w:hint="eastAsia"/>
                <w:bCs/>
                <w:color w:val="000000"/>
              </w:rPr>
              <w:t>无</w:t>
            </w:r>
          </w:p>
          <w:p w14:paraId="135F014E">
            <w:pPr>
              <w:adjustRightInd w:val="0"/>
              <w:snapToGrid w:val="0"/>
              <w:ind w:firstLine="480"/>
              <w:rPr>
                <w:bCs/>
                <w:color w:val="000000"/>
              </w:rPr>
            </w:pPr>
          </w:p>
          <w:p w14:paraId="6B2D06B3">
            <w:pPr>
              <w:adjustRightInd w:val="0"/>
              <w:snapToGrid w:val="0"/>
              <w:ind w:firstLine="480"/>
              <w:rPr>
                <w:bCs/>
                <w:color w:val="000000"/>
              </w:rPr>
            </w:pPr>
          </w:p>
          <w:p w14:paraId="06235239">
            <w:pPr>
              <w:adjustRightInd w:val="0"/>
              <w:snapToGrid w:val="0"/>
              <w:ind w:firstLine="480"/>
              <w:rPr>
                <w:bCs/>
                <w:color w:val="000000"/>
              </w:rPr>
            </w:pPr>
          </w:p>
          <w:p w14:paraId="18857B9D">
            <w:pPr>
              <w:adjustRightInd w:val="0"/>
              <w:snapToGrid w:val="0"/>
              <w:ind w:firstLine="480"/>
              <w:rPr>
                <w:bCs/>
                <w:color w:val="000000"/>
              </w:rPr>
            </w:pPr>
          </w:p>
          <w:p w14:paraId="252EEF2B">
            <w:pPr>
              <w:adjustRightInd w:val="0"/>
              <w:snapToGrid w:val="0"/>
              <w:ind w:firstLine="480"/>
              <w:rPr>
                <w:bCs/>
                <w:color w:val="000000"/>
              </w:rPr>
            </w:pPr>
          </w:p>
          <w:p w14:paraId="7BFE41EC">
            <w:pPr>
              <w:adjustRightInd w:val="0"/>
              <w:snapToGrid w:val="0"/>
              <w:ind w:firstLine="480"/>
              <w:rPr>
                <w:bCs/>
                <w:color w:val="000000"/>
              </w:rPr>
            </w:pPr>
          </w:p>
        </w:tc>
      </w:tr>
    </w:tbl>
    <w:p w14:paraId="60F822D2">
      <w:pPr>
        <w:pStyle w:val="19"/>
        <w:ind w:firstLine="720"/>
        <w:jc w:val="center"/>
        <w:rPr>
          <w:rFonts w:hint="eastAsia" w:ascii="黑体" w:hAnsi="黑体" w:eastAsia="黑体"/>
          <w:snapToGrid w:val="0"/>
          <w:sz w:val="36"/>
          <w:szCs w:val="36"/>
        </w:rPr>
        <w:sectPr>
          <w:headerReference r:id="rId5" w:type="default"/>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start="1"/>
          <w:cols w:space="720" w:num="1"/>
          <w:docGrid w:linePitch="312" w:charSpace="0"/>
        </w:sectPr>
      </w:pPr>
    </w:p>
    <w:p w14:paraId="2B67CCB1">
      <w:pPr>
        <w:pStyle w:val="4"/>
        <w:rPr>
          <w:snapToGrid w:val="0"/>
        </w:rPr>
      </w:pPr>
      <w:r>
        <w:rPr>
          <w:rFonts w:hint="eastAsia"/>
          <w:snapToGrid w:val="0"/>
        </w:rPr>
        <w:t>三、生态环境现状、保护目标及评价标准</w:t>
      </w:r>
    </w:p>
    <w:tbl>
      <w:tblPr>
        <w:tblStyle w:val="23"/>
        <w:tblW w:w="96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3"/>
        <w:gridCol w:w="9267"/>
      </w:tblGrid>
      <w:tr w14:paraId="2CB22F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413" w:type="dxa"/>
            <w:vAlign w:val="center"/>
          </w:tcPr>
          <w:p w14:paraId="7A5BE573">
            <w:pPr>
              <w:pStyle w:val="31"/>
            </w:pPr>
            <w:r>
              <w:rPr>
                <w:rFonts w:hint="eastAsia"/>
              </w:rPr>
              <w:t>生态</w:t>
            </w:r>
          </w:p>
          <w:p w14:paraId="744098B7">
            <w:pPr>
              <w:pStyle w:val="31"/>
            </w:pPr>
            <w:r>
              <w:rPr>
                <w:rFonts w:hint="eastAsia"/>
              </w:rPr>
              <w:t>环境</w:t>
            </w:r>
          </w:p>
          <w:p w14:paraId="5DC1B6AA">
            <w:pPr>
              <w:pStyle w:val="31"/>
            </w:pPr>
            <w:r>
              <w:rPr>
                <w:rFonts w:hint="eastAsia"/>
              </w:rPr>
              <w:t>现状</w:t>
            </w:r>
          </w:p>
        </w:tc>
        <w:tc>
          <w:tcPr>
            <w:tcW w:w="9267" w:type="dxa"/>
            <w:vAlign w:val="center"/>
          </w:tcPr>
          <w:p w14:paraId="5C26F1EB">
            <w:pPr>
              <w:pStyle w:val="20"/>
              <w:ind w:firstLine="482"/>
            </w:pPr>
            <w:r>
              <w:rPr>
                <w:rFonts w:hint="eastAsia"/>
              </w:rPr>
              <w:t>1</w:t>
            </w:r>
            <w:r>
              <w:t>.</w:t>
            </w:r>
            <w:r>
              <w:rPr>
                <w:rFonts w:hint="eastAsia"/>
              </w:rPr>
              <w:t>与主体功能规划相符性</w:t>
            </w:r>
          </w:p>
          <w:p w14:paraId="4E64B062">
            <w:pPr>
              <w:ind w:firstLine="480"/>
            </w:pPr>
            <w:r>
              <w:rPr>
                <w:rFonts w:hint="eastAsia"/>
              </w:rPr>
              <w:t>根据《新疆维吾尔自治区主体功能区规划》，新疆主体功能区按开发方式，分为重点开发区域、限制开发区域和禁止开发区域；按开发内容，分为城市化地区、农产品主产区和重点生态功能区三类；按层级，分为国家和自治区级两个层面。</w:t>
            </w:r>
          </w:p>
          <w:p w14:paraId="5715CF49">
            <w:pPr>
              <w:ind w:firstLine="480"/>
            </w:pPr>
            <w:r>
              <w:rPr>
                <w:rFonts w:hint="eastAsia"/>
              </w:rPr>
              <w:t>项目区位于</w:t>
            </w:r>
            <w:r>
              <w:rPr>
                <w:rFonts w:hint="eastAsia"/>
                <w:color w:val="000000"/>
              </w:rPr>
              <w:t>巴音郭楞蒙古自治州</w:t>
            </w:r>
            <w:r>
              <w:rPr>
                <w:rFonts w:hint="eastAsia"/>
                <w:color w:val="000000"/>
                <w:lang w:eastAsia="zh-CN"/>
              </w:rPr>
              <w:t>和静县287°方向直线距离约130千米处</w:t>
            </w:r>
            <w:r>
              <w:rPr>
                <w:rFonts w:hint="eastAsia"/>
              </w:rPr>
              <w:t>，行政区划隶属新疆和静县管辖；不属于主体功能区划中确定的国家和自治区层面的禁止开发区域。</w:t>
            </w:r>
          </w:p>
          <w:p w14:paraId="1037DD8C">
            <w:pPr>
              <w:pStyle w:val="20"/>
              <w:ind w:firstLine="482"/>
            </w:pPr>
            <w:r>
              <w:rPr>
                <w:rFonts w:hint="eastAsia"/>
              </w:rPr>
              <w:t>2.生态环境现状调查</w:t>
            </w:r>
          </w:p>
          <w:p w14:paraId="29423075">
            <w:pPr>
              <w:pStyle w:val="20"/>
              <w:ind w:firstLine="482"/>
            </w:pPr>
            <w:r>
              <w:t>2.1</w:t>
            </w:r>
            <w:r>
              <w:rPr>
                <w:rFonts w:hint="eastAsia"/>
              </w:rPr>
              <w:t>生态功能区划</w:t>
            </w:r>
          </w:p>
          <w:p w14:paraId="7B0F6F5A">
            <w:pPr>
              <w:autoSpaceDE w:val="0"/>
              <w:autoSpaceDN w:val="0"/>
              <w:adjustRightInd w:val="0"/>
              <w:ind w:firstLine="480"/>
            </w:pPr>
            <w:r>
              <w:rPr>
                <w:color w:val="000000"/>
              </w:rPr>
              <w:t>根据《新疆生态功能区划》，</w:t>
            </w:r>
            <w:r>
              <w:t>本项目评价区域属于</w:t>
            </w:r>
            <w:r>
              <w:fldChar w:fldCharType="begin"/>
            </w:r>
            <w:r>
              <w:instrText xml:space="preserve"> = 3 \* ROMAN </w:instrText>
            </w:r>
            <w:r>
              <w:fldChar w:fldCharType="separate"/>
            </w:r>
            <w:r>
              <w:t>III</w:t>
            </w:r>
            <w:r>
              <w:fldChar w:fldCharType="end"/>
            </w:r>
            <w:r>
              <w:t>3天山南坡草原牧业、</w:t>
            </w:r>
            <w:r>
              <w:rPr>
                <w:color w:val="000000"/>
              </w:rPr>
              <w:t>绿洲农业生态亚区-42．托木尔峰和天山南坡中段冰雪水源及生物多样性保护生态功能区。具体见表3.1。</w:t>
            </w:r>
          </w:p>
          <w:p w14:paraId="579F941E">
            <w:pPr>
              <w:pStyle w:val="33"/>
              <w:spacing w:before="120"/>
            </w:pPr>
            <w:r>
              <w:t>表3-1生态功能区划及主要环境问题和保护目标</w:t>
            </w:r>
          </w:p>
          <w:tbl>
            <w:tblPr>
              <w:tblStyle w:val="23"/>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65"/>
              <w:gridCol w:w="1314"/>
              <w:gridCol w:w="1305"/>
              <w:gridCol w:w="1321"/>
              <w:gridCol w:w="1435"/>
              <w:gridCol w:w="1024"/>
              <w:gridCol w:w="1152"/>
            </w:tblGrid>
            <w:tr w14:paraId="10FA20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1" w:hRule="atLeast"/>
              </w:trPr>
              <w:tc>
                <w:tcPr>
                  <w:tcW w:w="812" w:type="pct"/>
                  <w:vAlign w:val="center"/>
                </w:tcPr>
                <w:p w14:paraId="3EEFE38E">
                  <w:pPr>
                    <w:pStyle w:val="31"/>
                  </w:pPr>
                  <w:r>
                    <w:t>生态功能区名称</w:t>
                  </w:r>
                </w:p>
              </w:tc>
              <w:tc>
                <w:tcPr>
                  <w:tcW w:w="728" w:type="pct"/>
                  <w:vAlign w:val="center"/>
                </w:tcPr>
                <w:p w14:paraId="2186AD54">
                  <w:pPr>
                    <w:pStyle w:val="31"/>
                  </w:pPr>
                  <w:r>
                    <w:rPr>
                      <w:bCs/>
                      <w:kern w:val="0"/>
                    </w:rPr>
                    <w:t>主要生态服务功能</w:t>
                  </w:r>
                </w:p>
              </w:tc>
              <w:tc>
                <w:tcPr>
                  <w:tcW w:w="723" w:type="pct"/>
                  <w:vAlign w:val="center"/>
                </w:tcPr>
                <w:p w14:paraId="546439D8">
                  <w:pPr>
                    <w:pStyle w:val="31"/>
                    <w:rPr>
                      <w:kern w:val="0"/>
                    </w:rPr>
                  </w:pPr>
                  <w:r>
                    <w:rPr>
                      <w:bCs/>
                      <w:kern w:val="0"/>
                    </w:rPr>
                    <w:t>主要生态环境问题</w:t>
                  </w:r>
                </w:p>
              </w:tc>
              <w:tc>
                <w:tcPr>
                  <w:tcW w:w="732" w:type="pct"/>
                  <w:vAlign w:val="center"/>
                </w:tcPr>
                <w:p w14:paraId="46965D56">
                  <w:pPr>
                    <w:pStyle w:val="31"/>
                  </w:pPr>
                  <w:r>
                    <w:rPr>
                      <w:bCs/>
                      <w:kern w:val="0"/>
                    </w:rPr>
                    <w:t>生态敏感因子敏感程度</w:t>
                  </w:r>
                </w:p>
              </w:tc>
              <w:tc>
                <w:tcPr>
                  <w:tcW w:w="795" w:type="pct"/>
                  <w:vAlign w:val="center"/>
                </w:tcPr>
                <w:p w14:paraId="37067B9A">
                  <w:pPr>
                    <w:pStyle w:val="31"/>
                  </w:pPr>
                  <w:r>
                    <w:rPr>
                      <w:bCs/>
                      <w:kern w:val="0"/>
                    </w:rPr>
                    <w:t>保护目标</w:t>
                  </w:r>
                </w:p>
              </w:tc>
              <w:tc>
                <w:tcPr>
                  <w:tcW w:w="568" w:type="pct"/>
                  <w:vAlign w:val="center"/>
                </w:tcPr>
                <w:p w14:paraId="0D2C8F18">
                  <w:pPr>
                    <w:pStyle w:val="31"/>
                  </w:pPr>
                  <w:r>
                    <w:rPr>
                      <w:bCs/>
                      <w:kern w:val="0"/>
                    </w:rPr>
                    <w:t>保护措施</w:t>
                  </w:r>
                </w:p>
              </w:tc>
              <w:tc>
                <w:tcPr>
                  <w:tcW w:w="639" w:type="pct"/>
                  <w:vAlign w:val="center"/>
                </w:tcPr>
                <w:p w14:paraId="66CA7271">
                  <w:pPr>
                    <w:pStyle w:val="31"/>
                  </w:pPr>
                  <w:r>
                    <w:rPr>
                      <w:bCs/>
                      <w:kern w:val="0"/>
                    </w:rPr>
                    <w:t>发展方向</w:t>
                  </w:r>
                </w:p>
              </w:tc>
            </w:tr>
            <w:tr w14:paraId="7C8AA7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6" w:hRule="atLeast"/>
              </w:trPr>
              <w:tc>
                <w:tcPr>
                  <w:tcW w:w="812" w:type="pct"/>
                  <w:vAlign w:val="center"/>
                </w:tcPr>
                <w:p w14:paraId="5FF36C7B">
                  <w:pPr>
                    <w:pStyle w:val="31"/>
                  </w:pPr>
                  <w:r>
                    <w:rPr>
                      <w:rFonts w:hint="eastAsia"/>
                      <w:kern w:val="0"/>
                    </w:rPr>
                    <w:t>42．托木尔峰和天山南坡中段冰雪水源及生物多样性保护生态功能区</w:t>
                  </w:r>
                </w:p>
              </w:tc>
              <w:tc>
                <w:tcPr>
                  <w:tcW w:w="728" w:type="pct"/>
                  <w:vAlign w:val="center"/>
                </w:tcPr>
                <w:p w14:paraId="273499AE">
                  <w:pPr>
                    <w:pStyle w:val="31"/>
                  </w:pPr>
                  <w:r>
                    <w:rPr>
                      <w:rFonts w:hint="eastAsia"/>
                      <w:kern w:val="0"/>
                    </w:rPr>
                    <w:t>水源补给、生物多样性维护、土壤保持</w:t>
                  </w:r>
                </w:p>
              </w:tc>
              <w:tc>
                <w:tcPr>
                  <w:tcW w:w="723" w:type="pct"/>
                  <w:vAlign w:val="center"/>
                </w:tcPr>
                <w:p w14:paraId="1A183FE5">
                  <w:pPr>
                    <w:pStyle w:val="31"/>
                  </w:pPr>
                  <w:r>
                    <w:rPr>
                      <w:rFonts w:hint="eastAsia"/>
                      <w:kern w:val="0"/>
                    </w:rPr>
                    <w:t>水土流失、野生动物减少、土壤侵蚀、森林破坏</w:t>
                  </w:r>
                </w:p>
              </w:tc>
              <w:tc>
                <w:tcPr>
                  <w:tcW w:w="732" w:type="pct"/>
                  <w:vAlign w:val="center"/>
                </w:tcPr>
                <w:p w14:paraId="465AC1E1">
                  <w:pPr>
                    <w:pStyle w:val="31"/>
                  </w:pPr>
                  <w:r>
                    <w:rPr>
                      <w:rFonts w:hint="eastAsia"/>
                    </w:rPr>
                    <w:t>生物多样性及其生境极度敏感，土壤侵蚀轻度敏感</w:t>
                  </w:r>
                </w:p>
              </w:tc>
              <w:tc>
                <w:tcPr>
                  <w:tcW w:w="795" w:type="pct"/>
                  <w:vAlign w:val="center"/>
                </w:tcPr>
                <w:p w14:paraId="3400DAEC">
                  <w:pPr>
                    <w:pStyle w:val="31"/>
                  </w:pPr>
                  <w:r>
                    <w:rPr>
                      <w:rFonts w:hint="eastAsia"/>
                    </w:rPr>
                    <w:t>保护托木尔峰自然景观、保护高山冰川、保护野生动物、保护森林和草原</w:t>
                  </w:r>
                </w:p>
              </w:tc>
              <w:tc>
                <w:tcPr>
                  <w:tcW w:w="568" w:type="pct"/>
                  <w:vAlign w:val="center"/>
                </w:tcPr>
                <w:p w14:paraId="786F0045">
                  <w:pPr>
                    <w:pStyle w:val="31"/>
                  </w:pPr>
                  <w:r>
                    <w:rPr>
                      <w:rFonts w:hint="eastAsia"/>
                    </w:rPr>
                    <w:t>草地减牧、森林禁伐、禁猎、加强保护区管理</w:t>
                  </w:r>
                </w:p>
              </w:tc>
              <w:tc>
                <w:tcPr>
                  <w:tcW w:w="639" w:type="pct"/>
                  <w:vAlign w:val="center"/>
                </w:tcPr>
                <w:p w14:paraId="53B90872">
                  <w:pPr>
                    <w:pStyle w:val="31"/>
                  </w:pPr>
                  <w:r>
                    <w:rPr>
                      <w:rFonts w:hint="eastAsia"/>
                    </w:rPr>
                    <w:t>合理利用天然草地，维护自然景观和生物多样性</w:t>
                  </w:r>
                </w:p>
              </w:tc>
            </w:tr>
          </w:tbl>
          <w:p w14:paraId="30464EAC">
            <w:pPr>
              <w:ind w:firstLine="482"/>
              <w:rPr>
                <w:b/>
                <w:color w:val="000000"/>
                <w:kern w:val="0"/>
              </w:rPr>
            </w:pPr>
          </w:p>
          <w:p w14:paraId="7A635F34">
            <w:pPr>
              <w:ind w:firstLine="482"/>
              <w:rPr>
                <w:b/>
                <w:color w:val="000000"/>
                <w:kern w:val="0"/>
              </w:rPr>
            </w:pPr>
          </w:p>
          <w:p w14:paraId="220C16A8">
            <w:pPr>
              <w:ind w:firstLine="482"/>
              <w:rPr>
                <w:b/>
                <w:color w:val="000000"/>
                <w:kern w:val="0"/>
              </w:rPr>
            </w:pPr>
          </w:p>
          <w:p w14:paraId="6A34839A">
            <w:pPr>
              <w:ind w:firstLine="482"/>
              <w:rPr>
                <w:b/>
                <w:color w:val="000000"/>
                <w:kern w:val="0"/>
              </w:rPr>
            </w:pPr>
          </w:p>
          <w:p w14:paraId="7D7679B9">
            <w:pPr>
              <w:ind w:firstLine="0" w:firstLineChars="0"/>
              <w:rPr>
                <w:b/>
                <w:color w:val="000000"/>
                <w:kern w:val="0"/>
              </w:rPr>
            </w:pPr>
          </w:p>
          <w:p w14:paraId="0DE97337">
            <w:pPr>
              <w:spacing w:line="240" w:lineRule="auto"/>
              <w:ind w:firstLine="0" w:firstLineChars="0"/>
              <w:rPr>
                <w:b/>
                <w:color w:val="000000"/>
                <w:kern w:val="0"/>
              </w:rPr>
            </w:pPr>
            <w:r>
              <mc:AlternateContent>
                <mc:Choice Requires="wps">
                  <w:drawing>
                    <wp:anchor distT="0" distB="0" distL="114300" distR="114300" simplePos="0" relativeHeight="251660288" behindDoc="0" locked="0" layoutInCell="1" allowOverlap="1">
                      <wp:simplePos x="0" y="0"/>
                      <wp:positionH relativeFrom="column">
                        <wp:posOffset>850900</wp:posOffset>
                      </wp:positionH>
                      <wp:positionV relativeFrom="paragraph">
                        <wp:posOffset>1630680</wp:posOffset>
                      </wp:positionV>
                      <wp:extent cx="708025" cy="317500"/>
                      <wp:effectExtent l="6350" t="290830" r="561975" b="20320"/>
                      <wp:wrapNone/>
                      <wp:docPr id="17" name="矩形标注 17"/>
                      <wp:cNvGraphicFramePr/>
                      <a:graphic xmlns:a="http://schemas.openxmlformats.org/drawingml/2006/main">
                        <a:graphicData uri="http://schemas.microsoft.com/office/word/2010/wordprocessingShape">
                          <wps:wsp>
                            <wps:cNvSpPr/>
                            <wps:spPr>
                              <a:xfrm>
                                <a:off x="0" y="0"/>
                                <a:ext cx="708025" cy="317500"/>
                              </a:xfrm>
                              <a:prstGeom prst="wedgeRectCallout">
                                <a:avLst>
                                  <a:gd name="adj1" fmla="val 121031"/>
                                  <a:gd name="adj2" fmla="val -134600"/>
                                </a:avLst>
                              </a:prstGeom>
                              <a:noFill/>
                              <a:ln w="12700" cap="flat" cmpd="sng">
                                <a:solidFill>
                                  <a:srgbClr val="000000"/>
                                </a:solidFill>
                                <a:prstDash val="solid"/>
                                <a:miter/>
                                <a:headEnd type="none" w="med" len="med"/>
                                <a:tailEnd type="none" w="med" len="med"/>
                              </a:ln>
                            </wps:spPr>
                            <wps:txbx>
                              <w:txbxContent>
                                <w:p w14:paraId="0EFB44FE">
                                  <w:pPr>
                                    <w:ind w:firstLine="0" w:firstLineChars="0"/>
                                    <w:rPr>
                                      <w:b/>
                                      <w:bCs/>
                                      <w:color w:val="FF0000"/>
                                      <w:szCs w:val="21"/>
                                    </w:rPr>
                                  </w:pPr>
                                  <w:r>
                                    <w:rPr>
                                      <w:rFonts w:hint="eastAsia"/>
                                      <w:b/>
                                      <w:bCs/>
                                      <w:color w:val="FF0000"/>
                                      <w:szCs w:val="21"/>
                                    </w:rPr>
                                    <w:t>项目区</w:t>
                                  </w:r>
                                </w:p>
                              </w:txbxContent>
                            </wps:txbx>
                            <wps:bodyPr upright="1"/>
                          </wps:wsp>
                        </a:graphicData>
                      </a:graphic>
                    </wp:anchor>
                  </w:drawing>
                </mc:Choice>
                <mc:Fallback>
                  <w:pict>
                    <v:shape id="_x0000_s1026" o:spid="_x0000_s1026" o:spt="61" type="#_x0000_t61" style="position:absolute;left:0pt;margin-left:67pt;margin-top:128.4pt;height:25pt;width:55.75pt;z-index:251660288;mso-width-relative:page;mso-height-relative:page;" filled="f" stroked="t" coordsize="21600,21600" o:gfxdata="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X9meC2QAAAAsBAAAPAAAAAAAAAAEAIAAAACIAAABkcnMvZG93bnJl&#10;di54bWxQSwECFAAUAAAACACHTuJAnfcwGzUCAABoBAAADgAAAAAAAAABACAAAAAoAQAAZHJzL2Uy&#10;b0RvYy54bWxQSwUGAAAAAAYABgBZAQAAzwUAAAAA&#10;" adj="36943,-18274">
                      <v:fill on="f" focussize="0,0"/>
                      <v:stroke weight="1pt" color="#000000" joinstyle="miter"/>
                      <v:imagedata o:title=""/>
                      <o:lock v:ext="edit" aspectratio="f"/>
                      <v:textbox>
                        <w:txbxContent>
                          <w:p w14:paraId="0EFB44FE">
                            <w:pPr>
                              <w:ind w:firstLine="0" w:firstLineChars="0"/>
                              <w:rPr>
                                <w:b/>
                                <w:bCs/>
                                <w:color w:val="FF0000"/>
                                <w:szCs w:val="21"/>
                              </w:rPr>
                            </w:pPr>
                            <w:r>
                              <w:rPr>
                                <w:rFonts w:hint="eastAsia"/>
                                <w:b/>
                                <w:bCs/>
                                <w:color w:val="FF0000"/>
                                <w:szCs w:val="21"/>
                              </w:rPr>
                              <w:t>项目区</w:t>
                            </w:r>
                          </w:p>
                        </w:txbxContent>
                      </v:textbox>
                    </v:shape>
                  </w:pict>
                </mc:Fallback>
              </mc:AlternateContent>
            </w:r>
            <w:r>
              <w:drawing>
                <wp:inline distT="0" distB="0" distL="114300" distR="114300">
                  <wp:extent cx="5704840" cy="2657475"/>
                  <wp:effectExtent l="0" t="0" r="10160" b="9525"/>
                  <wp:docPr id="16"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3"/>
                          <pic:cNvPicPr>
                            <a:picLocks noChangeAspect="1"/>
                          </pic:cNvPicPr>
                        </pic:nvPicPr>
                        <pic:blipFill>
                          <a:blip r:embed="rId11"/>
                          <a:stretch>
                            <a:fillRect/>
                          </a:stretch>
                        </pic:blipFill>
                        <pic:spPr>
                          <a:xfrm>
                            <a:off x="0" y="0"/>
                            <a:ext cx="5704840" cy="2657475"/>
                          </a:xfrm>
                          <a:prstGeom prst="rect">
                            <a:avLst/>
                          </a:prstGeom>
                          <a:noFill/>
                          <a:ln>
                            <a:noFill/>
                          </a:ln>
                        </pic:spPr>
                      </pic:pic>
                    </a:graphicData>
                  </a:graphic>
                </wp:inline>
              </w:drawing>
            </w:r>
          </w:p>
          <w:p w14:paraId="5118BF9E">
            <w:pPr>
              <w:pStyle w:val="33"/>
              <w:spacing w:before="120"/>
              <w:rPr>
                <w:rFonts w:hint="eastAsia" w:ascii="宋体" w:hAnsi="宋体"/>
              </w:rPr>
            </w:pPr>
            <w:r>
              <w:t>图</w:t>
            </w:r>
            <w:r>
              <w:rPr>
                <w:rFonts w:hint="eastAsia"/>
              </w:rPr>
              <w:t>3本项目生态功能区划图</w:t>
            </w:r>
          </w:p>
          <w:p w14:paraId="1673D1F0">
            <w:pPr>
              <w:ind w:firstLine="482"/>
              <w:rPr>
                <w:b/>
                <w:color w:val="000000"/>
                <w:kern w:val="0"/>
              </w:rPr>
            </w:pPr>
            <w:r>
              <w:rPr>
                <w:b/>
                <w:color w:val="000000"/>
                <w:kern w:val="0"/>
              </w:rPr>
              <w:t>2.</w:t>
            </w:r>
            <w:r>
              <w:rPr>
                <w:rFonts w:hint="eastAsia"/>
                <w:b/>
                <w:color w:val="000000"/>
                <w:kern w:val="0"/>
              </w:rPr>
              <w:t>2</w:t>
            </w:r>
            <w:r>
              <w:rPr>
                <w:b/>
                <w:snapToGrid w:val="0"/>
                <w:kern w:val="0"/>
              </w:rPr>
              <w:t>土地利用类型及分布现状</w:t>
            </w:r>
          </w:p>
          <w:p w14:paraId="20EDF14C">
            <w:pPr>
              <w:ind w:firstLine="480"/>
            </w:pPr>
            <w:r>
              <w:t>根据收集的资料及现状调查，项目区域内土壤类型较简单，主要以</w:t>
            </w:r>
            <w:r>
              <w:rPr>
                <w:rFonts w:ascii="Segoe UI" w:hAnsi="Segoe UI" w:eastAsia="Segoe UI" w:cs="Segoe UI"/>
                <w:i w:val="0"/>
                <w:iCs w:val="0"/>
                <w:caps w:val="0"/>
                <w:spacing w:val="0"/>
                <w:sz w:val="24"/>
                <w:szCs w:val="24"/>
                <w:shd w:val="clear" w:fill="FFFFFF"/>
              </w:rPr>
              <w:t>草毡土（高山草甸土）</w:t>
            </w:r>
            <w:r>
              <w:t>为主。</w:t>
            </w:r>
          </w:p>
          <w:p w14:paraId="52975384">
            <w:pPr>
              <w:ind w:firstLine="480"/>
              <w:rPr>
                <w:color w:val="000000"/>
                <w:kern w:val="0"/>
              </w:rPr>
            </w:pPr>
            <w:r>
              <w:rPr>
                <w:rFonts w:hint="default"/>
                <w:color w:val="000000"/>
                <w:kern w:val="0"/>
                <w:lang w:val="en-US" w:eastAsia="zh-CN"/>
              </w:rPr>
              <w:t>草毡土（高山草甸土）是高山亚寒带草甸植被下发育的土壤类型。形成受高山寒冷、湿润且昼夜温差大的水热条件影响，有机质积累作用突出，腐殖质层较厚，土壤中的腐殖质含量较高，多在5%-15%之间。地表常覆盖着茂密的高山草甸植被，植被以嵩草、苔草等多年生草本为主，根系盘结，形成紧实的草皮层。剖面分化较为明显，层次过渡清晰，土壤呈微酸性至中性反应，土壤阳离子代换量较大，保肥能力较强。</w:t>
            </w:r>
          </w:p>
          <w:p w14:paraId="1581F990">
            <w:pPr>
              <w:ind w:firstLine="480"/>
              <w:rPr>
                <w:color w:val="000000"/>
                <w:kern w:val="0"/>
              </w:rPr>
            </w:pPr>
            <w:r>
              <w:rPr>
                <w:rFonts w:hint="default"/>
                <w:color w:val="000000"/>
                <w:kern w:val="0"/>
                <w:lang w:val="en-US" w:eastAsia="zh-CN"/>
              </w:rPr>
              <w:t>项目区主要土壤类型为草毡土。其成土母质多为残积物、坡积物等，地面有一定量的植物残体积累，0-60cm土层中植物根系分布密集，土壤发育厚度一般为40-70cm，表层有5-10cm厚的草皮层，草皮层下土层紧实度较好。由于区域生物活动较为活跃，植被覆盖率高，表层有机质含量大于10%，腐殖质积累量大，土壤整体呈微酸性至中性反应，pH值多在6.0-7.5之间，土壤代换量可达15-25cmol/kg，水分涵养能力较好，养分储备相对丰富，含有一定量的氮、磷等营养元素。</w:t>
            </w:r>
          </w:p>
          <w:p w14:paraId="10A75AE5">
            <w:pPr>
              <w:pStyle w:val="20"/>
              <w:ind w:firstLine="482"/>
              <w:rPr>
                <w:color w:val="000000"/>
                <w:kern w:val="0"/>
              </w:rPr>
            </w:pPr>
            <w:r>
              <w:rPr>
                <w:rFonts w:hint="eastAsia"/>
                <w:color w:val="000000"/>
                <w:kern w:val="0"/>
              </w:rPr>
              <w:t>2</w:t>
            </w:r>
            <w:r>
              <w:rPr>
                <w:color w:val="000000"/>
                <w:kern w:val="0"/>
              </w:rPr>
              <w:t>.3</w:t>
            </w:r>
            <w:r>
              <w:t>项目区主要植被类型</w:t>
            </w:r>
          </w:p>
          <w:p w14:paraId="77AC2DC8">
            <w:pPr>
              <w:ind w:firstLine="480"/>
              <w:rPr>
                <w:rFonts w:hint="default"/>
                <w:color w:val="000000"/>
                <w:kern w:val="0"/>
                <w:highlight w:val="none"/>
                <w:lang w:val="en-US" w:eastAsia="zh-CN"/>
              </w:rPr>
            </w:pPr>
            <w:r>
              <w:rPr>
                <w:rFonts w:hint="eastAsia"/>
                <w:color w:val="000000"/>
                <w:kern w:val="0"/>
                <w:highlight w:val="none"/>
              </w:rPr>
              <w:t>根据查询相关资料及</w:t>
            </w:r>
            <w:r>
              <w:rPr>
                <w:rFonts w:hint="eastAsia"/>
                <w:color w:val="000000"/>
                <w:kern w:val="0"/>
                <w:highlight w:val="none"/>
                <w:lang w:eastAsia="zh-CN"/>
              </w:rPr>
              <w:t>现场勘查</w:t>
            </w:r>
            <w:r>
              <w:rPr>
                <w:rFonts w:hint="eastAsia"/>
                <w:color w:val="000000"/>
                <w:kern w:val="0"/>
                <w:highlight w:val="none"/>
              </w:rPr>
              <w:t>，进行分析汇总可知该区</w:t>
            </w:r>
            <w:r>
              <w:rPr>
                <w:rStyle w:val="28"/>
                <w:rFonts w:hint="eastAsia"/>
                <w:sz w:val="24"/>
                <w:szCs w:val="24"/>
                <w:highlight w:val="none"/>
                <w:lang w:val="en-US" w:eastAsia="zh-CN"/>
              </w:rPr>
              <w:t>域</w:t>
            </w:r>
            <w:r>
              <w:rPr>
                <w:rFonts w:hint="eastAsia"/>
                <w:color w:val="000000"/>
                <w:kern w:val="0"/>
                <w:highlight w:val="none"/>
              </w:rPr>
              <w:t>位于南疆地区，</w:t>
            </w:r>
            <w:r>
              <w:rPr>
                <w:color w:val="000000"/>
                <w:kern w:val="0"/>
                <w:highlight w:val="none"/>
              </w:rPr>
              <w:t>根据《新疆植被》的分区原则，项目区域基本为高山草甸生态系统</w:t>
            </w:r>
            <w:r>
              <w:rPr>
                <w:rFonts w:hint="eastAsia"/>
                <w:color w:val="000000"/>
                <w:kern w:val="0"/>
                <w:highlight w:val="none"/>
              </w:rPr>
              <w:t>，</w:t>
            </w:r>
            <w:r>
              <w:rPr>
                <w:color w:val="000000"/>
                <w:kern w:val="0"/>
              </w:rPr>
              <w:t>植被覆盖度在</w:t>
            </w:r>
            <w:r>
              <w:rPr>
                <w:rFonts w:hint="eastAsia"/>
                <w:color w:val="000000"/>
                <w:kern w:val="0"/>
                <w:lang w:val="en-US" w:eastAsia="zh-CN"/>
              </w:rPr>
              <w:t>70</w:t>
            </w:r>
            <w:r>
              <w:rPr>
                <w:color w:val="000000"/>
                <w:kern w:val="0"/>
              </w:rPr>
              <w:t>—</w:t>
            </w:r>
            <w:r>
              <w:rPr>
                <w:rFonts w:hint="eastAsia"/>
                <w:color w:val="000000"/>
                <w:kern w:val="0"/>
                <w:lang w:val="en-US" w:eastAsia="zh-CN"/>
              </w:rPr>
              <w:t>8</w:t>
            </w:r>
            <w:r>
              <w:rPr>
                <w:color w:val="000000"/>
                <w:kern w:val="0"/>
              </w:rPr>
              <w:t>0%之间，</w:t>
            </w:r>
            <w:r>
              <w:rPr>
                <w:rFonts w:hint="eastAsia"/>
                <w:color w:val="000000"/>
                <w:kern w:val="0"/>
                <w:lang w:val="en-US" w:eastAsia="zh-CN"/>
              </w:rPr>
              <w:t>属于高覆盖高山草甸。</w:t>
            </w:r>
            <w:r>
              <w:rPr>
                <w:color w:val="000000"/>
                <w:kern w:val="0"/>
              </w:rPr>
              <w:t>草场以</w:t>
            </w:r>
            <w:r>
              <w:rPr>
                <w:rFonts w:ascii="Segoe UI" w:hAnsi="Segoe UI" w:eastAsia="Segoe UI" w:cs="Segoe UI"/>
                <w:i w:val="0"/>
                <w:iCs w:val="0"/>
                <w:caps w:val="0"/>
                <w:spacing w:val="0"/>
                <w:sz w:val="24"/>
                <w:szCs w:val="24"/>
                <w:shd w:val="clear" w:fill="FFFFFF"/>
              </w:rPr>
              <w:t>紫花针茅</w:t>
            </w:r>
            <w:r>
              <w:rPr>
                <w:color w:val="000000"/>
                <w:kern w:val="0"/>
              </w:rPr>
              <w:t>为优势种，混生有少量草甸植物，如蒿草、苔草或高寒垫状植物。</w:t>
            </w:r>
            <w:r>
              <w:rPr>
                <w:rFonts w:hint="eastAsia"/>
                <w:color w:val="000000"/>
                <w:kern w:val="0"/>
                <w:highlight w:val="none"/>
                <w:lang w:val="en-US" w:eastAsia="zh-CN"/>
              </w:rPr>
              <w:t>与“天山水源涵养与生物多样性维护生态保护红线区”内植被类型一致，关联性强。探矿过程仅临时用地（2580m</w:t>
            </w:r>
            <w:r>
              <w:rPr>
                <w:rFonts w:hint="eastAsia"/>
                <w:color w:val="000000"/>
                <w:kern w:val="0"/>
                <w:highlight w:val="none"/>
                <w:vertAlign w:val="superscript"/>
                <w:lang w:val="en-US" w:eastAsia="zh-CN"/>
              </w:rPr>
              <w:t>2</w:t>
            </w:r>
            <w:r>
              <w:rPr>
                <w:rFonts w:hint="eastAsia"/>
                <w:color w:val="000000"/>
                <w:kern w:val="0"/>
                <w:highlight w:val="none"/>
                <w:lang w:val="en-US" w:eastAsia="zh-CN"/>
              </w:rPr>
              <w:t>）会造成生物量损失，生物损失量合计约593.4kg，但随着矿山复垦工程的实施，可以在一定程度上补偿地表植被的损失。</w:t>
            </w:r>
          </w:p>
          <w:p w14:paraId="1C30C7DD">
            <w:pPr>
              <w:ind w:firstLine="480"/>
            </w:pPr>
            <w:r>
              <w:rPr>
                <w:rFonts w:hint="eastAsia"/>
                <w:color w:val="000000"/>
                <w:kern w:val="0"/>
              </w:rPr>
              <w:t>不涉及《国家重点保护野生植物名录》（</w:t>
            </w:r>
            <w:r>
              <w:rPr>
                <w:color w:val="000000"/>
                <w:kern w:val="0"/>
              </w:rPr>
              <w:t>2021</w:t>
            </w:r>
            <w:r>
              <w:rPr>
                <w:rFonts w:hint="eastAsia"/>
                <w:color w:val="000000"/>
                <w:kern w:val="0"/>
              </w:rPr>
              <w:t>）、《新疆维吾尔自治区重点保护野生植物名录（第一批）》（</w:t>
            </w:r>
            <w:r>
              <w:rPr>
                <w:rFonts w:hint="eastAsia"/>
                <w:color w:val="000000"/>
                <w:kern w:val="0"/>
                <w:lang w:val="en-US" w:eastAsia="zh-CN"/>
              </w:rPr>
              <w:t>2023年12月29日发布</w:t>
            </w:r>
            <w:r>
              <w:rPr>
                <w:rFonts w:hint="eastAsia"/>
                <w:color w:val="000000"/>
                <w:kern w:val="0"/>
              </w:rPr>
              <w:t>）等名录中所列保护植物。项目区用地不涉及国家及地方公益林。</w:t>
            </w:r>
            <w:r>
              <w:rPr>
                <w:rFonts w:hint="eastAsia"/>
              </w:rPr>
              <w:t>本项目探矿区</w:t>
            </w:r>
            <w:r>
              <w:rPr>
                <w:kern w:val="0"/>
                <w:szCs w:val="28"/>
                <w:lang w:bidi="ar"/>
              </w:rPr>
              <w:t>土地利用未涉及耕地、基本农田保护区</w:t>
            </w:r>
            <w:r>
              <w:rPr>
                <w:rFonts w:hint="eastAsia"/>
              </w:rPr>
              <w:t>。</w:t>
            </w:r>
          </w:p>
          <w:p w14:paraId="74B52226">
            <w:pPr>
              <w:pStyle w:val="33"/>
              <w:spacing w:before="120"/>
              <w:ind w:firstLine="422"/>
              <w:rPr>
                <w:lang w:val="zh-CN"/>
              </w:rPr>
            </w:pPr>
            <w:r>
              <w:rPr>
                <w:lang w:val="zh-CN"/>
              </w:rPr>
              <w:t>表3-2</w:t>
            </w:r>
            <w:r>
              <w:rPr>
                <w:rFonts w:hint="eastAsia"/>
              </w:rPr>
              <w:t>项目区及周边区域内</w:t>
            </w:r>
            <w:r>
              <w:rPr>
                <w:lang w:val="zh-CN"/>
              </w:rPr>
              <w:t>植物名录</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8"/>
              <w:gridCol w:w="422"/>
              <w:gridCol w:w="1453"/>
              <w:gridCol w:w="6071"/>
              <w:gridCol w:w="657"/>
            </w:tblGrid>
            <w:tr w14:paraId="7AF440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31" w:type="pct"/>
                  <w:tcBorders>
                    <w:tl2br w:val="nil"/>
                    <w:tr2bl w:val="nil"/>
                  </w:tcBorders>
                  <w:vAlign w:val="center"/>
                </w:tcPr>
                <w:p w14:paraId="7DC41276">
                  <w:pPr>
                    <w:pStyle w:val="38"/>
                    <w:rPr>
                      <w:szCs w:val="21"/>
                    </w:rPr>
                  </w:pPr>
                  <w:r>
                    <w:rPr>
                      <w:szCs w:val="21"/>
                    </w:rPr>
                    <w:t>科</w:t>
                  </w:r>
                </w:p>
              </w:tc>
              <w:tc>
                <w:tcPr>
                  <w:tcW w:w="233" w:type="pct"/>
                  <w:tcBorders>
                    <w:tl2br w:val="nil"/>
                    <w:tr2bl w:val="nil"/>
                  </w:tcBorders>
                  <w:vAlign w:val="center"/>
                </w:tcPr>
                <w:p w14:paraId="74ED96D8">
                  <w:pPr>
                    <w:pStyle w:val="38"/>
                    <w:rPr>
                      <w:szCs w:val="21"/>
                    </w:rPr>
                  </w:pPr>
                  <w:r>
                    <w:rPr>
                      <w:szCs w:val="21"/>
                    </w:rPr>
                    <w:t>种名</w:t>
                  </w:r>
                </w:p>
              </w:tc>
              <w:tc>
                <w:tcPr>
                  <w:tcW w:w="805" w:type="pct"/>
                  <w:tcBorders>
                    <w:tl2br w:val="nil"/>
                    <w:tr2bl w:val="nil"/>
                  </w:tcBorders>
                  <w:vAlign w:val="center"/>
                </w:tcPr>
                <w:p w14:paraId="7EEDF6E8">
                  <w:pPr>
                    <w:pStyle w:val="38"/>
                    <w:rPr>
                      <w:szCs w:val="21"/>
                    </w:rPr>
                  </w:pPr>
                  <w:r>
                    <w:rPr>
                      <w:szCs w:val="21"/>
                    </w:rPr>
                    <w:t>学名</w:t>
                  </w:r>
                </w:p>
              </w:tc>
              <w:tc>
                <w:tcPr>
                  <w:tcW w:w="3364" w:type="pct"/>
                  <w:tcBorders>
                    <w:tl2br w:val="nil"/>
                    <w:tr2bl w:val="nil"/>
                  </w:tcBorders>
                  <w:vAlign w:val="center"/>
                </w:tcPr>
                <w:p w14:paraId="000B82A6">
                  <w:pPr>
                    <w:pStyle w:val="38"/>
                    <w:rPr>
                      <w:szCs w:val="21"/>
                    </w:rPr>
                  </w:pPr>
                  <w:r>
                    <w:rPr>
                      <w:szCs w:val="21"/>
                    </w:rPr>
                    <w:t>形态特征及生活习性</w:t>
                  </w:r>
                </w:p>
              </w:tc>
              <w:tc>
                <w:tcPr>
                  <w:tcW w:w="364" w:type="pct"/>
                  <w:tcBorders>
                    <w:tl2br w:val="nil"/>
                    <w:tr2bl w:val="nil"/>
                  </w:tcBorders>
                  <w:vAlign w:val="center"/>
                </w:tcPr>
                <w:p w14:paraId="0CA93FD1">
                  <w:pPr>
                    <w:pStyle w:val="38"/>
                    <w:rPr>
                      <w:szCs w:val="21"/>
                    </w:rPr>
                  </w:pPr>
                  <w:r>
                    <w:rPr>
                      <w:szCs w:val="21"/>
                    </w:rPr>
                    <w:t>保护级别</w:t>
                  </w:r>
                </w:p>
              </w:tc>
            </w:tr>
            <w:tr w14:paraId="07B353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1" w:type="pct"/>
                  <w:tcBorders>
                    <w:tl2br w:val="nil"/>
                    <w:tr2bl w:val="nil"/>
                  </w:tcBorders>
                  <w:vAlign w:val="center"/>
                </w:tcPr>
                <w:p w14:paraId="33FB9073">
                  <w:pPr>
                    <w:pStyle w:val="38"/>
                    <w:rPr>
                      <w:szCs w:val="21"/>
                    </w:rPr>
                  </w:pPr>
                  <w:r>
                    <w:rPr>
                      <w:szCs w:val="21"/>
                    </w:rPr>
                    <w:t>禾本科</w:t>
                  </w:r>
                </w:p>
              </w:tc>
              <w:tc>
                <w:tcPr>
                  <w:tcW w:w="233" w:type="pct"/>
                  <w:tcBorders>
                    <w:tl2br w:val="nil"/>
                    <w:tr2bl w:val="nil"/>
                  </w:tcBorders>
                  <w:vAlign w:val="center"/>
                </w:tcPr>
                <w:p w14:paraId="0A939E05">
                  <w:pPr>
                    <w:pStyle w:val="38"/>
                    <w:rPr>
                      <w:szCs w:val="21"/>
                    </w:rPr>
                  </w:pPr>
                  <w:r>
                    <w:rPr>
                      <w:szCs w:val="21"/>
                    </w:rPr>
                    <w:t>紫花针茅</w:t>
                  </w:r>
                </w:p>
              </w:tc>
              <w:tc>
                <w:tcPr>
                  <w:tcW w:w="805" w:type="pct"/>
                  <w:tcBorders>
                    <w:tl2br w:val="nil"/>
                    <w:tr2bl w:val="nil"/>
                  </w:tcBorders>
                  <w:vAlign w:val="center"/>
                </w:tcPr>
                <w:p w14:paraId="0E6381DD">
                  <w:pPr>
                    <w:pStyle w:val="38"/>
                    <w:rPr>
                      <w:szCs w:val="21"/>
                    </w:rPr>
                  </w:pPr>
                  <w:r>
                    <w:rPr>
                      <w:szCs w:val="21"/>
                    </w:rPr>
                    <w:t>StipapurpureaGriseb.</w:t>
                  </w:r>
                </w:p>
              </w:tc>
              <w:tc>
                <w:tcPr>
                  <w:tcW w:w="3364" w:type="pct"/>
                  <w:tcBorders>
                    <w:tl2br w:val="nil"/>
                    <w:tr2bl w:val="nil"/>
                  </w:tcBorders>
                  <w:vAlign w:val="center"/>
                </w:tcPr>
                <w:p w14:paraId="724193BB">
                  <w:pPr>
                    <w:pStyle w:val="38"/>
                    <w:ind w:firstLine="0" w:firstLineChars="0"/>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叶细长内卷呈针状，灰绿或黄绿色；雄花序为疏松圆锥花序，小穗呈紫色或淡紫色，雌花外稃延伸成细长扭转芒，花果期7-10月（7-8月开花、9-10月果熟），果实为圆柱形颖果，顶端有毛；根系为须根，扎根较深，茎基部密生枯萎老叶鞘，根颈稳固且分蘖能力强。生活习性上，它耐寒性极强（耐-30℃以下低温），适应海拔2600-5500米高寒干旱环境，耐贫瘠忌积水，以种子繁殖为主、分株繁殖为辅，利于种群在高寒草原扩散。​</w:t>
                  </w:r>
                </w:p>
              </w:tc>
              <w:tc>
                <w:tcPr>
                  <w:tcW w:w="364" w:type="pct"/>
                  <w:tcBorders>
                    <w:tl2br w:val="nil"/>
                    <w:tr2bl w:val="nil"/>
                  </w:tcBorders>
                  <w:vAlign w:val="center"/>
                </w:tcPr>
                <w:p w14:paraId="07A68734">
                  <w:pPr>
                    <w:pStyle w:val="38"/>
                    <w:rPr>
                      <w:szCs w:val="21"/>
                    </w:rPr>
                  </w:pPr>
                  <w:r>
                    <w:rPr>
                      <w:szCs w:val="21"/>
                    </w:rPr>
                    <w:t>/</w:t>
                  </w:r>
                </w:p>
              </w:tc>
            </w:tr>
            <w:tr w14:paraId="6AAD96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1" w:type="pct"/>
                  <w:tcBorders>
                    <w:tl2br w:val="nil"/>
                    <w:tr2bl w:val="nil"/>
                  </w:tcBorders>
                  <w:shd w:val="clear" w:color="auto" w:fill="auto"/>
                  <w:vAlign w:val="center"/>
                </w:tcPr>
                <w:p w14:paraId="387424CD">
                  <w:pPr>
                    <w:pStyle w:val="38"/>
                    <w:ind w:firstLine="0" w:firstLineChars="0"/>
                    <w:rPr>
                      <w:rFonts w:ascii="Times New Roman" w:hAnsi="Times New Roman" w:eastAsia="宋体" w:cs="Times New Roman"/>
                      <w:kern w:val="0"/>
                      <w:sz w:val="21"/>
                      <w:szCs w:val="21"/>
                      <w:shd w:val="clear" w:color="auto" w:fill="FFFFFF"/>
                      <w:lang w:val="en-US" w:eastAsia="zh-CN" w:bidi="ar-SA"/>
                    </w:rPr>
                  </w:pPr>
                  <w:r>
                    <w:rPr>
                      <w:szCs w:val="21"/>
                      <w:shd w:val="clear" w:color="auto" w:fill="FFFFFF"/>
                    </w:rPr>
                    <w:t>莎草科</w:t>
                  </w:r>
                </w:p>
              </w:tc>
              <w:tc>
                <w:tcPr>
                  <w:tcW w:w="233" w:type="pct"/>
                  <w:tcBorders>
                    <w:tl2br w:val="nil"/>
                    <w:tr2bl w:val="nil"/>
                  </w:tcBorders>
                  <w:shd w:val="clear" w:color="auto" w:fill="auto"/>
                  <w:vAlign w:val="center"/>
                </w:tcPr>
                <w:p w14:paraId="44437D01">
                  <w:pPr>
                    <w:pStyle w:val="38"/>
                    <w:ind w:firstLine="0" w:firstLineChars="0"/>
                    <w:jc w:val="both"/>
                    <w:rPr>
                      <w:rFonts w:hint="eastAsia" w:ascii="Times New Roman" w:hAnsi="Times New Roman" w:eastAsia="宋体" w:cs="Times New Roman"/>
                      <w:kern w:val="0"/>
                      <w:sz w:val="21"/>
                      <w:szCs w:val="21"/>
                      <w:shd w:val="clear" w:color="auto" w:fill="FFFFFF"/>
                      <w:lang w:val="en-US" w:eastAsia="zh-CN" w:bidi="ar-SA"/>
                    </w:rPr>
                  </w:pPr>
                  <w:r>
                    <w:rPr>
                      <w:rFonts w:hint="eastAsia"/>
                      <w:szCs w:val="21"/>
                      <w:lang w:val="en-US" w:eastAsia="zh-CN"/>
                    </w:rPr>
                    <w:t>蒿草</w:t>
                  </w:r>
                </w:p>
              </w:tc>
              <w:tc>
                <w:tcPr>
                  <w:tcW w:w="805" w:type="pct"/>
                  <w:tcBorders>
                    <w:tl2br w:val="nil"/>
                    <w:tr2bl w:val="nil"/>
                  </w:tcBorders>
                  <w:shd w:val="clear" w:color="auto" w:fill="auto"/>
                  <w:vAlign w:val="center"/>
                </w:tcPr>
                <w:p w14:paraId="6246224E">
                  <w:pPr>
                    <w:pStyle w:val="38"/>
                    <w:ind w:firstLine="0" w:firstLineChars="0"/>
                    <w:rPr>
                      <w:rFonts w:ascii="Times New Roman" w:hAnsi="Times New Roman" w:eastAsia="宋体" w:cs="Times New Roman"/>
                      <w:kern w:val="0"/>
                      <w:sz w:val="21"/>
                      <w:szCs w:val="21"/>
                      <w:shd w:val="clear" w:color="auto" w:fill="FFFFFF"/>
                      <w:lang w:val="en-US" w:eastAsia="zh-CN" w:bidi="ar-SA"/>
                    </w:rPr>
                  </w:pPr>
                  <w:r>
                    <w:rPr>
                      <w:szCs w:val="21"/>
                      <w:shd w:val="clear" w:color="auto" w:fill="FFFFFF"/>
                    </w:rPr>
                    <w:t>ArtemisiaannuaL.</w:t>
                  </w:r>
                </w:p>
              </w:tc>
              <w:tc>
                <w:tcPr>
                  <w:tcW w:w="3364" w:type="pct"/>
                  <w:tcBorders>
                    <w:tl2br w:val="nil"/>
                    <w:tr2bl w:val="nil"/>
                  </w:tcBorders>
                  <w:shd w:val="clear" w:color="auto" w:fill="auto"/>
                  <w:vAlign w:val="center"/>
                </w:tcPr>
                <w:p w14:paraId="080FFE35">
                  <w:pPr>
                    <w:pStyle w:val="38"/>
                    <w:ind w:firstLine="0" w:firstLineChars="0"/>
                    <w:rPr>
                      <w:rFonts w:ascii="Times New Roman" w:hAnsi="Times New Roman" w:eastAsia="宋体" w:cs="Times New Roman"/>
                      <w:kern w:val="0"/>
                      <w:sz w:val="21"/>
                      <w:szCs w:val="21"/>
                      <w:lang w:val="en-US" w:eastAsia="zh-CN" w:bidi="ar-SA"/>
                    </w:rPr>
                  </w:pPr>
                  <w:r>
                    <w:rPr>
                      <w:rFonts w:hint="default"/>
                      <w:szCs w:val="21"/>
                      <w:lang w:val="en-US" w:eastAsia="zh-CN"/>
                    </w:rPr>
                    <w:t>叶小且密集，呈椭圆形或矩圆状倒卵形；雄花序短而紧密、为头状，雌花管呈矩圆形，花果期在6-8月，果实椭圆形且被毛；其根系具有明显主根，侧根发达，根颈也十分发达且分枝多。在生活习性上，它抗风沙能力强，能适应干旱、多风的环境，同时具备较强的无性繁殖能力，有助于种群扩散。</w:t>
                  </w:r>
                </w:p>
              </w:tc>
              <w:tc>
                <w:tcPr>
                  <w:tcW w:w="364" w:type="pct"/>
                  <w:tcBorders>
                    <w:tl2br w:val="nil"/>
                    <w:tr2bl w:val="nil"/>
                  </w:tcBorders>
                  <w:shd w:val="clear" w:color="auto" w:fill="auto"/>
                  <w:vAlign w:val="center"/>
                </w:tcPr>
                <w:p w14:paraId="3F701E84">
                  <w:pPr>
                    <w:pStyle w:val="38"/>
                    <w:ind w:firstLine="0" w:firstLineChars="0"/>
                    <w:rPr>
                      <w:rFonts w:ascii="Times New Roman" w:hAnsi="Times New Roman" w:eastAsia="宋体" w:cs="Times New Roman"/>
                      <w:kern w:val="0"/>
                      <w:sz w:val="21"/>
                      <w:szCs w:val="21"/>
                      <w:lang w:val="en-US" w:eastAsia="zh-CN" w:bidi="ar-SA"/>
                    </w:rPr>
                  </w:pPr>
                  <w:r>
                    <w:rPr>
                      <w:szCs w:val="21"/>
                    </w:rPr>
                    <w:t>/</w:t>
                  </w:r>
                </w:p>
              </w:tc>
            </w:tr>
            <w:tr w14:paraId="6AB306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1" w:type="pct"/>
                  <w:tcBorders>
                    <w:tl2br w:val="nil"/>
                    <w:tr2bl w:val="nil"/>
                  </w:tcBorders>
                  <w:shd w:val="clear" w:color="auto" w:fill="auto"/>
                  <w:vAlign w:val="center"/>
                </w:tcPr>
                <w:p w14:paraId="507E0A40">
                  <w:pPr>
                    <w:pStyle w:val="38"/>
                    <w:ind w:firstLine="0" w:firstLineChars="0"/>
                    <w:rPr>
                      <w:szCs w:val="21"/>
                      <w:shd w:val="clear" w:color="auto" w:fill="FFFFFF"/>
                    </w:rPr>
                  </w:pPr>
                  <w:r>
                    <w:rPr>
                      <w:szCs w:val="21"/>
                    </w:rPr>
                    <w:t>莎草科</w:t>
                  </w:r>
                </w:p>
              </w:tc>
              <w:tc>
                <w:tcPr>
                  <w:tcW w:w="233" w:type="pct"/>
                  <w:tcBorders>
                    <w:tl2br w:val="nil"/>
                    <w:tr2bl w:val="nil"/>
                  </w:tcBorders>
                  <w:shd w:val="clear" w:color="auto" w:fill="auto"/>
                  <w:vAlign w:val="center"/>
                </w:tcPr>
                <w:p w14:paraId="7321CED8">
                  <w:pPr>
                    <w:pStyle w:val="38"/>
                    <w:ind w:firstLine="0" w:firstLineChars="0"/>
                    <w:rPr>
                      <w:rFonts w:hint="eastAsia"/>
                      <w:szCs w:val="21"/>
                      <w:lang w:val="en-US" w:eastAsia="zh-CN"/>
                    </w:rPr>
                  </w:pPr>
                  <w:r>
                    <w:rPr>
                      <w:rFonts w:hint="eastAsia"/>
                      <w:szCs w:val="21"/>
                      <w:lang w:val="en-US" w:eastAsia="zh-CN"/>
                    </w:rPr>
                    <w:t>苔草</w:t>
                  </w:r>
                </w:p>
              </w:tc>
              <w:tc>
                <w:tcPr>
                  <w:tcW w:w="805" w:type="pct"/>
                  <w:tcBorders>
                    <w:tl2br w:val="nil"/>
                    <w:tr2bl w:val="nil"/>
                  </w:tcBorders>
                  <w:shd w:val="clear" w:color="auto" w:fill="auto"/>
                  <w:vAlign w:val="center"/>
                </w:tcPr>
                <w:p w14:paraId="0A8C1213">
                  <w:pPr>
                    <w:pStyle w:val="38"/>
                    <w:ind w:firstLine="0" w:firstLineChars="0"/>
                    <w:rPr>
                      <w:szCs w:val="21"/>
                      <w:shd w:val="clear" w:color="auto" w:fill="FFFFFF"/>
                    </w:rPr>
                  </w:pPr>
                  <w:r>
                    <w:rPr>
                      <w:rFonts w:hint="default"/>
                      <w:szCs w:val="21"/>
                    </w:rPr>
                    <w:t>Carex</w:t>
                  </w:r>
                </w:p>
              </w:tc>
              <w:tc>
                <w:tcPr>
                  <w:tcW w:w="3364" w:type="pct"/>
                  <w:tcBorders>
                    <w:tl2br w:val="nil"/>
                    <w:tr2bl w:val="nil"/>
                  </w:tcBorders>
                  <w:shd w:val="clear" w:color="auto" w:fill="auto"/>
                  <w:vAlign w:val="center"/>
                </w:tcPr>
                <w:p w14:paraId="39B9BF33">
                  <w:pPr>
                    <w:spacing w:line="240" w:lineRule="auto"/>
                    <w:ind w:left="0" w:leftChars="0" w:firstLine="0" w:firstLineChars="0"/>
                    <w:jc w:val="center"/>
                    <w:rPr>
                      <w:rFonts w:hint="default"/>
                      <w:szCs w:val="21"/>
                      <w:lang w:val="en-US" w:eastAsia="zh-CN"/>
                    </w:rPr>
                  </w:pPr>
                  <w:r>
                    <w:rPr>
                      <w:rFonts w:hint="default" w:ascii="Times New Roman" w:hAnsi="Times New Roman" w:eastAsia="宋体" w:cs="Times New Roman"/>
                      <w:kern w:val="0"/>
                      <w:sz w:val="21"/>
                      <w:szCs w:val="21"/>
                      <w:lang w:val="en-US" w:eastAsia="zh-CN" w:bidi="ar-SA"/>
                    </w:rPr>
                    <w:t>小而密，多为线形，质坚韧，无明显叶柄，叶鞘包茎，减蒸发抗风沙。1-多个小穗，花单性（雌雄同株为主），雌花有</w:t>
                  </w:r>
                  <w:r>
                    <w:rPr>
                      <w:rFonts w:hint="eastAsia" w:ascii="Times New Roman" w:hAnsi="Times New Roman" w:eastAsia="宋体" w:cs="Times New Roman"/>
                      <w:kern w:val="0"/>
                      <w:sz w:val="21"/>
                      <w:szCs w:val="21"/>
                      <w:lang w:val="en-US" w:eastAsia="zh-CN" w:bidi="ar-SA"/>
                    </w:rPr>
                    <w:t>“</w:t>
                  </w:r>
                  <w:r>
                    <w:rPr>
                      <w:rFonts w:hint="default" w:ascii="Times New Roman" w:hAnsi="Times New Roman" w:eastAsia="宋体" w:cs="Times New Roman"/>
                      <w:kern w:val="0"/>
                      <w:sz w:val="21"/>
                      <w:szCs w:val="21"/>
                      <w:lang w:val="en-US" w:eastAsia="zh-CN" w:bidi="ar-SA"/>
                    </w:rPr>
                    <w:t>果囊</w:t>
                  </w:r>
                  <w:r>
                    <w:rPr>
                      <w:rFonts w:hint="eastAsia" w:ascii="Times New Roman" w:hAnsi="Times New Roman" w:eastAsia="宋体" w:cs="Times New Roman"/>
                      <w:kern w:val="0"/>
                      <w:sz w:val="21"/>
                      <w:szCs w:val="21"/>
                      <w:lang w:val="en-US" w:eastAsia="zh-CN" w:bidi="ar-SA"/>
                    </w:rPr>
                    <w:t>”</w:t>
                  </w:r>
                  <w:r>
                    <w:rPr>
                      <w:rFonts w:hint="default" w:ascii="Times New Roman" w:hAnsi="Times New Roman" w:eastAsia="宋体" w:cs="Times New Roman"/>
                      <w:kern w:val="0"/>
                      <w:sz w:val="21"/>
                      <w:szCs w:val="21"/>
                      <w:lang w:val="en-US" w:eastAsia="zh-CN" w:bidi="ar-SA"/>
                    </w:rPr>
                    <w:t>。5-9月，果实为三棱/双凸小坚果，藏于果囊，成熟后开裂散种。根状茎发达（横生坚韧），侧根密，</w:t>
                  </w:r>
                  <w:r>
                    <w:rPr>
                      <w:rFonts w:hint="eastAsia" w:cs="Times New Roman"/>
                      <w:kern w:val="0"/>
                      <w:sz w:val="21"/>
                      <w:szCs w:val="21"/>
                      <w:lang w:val="en-US" w:eastAsia="zh-CN" w:bidi="ar-SA"/>
                    </w:rPr>
                    <w:t>根茎</w:t>
                  </w:r>
                  <w:r>
                    <w:rPr>
                      <w:rFonts w:hint="default" w:ascii="Times New Roman" w:hAnsi="Times New Roman" w:eastAsia="宋体" w:cs="Times New Roman"/>
                      <w:kern w:val="0"/>
                      <w:sz w:val="21"/>
                      <w:szCs w:val="21"/>
                      <w:lang w:val="en-US" w:eastAsia="zh-CN" w:bidi="ar-SA"/>
                    </w:rPr>
                    <w:t>粗且分枝强，易萌新株。抗逆性强（耐湿耐旱，适轻度盐碱/贫瘠土）；抗风沙，无性繁殖突出，易扩种群</w:t>
                  </w:r>
                  <w:r>
                    <w:rPr>
                      <w:rFonts w:hint="eastAsia" w:ascii="Times New Roman" w:hAnsi="Times New Roman" w:eastAsia="宋体" w:cs="Times New Roman"/>
                      <w:kern w:val="0"/>
                      <w:sz w:val="21"/>
                      <w:szCs w:val="21"/>
                      <w:lang w:val="en-US" w:eastAsia="zh-CN" w:bidi="ar-SA"/>
                    </w:rPr>
                    <w:t>。</w:t>
                  </w:r>
                </w:p>
              </w:tc>
              <w:tc>
                <w:tcPr>
                  <w:tcW w:w="364" w:type="pct"/>
                  <w:tcBorders>
                    <w:tl2br w:val="nil"/>
                    <w:tr2bl w:val="nil"/>
                  </w:tcBorders>
                  <w:shd w:val="clear" w:color="auto" w:fill="auto"/>
                  <w:vAlign w:val="center"/>
                </w:tcPr>
                <w:p w14:paraId="2F5B05D1">
                  <w:pPr>
                    <w:pStyle w:val="38"/>
                    <w:ind w:firstLine="0" w:firstLineChars="0"/>
                    <w:rPr>
                      <w:rFonts w:hint="eastAsia" w:eastAsia="宋体"/>
                      <w:szCs w:val="21"/>
                      <w:lang w:val="en-US" w:eastAsia="zh-CN"/>
                    </w:rPr>
                  </w:pPr>
                  <w:r>
                    <w:rPr>
                      <w:rFonts w:hint="eastAsia"/>
                      <w:szCs w:val="21"/>
                      <w:lang w:val="en-US" w:eastAsia="zh-CN"/>
                    </w:rPr>
                    <w:t>/</w:t>
                  </w:r>
                </w:p>
              </w:tc>
            </w:tr>
          </w:tbl>
          <w:p w14:paraId="58A2D5F8">
            <w:pPr>
              <w:pStyle w:val="20"/>
              <w:ind w:firstLine="482"/>
            </w:pPr>
            <w:r>
              <w:rPr>
                <w:rFonts w:hint="eastAsia"/>
              </w:rPr>
              <w:t>2</w:t>
            </w:r>
            <w:r>
              <w:t>.4野生动物现状调查</w:t>
            </w:r>
          </w:p>
          <w:p w14:paraId="57AD4F1E">
            <w:pPr>
              <w:ind w:firstLine="480"/>
            </w:pPr>
            <w:r>
              <w:rPr>
                <w:rFonts w:hint="eastAsia"/>
              </w:rPr>
              <w:t>项目区及周边地区由于人类活动，野生动物稀少，</w:t>
            </w:r>
            <w:r>
              <w:rPr>
                <w:rFonts w:hint="eastAsia"/>
                <w:lang w:val="en-US" w:eastAsia="zh-CN"/>
              </w:rPr>
              <w:t>项目</w:t>
            </w:r>
            <w:r>
              <w:rPr>
                <w:rFonts w:hint="eastAsia"/>
              </w:rPr>
              <w:t>所在区域植物种类较少，动物食源少，因此该区动物组成较为单一，野生动物的分布种类和种群数量也较少，基本无大型哺乳动物活动，仅有一些常见的鸟类和鼠类，无国家及自治区级保护野生动物。根据《国家重点保护野生动物名录（2021年版）》</w:t>
            </w:r>
            <w:r>
              <w:rPr>
                <w:rFonts w:hint="eastAsia"/>
                <w:color w:val="000000"/>
                <w:kern w:val="0"/>
              </w:rPr>
              <w:t>《新疆维吾尔自治区重点保护野生植物名录》（</w:t>
            </w:r>
            <w:r>
              <w:rPr>
                <w:rFonts w:hint="eastAsia"/>
                <w:color w:val="000000"/>
                <w:kern w:val="0"/>
                <w:lang w:val="en-US" w:eastAsia="zh-CN"/>
              </w:rPr>
              <w:t>2023年12月29日发布</w:t>
            </w:r>
            <w:r>
              <w:rPr>
                <w:rFonts w:hint="eastAsia"/>
                <w:color w:val="000000"/>
                <w:kern w:val="0"/>
              </w:rPr>
              <w:t>）</w:t>
            </w:r>
            <w:r>
              <w:rPr>
                <w:rFonts w:hint="eastAsia"/>
              </w:rPr>
              <w:t>，评价区没有保护野生动物分布。</w:t>
            </w:r>
          </w:p>
          <w:p w14:paraId="61709DF0">
            <w:pPr>
              <w:pStyle w:val="20"/>
              <w:ind w:firstLine="482"/>
            </w:pPr>
            <w:r>
              <w:rPr>
                <w:rFonts w:hint="eastAsia"/>
              </w:rPr>
              <w:t>2</w:t>
            </w:r>
            <w:r>
              <w:t>.</w:t>
            </w:r>
            <w:r>
              <w:rPr>
                <w:rFonts w:hint="eastAsia"/>
                <w:lang w:val="en-US" w:eastAsia="zh-CN"/>
              </w:rPr>
              <w:t>5</w:t>
            </w:r>
            <w:r>
              <w:rPr>
                <w:rFonts w:hint="eastAsia"/>
              </w:rPr>
              <w:t>土地沙化</w:t>
            </w:r>
            <w:r>
              <w:t>现状调查</w:t>
            </w:r>
          </w:p>
          <w:p w14:paraId="11855D5C">
            <w:pPr>
              <w:bidi w:val="0"/>
              <w:rPr>
                <w:rFonts w:hint="default"/>
                <w:lang w:val="en-US" w:eastAsia="zh-CN"/>
              </w:rPr>
            </w:pPr>
            <w:r>
              <w:rPr>
                <w:rFonts w:hint="eastAsia"/>
              </w:rPr>
              <w:t>根据《新疆第六次沙化土地监测报告》，结合新疆第六次沙化监测沙化土地分布图，项目区周围没有沙漠、沙化荒漠存在，并且不在国家沙化土地封禁保护区名单中，属于非沙化土地。</w:t>
            </w:r>
            <w:r>
              <w:rPr>
                <w:rFonts w:hint="eastAsia"/>
                <w:lang w:val="en-US" w:eastAsia="zh-CN"/>
              </w:rPr>
              <w:t>详见《附图13项目区沙化土地现状图》。</w:t>
            </w:r>
          </w:p>
          <w:p w14:paraId="62DE4300">
            <w:pPr>
              <w:ind w:firstLine="480"/>
            </w:pPr>
            <w:r>
              <w:rPr>
                <w:rFonts w:hint="eastAsia"/>
              </w:rPr>
              <w:t>项目区行政区划位于新疆维吾尔自治区巴州和静县，根据水利部办公厅《关于印发</w:t>
            </w:r>
            <w:r>
              <w:rPr>
                <w:rFonts w:hint="eastAsia"/>
                <w:lang w:eastAsia="zh-CN"/>
              </w:rPr>
              <w:t>〈</w:t>
            </w:r>
            <w:r>
              <w:rPr>
                <w:rFonts w:hint="eastAsia"/>
              </w:rPr>
              <w:t>全国水土保持规划国家级水土流失重点预防区和重点治理区复核划分成果</w:t>
            </w:r>
            <w:r>
              <w:rPr>
                <w:rFonts w:hint="eastAsia"/>
                <w:lang w:eastAsia="zh-CN"/>
              </w:rPr>
              <w:t>〉的通知》</w:t>
            </w:r>
            <w:r>
              <w:rPr>
                <w:rFonts w:hint="eastAsia"/>
              </w:rPr>
              <w:t>（办水保〔2013〕188号），本项目所在区域不属于国家级水土流失重点预防区和重点治理区；根据2019年1月21日新疆维吾尔自治区水利厅出具的《关于印发新疆自治区级水土流失重点预防区和重点治理区复核划分成果的通知》（新水水保〔2019〕4号），项目区属于Ⅰ</w:t>
            </w:r>
            <w:r>
              <w:rPr>
                <w:rFonts w:hint="eastAsia"/>
                <w:vertAlign w:val="subscript"/>
              </w:rPr>
              <w:t>1</w:t>
            </w:r>
            <w:r>
              <w:rPr>
                <w:rFonts w:hint="eastAsia"/>
              </w:rPr>
              <w:t>天山山区重点预防区。</w:t>
            </w:r>
          </w:p>
          <w:p w14:paraId="7B7F617B">
            <w:pPr>
              <w:pStyle w:val="20"/>
              <w:ind w:firstLine="482"/>
            </w:pPr>
            <w:r>
              <w:rPr>
                <w:rFonts w:hint="eastAsia"/>
              </w:rPr>
              <w:t>3.环境空气质量评价</w:t>
            </w:r>
          </w:p>
          <w:p w14:paraId="12484694">
            <w:pPr>
              <w:pStyle w:val="4"/>
              <w:overflowPunct/>
              <w:spacing w:before="0" w:after="0" w:line="480" w:lineRule="exact"/>
              <w:ind w:firstLine="480" w:firstLineChars="200"/>
              <w:jc w:val="left"/>
              <w:rPr>
                <w:b w:val="0"/>
                <w:bCs w:val="0"/>
                <w:color w:val="auto"/>
                <w:sz w:val="24"/>
                <w:szCs w:val="24"/>
              </w:rPr>
            </w:pPr>
            <w:r>
              <w:rPr>
                <w:b w:val="0"/>
                <w:bCs w:val="0"/>
                <w:color w:val="auto"/>
                <w:sz w:val="24"/>
                <w:szCs w:val="24"/>
              </w:rPr>
              <w:t>根据《建设项目环境影响报告表编制技术指南（</w:t>
            </w:r>
            <w:r>
              <w:rPr>
                <w:rFonts w:hint="eastAsia"/>
                <w:b w:val="0"/>
                <w:bCs w:val="0"/>
                <w:color w:val="auto"/>
                <w:sz w:val="24"/>
                <w:szCs w:val="24"/>
                <w:lang w:val="en-US" w:eastAsia="zh-CN"/>
              </w:rPr>
              <w:t>生态</w:t>
            </w:r>
            <w:r>
              <w:rPr>
                <w:b w:val="0"/>
                <w:bCs w:val="0"/>
                <w:color w:val="auto"/>
                <w:sz w:val="24"/>
                <w:szCs w:val="24"/>
              </w:rPr>
              <w:t>影响类）（试行）》“不开展专项评价的环境要素，引用与项目距离近的有效数据和调查资料，包括符合时限要求的规划环境影响评价监测数据和调查资料，国家、地方环境质量监测网数据或生态环境主管部门公开发布的生态环境质量数据等”，项目所在区域目前没有国家和地方生态环境部门公开发布的评价基准年环境质量公告或环境质量报告中的数据，本次选用</w:t>
            </w:r>
            <w:r>
              <w:rPr>
                <w:rFonts w:hint="eastAsia"/>
                <w:b w:val="0"/>
                <w:bCs w:val="0"/>
                <w:color w:val="auto"/>
                <w:sz w:val="24"/>
                <w:szCs w:val="24"/>
              </w:rPr>
              <w:t>和静</w:t>
            </w:r>
            <w:r>
              <w:rPr>
                <w:b w:val="0"/>
                <w:bCs w:val="0"/>
                <w:color w:val="auto"/>
                <w:sz w:val="24"/>
                <w:szCs w:val="24"/>
              </w:rPr>
              <w:t>县空气自动监测站202</w:t>
            </w:r>
            <w:r>
              <w:rPr>
                <w:rFonts w:hint="eastAsia"/>
                <w:b w:val="0"/>
                <w:bCs w:val="0"/>
                <w:color w:val="auto"/>
                <w:sz w:val="24"/>
                <w:szCs w:val="24"/>
              </w:rPr>
              <w:t>3</w:t>
            </w:r>
            <w:r>
              <w:rPr>
                <w:b w:val="0"/>
                <w:bCs w:val="0"/>
                <w:color w:val="auto"/>
                <w:sz w:val="24"/>
                <w:szCs w:val="24"/>
              </w:rPr>
              <w:t>年的监测数据。环境空气质量达标情况评价指标为SO</w:t>
            </w:r>
            <w:r>
              <w:rPr>
                <w:b w:val="0"/>
                <w:bCs w:val="0"/>
                <w:color w:val="auto"/>
                <w:sz w:val="24"/>
                <w:szCs w:val="24"/>
                <w:vertAlign w:val="subscript"/>
              </w:rPr>
              <w:t>2</w:t>
            </w:r>
            <w:r>
              <w:rPr>
                <w:b w:val="0"/>
                <w:bCs w:val="0"/>
                <w:color w:val="auto"/>
                <w:sz w:val="24"/>
                <w:szCs w:val="24"/>
              </w:rPr>
              <w:t>、NO</w:t>
            </w:r>
            <w:r>
              <w:rPr>
                <w:b w:val="0"/>
                <w:bCs w:val="0"/>
                <w:color w:val="auto"/>
                <w:sz w:val="24"/>
                <w:szCs w:val="24"/>
                <w:vertAlign w:val="subscript"/>
              </w:rPr>
              <w:t>2</w:t>
            </w:r>
            <w:r>
              <w:rPr>
                <w:b w:val="0"/>
                <w:bCs w:val="0"/>
                <w:color w:val="auto"/>
                <w:sz w:val="24"/>
                <w:szCs w:val="24"/>
              </w:rPr>
              <w:t>、PM</w:t>
            </w:r>
            <w:r>
              <w:rPr>
                <w:b w:val="0"/>
                <w:bCs w:val="0"/>
                <w:color w:val="auto"/>
                <w:sz w:val="24"/>
                <w:szCs w:val="24"/>
                <w:vertAlign w:val="subscript"/>
              </w:rPr>
              <w:t>10</w:t>
            </w:r>
            <w:r>
              <w:rPr>
                <w:b w:val="0"/>
                <w:bCs w:val="0"/>
                <w:color w:val="auto"/>
                <w:sz w:val="24"/>
                <w:szCs w:val="24"/>
              </w:rPr>
              <w:t>、PM</w:t>
            </w:r>
            <w:r>
              <w:rPr>
                <w:b w:val="0"/>
                <w:bCs w:val="0"/>
                <w:color w:val="auto"/>
                <w:sz w:val="24"/>
                <w:szCs w:val="24"/>
                <w:vertAlign w:val="subscript"/>
              </w:rPr>
              <w:t>2.5</w:t>
            </w:r>
            <w:r>
              <w:rPr>
                <w:b w:val="0"/>
                <w:bCs w:val="0"/>
                <w:color w:val="auto"/>
                <w:sz w:val="24"/>
                <w:szCs w:val="24"/>
              </w:rPr>
              <w:t>、CO和O</w:t>
            </w:r>
            <w:r>
              <w:rPr>
                <w:b w:val="0"/>
                <w:bCs w:val="0"/>
                <w:color w:val="auto"/>
                <w:sz w:val="24"/>
                <w:szCs w:val="24"/>
                <w:vertAlign w:val="subscript"/>
              </w:rPr>
              <w:t>3</w:t>
            </w:r>
            <w:r>
              <w:rPr>
                <w:b w:val="0"/>
                <w:bCs w:val="0"/>
                <w:color w:val="auto"/>
                <w:sz w:val="24"/>
                <w:szCs w:val="24"/>
              </w:rPr>
              <w:t>等6项基本污染物数据来源。</w:t>
            </w:r>
          </w:p>
          <w:p w14:paraId="2AED5D17">
            <w:pPr>
              <w:pStyle w:val="4"/>
              <w:overflowPunct/>
              <w:spacing w:before="0" w:after="0" w:line="480" w:lineRule="exact"/>
              <w:ind w:firstLine="480" w:firstLineChars="200"/>
              <w:jc w:val="left"/>
              <w:rPr>
                <w:b w:val="0"/>
                <w:bCs w:val="0"/>
                <w:color w:val="auto"/>
                <w:sz w:val="24"/>
                <w:szCs w:val="24"/>
              </w:rPr>
            </w:pPr>
            <w:r>
              <w:rPr>
                <w:b w:val="0"/>
                <w:bCs w:val="0"/>
                <w:color w:val="auto"/>
                <w:sz w:val="24"/>
                <w:szCs w:val="24"/>
              </w:rPr>
              <w:t>①监测点位：</w:t>
            </w:r>
            <w:r>
              <w:rPr>
                <w:rFonts w:hint="eastAsia"/>
                <w:b w:val="0"/>
                <w:bCs w:val="0"/>
                <w:color w:val="auto"/>
                <w:sz w:val="24"/>
                <w:szCs w:val="24"/>
              </w:rPr>
              <w:t>和静</w:t>
            </w:r>
            <w:r>
              <w:rPr>
                <w:b w:val="0"/>
                <w:bCs w:val="0"/>
                <w:color w:val="auto"/>
                <w:sz w:val="24"/>
                <w:szCs w:val="24"/>
              </w:rPr>
              <w:t>县环境空气自动监测站。</w:t>
            </w:r>
          </w:p>
          <w:p w14:paraId="2587C8E1">
            <w:pPr>
              <w:pStyle w:val="4"/>
              <w:overflowPunct/>
              <w:spacing w:before="0" w:after="0" w:line="480" w:lineRule="exact"/>
              <w:ind w:firstLine="480" w:firstLineChars="200"/>
              <w:jc w:val="left"/>
              <w:rPr>
                <w:b w:val="0"/>
                <w:bCs w:val="0"/>
                <w:color w:val="auto"/>
                <w:sz w:val="24"/>
                <w:szCs w:val="24"/>
              </w:rPr>
            </w:pPr>
            <w:r>
              <w:rPr>
                <w:b w:val="0"/>
                <w:bCs w:val="0"/>
                <w:color w:val="auto"/>
                <w:sz w:val="24"/>
                <w:szCs w:val="24"/>
              </w:rPr>
              <w:t>②监测项目：二氧化硫（SO</w:t>
            </w:r>
            <w:r>
              <w:rPr>
                <w:b w:val="0"/>
                <w:bCs w:val="0"/>
                <w:color w:val="auto"/>
                <w:sz w:val="24"/>
                <w:szCs w:val="24"/>
                <w:vertAlign w:val="subscript"/>
              </w:rPr>
              <w:t>2</w:t>
            </w:r>
            <w:r>
              <w:rPr>
                <w:b w:val="0"/>
                <w:bCs w:val="0"/>
                <w:color w:val="auto"/>
                <w:sz w:val="24"/>
                <w:szCs w:val="24"/>
              </w:rPr>
              <w:t>）、二氧化氮（NO</w:t>
            </w:r>
            <w:r>
              <w:rPr>
                <w:b w:val="0"/>
                <w:bCs w:val="0"/>
                <w:color w:val="auto"/>
                <w:sz w:val="24"/>
                <w:szCs w:val="24"/>
                <w:vertAlign w:val="subscript"/>
              </w:rPr>
              <w:t>2</w:t>
            </w:r>
            <w:r>
              <w:rPr>
                <w:b w:val="0"/>
                <w:bCs w:val="0"/>
                <w:color w:val="auto"/>
                <w:sz w:val="24"/>
                <w:szCs w:val="24"/>
              </w:rPr>
              <w:t>）、可吸入颗粒物（PM</w:t>
            </w:r>
            <w:r>
              <w:rPr>
                <w:b w:val="0"/>
                <w:bCs w:val="0"/>
                <w:color w:val="auto"/>
                <w:sz w:val="24"/>
                <w:szCs w:val="24"/>
                <w:vertAlign w:val="subscript"/>
              </w:rPr>
              <w:t>10</w:t>
            </w:r>
            <w:r>
              <w:rPr>
                <w:b w:val="0"/>
                <w:bCs w:val="0"/>
                <w:color w:val="auto"/>
                <w:sz w:val="24"/>
                <w:szCs w:val="24"/>
              </w:rPr>
              <w:t>）、一氧化碳（CO）、臭氧（O</w:t>
            </w:r>
            <w:r>
              <w:rPr>
                <w:b w:val="0"/>
                <w:bCs w:val="0"/>
                <w:color w:val="auto"/>
                <w:sz w:val="24"/>
                <w:szCs w:val="24"/>
                <w:vertAlign w:val="subscript"/>
              </w:rPr>
              <w:t>3</w:t>
            </w:r>
            <w:r>
              <w:rPr>
                <w:b w:val="0"/>
                <w:bCs w:val="0"/>
                <w:color w:val="auto"/>
                <w:sz w:val="24"/>
                <w:szCs w:val="24"/>
              </w:rPr>
              <w:t>）、细颗粒物（PM</w:t>
            </w:r>
            <w:r>
              <w:rPr>
                <w:b w:val="0"/>
                <w:bCs w:val="0"/>
                <w:color w:val="auto"/>
                <w:sz w:val="24"/>
                <w:szCs w:val="24"/>
                <w:vertAlign w:val="subscript"/>
              </w:rPr>
              <w:t>2.5</w:t>
            </w:r>
            <w:r>
              <w:rPr>
                <w:b w:val="0"/>
                <w:bCs w:val="0"/>
                <w:color w:val="auto"/>
                <w:sz w:val="24"/>
                <w:szCs w:val="24"/>
              </w:rPr>
              <w:t>）六项。</w:t>
            </w:r>
          </w:p>
          <w:p w14:paraId="57FD15BF">
            <w:pPr>
              <w:pStyle w:val="4"/>
              <w:overflowPunct/>
              <w:spacing w:before="0" w:after="0" w:line="480" w:lineRule="exact"/>
              <w:ind w:firstLine="480" w:firstLineChars="200"/>
              <w:jc w:val="left"/>
              <w:rPr>
                <w:color w:val="auto"/>
              </w:rPr>
            </w:pPr>
            <w:r>
              <w:rPr>
                <w:b w:val="0"/>
                <w:bCs w:val="0"/>
                <w:color w:val="auto"/>
                <w:sz w:val="24"/>
                <w:szCs w:val="24"/>
              </w:rPr>
              <w:t>③监测时间：202</w:t>
            </w:r>
            <w:r>
              <w:rPr>
                <w:rFonts w:hint="eastAsia"/>
                <w:b w:val="0"/>
                <w:bCs w:val="0"/>
                <w:color w:val="auto"/>
                <w:sz w:val="24"/>
                <w:szCs w:val="24"/>
              </w:rPr>
              <w:t>3全年。</w:t>
            </w:r>
          </w:p>
          <w:p w14:paraId="38C8E31B">
            <w:pPr>
              <w:pStyle w:val="4"/>
              <w:overflowPunct/>
              <w:spacing w:before="0" w:after="0" w:line="480" w:lineRule="exact"/>
              <w:ind w:firstLine="482" w:firstLineChars="200"/>
              <w:jc w:val="left"/>
              <w:rPr>
                <w:color w:val="auto"/>
                <w:sz w:val="24"/>
                <w:szCs w:val="24"/>
              </w:rPr>
            </w:pPr>
            <w:r>
              <w:rPr>
                <w:color w:val="auto"/>
                <w:sz w:val="24"/>
                <w:szCs w:val="24"/>
              </w:rPr>
              <w:t>（2）评价标准</w:t>
            </w:r>
          </w:p>
          <w:p w14:paraId="3992E475">
            <w:pPr>
              <w:pStyle w:val="4"/>
              <w:overflowPunct/>
              <w:spacing w:before="0" w:after="0" w:line="480" w:lineRule="exact"/>
              <w:ind w:firstLine="480" w:firstLineChars="200"/>
              <w:jc w:val="left"/>
              <w:rPr>
                <w:b w:val="0"/>
                <w:bCs w:val="0"/>
                <w:color w:val="auto"/>
                <w:sz w:val="24"/>
                <w:szCs w:val="24"/>
              </w:rPr>
            </w:pPr>
            <w:r>
              <w:rPr>
                <w:b w:val="0"/>
                <w:bCs w:val="0"/>
                <w:color w:val="auto"/>
                <w:sz w:val="24"/>
                <w:szCs w:val="24"/>
              </w:rPr>
              <w:t>环境空气中的SO</w:t>
            </w:r>
            <w:r>
              <w:rPr>
                <w:b w:val="0"/>
                <w:bCs w:val="0"/>
                <w:color w:val="auto"/>
                <w:sz w:val="24"/>
                <w:szCs w:val="24"/>
                <w:vertAlign w:val="subscript"/>
              </w:rPr>
              <w:t>2</w:t>
            </w:r>
            <w:r>
              <w:rPr>
                <w:b w:val="0"/>
                <w:bCs w:val="0"/>
                <w:color w:val="auto"/>
                <w:sz w:val="24"/>
                <w:szCs w:val="24"/>
              </w:rPr>
              <w:t>、NO</w:t>
            </w:r>
            <w:r>
              <w:rPr>
                <w:b w:val="0"/>
                <w:bCs w:val="0"/>
                <w:color w:val="auto"/>
                <w:sz w:val="24"/>
                <w:szCs w:val="24"/>
                <w:vertAlign w:val="subscript"/>
              </w:rPr>
              <w:t>2</w:t>
            </w:r>
            <w:r>
              <w:rPr>
                <w:b w:val="0"/>
                <w:bCs w:val="0"/>
                <w:color w:val="auto"/>
                <w:sz w:val="24"/>
                <w:szCs w:val="24"/>
              </w:rPr>
              <w:t>、PM</w:t>
            </w:r>
            <w:r>
              <w:rPr>
                <w:b w:val="0"/>
                <w:bCs w:val="0"/>
                <w:color w:val="auto"/>
                <w:sz w:val="24"/>
                <w:szCs w:val="24"/>
                <w:vertAlign w:val="subscript"/>
              </w:rPr>
              <w:t>10</w:t>
            </w:r>
            <w:r>
              <w:rPr>
                <w:b w:val="0"/>
                <w:bCs w:val="0"/>
                <w:color w:val="auto"/>
                <w:sz w:val="24"/>
                <w:szCs w:val="24"/>
              </w:rPr>
              <w:t>、PM</w:t>
            </w:r>
            <w:r>
              <w:rPr>
                <w:b w:val="0"/>
                <w:bCs w:val="0"/>
                <w:color w:val="auto"/>
                <w:sz w:val="24"/>
                <w:szCs w:val="24"/>
                <w:vertAlign w:val="subscript"/>
              </w:rPr>
              <w:t>2.5</w:t>
            </w:r>
            <w:r>
              <w:rPr>
                <w:b w:val="0"/>
                <w:bCs w:val="0"/>
                <w:color w:val="auto"/>
                <w:sz w:val="24"/>
                <w:szCs w:val="24"/>
              </w:rPr>
              <w:t>、CO、O</w:t>
            </w:r>
            <w:r>
              <w:rPr>
                <w:b w:val="0"/>
                <w:bCs w:val="0"/>
                <w:color w:val="auto"/>
                <w:sz w:val="24"/>
                <w:szCs w:val="24"/>
                <w:vertAlign w:val="subscript"/>
              </w:rPr>
              <w:t>3</w:t>
            </w:r>
            <w:r>
              <w:rPr>
                <w:b w:val="0"/>
                <w:bCs w:val="0"/>
                <w:color w:val="auto"/>
                <w:sz w:val="24"/>
                <w:szCs w:val="24"/>
              </w:rPr>
              <w:t>执行《环境空气质量标准》（GB3095—2012）</w:t>
            </w:r>
            <w:r>
              <w:rPr>
                <w:rFonts w:hint="eastAsia"/>
                <w:b w:val="0"/>
                <w:bCs w:val="0"/>
                <w:color w:val="auto"/>
                <w:sz w:val="24"/>
                <w:szCs w:val="24"/>
              </w:rPr>
              <w:t>。</w:t>
            </w:r>
          </w:p>
          <w:p w14:paraId="20481675">
            <w:pPr>
              <w:pStyle w:val="4"/>
              <w:overflowPunct/>
              <w:spacing w:before="0" w:after="0" w:line="480" w:lineRule="exact"/>
              <w:ind w:firstLine="482" w:firstLineChars="200"/>
              <w:jc w:val="left"/>
              <w:rPr>
                <w:color w:val="auto"/>
                <w:sz w:val="24"/>
                <w:szCs w:val="24"/>
              </w:rPr>
            </w:pPr>
            <w:r>
              <w:rPr>
                <w:color w:val="auto"/>
                <w:sz w:val="24"/>
                <w:szCs w:val="24"/>
              </w:rPr>
              <w:t>（3）评价方法</w:t>
            </w:r>
          </w:p>
          <w:p w14:paraId="2629BB71">
            <w:pPr>
              <w:spacing w:line="480" w:lineRule="exact"/>
              <w:ind w:firstLine="480"/>
              <w:jc w:val="left"/>
            </w:pPr>
            <w:r>
              <w:t>选用占标率进行评价，公式为：</w:t>
            </w:r>
          </w:p>
          <w:p w14:paraId="49967907">
            <w:pPr>
              <w:spacing w:line="480" w:lineRule="exact"/>
              <w:ind w:firstLine="480"/>
              <w:jc w:val="center"/>
              <w:rPr>
                <w:vertAlign w:val="subscript"/>
              </w:rPr>
            </w:pPr>
            <w:r>
              <w:t>P</w:t>
            </w:r>
            <w:r>
              <w:rPr>
                <w:vertAlign w:val="subscript"/>
              </w:rPr>
              <w:t>i</w:t>
            </w:r>
            <w:r>
              <w:rPr>
                <w:rFonts w:hint="eastAsia"/>
                <w:vertAlign w:val="subscript"/>
                <w:lang w:eastAsia="zh-CN"/>
              </w:rPr>
              <w:t>=</w:t>
            </w:r>
            <w:r>
              <w:t>C</w:t>
            </w:r>
            <w:r>
              <w:rPr>
                <w:vertAlign w:val="subscript"/>
              </w:rPr>
              <w:t>i</w:t>
            </w:r>
            <w:r>
              <w:t>/C</w:t>
            </w:r>
            <w:r>
              <w:rPr>
                <w:vertAlign w:val="subscript"/>
              </w:rPr>
              <w:t>oi</w:t>
            </w:r>
          </w:p>
          <w:p w14:paraId="782E8A06">
            <w:pPr>
              <w:spacing w:line="480" w:lineRule="exact"/>
              <w:ind w:firstLine="480"/>
              <w:jc w:val="left"/>
            </w:pPr>
            <w:r>
              <w:t>式中，P</w:t>
            </w:r>
            <w:r>
              <w:rPr>
                <w:vertAlign w:val="subscript"/>
              </w:rPr>
              <w:t>i</w:t>
            </w:r>
            <w:r>
              <w:t>－i第i个污染物的质量浓度占标率，%；</w:t>
            </w:r>
          </w:p>
          <w:p w14:paraId="494568CF">
            <w:pPr>
              <w:spacing w:line="480" w:lineRule="exact"/>
              <w:ind w:firstLine="480"/>
              <w:jc w:val="left"/>
            </w:pPr>
            <w:r>
              <w:t>C</w:t>
            </w:r>
            <w:r>
              <w:rPr>
                <w:vertAlign w:val="subscript"/>
              </w:rPr>
              <w:t>i</w:t>
            </w:r>
            <w:r>
              <w:t>－i污染物的浓度，mg/m</w:t>
            </w:r>
            <w:r>
              <w:rPr>
                <w:vertAlign w:val="superscript"/>
              </w:rPr>
              <w:t>3</w:t>
            </w:r>
            <w:r>
              <w:t>（标准状态）；</w:t>
            </w:r>
          </w:p>
          <w:p w14:paraId="3E18CF1A">
            <w:pPr>
              <w:spacing w:line="480" w:lineRule="exact"/>
              <w:ind w:firstLine="480"/>
              <w:jc w:val="left"/>
            </w:pPr>
            <w:r>
              <w:t>C</w:t>
            </w:r>
            <w:r>
              <w:rPr>
                <w:vertAlign w:val="subscript"/>
              </w:rPr>
              <w:t>oi</w:t>
            </w:r>
            <w:r>
              <w:t>－i污染物的质量标准，mg/m</w:t>
            </w:r>
            <w:r>
              <w:rPr>
                <w:vertAlign w:val="superscript"/>
              </w:rPr>
              <w:t>3</w:t>
            </w:r>
            <w:r>
              <w:t>（标准状态）。</w:t>
            </w:r>
          </w:p>
          <w:p w14:paraId="3198FB9C">
            <w:pPr>
              <w:pStyle w:val="4"/>
              <w:overflowPunct/>
              <w:spacing w:before="0" w:after="0" w:line="480" w:lineRule="exact"/>
              <w:ind w:firstLine="482" w:firstLineChars="200"/>
              <w:jc w:val="left"/>
              <w:rPr>
                <w:color w:val="auto"/>
                <w:sz w:val="24"/>
                <w:szCs w:val="24"/>
              </w:rPr>
            </w:pPr>
            <w:r>
              <w:rPr>
                <w:color w:val="auto"/>
                <w:sz w:val="24"/>
                <w:szCs w:val="24"/>
              </w:rPr>
              <w:t>（4）评价结果</w:t>
            </w:r>
          </w:p>
          <w:p w14:paraId="7D002001">
            <w:pPr>
              <w:spacing w:line="480" w:lineRule="exact"/>
              <w:ind w:firstLine="480"/>
              <w:jc w:val="left"/>
            </w:pPr>
            <w:r>
              <w:t>评价结果见下表。</w:t>
            </w:r>
          </w:p>
          <w:p w14:paraId="3E4469A1">
            <w:pPr>
              <w:pStyle w:val="33"/>
              <w:autoSpaceDE/>
              <w:autoSpaceDN/>
              <w:spacing w:before="120" w:line="480" w:lineRule="exact"/>
              <w:rPr>
                <w:bCs/>
                <w:szCs w:val="24"/>
              </w:rPr>
            </w:pPr>
            <w:r>
              <w:rPr>
                <w:bCs/>
                <w:szCs w:val="24"/>
              </w:rPr>
              <w:t>表3-</w:t>
            </w:r>
            <w:r>
              <w:rPr>
                <w:rFonts w:hint="eastAsia"/>
                <w:bCs/>
                <w:szCs w:val="24"/>
                <w:lang w:val="en-US" w:eastAsia="zh-CN"/>
              </w:rPr>
              <w:t>3</w:t>
            </w:r>
            <w:r>
              <w:rPr>
                <w:bCs/>
                <w:szCs w:val="24"/>
              </w:rPr>
              <w:t>现状监测结果分析表</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2688"/>
              <w:gridCol w:w="1412"/>
              <w:gridCol w:w="1412"/>
              <w:gridCol w:w="1306"/>
              <w:gridCol w:w="954"/>
            </w:tblGrid>
            <w:tr w14:paraId="28D7003A">
              <w:tblPrEx>
                <w:tblCellMar>
                  <w:top w:w="0" w:type="dxa"/>
                  <w:left w:w="108" w:type="dxa"/>
                  <w:bottom w:w="0" w:type="dxa"/>
                  <w:right w:w="108" w:type="dxa"/>
                </w:tblCellMar>
              </w:tblPrEx>
              <w:trPr>
                <w:trHeight w:val="312" w:hRule="atLeast"/>
              </w:trPr>
              <w:tc>
                <w:tcPr>
                  <w:tcW w:w="698" w:type="pct"/>
                  <w:vMerge w:val="restart"/>
                  <w:vAlign w:val="center"/>
                </w:tcPr>
                <w:p w14:paraId="3857D9F2">
                  <w:pPr>
                    <w:pStyle w:val="38"/>
                  </w:pPr>
                  <w:bookmarkStart w:id="3" w:name="_Hlk82001264"/>
                  <w:r>
                    <w:t>监测项目</w:t>
                  </w:r>
                </w:p>
              </w:tc>
              <w:tc>
                <w:tcPr>
                  <w:tcW w:w="1486" w:type="pct"/>
                  <w:vMerge w:val="restart"/>
                  <w:vAlign w:val="center"/>
                </w:tcPr>
                <w:p w14:paraId="03D88B90">
                  <w:pPr>
                    <w:pStyle w:val="38"/>
                  </w:pPr>
                  <w:r>
                    <w:t>评价指标</w:t>
                  </w:r>
                </w:p>
              </w:tc>
              <w:tc>
                <w:tcPr>
                  <w:tcW w:w="781" w:type="pct"/>
                  <w:vMerge w:val="restart"/>
                  <w:vAlign w:val="center"/>
                </w:tcPr>
                <w:p w14:paraId="5B28BDBB">
                  <w:pPr>
                    <w:pStyle w:val="38"/>
                  </w:pPr>
                  <w:r>
                    <w:t>现状值（μg/m</w:t>
                  </w:r>
                  <w:r>
                    <w:rPr>
                      <w:vertAlign w:val="superscript"/>
                    </w:rPr>
                    <w:t>3</w:t>
                  </w:r>
                  <w:r>
                    <w:t>）</w:t>
                  </w:r>
                </w:p>
              </w:tc>
              <w:tc>
                <w:tcPr>
                  <w:tcW w:w="781" w:type="pct"/>
                  <w:vMerge w:val="restart"/>
                  <w:vAlign w:val="center"/>
                </w:tcPr>
                <w:p w14:paraId="34B8B713">
                  <w:pPr>
                    <w:pStyle w:val="38"/>
                  </w:pPr>
                  <w:r>
                    <w:t>标准值</w:t>
                  </w:r>
                </w:p>
                <w:p w14:paraId="64242155">
                  <w:pPr>
                    <w:pStyle w:val="38"/>
                  </w:pPr>
                  <w:r>
                    <w:t>（μg/m</w:t>
                  </w:r>
                  <w:r>
                    <w:rPr>
                      <w:vertAlign w:val="superscript"/>
                    </w:rPr>
                    <w:t>3</w:t>
                  </w:r>
                  <w:r>
                    <w:t>）</w:t>
                  </w:r>
                </w:p>
              </w:tc>
              <w:tc>
                <w:tcPr>
                  <w:tcW w:w="723" w:type="pct"/>
                  <w:vMerge w:val="restart"/>
                  <w:vAlign w:val="center"/>
                </w:tcPr>
                <w:p w14:paraId="2436F2E2">
                  <w:pPr>
                    <w:pStyle w:val="38"/>
                  </w:pPr>
                  <w:r>
                    <w:t>占标率%</w:t>
                  </w:r>
                </w:p>
              </w:tc>
              <w:tc>
                <w:tcPr>
                  <w:tcW w:w="528" w:type="pct"/>
                  <w:vMerge w:val="restart"/>
                  <w:vAlign w:val="center"/>
                </w:tcPr>
                <w:p w14:paraId="67FB6040">
                  <w:pPr>
                    <w:pStyle w:val="38"/>
                  </w:pPr>
                  <w:r>
                    <w:t>达标情况</w:t>
                  </w:r>
                </w:p>
              </w:tc>
            </w:tr>
            <w:tr w14:paraId="68A16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8" w:type="pct"/>
                  <w:vMerge w:val="continue"/>
                  <w:vAlign w:val="center"/>
                </w:tcPr>
                <w:p w14:paraId="3465F6DB">
                  <w:pPr>
                    <w:pStyle w:val="38"/>
                  </w:pPr>
                </w:p>
              </w:tc>
              <w:tc>
                <w:tcPr>
                  <w:tcW w:w="1486" w:type="pct"/>
                  <w:vMerge w:val="continue"/>
                  <w:vAlign w:val="center"/>
                </w:tcPr>
                <w:p w14:paraId="3A5F2D36">
                  <w:pPr>
                    <w:pStyle w:val="38"/>
                  </w:pPr>
                </w:p>
              </w:tc>
              <w:tc>
                <w:tcPr>
                  <w:tcW w:w="781" w:type="pct"/>
                  <w:vMerge w:val="continue"/>
                  <w:vAlign w:val="center"/>
                </w:tcPr>
                <w:p w14:paraId="4598E9E5">
                  <w:pPr>
                    <w:pStyle w:val="38"/>
                  </w:pPr>
                </w:p>
              </w:tc>
              <w:tc>
                <w:tcPr>
                  <w:tcW w:w="781" w:type="pct"/>
                  <w:vMerge w:val="continue"/>
                  <w:vAlign w:val="center"/>
                </w:tcPr>
                <w:p w14:paraId="074D600D">
                  <w:pPr>
                    <w:pStyle w:val="38"/>
                  </w:pPr>
                </w:p>
              </w:tc>
              <w:tc>
                <w:tcPr>
                  <w:tcW w:w="723" w:type="pct"/>
                  <w:vMerge w:val="continue"/>
                  <w:vAlign w:val="center"/>
                </w:tcPr>
                <w:p w14:paraId="44AE8187">
                  <w:pPr>
                    <w:pStyle w:val="38"/>
                  </w:pPr>
                </w:p>
              </w:tc>
              <w:tc>
                <w:tcPr>
                  <w:tcW w:w="528" w:type="pct"/>
                  <w:vMerge w:val="continue"/>
                  <w:vAlign w:val="center"/>
                </w:tcPr>
                <w:p w14:paraId="5C141A0D">
                  <w:pPr>
                    <w:pStyle w:val="38"/>
                  </w:pPr>
                </w:p>
              </w:tc>
            </w:tr>
            <w:tr w14:paraId="7FF16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8" w:type="pct"/>
                  <w:vMerge w:val="restart"/>
                  <w:vAlign w:val="center"/>
                </w:tcPr>
                <w:p w14:paraId="5CBF8244">
                  <w:pPr>
                    <w:pStyle w:val="38"/>
                  </w:pPr>
                  <w:r>
                    <w:t>SO</w:t>
                  </w:r>
                  <w:r>
                    <w:rPr>
                      <w:vertAlign w:val="subscript"/>
                    </w:rPr>
                    <w:t>2</w:t>
                  </w:r>
                </w:p>
              </w:tc>
              <w:tc>
                <w:tcPr>
                  <w:tcW w:w="1486" w:type="pct"/>
                  <w:vAlign w:val="center"/>
                </w:tcPr>
                <w:p w14:paraId="6233979D">
                  <w:pPr>
                    <w:pStyle w:val="38"/>
                  </w:pPr>
                  <w:r>
                    <w:t>年平均</w:t>
                  </w:r>
                </w:p>
              </w:tc>
              <w:tc>
                <w:tcPr>
                  <w:tcW w:w="781" w:type="pct"/>
                  <w:vAlign w:val="center"/>
                </w:tcPr>
                <w:p w14:paraId="682C1D33">
                  <w:pPr>
                    <w:pStyle w:val="38"/>
                  </w:pPr>
                  <w:r>
                    <w:t>6</w:t>
                  </w:r>
                </w:p>
              </w:tc>
              <w:tc>
                <w:tcPr>
                  <w:tcW w:w="781" w:type="pct"/>
                  <w:vAlign w:val="center"/>
                </w:tcPr>
                <w:p w14:paraId="60B237A4">
                  <w:pPr>
                    <w:pStyle w:val="38"/>
                  </w:pPr>
                  <w:r>
                    <w:t>60</w:t>
                  </w:r>
                </w:p>
              </w:tc>
              <w:tc>
                <w:tcPr>
                  <w:tcW w:w="723" w:type="pct"/>
                  <w:vAlign w:val="center"/>
                </w:tcPr>
                <w:p w14:paraId="23214859">
                  <w:pPr>
                    <w:pStyle w:val="38"/>
                  </w:pPr>
                  <w:r>
                    <w:t>10</w:t>
                  </w:r>
                </w:p>
              </w:tc>
              <w:tc>
                <w:tcPr>
                  <w:tcW w:w="528" w:type="pct"/>
                  <w:vAlign w:val="center"/>
                </w:tcPr>
                <w:p w14:paraId="4976AE17">
                  <w:pPr>
                    <w:pStyle w:val="38"/>
                  </w:pPr>
                  <w:r>
                    <w:t>达标</w:t>
                  </w:r>
                </w:p>
              </w:tc>
            </w:tr>
            <w:tr w14:paraId="38ACE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8" w:type="pct"/>
                  <w:vMerge w:val="continue"/>
                  <w:vAlign w:val="center"/>
                </w:tcPr>
                <w:p w14:paraId="690704C9">
                  <w:pPr>
                    <w:pStyle w:val="38"/>
                  </w:pPr>
                </w:p>
              </w:tc>
              <w:tc>
                <w:tcPr>
                  <w:tcW w:w="1486" w:type="pct"/>
                  <w:vAlign w:val="center"/>
                </w:tcPr>
                <w:p w14:paraId="4E8539CB">
                  <w:pPr>
                    <w:pStyle w:val="38"/>
                  </w:pPr>
                  <w:r>
                    <w:t>第98百分位数日平均</w:t>
                  </w:r>
                </w:p>
              </w:tc>
              <w:tc>
                <w:tcPr>
                  <w:tcW w:w="781" w:type="pct"/>
                  <w:vAlign w:val="center"/>
                </w:tcPr>
                <w:p w14:paraId="13BF1CF1">
                  <w:pPr>
                    <w:pStyle w:val="38"/>
                  </w:pPr>
                  <w:r>
                    <w:t>17</w:t>
                  </w:r>
                </w:p>
              </w:tc>
              <w:tc>
                <w:tcPr>
                  <w:tcW w:w="781" w:type="pct"/>
                  <w:vAlign w:val="center"/>
                </w:tcPr>
                <w:p w14:paraId="2E5E09A6">
                  <w:pPr>
                    <w:pStyle w:val="38"/>
                  </w:pPr>
                  <w:r>
                    <w:t>150</w:t>
                  </w:r>
                </w:p>
              </w:tc>
              <w:tc>
                <w:tcPr>
                  <w:tcW w:w="723" w:type="pct"/>
                  <w:vAlign w:val="center"/>
                </w:tcPr>
                <w:p w14:paraId="7E347E35">
                  <w:pPr>
                    <w:pStyle w:val="38"/>
                  </w:pPr>
                  <w:r>
                    <w:t>11.3</w:t>
                  </w:r>
                </w:p>
              </w:tc>
              <w:tc>
                <w:tcPr>
                  <w:tcW w:w="528" w:type="pct"/>
                  <w:vAlign w:val="center"/>
                </w:tcPr>
                <w:p w14:paraId="46676320">
                  <w:pPr>
                    <w:pStyle w:val="38"/>
                  </w:pPr>
                  <w:r>
                    <w:t>达标</w:t>
                  </w:r>
                </w:p>
              </w:tc>
            </w:tr>
            <w:tr w14:paraId="4E5FB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8" w:type="pct"/>
                  <w:vMerge w:val="restart"/>
                  <w:vAlign w:val="center"/>
                </w:tcPr>
                <w:p w14:paraId="04DAC27C">
                  <w:pPr>
                    <w:pStyle w:val="38"/>
                  </w:pPr>
                  <w:r>
                    <w:t>NO</w:t>
                  </w:r>
                  <w:r>
                    <w:rPr>
                      <w:vertAlign w:val="subscript"/>
                    </w:rPr>
                    <w:t>2</w:t>
                  </w:r>
                </w:p>
              </w:tc>
              <w:tc>
                <w:tcPr>
                  <w:tcW w:w="1486" w:type="pct"/>
                  <w:vAlign w:val="center"/>
                </w:tcPr>
                <w:p w14:paraId="67D7D017">
                  <w:pPr>
                    <w:pStyle w:val="38"/>
                  </w:pPr>
                  <w:r>
                    <w:t>年平均</w:t>
                  </w:r>
                </w:p>
              </w:tc>
              <w:tc>
                <w:tcPr>
                  <w:tcW w:w="781" w:type="pct"/>
                  <w:vAlign w:val="center"/>
                </w:tcPr>
                <w:p w14:paraId="6F7DD564">
                  <w:pPr>
                    <w:pStyle w:val="38"/>
                  </w:pPr>
                  <w:r>
                    <w:t>17</w:t>
                  </w:r>
                </w:p>
              </w:tc>
              <w:tc>
                <w:tcPr>
                  <w:tcW w:w="781" w:type="pct"/>
                  <w:vAlign w:val="center"/>
                </w:tcPr>
                <w:p w14:paraId="174F82F0">
                  <w:pPr>
                    <w:pStyle w:val="38"/>
                  </w:pPr>
                  <w:r>
                    <w:t>40</w:t>
                  </w:r>
                </w:p>
              </w:tc>
              <w:tc>
                <w:tcPr>
                  <w:tcW w:w="723" w:type="pct"/>
                  <w:vAlign w:val="center"/>
                </w:tcPr>
                <w:p w14:paraId="5FAAB3B6">
                  <w:pPr>
                    <w:pStyle w:val="38"/>
                  </w:pPr>
                  <w:r>
                    <w:t>42.5</w:t>
                  </w:r>
                </w:p>
              </w:tc>
              <w:tc>
                <w:tcPr>
                  <w:tcW w:w="528" w:type="pct"/>
                  <w:vAlign w:val="center"/>
                </w:tcPr>
                <w:p w14:paraId="58325CC2">
                  <w:pPr>
                    <w:pStyle w:val="38"/>
                  </w:pPr>
                  <w:r>
                    <w:t>达标</w:t>
                  </w:r>
                </w:p>
              </w:tc>
            </w:tr>
            <w:tr w14:paraId="17590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8" w:type="pct"/>
                  <w:vMerge w:val="continue"/>
                  <w:vAlign w:val="center"/>
                </w:tcPr>
                <w:p w14:paraId="5759FD89">
                  <w:pPr>
                    <w:pStyle w:val="38"/>
                  </w:pPr>
                </w:p>
              </w:tc>
              <w:tc>
                <w:tcPr>
                  <w:tcW w:w="1486" w:type="pct"/>
                  <w:vAlign w:val="center"/>
                </w:tcPr>
                <w:p w14:paraId="58048D49">
                  <w:pPr>
                    <w:pStyle w:val="38"/>
                  </w:pPr>
                  <w:r>
                    <w:t>第98百分位数日平均</w:t>
                  </w:r>
                </w:p>
              </w:tc>
              <w:tc>
                <w:tcPr>
                  <w:tcW w:w="781" w:type="pct"/>
                  <w:vAlign w:val="center"/>
                </w:tcPr>
                <w:p w14:paraId="235A3DAF">
                  <w:pPr>
                    <w:pStyle w:val="38"/>
                  </w:pPr>
                  <w:r>
                    <w:t>45</w:t>
                  </w:r>
                </w:p>
              </w:tc>
              <w:tc>
                <w:tcPr>
                  <w:tcW w:w="781" w:type="pct"/>
                  <w:vAlign w:val="center"/>
                </w:tcPr>
                <w:p w14:paraId="5C92DC47">
                  <w:pPr>
                    <w:pStyle w:val="38"/>
                  </w:pPr>
                  <w:r>
                    <w:t>80</w:t>
                  </w:r>
                </w:p>
              </w:tc>
              <w:tc>
                <w:tcPr>
                  <w:tcW w:w="723" w:type="pct"/>
                  <w:vAlign w:val="center"/>
                </w:tcPr>
                <w:p w14:paraId="64018655">
                  <w:pPr>
                    <w:pStyle w:val="38"/>
                  </w:pPr>
                  <w:r>
                    <w:t>56.2</w:t>
                  </w:r>
                </w:p>
              </w:tc>
              <w:tc>
                <w:tcPr>
                  <w:tcW w:w="528" w:type="pct"/>
                  <w:vAlign w:val="center"/>
                </w:tcPr>
                <w:p w14:paraId="4374F5DD">
                  <w:pPr>
                    <w:pStyle w:val="38"/>
                  </w:pPr>
                  <w:r>
                    <w:t>达标</w:t>
                  </w:r>
                </w:p>
              </w:tc>
            </w:tr>
            <w:tr w14:paraId="2406C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8" w:type="pct"/>
                  <w:vMerge w:val="restart"/>
                  <w:vAlign w:val="center"/>
                </w:tcPr>
                <w:p w14:paraId="50C6695A">
                  <w:pPr>
                    <w:pStyle w:val="38"/>
                  </w:pPr>
                  <w:r>
                    <w:t>PM</w:t>
                  </w:r>
                  <w:r>
                    <w:rPr>
                      <w:vertAlign w:val="subscript"/>
                    </w:rPr>
                    <w:t>2.5</w:t>
                  </w:r>
                </w:p>
              </w:tc>
              <w:tc>
                <w:tcPr>
                  <w:tcW w:w="1486" w:type="pct"/>
                  <w:vAlign w:val="center"/>
                </w:tcPr>
                <w:p w14:paraId="263A3E1D">
                  <w:pPr>
                    <w:pStyle w:val="38"/>
                  </w:pPr>
                  <w:r>
                    <w:t>年平均</w:t>
                  </w:r>
                </w:p>
              </w:tc>
              <w:tc>
                <w:tcPr>
                  <w:tcW w:w="781" w:type="pct"/>
                  <w:vAlign w:val="center"/>
                </w:tcPr>
                <w:p w14:paraId="0CF2378A">
                  <w:pPr>
                    <w:pStyle w:val="38"/>
                  </w:pPr>
                  <w:r>
                    <w:t>30</w:t>
                  </w:r>
                </w:p>
              </w:tc>
              <w:tc>
                <w:tcPr>
                  <w:tcW w:w="781" w:type="pct"/>
                  <w:vAlign w:val="center"/>
                </w:tcPr>
                <w:p w14:paraId="226F8D08">
                  <w:pPr>
                    <w:pStyle w:val="38"/>
                  </w:pPr>
                  <w:r>
                    <w:t>35</w:t>
                  </w:r>
                </w:p>
              </w:tc>
              <w:tc>
                <w:tcPr>
                  <w:tcW w:w="723" w:type="pct"/>
                  <w:vAlign w:val="center"/>
                </w:tcPr>
                <w:p w14:paraId="1D20949A">
                  <w:pPr>
                    <w:pStyle w:val="38"/>
                  </w:pPr>
                  <w:r>
                    <w:t>85.7</w:t>
                  </w:r>
                </w:p>
              </w:tc>
              <w:tc>
                <w:tcPr>
                  <w:tcW w:w="528" w:type="pct"/>
                  <w:vAlign w:val="center"/>
                </w:tcPr>
                <w:p w14:paraId="1F2023D4">
                  <w:pPr>
                    <w:pStyle w:val="38"/>
                  </w:pPr>
                  <w:r>
                    <w:t>达标</w:t>
                  </w:r>
                </w:p>
              </w:tc>
            </w:tr>
            <w:tr w14:paraId="1821E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8" w:type="pct"/>
                  <w:vMerge w:val="continue"/>
                  <w:vAlign w:val="center"/>
                </w:tcPr>
                <w:p w14:paraId="049FAB25">
                  <w:pPr>
                    <w:pStyle w:val="38"/>
                  </w:pPr>
                </w:p>
              </w:tc>
              <w:tc>
                <w:tcPr>
                  <w:tcW w:w="1486" w:type="pct"/>
                  <w:vAlign w:val="center"/>
                </w:tcPr>
                <w:p w14:paraId="62C685BF">
                  <w:pPr>
                    <w:pStyle w:val="38"/>
                  </w:pPr>
                  <w:r>
                    <w:t>第95百分位数日平均</w:t>
                  </w:r>
                </w:p>
              </w:tc>
              <w:tc>
                <w:tcPr>
                  <w:tcW w:w="781" w:type="pct"/>
                  <w:vAlign w:val="center"/>
                </w:tcPr>
                <w:p w14:paraId="58F93022">
                  <w:pPr>
                    <w:pStyle w:val="38"/>
                  </w:pPr>
                  <w:r>
                    <w:t>85</w:t>
                  </w:r>
                </w:p>
              </w:tc>
              <w:tc>
                <w:tcPr>
                  <w:tcW w:w="781" w:type="pct"/>
                  <w:vAlign w:val="center"/>
                </w:tcPr>
                <w:p w14:paraId="6D971274">
                  <w:pPr>
                    <w:pStyle w:val="38"/>
                  </w:pPr>
                  <w:r>
                    <w:t>75</w:t>
                  </w:r>
                </w:p>
              </w:tc>
              <w:tc>
                <w:tcPr>
                  <w:tcW w:w="723" w:type="pct"/>
                  <w:vAlign w:val="center"/>
                </w:tcPr>
                <w:p w14:paraId="59B7709E">
                  <w:pPr>
                    <w:pStyle w:val="38"/>
                  </w:pPr>
                  <w:r>
                    <w:t>113.3</w:t>
                  </w:r>
                </w:p>
              </w:tc>
              <w:tc>
                <w:tcPr>
                  <w:tcW w:w="528" w:type="pct"/>
                  <w:vAlign w:val="center"/>
                </w:tcPr>
                <w:p w14:paraId="6F1E9638">
                  <w:pPr>
                    <w:pStyle w:val="38"/>
                  </w:pPr>
                  <w:r>
                    <w:t>超标</w:t>
                  </w:r>
                </w:p>
              </w:tc>
            </w:tr>
            <w:tr w14:paraId="2CF89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98" w:type="pct"/>
                  <w:vMerge w:val="restart"/>
                  <w:vAlign w:val="center"/>
                </w:tcPr>
                <w:p w14:paraId="735C5436">
                  <w:pPr>
                    <w:pStyle w:val="38"/>
                  </w:pPr>
                  <w:r>
                    <w:t>PM</w:t>
                  </w:r>
                  <w:r>
                    <w:rPr>
                      <w:vertAlign w:val="subscript"/>
                    </w:rPr>
                    <w:t>10</w:t>
                  </w:r>
                </w:p>
              </w:tc>
              <w:tc>
                <w:tcPr>
                  <w:tcW w:w="1486" w:type="pct"/>
                  <w:vAlign w:val="center"/>
                </w:tcPr>
                <w:p w14:paraId="2BC2AA8A">
                  <w:pPr>
                    <w:pStyle w:val="38"/>
                  </w:pPr>
                  <w:r>
                    <w:t>年平均</w:t>
                  </w:r>
                </w:p>
              </w:tc>
              <w:tc>
                <w:tcPr>
                  <w:tcW w:w="781" w:type="pct"/>
                  <w:vAlign w:val="center"/>
                </w:tcPr>
                <w:p w14:paraId="566FFF5A">
                  <w:pPr>
                    <w:pStyle w:val="38"/>
                  </w:pPr>
                  <w:r>
                    <w:t>119</w:t>
                  </w:r>
                </w:p>
              </w:tc>
              <w:tc>
                <w:tcPr>
                  <w:tcW w:w="781" w:type="pct"/>
                  <w:vAlign w:val="center"/>
                </w:tcPr>
                <w:p w14:paraId="55ECFC9C">
                  <w:pPr>
                    <w:pStyle w:val="38"/>
                  </w:pPr>
                  <w:r>
                    <w:t>70</w:t>
                  </w:r>
                </w:p>
              </w:tc>
              <w:tc>
                <w:tcPr>
                  <w:tcW w:w="723" w:type="pct"/>
                  <w:vAlign w:val="center"/>
                </w:tcPr>
                <w:p w14:paraId="1BCC1649">
                  <w:pPr>
                    <w:pStyle w:val="38"/>
                  </w:pPr>
                  <w:r>
                    <w:t>170</w:t>
                  </w:r>
                </w:p>
              </w:tc>
              <w:tc>
                <w:tcPr>
                  <w:tcW w:w="528" w:type="pct"/>
                  <w:vAlign w:val="center"/>
                </w:tcPr>
                <w:p w14:paraId="13AF8231">
                  <w:pPr>
                    <w:pStyle w:val="38"/>
                  </w:pPr>
                  <w:r>
                    <w:t>超标</w:t>
                  </w:r>
                </w:p>
              </w:tc>
            </w:tr>
            <w:tr w14:paraId="7EEBE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8" w:type="pct"/>
                  <w:vMerge w:val="continue"/>
                  <w:vAlign w:val="center"/>
                </w:tcPr>
                <w:p w14:paraId="3486CA12">
                  <w:pPr>
                    <w:pStyle w:val="38"/>
                  </w:pPr>
                </w:p>
              </w:tc>
              <w:tc>
                <w:tcPr>
                  <w:tcW w:w="1486" w:type="pct"/>
                  <w:vAlign w:val="center"/>
                </w:tcPr>
                <w:p w14:paraId="5CBEDE9B">
                  <w:pPr>
                    <w:pStyle w:val="38"/>
                  </w:pPr>
                  <w:r>
                    <w:t>第95百分位数日平均</w:t>
                  </w:r>
                </w:p>
              </w:tc>
              <w:tc>
                <w:tcPr>
                  <w:tcW w:w="781" w:type="pct"/>
                  <w:vAlign w:val="center"/>
                </w:tcPr>
                <w:p w14:paraId="5D76A7D7">
                  <w:pPr>
                    <w:pStyle w:val="38"/>
                  </w:pPr>
                  <w:r>
                    <w:t>309</w:t>
                  </w:r>
                </w:p>
              </w:tc>
              <w:tc>
                <w:tcPr>
                  <w:tcW w:w="781" w:type="pct"/>
                  <w:vAlign w:val="center"/>
                </w:tcPr>
                <w:p w14:paraId="35F9CD23">
                  <w:pPr>
                    <w:pStyle w:val="38"/>
                  </w:pPr>
                  <w:r>
                    <w:t>150</w:t>
                  </w:r>
                </w:p>
              </w:tc>
              <w:tc>
                <w:tcPr>
                  <w:tcW w:w="723" w:type="pct"/>
                  <w:vAlign w:val="center"/>
                </w:tcPr>
                <w:p w14:paraId="53DF2B7C">
                  <w:pPr>
                    <w:pStyle w:val="38"/>
                  </w:pPr>
                  <w:r>
                    <w:t>206</w:t>
                  </w:r>
                </w:p>
              </w:tc>
              <w:tc>
                <w:tcPr>
                  <w:tcW w:w="528" w:type="pct"/>
                  <w:vAlign w:val="center"/>
                </w:tcPr>
                <w:p w14:paraId="5E0D2A3F">
                  <w:pPr>
                    <w:pStyle w:val="38"/>
                  </w:pPr>
                  <w:r>
                    <w:t>超标</w:t>
                  </w:r>
                </w:p>
              </w:tc>
            </w:tr>
            <w:tr w14:paraId="7E9B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8" w:type="pct"/>
                  <w:vAlign w:val="center"/>
                </w:tcPr>
                <w:p w14:paraId="6B305659">
                  <w:pPr>
                    <w:pStyle w:val="38"/>
                  </w:pPr>
                  <w:r>
                    <w:t>CO（mg/m</w:t>
                  </w:r>
                  <w:r>
                    <w:rPr>
                      <w:vertAlign w:val="superscript"/>
                    </w:rPr>
                    <w:t>3</w:t>
                  </w:r>
                  <w:r>
                    <w:t>）</w:t>
                  </w:r>
                </w:p>
              </w:tc>
              <w:tc>
                <w:tcPr>
                  <w:tcW w:w="1486" w:type="pct"/>
                  <w:vAlign w:val="center"/>
                </w:tcPr>
                <w:p w14:paraId="2AAC944B">
                  <w:pPr>
                    <w:pStyle w:val="38"/>
                  </w:pPr>
                  <w:r>
                    <w:t>第95百分位数日平均</w:t>
                  </w:r>
                </w:p>
              </w:tc>
              <w:tc>
                <w:tcPr>
                  <w:tcW w:w="781" w:type="pct"/>
                  <w:vAlign w:val="center"/>
                </w:tcPr>
                <w:p w14:paraId="799FCBEA">
                  <w:pPr>
                    <w:pStyle w:val="38"/>
                  </w:pPr>
                  <w:r>
                    <w:t>2.3</w:t>
                  </w:r>
                </w:p>
              </w:tc>
              <w:tc>
                <w:tcPr>
                  <w:tcW w:w="781" w:type="pct"/>
                  <w:vAlign w:val="center"/>
                </w:tcPr>
                <w:p w14:paraId="1F2CC441">
                  <w:pPr>
                    <w:pStyle w:val="38"/>
                  </w:pPr>
                  <w:r>
                    <w:t>4</w:t>
                  </w:r>
                </w:p>
              </w:tc>
              <w:tc>
                <w:tcPr>
                  <w:tcW w:w="723" w:type="pct"/>
                  <w:vAlign w:val="center"/>
                </w:tcPr>
                <w:p w14:paraId="5B34A3BD">
                  <w:pPr>
                    <w:pStyle w:val="38"/>
                  </w:pPr>
                  <w:r>
                    <w:t>57.5</w:t>
                  </w:r>
                </w:p>
              </w:tc>
              <w:tc>
                <w:tcPr>
                  <w:tcW w:w="528" w:type="pct"/>
                  <w:vAlign w:val="center"/>
                </w:tcPr>
                <w:p w14:paraId="23B75E1C">
                  <w:pPr>
                    <w:pStyle w:val="38"/>
                  </w:pPr>
                  <w:r>
                    <w:t>达标</w:t>
                  </w:r>
                </w:p>
              </w:tc>
            </w:tr>
            <w:tr w14:paraId="78DF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8" w:type="pct"/>
                  <w:vAlign w:val="center"/>
                </w:tcPr>
                <w:p w14:paraId="70210B5F">
                  <w:pPr>
                    <w:pStyle w:val="38"/>
                  </w:pPr>
                  <w:r>
                    <w:t>O</w:t>
                  </w:r>
                  <w:r>
                    <w:rPr>
                      <w:vertAlign w:val="subscript"/>
                    </w:rPr>
                    <w:t>3</w:t>
                  </w:r>
                </w:p>
              </w:tc>
              <w:tc>
                <w:tcPr>
                  <w:tcW w:w="1486" w:type="pct"/>
                  <w:vAlign w:val="center"/>
                </w:tcPr>
                <w:p w14:paraId="4BBCE50F">
                  <w:pPr>
                    <w:pStyle w:val="38"/>
                  </w:pPr>
                  <w:r>
                    <w:t>第90百分位数日最大8小时评价</w:t>
                  </w:r>
                </w:p>
              </w:tc>
              <w:tc>
                <w:tcPr>
                  <w:tcW w:w="781" w:type="pct"/>
                  <w:vAlign w:val="center"/>
                </w:tcPr>
                <w:p w14:paraId="5CCD05AC">
                  <w:pPr>
                    <w:pStyle w:val="38"/>
                  </w:pPr>
                  <w:r>
                    <w:t>113</w:t>
                  </w:r>
                </w:p>
              </w:tc>
              <w:tc>
                <w:tcPr>
                  <w:tcW w:w="781" w:type="pct"/>
                  <w:vAlign w:val="center"/>
                </w:tcPr>
                <w:p w14:paraId="2131479F">
                  <w:pPr>
                    <w:pStyle w:val="38"/>
                  </w:pPr>
                  <w:r>
                    <w:t>160</w:t>
                  </w:r>
                </w:p>
              </w:tc>
              <w:tc>
                <w:tcPr>
                  <w:tcW w:w="723" w:type="pct"/>
                  <w:vAlign w:val="center"/>
                </w:tcPr>
                <w:p w14:paraId="5322723B">
                  <w:pPr>
                    <w:pStyle w:val="38"/>
                  </w:pPr>
                  <w:r>
                    <w:t>70.6</w:t>
                  </w:r>
                </w:p>
              </w:tc>
              <w:tc>
                <w:tcPr>
                  <w:tcW w:w="528" w:type="pct"/>
                  <w:vAlign w:val="center"/>
                </w:tcPr>
                <w:p w14:paraId="055ABD0C">
                  <w:pPr>
                    <w:pStyle w:val="38"/>
                  </w:pPr>
                  <w:r>
                    <w:t>达标</w:t>
                  </w:r>
                </w:p>
              </w:tc>
            </w:tr>
            <w:bookmarkEnd w:id="3"/>
          </w:tbl>
          <w:p w14:paraId="5701DC04">
            <w:pPr>
              <w:ind w:firstLine="480"/>
            </w:pPr>
            <w:r>
              <w:t>从上表的分析结果可知，区域SO</w:t>
            </w:r>
            <w:r>
              <w:rPr>
                <w:vertAlign w:val="subscript"/>
              </w:rPr>
              <w:t>2</w:t>
            </w:r>
            <w:r>
              <w:t>、NO</w:t>
            </w:r>
            <w:r>
              <w:rPr>
                <w:vertAlign w:val="subscript"/>
              </w:rPr>
              <w:t>2</w:t>
            </w:r>
            <w:r>
              <w:t>年平均和百分位数日均浓度、CO第95百分位数日平均</w:t>
            </w:r>
            <w:r>
              <w:rPr>
                <w:rFonts w:hint="eastAsia"/>
              </w:rPr>
              <w:t>、</w:t>
            </w:r>
            <w:r>
              <w:rPr>
                <w:kern w:val="0"/>
              </w:rPr>
              <w:t>PM</w:t>
            </w:r>
            <w:r>
              <w:rPr>
                <w:kern w:val="0"/>
                <w:vertAlign w:val="subscript"/>
              </w:rPr>
              <w:t>2.5</w:t>
            </w:r>
            <w:r>
              <w:rPr>
                <w:kern w:val="0"/>
              </w:rPr>
              <w:t>年平均</w:t>
            </w:r>
            <w:r>
              <w:rPr>
                <w:rFonts w:hint="eastAsia"/>
                <w:kern w:val="0"/>
              </w:rPr>
              <w:t>浓度</w:t>
            </w:r>
            <w:r>
              <w:t>及O</w:t>
            </w:r>
            <w:r>
              <w:rPr>
                <w:vertAlign w:val="subscript"/>
              </w:rPr>
              <w:t>3</w:t>
            </w:r>
            <w:r>
              <w:t>第90百分位数日平均浓度均满足《环境空气质量标准》（GB3095—2012）及修改单中的二级标准要求；</w:t>
            </w:r>
            <w:r>
              <w:rPr>
                <w:kern w:val="0"/>
              </w:rPr>
              <w:t>PM</w:t>
            </w:r>
            <w:r>
              <w:rPr>
                <w:kern w:val="0"/>
                <w:vertAlign w:val="subscript"/>
              </w:rPr>
              <w:t>2.5</w:t>
            </w:r>
            <w:r>
              <w:t>第95百分位数日平均</w:t>
            </w:r>
            <w:r>
              <w:rPr>
                <w:rFonts w:hint="eastAsia"/>
              </w:rPr>
              <w:t>、</w:t>
            </w:r>
            <w:r>
              <w:t>PM</w:t>
            </w:r>
            <w:r>
              <w:rPr>
                <w:vertAlign w:val="subscript"/>
              </w:rPr>
              <w:t>10</w:t>
            </w:r>
            <w:r>
              <w:t>的第95百分位数日平均、年平均浓度均超过《环境空气质量标准》（GB3095—2012）及修改单中二级标准要求，区域为不达标区域。导致PM</w:t>
            </w:r>
            <w:r>
              <w:rPr>
                <w:vertAlign w:val="subscript"/>
              </w:rPr>
              <w:t>10</w:t>
            </w:r>
            <w:r>
              <w:t>与PM</w:t>
            </w:r>
            <w:r>
              <w:rPr>
                <w:vertAlign w:val="subscript"/>
              </w:rPr>
              <w:t>2.5</w:t>
            </w:r>
            <w:r>
              <w:t>超标的主要原因是项目区域地处干旱沙漠边缘有关，受自然因素的影响比较明显。</w:t>
            </w:r>
          </w:p>
          <w:p w14:paraId="4D6C8981">
            <w:pPr>
              <w:ind w:firstLine="482"/>
              <w:rPr>
                <w:b/>
                <w:color w:val="000000"/>
                <w:kern w:val="0"/>
              </w:rPr>
            </w:pPr>
            <w:r>
              <w:rPr>
                <w:b/>
                <w:color w:val="000000"/>
                <w:kern w:val="0"/>
              </w:rPr>
              <w:t>4.</w:t>
            </w:r>
            <w:r>
              <w:rPr>
                <w:rFonts w:hint="eastAsia"/>
                <w:b/>
                <w:color w:val="000000"/>
                <w:kern w:val="0"/>
              </w:rPr>
              <w:t>声环境质量现状</w:t>
            </w:r>
          </w:p>
          <w:p w14:paraId="2178B1A5">
            <w:pPr>
              <w:tabs>
                <w:tab w:val="left" w:pos="7170"/>
              </w:tabs>
              <w:snapToGrid w:val="0"/>
              <w:ind w:firstLine="480"/>
            </w:pPr>
            <w:r>
              <w:t>根据《</w:t>
            </w:r>
            <w:r>
              <w:rPr>
                <w:rFonts w:ascii="Segoe UI" w:hAnsi="Segoe UI" w:eastAsia="Segoe UI" w:cs="Segoe UI"/>
                <w:shd w:val="clear" w:color="auto" w:fill="FFFFFF"/>
              </w:rPr>
              <w:t>环境影响评价技术导则声环境</w:t>
            </w:r>
            <w:r>
              <w:t>》（GB/T15190-2014），本项目属于声环境功能区2类区域，声环境执行《声环境质量标准》（GB3096-2008）的2类声环境功能限值。</w:t>
            </w:r>
          </w:p>
          <w:p w14:paraId="6BC59B3F">
            <w:pPr>
              <w:tabs>
                <w:tab w:val="left" w:pos="7170"/>
              </w:tabs>
              <w:snapToGrid w:val="0"/>
              <w:ind w:firstLine="480"/>
            </w:pPr>
            <w:r>
              <w:rPr>
                <w:rFonts w:hint="eastAsia"/>
              </w:rPr>
              <w:t>项目厂界外周边5</w:t>
            </w:r>
            <w:r>
              <w:t>0</w:t>
            </w:r>
            <w:r>
              <w:rPr>
                <w:rFonts w:hint="eastAsia"/>
              </w:rPr>
              <w:t>米范围内不存在声环境保护目标，因此对项目不进行声环境监测。</w:t>
            </w:r>
          </w:p>
          <w:p w14:paraId="5FEB761E">
            <w:pPr>
              <w:ind w:firstLine="482"/>
              <w:rPr>
                <w:b/>
                <w:color w:val="000000"/>
                <w:kern w:val="0"/>
              </w:rPr>
            </w:pPr>
            <w:bookmarkStart w:id="4" w:name="_Toc29722417"/>
            <w:bookmarkStart w:id="5" w:name="_Toc240865444"/>
            <w:r>
              <w:rPr>
                <w:b/>
                <w:color w:val="000000"/>
                <w:kern w:val="0"/>
              </w:rPr>
              <w:t>5.</w:t>
            </w:r>
            <w:r>
              <w:rPr>
                <w:rFonts w:hint="eastAsia"/>
                <w:b/>
                <w:color w:val="000000"/>
                <w:kern w:val="0"/>
              </w:rPr>
              <w:t>地表水环境质量现状</w:t>
            </w:r>
            <w:bookmarkEnd w:id="4"/>
          </w:p>
          <w:bookmarkEnd w:id="5"/>
          <w:p w14:paraId="713E7CB6">
            <w:pPr>
              <w:tabs>
                <w:tab w:val="left" w:pos="7170"/>
              </w:tabs>
              <w:snapToGrid w:val="0"/>
              <w:ind w:firstLine="480"/>
              <w:rPr>
                <w:color w:val="000000"/>
              </w:rPr>
            </w:pPr>
            <w:r>
              <w:rPr>
                <w:color w:val="000000"/>
              </w:rPr>
              <w:t>根据《202</w:t>
            </w:r>
            <w:r>
              <w:rPr>
                <w:rFonts w:hint="eastAsia"/>
                <w:color w:val="000000"/>
              </w:rPr>
              <w:t>4</w:t>
            </w:r>
            <w:r>
              <w:rPr>
                <w:color w:val="000000"/>
              </w:rPr>
              <w:t>巴音郭楞蒙古自治州生态环境状况公报》，</w:t>
            </w:r>
            <w:r>
              <w:rPr>
                <w:rFonts w:hint="eastAsia"/>
                <w:color w:val="000000"/>
              </w:rPr>
              <w:t>全州地表水监测的31个考核断面(点位)中，I~Ⅲ类优良水质断面(点位)占比90.3%，无IV类水质。6条主要河流19个监测断面中I~Ⅲ类优良水质断面占100%，3个重要湖泊(水库)12个监测点位中I~Ⅲ类优良水质断面占75%，无V类水体，湖泊水质影响因子为化学需氧量。</w:t>
            </w:r>
          </w:p>
          <w:p w14:paraId="3A93781C">
            <w:pPr>
              <w:ind w:firstLine="480"/>
              <w:rPr>
                <w:rFonts w:hint="eastAsia" w:eastAsia="宋体"/>
                <w:lang w:val="en-US" w:eastAsia="zh-CN"/>
              </w:rPr>
            </w:pPr>
            <w:r>
              <w:rPr>
                <w:rFonts w:hint="eastAsia"/>
                <w:bCs/>
                <w:color w:val="000000"/>
                <w:kern w:val="0"/>
              </w:rPr>
              <w:t>距离本项目最近水体为</w:t>
            </w:r>
            <w:r>
              <w:rPr>
                <w:rFonts w:hint="eastAsia"/>
                <w:lang w:eastAsia="zh-CN"/>
              </w:rPr>
              <w:t>萨很托亥河，</w:t>
            </w:r>
            <w:r>
              <w:rPr>
                <w:rFonts w:hint="eastAsia"/>
                <w:lang w:val="en-US" w:eastAsia="zh-CN"/>
              </w:rPr>
              <w:t>穿越工作区</w:t>
            </w:r>
            <w:r>
              <w:rPr>
                <w:rFonts w:hint="eastAsia"/>
                <w:bCs/>
                <w:color w:val="000000"/>
                <w:kern w:val="0"/>
              </w:rPr>
              <w:t>。</w:t>
            </w:r>
            <w:r>
              <w:rPr>
                <w:rFonts w:hint="eastAsia"/>
                <w:lang w:val="en-US" w:eastAsia="zh-CN"/>
              </w:rPr>
              <w:t>依据</w:t>
            </w:r>
            <w:r>
              <w:rPr>
                <w:rFonts w:hint="eastAsia"/>
              </w:rPr>
              <w:t>《新疆水环境功能区划》，</w:t>
            </w:r>
            <w:r>
              <w:rPr>
                <w:rFonts w:hint="eastAsia"/>
                <w:lang w:eastAsia="zh-CN"/>
              </w:rPr>
              <w:t>萨很托亥</w:t>
            </w:r>
            <w:r>
              <w:rPr>
                <w:rFonts w:hint="eastAsia"/>
                <w:lang w:val="en-US" w:eastAsia="zh-CN"/>
              </w:rPr>
              <w:t>为开都河上流区域，参与上游径流的汇集。全河段</w:t>
            </w:r>
            <w:r>
              <w:t>为</w:t>
            </w:r>
            <w:r>
              <w:rPr>
                <w:rFonts w:hint="eastAsia"/>
                <w:lang w:val="en-US" w:eastAsia="zh-CN"/>
              </w:rPr>
              <w:t>塔里木内流区，水质类别为</w:t>
            </w:r>
            <w:r>
              <w:t>Ⅰ类水</w:t>
            </w:r>
            <w:r>
              <w:rPr>
                <w:rFonts w:hint="eastAsia"/>
              </w:rPr>
              <w:t>体。</w:t>
            </w:r>
            <w:r>
              <w:rPr>
                <w:rFonts w:hint="eastAsia"/>
                <w:lang w:eastAsia="zh-CN"/>
              </w:rPr>
              <w:t>萨很托亥</w:t>
            </w:r>
            <w:r>
              <w:rPr>
                <w:rFonts w:hint="eastAsia"/>
                <w:lang w:val="en-US" w:eastAsia="zh-CN"/>
              </w:rPr>
              <w:t>河水生生物类型涉及多种特有鱼类，如：</w:t>
            </w:r>
            <w:r>
              <w:rPr>
                <w:rFonts w:ascii="Segoe UI" w:hAnsi="Segoe UI" w:eastAsia="Segoe UI" w:cs="Segoe UI"/>
                <w:i w:val="0"/>
                <w:iCs w:val="0"/>
                <w:caps w:val="0"/>
                <w:spacing w:val="0"/>
                <w:sz w:val="24"/>
                <w:szCs w:val="24"/>
                <w:shd w:val="clear" w:fill="FFFFFF"/>
              </w:rPr>
              <w:t>塔里木裂腹鱼</w:t>
            </w:r>
            <w:r>
              <w:rPr>
                <w:rFonts w:hint="eastAsia" w:ascii="Segoe UI" w:hAnsi="Segoe UI" w:eastAsia="宋体" w:cs="Segoe UI"/>
                <w:i w:val="0"/>
                <w:iCs w:val="0"/>
                <w:caps w:val="0"/>
                <w:spacing w:val="0"/>
                <w:sz w:val="24"/>
                <w:szCs w:val="24"/>
                <w:shd w:val="clear" w:fill="FFFFFF"/>
                <w:lang w:eastAsia="zh-CN"/>
              </w:rPr>
              <w:t>、</w:t>
            </w:r>
            <w:r>
              <w:rPr>
                <w:rFonts w:ascii="Segoe UI" w:hAnsi="Segoe UI" w:eastAsia="Segoe UI" w:cs="Segoe UI"/>
                <w:i w:val="0"/>
                <w:iCs w:val="0"/>
                <w:caps w:val="0"/>
                <w:spacing w:val="0"/>
                <w:sz w:val="24"/>
                <w:szCs w:val="24"/>
                <w:shd w:val="clear" w:fill="FFFFFF"/>
              </w:rPr>
              <w:t>扁吻鱼</w:t>
            </w:r>
            <w:r>
              <w:rPr>
                <w:rFonts w:hint="eastAsia" w:ascii="Segoe UI" w:hAnsi="Segoe UI" w:eastAsia="宋体" w:cs="Segoe UI"/>
                <w:i w:val="0"/>
                <w:iCs w:val="0"/>
                <w:caps w:val="0"/>
                <w:spacing w:val="0"/>
                <w:sz w:val="24"/>
                <w:szCs w:val="24"/>
                <w:shd w:val="clear" w:fill="FFFFFF"/>
                <w:lang w:eastAsia="zh-CN"/>
              </w:rPr>
              <w:t>、新疆裸重唇鱼、</w:t>
            </w:r>
            <w:r>
              <w:rPr>
                <w:rFonts w:ascii="Segoe UI" w:hAnsi="Segoe UI" w:eastAsia="Segoe UI" w:cs="Segoe UI"/>
                <w:i w:val="0"/>
                <w:iCs w:val="0"/>
                <w:caps w:val="0"/>
                <w:spacing w:val="0"/>
                <w:sz w:val="24"/>
                <w:szCs w:val="24"/>
                <w:shd w:val="clear" w:fill="FFFFFF"/>
              </w:rPr>
              <w:t>叶尔羌高原鳅</w:t>
            </w:r>
            <w:r>
              <w:rPr>
                <w:rFonts w:hint="eastAsia" w:ascii="Segoe UI" w:hAnsi="Segoe UI" w:eastAsia="宋体" w:cs="Segoe UI"/>
                <w:i w:val="0"/>
                <w:iCs w:val="0"/>
                <w:caps w:val="0"/>
                <w:spacing w:val="0"/>
                <w:sz w:val="24"/>
                <w:szCs w:val="24"/>
                <w:shd w:val="clear" w:fill="FFFFFF"/>
                <w:lang w:val="en-US" w:eastAsia="zh-CN"/>
              </w:rPr>
              <w:t>等，均属于</w:t>
            </w:r>
            <w:r>
              <w:rPr>
                <w:rFonts w:ascii="Segoe UI" w:hAnsi="Segoe UI" w:eastAsia="Segoe UI" w:cs="Segoe UI"/>
                <w:i w:val="0"/>
                <w:iCs w:val="0"/>
                <w:caps w:val="0"/>
                <w:spacing w:val="0"/>
                <w:sz w:val="24"/>
                <w:szCs w:val="24"/>
                <w:shd w:val="clear" w:fill="FFFFFF"/>
              </w:rPr>
              <w:t>《新疆维吾尔自治区重点保护野生动物名录》收录的特有鱼类</w:t>
            </w:r>
            <w:r>
              <w:rPr>
                <w:rFonts w:hint="eastAsia" w:ascii="Segoe UI" w:hAnsi="Segoe UI" w:eastAsia="宋体" w:cs="Segoe UI"/>
                <w:i w:val="0"/>
                <w:iCs w:val="0"/>
                <w:caps w:val="0"/>
                <w:spacing w:val="0"/>
                <w:sz w:val="24"/>
                <w:szCs w:val="24"/>
                <w:shd w:val="clear" w:fill="FFFFFF"/>
                <w:lang w:eastAsia="zh-CN"/>
              </w:rPr>
              <w:t>。</w:t>
            </w:r>
          </w:p>
          <w:p w14:paraId="524F4365">
            <w:pPr>
              <w:ind w:firstLine="480"/>
              <w:rPr>
                <w:rFonts w:hint="default" w:ascii="Times New Roman" w:hAnsi="Times New Roman" w:eastAsia="宋体" w:cs="Times New Roman"/>
                <w:snapToGrid/>
                <w:color w:val="auto"/>
                <w:kern w:val="2"/>
                <w:sz w:val="24"/>
                <w:szCs w:val="24"/>
                <w:highlight w:val="none"/>
                <w:lang w:val="en-US" w:eastAsia="zh-CN" w:bidi="ar"/>
              </w:rPr>
            </w:pPr>
            <w:r>
              <w:rPr>
                <w:rFonts w:hint="eastAsia"/>
              </w:rPr>
              <w:t>为掌握</w:t>
            </w:r>
            <w:r>
              <w:rPr>
                <w:rFonts w:hint="eastAsia"/>
                <w:lang w:eastAsia="zh-CN"/>
              </w:rPr>
              <w:t>新疆和静县冰湖南—萨阿尔明山南西区—浩恩吐尔一带金矿勘探项目</w:t>
            </w:r>
            <w:r>
              <w:rPr>
                <w:rFonts w:hint="eastAsia"/>
              </w:rPr>
              <w:t>勘探范围内及周边地表水体水质本底状况，本次环评参照《</w:t>
            </w:r>
            <w:r>
              <w:rPr>
                <w:rFonts w:hint="default" w:ascii="Times New Roman" w:hAnsi="Times New Roman" w:cs="Times New Roman"/>
              </w:rPr>
              <w:t>环境影响评价技术导则地表水环境》（HJ2.3-2018），对</w:t>
            </w:r>
            <w:r>
              <w:rPr>
                <w:rFonts w:hint="eastAsia"/>
                <w:lang w:eastAsia="zh-CN"/>
              </w:rPr>
              <w:t>萨很托亥河</w:t>
            </w:r>
            <w:r>
              <w:rPr>
                <w:rFonts w:hint="default" w:ascii="Times New Roman" w:hAnsi="Times New Roman" w:cs="Times New Roman"/>
              </w:rPr>
              <w:t>开展了现状监测与质量评价，</w:t>
            </w:r>
            <w:r>
              <w:rPr>
                <w:rFonts w:hint="default" w:ascii="Times New Roman" w:hAnsi="Times New Roman" w:eastAsia="宋体" w:cs="Times New Roman"/>
                <w:snapToGrid/>
                <w:color w:val="auto"/>
                <w:kern w:val="2"/>
                <w:sz w:val="24"/>
                <w:szCs w:val="24"/>
                <w:highlight w:val="none"/>
                <w:lang w:val="en-US" w:eastAsia="zh-CN" w:bidi="ar"/>
              </w:rPr>
              <w:t>采样时间为202</w:t>
            </w:r>
            <w:r>
              <w:rPr>
                <w:rFonts w:hint="eastAsia" w:ascii="Times New Roman" w:hAnsi="Times New Roman" w:eastAsia="宋体" w:cs="Times New Roman"/>
                <w:snapToGrid/>
                <w:color w:val="auto"/>
                <w:kern w:val="2"/>
                <w:sz w:val="24"/>
                <w:szCs w:val="24"/>
                <w:highlight w:val="none"/>
                <w:lang w:val="en-US" w:eastAsia="zh-CN" w:bidi="ar"/>
              </w:rPr>
              <w:t>5</w:t>
            </w:r>
            <w:r>
              <w:rPr>
                <w:rFonts w:hint="default" w:ascii="Times New Roman" w:hAnsi="Times New Roman" w:eastAsia="宋体" w:cs="Times New Roman"/>
                <w:snapToGrid/>
                <w:color w:val="auto"/>
                <w:kern w:val="2"/>
                <w:sz w:val="24"/>
                <w:szCs w:val="24"/>
                <w:highlight w:val="none"/>
                <w:lang w:val="en-US" w:eastAsia="zh-CN" w:bidi="ar"/>
              </w:rPr>
              <w:t>年</w:t>
            </w:r>
            <w:r>
              <w:rPr>
                <w:rFonts w:hint="eastAsia" w:ascii="Times New Roman" w:hAnsi="Times New Roman" w:eastAsia="宋体" w:cs="Times New Roman"/>
                <w:snapToGrid/>
                <w:color w:val="auto"/>
                <w:kern w:val="2"/>
                <w:sz w:val="24"/>
                <w:szCs w:val="24"/>
                <w:highlight w:val="none"/>
                <w:lang w:val="en-US" w:eastAsia="zh-CN" w:bidi="ar"/>
              </w:rPr>
              <w:t>8</w:t>
            </w:r>
            <w:r>
              <w:rPr>
                <w:rFonts w:hint="default" w:ascii="Times New Roman" w:hAnsi="Times New Roman" w:eastAsia="宋体" w:cs="Times New Roman"/>
                <w:snapToGrid/>
                <w:color w:val="auto"/>
                <w:kern w:val="2"/>
                <w:sz w:val="24"/>
                <w:szCs w:val="24"/>
                <w:highlight w:val="none"/>
                <w:lang w:val="en-US" w:eastAsia="zh-CN" w:bidi="ar"/>
              </w:rPr>
              <w:t>月</w:t>
            </w:r>
            <w:r>
              <w:rPr>
                <w:rFonts w:hint="eastAsia" w:ascii="Times New Roman" w:hAnsi="Times New Roman" w:eastAsia="宋体" w:cs="Times New Roman"/>
                <w:snapToGrid/>
                <w:color w:val="auto"/>
                <w:kern w:val="2"/>
                <w:sz w:val="24"/>
                <w:szCs w:val="24"/>
                <w:highlight w:val="none"/>
                <w:lang w:val="en-US" w:eastAsia="zh-CN" w:bidi="ar"/>
              </w:rPr>
              <w:t>28</w:t>
            </w:r>
            <w:r>
              <w:rPr>
                <w:rFonts w:hint="default" w:ascii="Times New Roman" w:hAnsi="Times New Roman" w:eastAsia="宋体" w:cs="Times New Roman"/>
                <w:snapToGrid/>
                <w:color w:val="auto"/>
                <w:kern w:val="2"/>
                <w:sz w:val="24"/>
                <w:szCs w:val="24"/>
                <w:highlight w:val="none"/>
                <w:lang w:val="en-US" w:eastAsia="zh-CN" w:bidi="ar"/>
              </w:rPr>
              <w:t>日，分析日期为202</w:t>
            </w:r>
            <w:r>
              <w:rPr>
                <w:rFonts w:hint="eastAsia" w:ascii="Times New Roman" w:hAnsi="Times New Roman" w:eastAsia="宋体" w:cs="Times New Roman"/>
                <w:snapToGrid/>
                <w:color w:val="auto"/>
                <w:kern w:val="2"/>
                <w:sz w:val="24"/>
                <w:szCs w:val="24"/>
                <w:highlight w:val="none"/>
                <w:lang w:val="en-US" w:eastAsia="zh-CN" w:bidi="ar"/>
              </w:rPr>
              <w:t>5</w:t>
            </w:r>
            <w:r>
              <w:rPr>
                <w:rFonts w:hint="default" w:ascii="Times New Roman" w:hAnsi="Times New Roman" w:eastAsia="宋体" w:cs="Times New Roman"/>
                <w:snapToGrid/>
                <w:color w:val="auto"/>
                <w:kern w:val="2"/>
                <w:sz w:val="24"/>
                <w:szCs w:val="24"/>
                <w:highlight w:val="none"/>
                <w:lang w:val="en-US" w:eastAsia="zh-CN" w:bidi="ar"/>
              </w:rPr>
              <w:t>年</w:t>
            </w:r>
            <w:r>
              <w:rPr>
                <w:rFonts w:hint="eastAsia" w:ascii="Times New Roman" w:hAnsi="Times New Roman" w:eastAsia="宋体" w:cs="Times New Roman"/>
                <w:snapToGrid/>
                <w:color w:val="auto"/>
                <w:kern w:val="2"/>
                <w:sz w:val="24"/>
                <w:szCs w:val="24"/>
                <w:highlight w:val="none"/>
                <w:lang w:val="en-US" w:eastAsia="zh-CN" w:bidi="ar"/>
              </w:rPr>
              <w:t>8</w:t>
            </w:r>
            <w:r>
              <w:rPr>
                <w:rFonts w:hint="default" w:ascii="Times New Roman" w:hAnsi="Times New Roman" w:eastAsia="宋体" w:cs="Times New Roman"/>
                <w:snapToGrid/>
                <w:color w:val="auto"/>
                <w:kern w:val="2"/>
                <w:sz w:val="24"/>
                <w:szCs w:val="24"/>
                <w:highlight w:val="none"/>
                <w:lang w:val="en-US" w:eastAsia="zh-CN" w:bidi="ar"/>
              </w:rPr>
              <w:t>月</w:t>
            </w:r>
            <w:r>
              <w:rPr>
                <w:rFonts w:hint="eastAsia" w:ascii="Times New Roman" w:hAnsi="Times New Roman" w:eastAsia="宋体" w:cs="Times New Roman"/>
                <w:snapToGrid/>
                <w:color w:val="auto"/>
                <w:kern w:val="2"/>
                <w:sz w:val="24"/>
                <w:szCs w:val="24"/>
                <w:highlight w:val="none"/>
                <w:lang w:val="en-US" w:eastAsia="zh-CN" w:bidi="ar"/>
              </w:rPr>
              <w:t>29</w:t>
            </w:r>
            <w:r>
              <w:rPr>
                <w:rFonts w:hint="default" w:ascii="Times New Roman" w:hAnsi="Times New Roman" w:eastAsia="宋体" w:cs="Times New Roman"/>
                <w:snapToGrid/>
                <w:color w:val="auto"/>
                <w:kern w:val="2"/>
                <w:sz w:val="24"/>
                <w:szCs w:val="24"/>
                <w:highlight w:val="none"/>
                <w:lang w:val="en-US" w:eastAsia="zh-CN" w:bidi="ar"/>
              </w:rPr>
              <w:t>日-</w:t>
            </w:r>
            <w:r>
              <w:rPr>
                <w:rFonts w:hint="eastAsia" w:ascii="Times New Roman" w:hAnsi="Times New Roman" w:eastAsia="宋体" w:cs="Times New Roman"/>
                <w:snapToGrid/>
                <w:color w:val="auto"/>
                <w:kern w:val="2"/>
                <w:sz w:val="24"/>
                <w:szCs w:val="24"/>
                <w:highlight w:val="none"/>
                <w:lang w:val="en-US" w:eastAsia="zh-CN" w:bidi="ar"/>
              </w:rPr>
              <w:t>9</w:t>
            </w:r>
            <w:r>
              <w:rPr>
                <w:rFonts w:hint="default" w:ascii="Times New Roman" w:hAnsi="Times New Roman" w:eastAsia="宋体" w:cs="Times New Roman"/>
                <w:snapToGrid/>
                <w:color w:val="auto"/>
                <w:kern w:val="2"/>
                <w:sz w:val="24"/>
                <w:szCs w:val="24"/>
                <w:highlight w:val="none"/>
                <w:lang w:val="en-US" w:eastAsia="zh-CN" w:bidi="ar"/>
              </w:rPr>
              <w:t>月</w:t>
            </w:r>
            <w:r>
              <w:rPr>
                <w:rFonts w:hint="eastAsia" w:ascii="Times New Roman" w:hAnsi="Times New Roman" w:eastAsia="宋体" w:cs="Times New Roman"/>
                <w:snapToGrid/>
                <w:color w:val="auto"/>
                <w:kern w:val="2"/>
                <w:sz w:val="24"/>
                <w:szCs w:val="24"/>
                <w:highlight w:val="none"/>
                <w:lang w:val="en-US" w:eastAsia="zh-CN" w:bidi="ar"/>
              </w:rPr>
              <w:t>3</w:t>
            </w:r>
            <w:r>
              <w:rPr>
                <w:rFonts w:hint="default" w:ascii="Times New Roman" w:hAnsi="Times New Roman" w:eastAsia="宋体" w:cs="Times New Roman"/>
                <w:snapToGrid/>
                <w:color w:val="auto"/>
                <w:kern w:val="2"/>
                <w:sz w:val="24"/>
                <w:szCs w:val="24"/>
                <w:highlight w:val="none"/>
                <w:lang w:val="en-US" w:eastAsia="zh-CN" w:bidi="ar"/>
              </w:rPr>
              <w:t>日。</w:t>
            </w:r>
            <w:r>
              <w:rPr>
                <w:rFonts w:hint="eastAsia" w:ascii="Times New Roman" w:hAnsi="Times New Roman" w:eastAsia="宋体" w:cs="Times New Roman"/>
                <w:snapToGrid/>
                <w:color w:val="auto"/>
                <w:kern w:val="2"/>
                <w:sz w:val="24"/>
                <w:szCs w:val="24"/>
                <w:highlight w:val="none"/>
                <w:lang w:val="en-US" w:eastAsia="zh-CN" w:bidi="ar"/>
              </w:rPr>
              <w:t>详见《附件4水质检测报告》。</w:t>
            </w:r>
          </w:p>
          <w:p w14:paraId="44C22D67">
            <w:pPr>
              <w:numPr>
                <w:ilvl w:val="0"/>
                <w:numId w:val="0"/>
              </w:numPr>
              <w:ind w:firstLine="480" w:firstLineChars="200"/>
              <w:rPr>
                <w:rFonts w:hint="default" w:ascii="Times New Roman" w:hAnsi="Times New Roman" w:eastAsia="宋体" w:cs="Times New Roman"/>
                <w:snapToGrid/>
                <w:color w:val="auto"/>
                <w:kern w:val="2"/>
                <w:sz w:val="24"/>
                <w:szCs w:val="24"/>
                <w:highlight w:val="none"/>
                <w:lang w:val="en-US" w:eastAsia="zh-CN" w:bidi="ar"/>
              </w:rPr>
            </w:pPr>
            <w:r>
              <w:rPr>
                <w:rFonts w:hint="default" w:ascii="Times New Roman" w:hAnsi="Times New Roman" w:eastAsia="宋体" w:cs="Times New Roman"/>
                <w:snapToGrid/>
                <w:color w:val="auto"/>
                <w:kern w:val="2"/>
                <w:sz w:val="24"/>
                <w:szCs w:val="24"/>
                <w:lang w:val="en-US" w:eastAsia="zh-CN" w:bidi="ar"/>
              </w:rPr>
              <w:t>（1）</w:t>
            </w:r>
            <w:r>
              <w:rPr>
                <w:rFonts w:hint="default" w:ascii="Times New Roman" w:hAnsi="Times New Roman" w:eastAsia="宋体" w:cs="Times New Roman"/>
                <w:snapToGrid/>
                <w:color w:val="auto"/>
                <w:kern w:val="2"/>
                <w:sz w:val="24"/>
                <w:szCs w:val="24"/>
                <w:highlight w:val="none"/>
                <w:lang w:val="en-US" w:eastAsia="zh-CN" w:bidi="ar"/>
              </w:rPr>
              <w:t>监测项目</w:t>
            </w:r>
          </w:p>
          <w:p w14:paraId="46909572">
            <w:pPr>
              <w:numPr>
                <w:ilvl w:val="0"/>
                <w:numId w:val="0"/>
              </w:numPr>
              <w:ind w:firstLine="480" w:firstLineChars="200"/>
              <w:rPr>
                <w:rFonts w:hint="default" w:ascii="Times New Roman" w:hAnsi="Times New Roman" w:eastAsia="宋体" w:cs="Times New Roman"/>
                <w:snapToGrid/>
                <w:color w:val="auto"/>
                <w:kern w:val="2"/>
                <w:sz w:val="24"/>
                <w:szCs w:val="24"/>
                <w:highlight w:val="none"/>
                <w:lang w:val="en-US" w:eastAsia="zh-CN" w:bidi="ar-SA"/>
              </w:rPr>
            </w:pPr>
            <w:r>
              <w:rPr>
                <w:rFonts w:hint="default" w:ascii="Times New Roman" w:hAnsi="Times New Roman" w:eastAsia="宋体" w:cs="Times New Roman"/>
                <w:snapToGrid/>
                <w:color w:val="auto"/>
                <w:kern w:val="2"/>
                <w:sz w:val="24"/>
                <w:szCs w:val="24"/>
                <w:highlight w:val="none"/>
                <w:lang w:val="en-US" w:eastAsia="zh-CN" w:bidi="ar"/>
              </w:rPr>
              <w:t>包括</w:t>
            </w:r>
            <w:r>
              <w:rPr>
                <w:rFonts w:hint="default" w:ascii="Times New Roman" w:hAnsi="Times New Roman" w:eastAsia="宋体" w:cs="Times New Roman"/>
                <w:snapToGrid/>
                <w:color w:val="auto"/>
                <w:kern w:val="2"/>
                <w:sz w:val="24"/>
                <w:szCs w:val="24"/>
                <w:highlight w:val="none"/>
                <w:lang w:val="en-US" w:eastAsia="zh-CN" w:bidi="ar-SA"/>
              </w:rPr>
              <w:t>pH、溶解氧、悬浮物、化学需氧量（COD）、高锰酸钾指数、五日生化需氧量（BOD5）等反映有机物污染程度的指标，以及氨（以N计）、总磷（以P计）、总氮（以N计）等营养盐指标，同时包含铜、锌、氟化物（以F⁻计）、硒、砷、汞、镉、铬（六价）、铅等重金属和有毒有害物质指标，另外还有氰化物、挥发酚、石油类、阴离子表面活性剂、硫化物等污染物质指标，以及粪大肠菌群</w:t>
            </w:r>
            <w:r>
              <w:rPr>
                <w:rFonts w:hint="eastAsia" w:ascii="Times New Roman" w:hAnsi="Times New Roman" w:eastAsia="宋体" w:cs="Times New Roman"/>
                <w:snapToGrid/>
                <w:color w:val="auto"/>
                <w:kern w:val="2"/>
                <w:sz w:val="24"/>
                <w:szCs w:val="24"/>
                <w:highlight w:val="none"/>
                <w:lang w:val="en-US" w:eastAsia="zh-CN" w:bidi="ar-SA"/>
              </w:rPr>
              <w:t>等</w:t>
            </w:r>
            <w:r>
              <w:rPr>
                <w:rFonts w:hint="default" w:ascii="Times New Roman" w:hAnsi="Times New Roman" w:eastAsia="宋体" w:cs="Times New Roman"/>
                <w:snapToGrid/>
                <w:color w:val="auto"/>
                <w:kern w:val="2"/>
                <w:sz w:val="24"/>
                <w:szCs w:val="24"/>
                <w:highlight w:val="none"/>
                <w:lang w:val="en-US" w:eastAsia="zh-CN" w:bidi="ar-SA"/>
              </w:rPr>
              <w:t>微生物指标</w:t>
            </w:r>
            <w:r>
              <w:rPr>
                <w:rFonts w:hint="eastAsia" w:cs="Times New Roman"/>
                <w:snapToGrid/>
                <w:color w:val="auto"/>
                <w:kern w:val="2"/>
                <w:sz w:val="24"/>
                <w:szCs w:val="24"/>
                <w:highlight w:val="none"/>
                <w:lang w:val="en-US" w:eastAsia="zh-CN" w:bidi="ar-SA"/>
              </w:rPr>
              <w:t>。</w:t>
            </w:r>
          </w:p>
          <w:p w14:paraId="4190130C">
            <w:pPr>
              <w:numPr>
                <w:ilvl w:val="0"/>
                <w:numId w:val="0"/>
              </w:numPr>
              <w:ind w:left="0" w:leftChars="0" w:firstLine="480" w:firstLineChars="200"/>
              <w:rPr>
                <w:rFonts w:hint="default" w:ascii="Times New Roman" w:hAnsi="Times New Roman" w:eastAsia="宋体" w:cs="Times New Roman"/>
                <w:snapToGrid/>
                <w:color w:val="auto"/>
                <w:kern w:val="2"/>
                <w:sz w:val="24"/>
                <w:szCs w:val="24"/>
                <w:highlight w:val="none"/>
                <w:lang w:val="en-US" w:eastAsia="zh-CN" w:bidi="ar"/>
              </w:rPr>
            </w:pPr>
            <w:r>
              <w:rPr>
                <w:rFonts w:hint="default" w:ascii="Times New Roman" w:hAnsi="Times New Roman" w:eastAsia="宋体" w:cs="Times New Roman"/>
                <w:snapToGrid/>
                <w:color w:val="auto"/>
                <w:kern w:val="2"/>
                <w:sz w:val="24"/>
                <w:szCs w:val="24"/>
                <w:lang w:val="en-US" w:eastAsia="zh-CN" w:bidi="ar"/>
              </w:rPr>
              <w:t>（2）</w:t>
            </w:r>
            <w:r>
              <w:rPr>
                <w:rFonts w:hint="default" w:ascii="Times New Roman" w:hAnsi="Times New Roman" w:eastAsia="宋体" w:cs="Times New Roman"/>
                <w:snapToGrid/>
                <w:color w:val="auto"/>
                <w:kern w:val="2"/>
                <w:sz w:val="24"/>
                <w:szCs w:val="24"/>
                <w:highlight w:val="none"/>
                <w:lang w:val="en-US" w:eastAsia="zh-CN" w:bidi="ar"/>
              </w:rPr>
              <w:t>评价标准</w:t>
            </w:r>
          </w:p>
          <w:p w14:paraId="7DAE8A7C">
            <w:pPr>
              <w:numPr>
                <w:ilvl w:val="0"/>
                <w:numId w:val="0"/>
              </w:numPr>
              <w:ind w:left="0" w:leftChars="0" w:firstLine="480" w:firstLineChars="200"/>
              <w:rPr>
                <w:rFonts w:hint="default" w:ascii="Times New Roman" w:hAnsi="Times New Roman" w:eastAsia="宋体" w:cs="Times New Roman"/>
                <w:snapToGrid/>
                <w:color w:val="auto"/>
                <w:kern w:val="2"/>
                <w:sz w:val="24"/>
                <w:szCs w:val="24"/>
                <w:highlight w:val="none"/>
                <w:lang w:val="en-US" w:eastAsia="zh-CN" w:bidi="ar"/>
              </w:rPr>
            </w:pPr>
            <w:r>
              <w:rPr>
                <w:rFonts w:hint="default" w:ascii="Times New Roman" w:hAnsi="Times New Roman" w:eastAsia="宋体" w:cs="Times New Roman"/>
                <w:snapToGrid/>
                <w:color w:val="auto"/>
                <w:kern w:val="2"/>
                <w:sz w:val="24"/>
                <w:szCs w:val="24"/>
                <w:highlight w:val="none"/>
                <w:lang w:val="en-US" w:eastAsia="zh-CN" w:bidi="ar"/>
              </w:rPr>
              <w:t>执行</w:t>
            </w:r>
            <w:r>
              <w:rPr>
                <w:rFonts w:hint="default" w:ascii="Times New Roman" w:hAnsi="Times New Roman" w:eastAsia="宋体" w:cs="Times New Roman"/>
                <w:snapToGrid/>
                <w:color w:val="auto"/>
                <w:kern w:val="2"/>
                <w:sz w:val="24"/>
                <w:szCs w:val="24"/>
                <w:highlight w:val="none"/>
                <w:lang w:val="en-US" w:eastAsia="zh-CN" w:bidi="ar-SA"/>
              </w:rPr>
              <w:t>《地表水环境质量标准》</w:t>
            </w:r>
            <w:r>
              <w:rPr>
                <w:rFonts w:hint="default" w:ascii="Times New Roman" w:hAnsi="Times New Roman" w:eastAsia="宋体" w:cs="Times New Roman"/>
                <w:snapToGrid/>
                <w:color w:val="auto"/>
                <w:kern w:val="2"/>
                <w:sz w:val="24"/>
                <w:szCs w:val="24"/>
                <w:highlight w:val="none"/>
                <w:lang w:val="en-US" w:eastAsia="zh-CN" w:bidi="ar"/>
              </w:rPr>
              <w:t>I类水域标准。</w:t>
            </w:r>
          </w:p>
          <w:p w14:paraId="595BB8C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firstLine="480" w:firstLineChars="200"/>
              <w:jc w:val="both"/>
              <w:textAlignment w:val="auto"/>
              <w:rPr>
                <w:rFonts w:hint="default" w:ascii="Times New Roman" w:hAnsi="Times New Roman" w:eastAsia="宋体" w:cs="Times New Roman"/>
                <w:snapToGrid/>
                <w:color w:val="auto"/>
                <w:kern w:val="2"/>
                <w:sz w:val="24"/>
                <w:szCs w:val="24"/>
                <w:highlight w:val="none"/>
                <w:lang w:val="en-US" w:eastAsia="zh-CN" w:bidi="ar"/>
              </w:rPr>
            </w:pPr>
            <w:r>
              <w:rPr>
                <w:rFonts w:hint="eastAsia" w:ascii="Times New Roman" w:hAnsi="Times New Roman" w:eastAsia="宋体" w:cs="Times New Roman"/>
                <w:snapToGrid/>
                <w:color w:val="auto"/>
                <w:kern w:val="2"/>
                <w:sz w:val="24"/>
                <w:szCs w:val="24"/>
                <w:highlight w:val="none"/>
                <w:lang w:val="en-US" w:eastAsia="zh-CN" w:bidi="ar"/>
              </w:rPr>
              <w:t>（3）</w:t>
            </w:r>
            <w:r>
              <w:rPr>
                <w:rFonts w:hint="default" w:ascii="Times New Roman" w:hAnsi="Times New Roman" w:eastAsia="宋体" w:cs="Times New Roman"/>
                <w:snapToGrid/>
                <w:color w:val="auto"/>
                <w:kern w:val="2"/>
                <w:sz w:val="24"/>
                <w:szCs w:val="24"/>
                <w:highlight w:val="none"/>
                <w:lang w:val="en-US" w:eastAsia="zh-CN" w:bidi="ar"/>
              </w:rPr>
              <w:t>评价方法</w:t>
            </w:r>
          </w:p>
          <w:p w14:paraId="73CEFBF4">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firstLine="480" w:firstLineChars="200"/>
              <w:jc w:val="both"/>
              <w:textAlignment w:val="auto"/>
              <w:rPr>
                <w:rFonts w:hint="default" w:ascii="Times New Roman" w:hAnsi="Times New Roman" w:eastAsia="宋体" w:cs="Times New Roman"/>
                <w:snapToGrid/>
                <w:color w:val="auto"/>
                <w:kern w:val="2"/>
                <w:sz w:val="24"/>
                <w:szCs w:val="24"/>
                <w:highlight w:val="none"/>
                <w:lang w:val="en-US" w:eastAsia="zh-CN" w:bidi="ar"/>
              </w:rPr>
            </w:pPr>
            <w:r>
              <w:rPr>
                <w:rFonts w:hint="default" w:ascii="Times New Roman" w:hAnsi="Times New Roman" w:eastAsia="宋体" w:cs="Times New Roman"/>
                <w:snapToGrid/>
                <w:color w:val="auto"/>
                <w:kern w:val="2"/>
                <w:sz w:val="24"/>
                <w:szCs w:val="24"/>
                <w:highlight w:val="none"/>
                <w:lang w:val="en-US" w:eastAsia="zh-CN" w:bidi="ar"/>
              </w:rPr>
              <w:t>采用单项评价标准指数法进行评价。单项水质评价因子i在第j取样点的标准指数为：</w:t>
            </w:r>
          </w:p>
          <w:p w14:paraId="63431DF4">
            <w:pPr>
              <w:widowControl w:val="0"/>
              <w:kinsoku/>
              <w:autoSpaceDE/>
              <w:autoSpaceDN/>
              <w:adjustRightInd w:val="0"/>
              <w:snapToGrid w:val="0"/>
              <w:spacing w:line="360" w:lineRule="auto"/>
              <w:ind w:firstLine="420" w:firstLineChars="200"/>
              <w:jc w:val="both"/>
              <w:textAlignment w:val="baseline"/>
              <w:rPr>
                <w:rFonts w:hint="default" w:ascii="Times New Roman" w:hAnsi="Times New Roman" w:eastAsia="宋体" w:cs="Times New Roman"/>
                <w:snapToGrid w:val="0"/>
                <w:color w:val="auto"/>
                <w:kern w:val="0"/>
                <w:sz w:val="24"/>
                <w:szCs w:val="20"/>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drawing>
                <wp:anchor distT="0" distB="0" distL="114300" distR="114300" simplePos="0" relativeHeight="251665408" behindDoc="1" locked="0" layoutInCell="1" allowOverlap="1">
                  <wp:simplePos x="0" y="0"/>
                  <wp:positionH relativeFrom="column">
                    <wp:posOffset>2028825</wp:posOffset>
                  </wp:positionH>
                  <wp:positionV relativeFrom="paragraph">
                    <wp:posOffset>62230</wp:posOffset>
                  </wp:positionV>
                  <wp:extent cx="634365" cy="469900"/>
                  <wp:effectExtent l="0" t="0" r="13335" b="5715"/>
                  <wp:wrapNone/>
                  <wp:docPr id="22" name="图片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38"/>
                          <pic:cNvPicPr>
                            <a:picLocks noChangeAspect="1"/>
                          </pic:cNvPicPr>
                        </pic:nvPicPr>
                        <pic:blipFill>
                          <a:blip r:embed="rId12"/>
                          <a:stretch>
                            <a:fillRect/>
                          </a:stretch>
                        </pic:blipFill>
                        <pic:spPr>
                          <a:xfrm>
                            <a:off x="0" y="0"/>
                            <a:ext cx="634365" cy="469900"/>
                          </a:xfrm>
                          <a:prstGeom prst="rect">
                            <a:avLst/>
                          </a:prstGeom>
                          <a:noFill/>
                          <a:ln>
                            <a:noFill/>
                          </a:ln>
                        </pic:spPr>
                      </pic:pic>
                    </a:graphicData>
                  </a:graphic>
                </wp:anchor>
              </w:drawing>
            </w:r>
          </w:p>
          <w:p w14:paraId="37C46D65">
            <w:pPr>
              <w:widowControl w:val="0"/>
              <w:kinsoku/>
              <w:autoSpaceDE/>
              <w:autoSpaceDN/>
              <w:adjustRightInd w:val="0"/>
              <w:snapToGrid w:val="0"/>
              <w:spacing w:line="360" w:lineRule="auto"/>
              <w:ind w:firstLine="0" w:firstLineChars="0"/>
              <w:jc w:val="both"/>
              <w:textAlignment w:val="baseline"/>
              <w:rPr>
                <w:rFonts w:hint="default" w:ascii="Times New Roman" w:hAnsi="Times New Roman" w:eastAsia="宋体" w:cs="Times New Roman"/>
                <w:snapToGrid w:val="0"/>
                <w:color w:val="auto"/>
                <w:kern w:val="0"/>
                <w:sz w:val="24"/>
                <w:szCs w:val="20"/>
                <w:highlight w:val="none"/>
                <w:lang w:val="en-US" w:eastAsia="zh-CN" w:bidi="ar-SA"/>
              </w:rPr>
            </w:pPr>
          </w:p>
          <w:p w14:paraId="0046961A">
            <w:pPr>
              <w:widowControl w:val="0"/>
              <w:kinsoku/>
              <w:autoSpaceDE/>
              <w:autoSpaceDN/>
              <w:adjustRightInd w:val="0"/>
              <w:snapToGrid w:val="0"/>
              <w:spacing w:line="480" w:lineRule="exact"/>
              <w:ind w:firstLine="480" w:firstLineChars="200"/>
              <w:jc w:val="both"/>
              <w:textAlignment w:val="baseline"/>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4"/>
                <w:szCs w:val="24"/>
                <w:highlight w:val="none"/>
                <w:lang w:val="en-US" w:eastAsia="zh-CN" w:bidi="ar-SA"/>
              </w:rPr>
              <w:t>式中：Si，j—单项水质参数i在第j点的标准指数；</w:t>
            </w:r>
          </w:p>
          <w:p w14:paraId="3B138BC8">
            <w:pPr>
              <w:widowControl w:val="0"/>
              <w:kinsoku/>
              <w:autoSpaceDE/>
              <w:autoSpaceDN/>
              <w:adjustRightInd w:val="0"/>
              <w:snapToGrid w:val="0"/>
              <w:spacing w:line="480" w:lineRule="exact"/>
              <w:ind w:firstLine="480" w:firstLineChars="200"/>
              <w:jc w:val="both"/>
              <w:textAlignment w:val="baseline"/>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4"/>
                <w:szCs w:val="24"/>
                <w:highlight w:val="none"/>
                <w:lang w:val="en-US" w:eastAsia="zh-CN" w:bidi="ar-SA"/>
              </w:rPr>
              <w:t>Ci，j—水质评价因子i在第j取样点的浓度，mg/L；</w:t>
            </w:r>
          </w:p>
          <w:p w14:paraId="31C8CC28">
            <w:pPr>
              <w:widowControl w:val="0"/>
              <w:kinsoku/>
              <w:autoSpaceDE/>
              <w:autoSpaceDN/>
              <w:adjustRightInd w:val="0"/>
              <w:snapToGrid w:val="0"/>
              <w:spacing w:line="480" w:lineRule="exact"/>
              <w:ind w:firstLine="480" w:firstLineChars="200"/>
              <w:jc w:val="both"/>
              <w:textAlignment w:val="baseline"/>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4"/>
                <w:szCs w:val="24"/>
                <w:highlight w:val="none"/>
                <w:lang w:val="en-US" w:eastAsia="zh-CN" w:bidi="ar-SA"/>
              </w:rPr>
              <w:t>Csi—i因子的评价标准，mg/L。</w:t>
            </w:r>
          </w:p>
          <w:p w14:paraId="23AD0333">
            <w:pPr>
              <w:widowControl w:val="0"/>
              <w:kinsoku/>
              <w:autoSpaceDE/>
              <w:autoSpaceDN/>
              <w:adjustRightInd w:val="0"/>
              <w:snapToGrid w:val="0"/>
              <w:spacing w:line="480" w:lineRule="exact"/>
              <w:ind w:firstLine="480" w:firstLineChars="200"/>
              <w:jc w:val="both"/>
              <w:textAlignment w:val="baseline"/>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4"/>
                <w:szCs w:val="24"/>
                <w:highlight w:val="none"/>
                <w:lang w:val="en-US" w:eastAsia="zh-CN" w:bidi="ar-SA"/>
              </w:rPr>
              <w:t>pH的标准指数为：</w:t>
            </w:r>
          </w:p>
          <w:p w14:paraId="41FA5360">
            <w:pPr>
              <w:widowControl w:val="0"/>
              <w:kinsoku/>
              <w:autoSpaceDE/>
              <w:autoSpaceDN/>
              <w:adjustRightInd w:val="0"/>
              <w:snapToGrid w:val="0"/>
              <w:spacing w:line="360" w:lineRule="auto"/>
              <w:ind w:firstLine="420" w:firstLineChars="200"/>
              <w:jc w:val="center"/>
              <w:textAlignment w:val="baseline"/>
              <w:rPr>
                <w:rFonts w:hint="default" w:ascii="Times New Roman" w:hAnsi="Times New Roman" w:eastAsia="宋体" w:cs="Times New Roman"/>
                <w:snapToGrid w:val="0"/>
                <w:color w:val="auto"/>
                <w:kern w:val="0"/>
                <w:sz w:val="24"/>
                <w:szCs w:val="20"/>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drawing>
                <wp:inline distT="0" distB="0" distL="114300" distR="114300">
                  <wp:extent cx="1193800" cy="444500"/>
                  <wp:effectExtent l="0" t="0" r="0" b="1270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3"/>
                          <a:stretch>
                            <a:fillRect/>
                          </a:stretch>
                        </pic:blipFill>
                        <pic:spPr>
                          <a:xfrm>
                            <a:off x="0" y="0"/>
                            <a:ext cx="1193800" cy="444500"/>
                          </a:xfrm>
                          <a:prstGeom prst="rect">
                            <a:avLst/>
                          </a:prstGeom>
                          <a:noFill/>
                          <a:ln>
                            <a:noFill/>
                          </a:ln>
                        </pic:spPr>
                      </pic:pic>
                    </a:graphicData>
                  </a:graphic>
                </wp:inline>
              </w:drawing>
            </w:r>
            <w:r>
              <w:rPr>
                <w:rFonts w:hint="default" w:ascii="Times New Roman" w:hAnsi="Times New Roman" w:eastAsia="宋体" w:cs="Times New Roman"/>
                <w:snapToGrid w:val="0"/>
                <w:color w:val="auto"/>
                <w:kern w:val="0"/>
                <w:sz w:val="21"/>
                <w:szCs w:val="21"/>
                <w:highlight w:val="none"/>
                <w:lang w:val="en-US" w:eastAsia="zh-CN" w:bidi="ar-SA"/>
              </w:rPr>
              <w:drawing>
                <wp:inline distT="0" distB="0" distL="114300" distR="114300">
                  <wp:extent cx="647700" cy="203200"/>
                  <wp:effectExtent l="0" t="0" r="0" b="508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4"/>
                          <a:stretch>
                            <a:fillRect/>
                          </a:stretch>
                        </pic:blipFill>
                        <pic:spPr>
                          <a:xfrm>
                            <a:off x="0" y="0"/>
                            <a:ext cx="647700" cy="203200"/>
                          </a:xfrm>
                          <a:prstGeom prst="rect">
                            <a:avLst/>
                          </a:prstGeom>
                          <a:noFill/>
                          <a:ln>
                            <a:noFill/>
                          </a:ln>
                        </pic:spPr>
                      </pic:pic>
                    </a:graphicData>
                  </a:graphic>
                </wp:inline>
              </w:drawing>
            </w:r>
          </w:p>
          <w:p w14:paraId="45CD1075">
            <w:pPr>
              <w:widowControl w:val="0"/>
              <w:kinsoku/>
              <w:autoSpaceDE/>
              <w:autoSpaceDN/>
              <w:adjustRightInd w:val="0"/>
              <w:snapToGrid w:val="0"/>
              <w:spacing w:line="360" w:lineRule="auto"/>
              <w:ind w:firstLine="420" w:firstLineChars="200"/>
              <w:jc w:val="center"/>
              <w:textAlignment w:val="baseline"/>
              <w:rPr>
                <w:rFonts w:hint="default" w:ascii="Times New Roman" w:hAnsi="Times New Roman" w:eastAsia="宋体" w:cs="Times New Roman"/>
                <w:snapToGrid w:val="0"/>
                <w:color w:val="auto"/>
                <w:kern w:val="0"/>
                <w:sz w:val="24"/>
                <w:szCs w:val="20"/>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drawing>
                <wp:inline distT="0" distB="0" distL="114300" distR="114300">
                  <wp:extent cx="1206500" cy="457200"/>
                  <wp:effectExtent l="0" t="0" r="12700" b="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5"/>
                          <a:stretch>
                            <a:fillRect/>
                          </a:stretch>
                        </pic:blipFill>
                        <pic:spPr>
                          <a:xfrm>
                            <a:off x="0" y="0"/>
                            <a:ext cx="1206500" cy="457200"/>
                          </a:xfrm>
                          <a:prstGeom prst="rect">
                            <a:avLst/>
                          </a:prstGeom>
                          <a:noFill/>
                          <a:ln>
                            <a:noFill/>
                          </a:ln>
                        </pic:spPr>
                      </pic:pic>
                    </a:graphicData>
                  </a:graphic>
                </wp:inline>
              </w:drawing>
            </w:r>
            <w:r>
              <w:rPr>
                <w:rFonts w:hint="default" w:ascii="Times New Roman" w:hAnsi="Times New Roman" w:eastAsia="宋体" w:cs="Times New Roman"/>
                <w:snapToGrid w:val="0"/>
                <w:color w:val="auto"/>
                <w:kern w:val="0"/>
                <w:sz w:val="21"/>
                <w:szCs w:val="21"/>
                <w:highlight w:val="none"/>
                <w:lang w:val="en-US" w:eastAsia="zh-CN" w:bidi="ar-SA"/>
              </w:rPr>
              <w:drawing>
                <wp:inline distT="0" distB="0" distL="114300" distR="114300">
                  <wp:extent cx="685800" cy="241300"/>
                  <wp:effectExtent l="0" t="0" r="0" b="508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6"/>
                          <a:stretch>
                            <a:fillRect/>
                          </a:stretch>
                        </pic:blipFill>
                        <pic:spPr>
                          <a:xfrm>
                            <a:off x="0" y="0"/>
                            <a:ext cx="685800" cy="241300"/>
                          </a:xfrm>
                          <a:prstGeom prst="rect">
                            <a:avLst/>
                          </a:prstGeom>
                          <a:noFill/>
                          <a:ln>
                            <a:noFill/>
                          </a:ln>
                        </pic:spPr>
                      </pic:pic>
                    </a:graphicData>
                  </a:graphic>
                </wp:inline>
              </w:drawing>
            </w:r>
          </w:p>
          <w:p w14:paraId="5E2C7A19">
            <w:pPr>
              <w:widowControl w:val="0"/>
              <w:kinsoku/>
              <w:autoSpaceDE/>
              <w:autoSpaceDN/>
              <w:adjustRightInd w:val="0"/>
              <w:snapToGrid w:val="0"/>
              <w:spacing w:line="480" w:lineRule="exact"/>
              <w:ind w:firstLine="480" w:firstLineChars="200"/>
              <w:jc w:val="both"/>
              <w:textAlignment w:val="baseline"/>
              <w:rPr>
                <w:rFonts w:hint="default" w:ascii="Times New Roman" w:hAnsi="Times New Roman" w:eastAsia="宋体" w:cs="Times New Roman"/>
                <w:snapToGrid w:val="0"/>
                <w:color w:val="auto"/>
                <w:kern w:val="2"/>
                <w:sz w:val="24"/>
                <w:szCs w:val="24"/>
                <w:highlight w:val="none"/>
                <w:lang w:val="en-US" w:eastAsia="zh-CN" w:bidi="ar-SA"/>
              </w:rPr>
            </w:pPr>
            <w:r>
              <w:rPr>
                <w:rFonts w:hint="default" w:ascii="Times New Roman" w:hAnsi="Times New Roman" w:eastAsia="宋体" w:cs="Times New Roman"/>
                <w:snapToGrid w:val="0"/>
                <w:color w:val="auto"/>
                <w:kern w:val="2"/>
                <w:sz w:val="24"/>
                <w:szCs w:val="24"/>
                <w:highlight w:val="none"/>
                <w:lang w:val="en-US" w:eastAsia="zh-CN" w:bidi="ar-SA"/>
              </w:rPr>
              <w:t>式中：pH</w:t>
            </w:r>
            <w:r>
              <w:rPr>
                <w:rFonts w:hint="default" w:ascii="Times New Roman" w:hAnsi="Times New Roman" w:eastAsia="宋体" w:cs="Times New Roman"/>
                <w:snapToGrid w:val="0"/>
                <w:color w:val="auto"/>
                <w:kern w:val="2"/>
                <w:sz w:val="24"/>
                <w:szCs w:val="24"/>
                <w:highlight w:val="none"/>
                <w:vertAlign w:val="subscript"/>
                <w:lang w:val="en-US" w:eastAsia="zh-CN" w:bidi="ar-SA"/>
              </w:rPr>
              <w:t>j</w:t>
            </w:r>
            <w:r>
              <w:rPr>
                <w:rFonts w:hint="default" w:ascii="Times New Roman" w:hAnsi="Times New Roman" w:eastAsia="宋体" w:cs="Times New Roman"/>
                <w:snapToGrid w:val="0"/>
                <w:color w:val="auto"/>
                <w:kern w:val="2"/>
                <w:sz w:val="24"/>
                <w:szCs w:val="24"/>
                <w:highlight w:val="none"/>
                <w:lang w:val="en-US" w:eastAsia="zh-CN" w:bidi="ar-SA"/>
              </w:rPr>
              <w:t>—j取样点水样pH值；</w:t>
            </w:r>
          </w:p>
          <w:p w14:paraId="16059050">
            <w:pPr>
              <w:widowControl w:val="0"/>
              <w:kinsoku/>
              <w:autoSpaceDE/>
              <w:autoSpaceDN/>
              <w:adjustRightInd w:val="0"/>
              <w:snapToGrid w:val="0"/>
              <w:spacing w:line="480" w:lineRule="exact"/>
              <w:ind w:firstLine="480" w:firstLineChars="200"/>
              <w:jc w:val="both"/>
              <w:textAlignment w:val="baseline"/>
              <w:rPr>
                <w:rFonts w:hint="default" w:ascii="Times New Roman" w:hAnsi="Times New Roman" w:eastAsia="宋体" w:cs="Times New Roman"/>
                <w:snapToGrid w:val="0"/>
                <w:color w:val="auto"/>
                <w:kern w:val="2"/>
                <w:sz w:val="24"/>
                <w:szCs w:val="24"/>
                <w:highlight w:val="none"/>
                <w:lang w:val="en-US" w:eastAsia="zh-CN" w:bidi="ar-SA"/>
              </w:rPr>
            </w:pPr>
            <w:r>
              <w:rPr>
                <w:rFonts w:hint="default" w:ascii="Times New Roman" w:hAnsi="Times New Roman" w:eastAsia="宋体" w:cs="Times New Roman"/>
                <w:snapToGrid w:val="0"/>
                <w:color w:val="auto"/>
                <w:kern w:val="2"/>
                <w:sz w:val="24"/>
                <w:szCs w:val="24"/>
                <w:highlight w:val="none"/>
                <w:lang w:val="en-US" w:eastAsia="zh-CN" w:bidi="ar-SA"/>
              </w:rPr>
              <w:t>pH</w:t>
            </w:r>
            <w:r>
              <w:rPr>
                <w:rFonts w:hint="default" w:ascii="Times New Roman" w:hAnsi="Times New Roman" w:eastAsia="宋体" w:cs="Times New Roman"/>
                <w:snapToGrid w:val="0"/>
                <w:color w:val="auto"/>
                <w:kern w:val="2"/>
                <w:sz w:val="24"/>
                <w:szCs w:val="24"/>
                <w:highlight w:val="none"/>
                <w:vertAlign w:val="subscript"/>
                <w:lang w:val="en-US" w:eastAsia="zh-CN" w:bidi="ar-SA"/>
              </w:rPr>
              <w:t>sd</w:t>
            </w:r>
            <w:r>
              <w:rPr>
                <w:rFonts w:hint="default" w:ascii="Times New Roman" w:hAnsi="Times New Roman" w:eastAsia="宋体" w:cs="Times New Roman"/>
                <w:snapToGrid w:val="0"/>
                <w:color w:val="auto"/>
                <w:kern w:val="2"/>
                <w:sz w:val="24"/>
                <w:szCs w:val="24"/>
                <w:highlight w:val="none"/>
                <w:lang w:val="en-US" w:eastAsia="zh-CN" w:bidi="ar-SA"/>
              </w:rPr>
              <w:t>—评价标准规定的下限值；</w:t>
            </w:r>
          </w:p>
          <w:p w14:paraId="305C07A9">
            <w:pPr>
              <w:widowControl w:val="0"/>
              <w:kinsoku/>
              <w:autoSpaceDE/>
              <w:autoSpaceDN/>
              <w:adjustRightInd w:val="0"/>
              <w:snapToGrid w:val="0"/>
              <w:spacing w:line="480" w:lineRule="exact"/>
              <w:ind w:firstLine="480" w:firstLineChars="200"/>
              <w:jc w:val="both"/>
              <w:textAlignment w:val="baseline"/>
              <w:rPr>
                <w:rFonts w:hint="default" w:ascii="Times New Roman" w:hAnsi="Times New Roman" w:eastAsia="宋体" w:cs="Times New Roman"/>
                <w:snapToGrid w:val="0"/>
                <w:color w:val="auto"/>
                <w:kern w:val="2"/>
                <w:sz w:val="24"/>
                <w:szCs w:val="24"/>
                <w:highlight w:val="none"/>
                <w:lang w:val="en-US" w:eastAsia="zh-CN" w:bidi="ar-SA"/>
              </w:rPr>
            </w:pPr>
            <w:r>
              <w:rPr>
                <w:rFonts w:hint="default" w:ascii="Times New Roman" w:hAnsi="Times New Roman" w:eastAsia="宋体" w:cs="Times New Roman"/>
                <w:snapToGrid w:val="0"/>
                <w:color w:val="auto"/>
                <w:kern w:val="2"/>
                <w:sz w:val="24"/>
                <w:szCs w:val="24"/>
                <w:highlight w:val="none"/>
                <w:lang w:val="en-US" w:eastAsia="zh-CN" w:bidi="ar-SA"/>
              </w:rPr>
              <w:t>pH</w:t>
            </w:r>
            <w:r>
              <w:rPr>
                <w:rFonts w:hint="default" w:ascii="Times New Roman" w:hAnsi="Times New Roman" w:eastAsia="宋体" w:cs="Times New Roman"/>
                <w:snapToGrid w:val="0"/>
                <w:color w:val="auto"/>
                <w:kern w:val="2"/>
                <w:sz w:val="24"/>
                <w:szCs w:val="24"/>
                <w:highlight w:val="none"/>
                <w:vertAlign w:val="subscript"/>
                <w:lang w:val="en-US" w:eastAsia="zh-CN" w:bidi="ar-SA"/>
              </w:rPr>
              <w:t>su</w:t>
            </w:r>
            <w:r>
              <w:rPr>
                <w:rFonts w:hint="default" w:ascii="Times New Roman" w:hAnsi="Times New Roman" w:eastAsia="宋体" w:cs="Times New Roman"/>
                <w:snapToGrid w:val="0"/>
                <w:color w:val="auto"/>
                <w:kern w:val="2"/>
                <w:sz w:val="24"/>
                <w:szCs w:val="24"/>
                <w:highlight w:val="none"/>
                <w:lang w:val="en-US" w:eastAsia="zh-CN" w:bidi="ar-SA"/>
              </w:rPr>
              <w:t>—评价标准规定的上限值。</w:t>
            </w:r>
          </w:p>
          <w:p w14:paraId="2D10A100">
            <w:pPr>
              <w:widowControl w:val="0"/>
              <w:kinsoku/>
              <w:autoSpaceDE/>
              <w:autoSpaceDN/>
              <w:adjustRightInd w:val="0"/>
              <w:snapToGrid w:val="0"/>
              <w:spacing w:line="480" w:lineRule="exact"/>
              <w:ind w:firstLine="480" w:firstLineChars="200"/>
              <w:jc w:val="both"/>
              <w:textAlignment w:val="baseline"/>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4"/>
                <w:szCs w:val="24"/>
                <w:highlight w:val="none"/>
                <w:lang w:val="en-US" w:eastAsia="zh-CN" w:bidi="ar-SA"/>
              </w:rPr>
              <w:t>当S</w:t>
            </w:r>
            <w:r>
              <w:rPr>
                <w:rFonts w:hint="default" w:ascii="Times New Roman" w:hAnsi="Times New Roman" w:eastAsia="宋体" w:cs="Times New Roman"/>
                <w:snapToGrid w:val="0"/>
                <w:color w:val="auto"/>
                <w:kern w:val="0"/>
                <w:sz w:val="24"/>
                <w:szCs w:val="24"/>
                <w:highlight w:val="none"/>
                <w:vertAlign w:val="subscript"/>
                <w:lang w:val="en-US" w:eastAsia="zh-CN" w:bidi="ar-SA"/>
              </w:rPr>
              <w:t>i，j</w:t>
            </w:r>
            <w:r>
              <w:rPr>
                <w:rFonts w:hint="default" w:ascii="Times New Roman" w:hAnsi="Times New Roman" w:eastAsia="宋体" w:cs="Times New Roman"/>
                <w:snapToGrid w:val="0"/>
                <w:color w:val="auto"/>
                <w:kern w:val="0"/>
                <w:sz w:val="24"/>
                <w:szCs w:val="24"/>
                <w:highlight w:val="none"/>
                <w:lang w:val="en-US" w:eastAsia="zh-CN" w:bidi="ar-SA"/>
              </w:rPr>
              <w:t>＞1时，表明该水质参数超过了规定的水质标准，S</w:t>
            </w:r>
            <w:r>
              <w:rPr>
                <w:rFonts w:hint="default" w:ascii="Times New Roman" w:hAnsi="Times New Roman" w:eastAsia="宋体" w:cs="Times New Roman"/>
                <w:snapToGrid w:val="0"/>
                <w:color w:val="auto"/>
                <w:kern w:val="0"/>
                <w:sz w:val="24"/>
                <w:szCs w:val="24"/>
                <w:highlight w:val="none"/>
                <w:vertAlign w:val="subscript"/>
                <w:lang w:val="en-US" w:eastAsia="zh-CN" w:bidi="ar-SA"/>
              </w:rPr>
              <w:t>i，j</w:t>
            </w:r>
            <w:r>
              <w:rPr>
                <w:rFonts w:hint="default" w:ascii="Times New Roman" w:hAnsi="Times New Roman" w:eastAsia="宋体" w:cs="Times New Roman"/>
                <w:snapToGrid w:val="0"/>
                <w:color w:val="auto"/>
                <w:kern w:val="0"/>
                <w:sz w:val="24"/>
                <w:szCs w:val="24"/>
                <w:highlight w:val="none"/>
                <w:lang w:val="en-US" w:eastAsia="zh-CN" w:bidi="ar-SA"/>
              </w:rPr>
              <w:t>＜1时，说明该水质可以达到规定的水质标准。</w:t>
            </w:r>
          </w:p>
          <w:p w14:paraId="3D588A2A">
            <w:pPr>
              <w:widowControl w:val="0"/>
              <w:kinsoku/>
              <w:autoSpaceDE/>
              <w:autoSpaceDN/>
              <w:adjustRightInd w:val="0"/>
              <w:snapToGrid w:val="0"/>
              <w:spacing w:line="480" w:lineRule="exact"/>
              <w:ind w:firstLine="480" w:firstLineChars="200"/>
              <w:jc w:val="both"/>
              <w:textAlignment w:val="baseline"/>
              <w:rPr>
                <w:rFonts w:hint="default"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snapToGrid w:val="0"/>
                <w:color w:val="auto"/>
                <w:kern w:val="0"/>
                <w:sz w:val="24"/>
                <w:szCs w:val="24"/>
                <w:highlight w:val="none"/>
                <w:lang w:val="en-US" w:eastAsia="zh-CN" w:bidi="ar-SA"/>
              </w:rPr>
              <w:t>（4）</w:t>
            </w:r>
            <w:r>
              <w:rPr>
                <w:rFonts w:hint="default" w:ascii="Times New Roman" w:hAnsi="Times New Roman" w:eastAsia="宋体" w:cs="Times New Roman"/>
                <w:snapToGrid w:val="0"/>
                <w:color w:val="auto"/>
                <w:kern w:val="0"/>
                <w:sz w:val="24"/>
                <w:szCs w:val="24"/>
                <w:highlight w:val="none"/>
                <w:lang w:val="en-US" w:eastAsia="zh-CN" w:bidi="ar-SA"/>
              </w:rPr>
              <w:t>监测结果及评价</w:t>
            </w:r>
          </w:p>
          <w:p w14:paraId="0F76F64B">
            <w:pPr>
              <w:widowControl w:val="0"/>
              <w:kinsoku/>
              <w:autoSpaceDE/>
              <w:autoSpaceDN/>
              <w:adjustRightInd w:val="0"/>
              <w:snapToGrid w:val="0"/>
              <w:spacing w:line="480" w:lineRule="exact"/>
              <w:ind w:firstLine="480" w:firstLineChars="200"/>
              <w:jc w:val="both"/>
              <w:textAlignment w:val="baseline"/>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4"/>
                <w:szCs w:val="24"/>
                <w:highlight w:val="none"/>
                <w:lang w:val="en-US" w:eastAsia="zh-CN" w:bidi="ar-SA"/>
              </w:rPr>
              <w:t>监测结果见表4.</w:t>
            </w:r>
            <w:r>
              <w:rPr>
                <w:rFonts w:hint="eastAsia" w:ascii="Times New Roman" w:hAnsi="Times New Roman" w:eastAsia="宋体" w:cs="Times New Roman"/>
                <w:snapToGrid w:val="0"/>
                <w:color w:val="auto"/>
                <w:kern w:val="0"/>
                <w:sz w:val="24"/>
                <w:szCs w:val="24"/>
                <w:highlight w:val="none"/>
                <w:lang w:val="en-US" w:eastAsia="zh-CN" w:bidi="ar-SA"/>
              </w:rPr>
              <w:t>3</w:t>
            </w:r>
            <w:r>
              <w:rPr>
                <w:rFonts w:hint="default" w:ascii="Times New Roman" w:hAnsi="Times New Roman" w:eastAsia="宋体" w:cs="Times New Roman"/>
                <w:snapToGrid w:val="0"/>
                <w:color w:val="auto"/>
                <w:kern w:val="0"/>
                <w:sz w:val="24"/>
                <w:szCs w:val="24"/>
                <w:highlight w:val="none"/>
                <w:lang w:val="en-US" w:eastAsia="zh-CN" w:bidi="ar-SA"/>
              </w:rPr>
              <w:t>-5。</w:t>
            </w:r>
          </w:p>
          <w:p w14:paraId="0E666F9E">
            <w:pPr>
              <w:pStyle w:val="46"/>
              <w:spacing w:line="480" w:lineRule="exact"/>
              <w:ind w:firstLine="0" w:firstLineChars="0"/>
              <w:jc w:val="center"/>
              <w:rPr>
                <w:rFonts w:hint="default" w:ascii="Times New Roman" w:hAnsi="Times New Roman" w:eastAsia="宋体" w:cs="Times New Roman"/>
                <w:b/>
                <w:bCs/>
                <w:color w:val="auto"/>
                <w:sz w:val="21"/>
                <w:highlight w:val="none"/>
                <w:lang w:val="en-US" w:eastAsia="zh-CN"/>
              </w:rPr>
            </w:pPr>
            <w:r>
              <w:rPr>
                <w:rFonts w:hint="default" w:ascii="Times New Roman" w:hAnsi="Times New Roman" w:eastAsia="宋体" w:cs="Times New Roman"/>
                <w:b/>
                <w:bCs/>
                <w:color w:val="auto"/>
                <w:sz w:val="21"/>
                <w:highlight w:val="none"/>
                <w:lang w:val="en-US" w:eastAsia="zh-CN"/>
              </w:rPr>
              <w:t>表4</w:t>
            </w:r>
            <w:r>
              <w:rPr>
                <w:rFonts w:hint="eastAsia" w:ascii="Times New Roman" w:hAnsi="Times New Roman" w:eastAsia="宋体" w:cs="Times New Roman"/>
                <w:b/>
                <w:bCs/>
                <w:color w:val="auto"/>
                <w:sz w:val="21"/>
                <w:highlight w:val="none"/>
                <w:lang w:val="en-US" w:eastAsia="zh-CN"/>
              </w:rPr>
              <w:t>.3-5</w:t>
            </w:r>
            <w:r>
              <w:rPr>
                <w:rFonts w:hint="default" w:ascii="Times New Roman" w:hAnsi="Times New Roman" w:eastAsia="宋体" w:cs="Times New Roman"/>
                <w:b/>
                <w:bCs/>
                <w:color w:val="auto"/>
                <w:sz w:val="21"/>
                <w:highlight w:val="none"/>
                <w:lang w:val="en-US" w:eastAsia="zh-CN"/>
              </w:rPr>
              <w:t>地表水环境质量监测数据</w:t>
            </w:r>
          </w:p>
          <w:tbl>
            <w:tblPr>
              <w:tblStyle w:val="23"/>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60"/>
              <w:gridCol w:w="2641"/>
              <w:gridCol w:w="1176"/>
              <w:gridCol w:w="1785"/>
              <w:gridCol w:w="1149"/>
              <w:gridCol w:w="1505"/>
            </w:tblGrid>
            <w:tr w14:paraId="620704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21" w:type="pct"/>
                  <w:vMerge w:val="restart"/>
                  <w:noWrap w:val="0"/>
                  <w:vAlign w:val="center"/>
                </w:tcPr>
                <w:p w14:paraId="4F6B6529">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序号</w:t>
                  </w:r>
                </w:p>
              </w:tc>
              <w:tc>
                <w:tcPr>
                  <w:tcW w:w="1464" w:type="pct"/>
                  <w:vMerge w:val="restart"/>
                  <w:noWrap w:val="0"/>
                  <w:vAlign w:val="center"/>
                </w:tcPr>
                <w:p w14:paraId="7344E28B">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监测项目</w:t>
                  </w:r>
                </w:p>
              </w:tc>
              <w:tc>
                <w:tcPr>
                  <w:tcW w:w="652" w:type="pct"/>
                  <w:vMerge w:val="restart"/>
                  <w:noWrap w:val="0"/>
                  <w:vAlign w:val="center"/>
                </w:tcPr>
                <w:p w14:paraId="7966E480">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eastAsia"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单位</w:t>
                  </w:r>
                </w:p>
              </w:tc>
              <w:tc>
                <w:tcPr>
                  <w:tcW w:w="989" w:type="pct"/>
                  <w:vMerge w:val="restart"/>
                  <w:noWrap w:val="0"/>
                  <w:vAlign w:val="center"/>
                </w:tcPr>
                <w:p w14:paraId="643815E0">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eastAsia"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I类标准限值</w:t>
                  </w:r>
                </w:p>
              </w:tc>
              <w:tc>
                <w:tcPr>
                  <w:tcW w:w="1471" w:type="pct"/>
                  <w:gridSpan w:val="2"/>
                  <w:noWrap w:val="0"/>
                  <w:vAlign w:val="center"/>
                </w:tcPr>
                <w:p w14:paraId="394418D6">
                  <w:pPr>
                    <w:keepNext w:val="0"/>
                    <w:keepLines w:val="0"/>
                    <w:pageBreakBefore w:val="0"/>
                    <w:widowControl w:val="0"/>
                    <w:kinsoku/>
                    <w:wordWrap/>
                    <w:overflowPunct/>
                    <w:topLinePunct w:val="0"/>
                    <w:autoSpaceDE/>
                    <w:autoSpaceDN/>
                    <w:bidi w:val="0"/>
                    <w:adjustRightInd/>
                    <w:snapToGrid/>
                    <w:spacing w:line="360" w:lineRule="exact"/>
                    <w:ind w:left="-72" w:leftChars="-30" w:right="-72" w:rightChars="-3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萨很托亥河</w:t>
                  </w:r>
                </w:p>
              </w:tc>
            </w:tr>
            <w:tr w14:paraId="45E455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21" w:type="pct"/>
                  <w:vMerge w:val="continue"/>
                  <w:noWrap w:val="0"/>
                  <w:vAlign w:val="center"/>
                </w:tcPr>
                <w:p w14:paraId="553315DD">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default" w:ascii="Times New Roman" w:hAnsi="Times New Roman" w:eastAsia="宋体" w:cs="Times New Roman"/>
                      <w:b/>
                      <w:bCs w:val="0"/>
                      <w:color w:val="auto"/>
                      <w:sz w:val="21"/>
                      <w:szCs w:val="21"/>
                      <w:highlight w:val="none"/>
                    </w:rPr>
                  </w:pPr>
                </w:p>
              </w:tc>
              <w:tc>
                <w:tcPr>
                  <w:tcW w:w="1464" w:type="pct"/>
                  <w:vMerge w:val="continue"/>
                  <w:noWrap w:val="0"/>
                  <w:vAlign w:val="center"/>
                </w:tcPr>
                <w:p w14:paraId="0B1C0B2A">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default" w:ascii="Times New Roman" w:hAnsi="Times New Roman" w:eastAsia="宋体" w:cs="Times New Roman"/>
                      <w:b/>
                      <w:bCs w:val="0"/>
                      <w:color w:val="auto"/>
                      <w:sz w:val="21"/>
                      <w:szCs w:val="21"/>
                      <w:highlight w:val="none"/>
                    </w:rPr>
                  </w:pPr>
                </w:p>
              </w:tc>
              <w:tc>
                <w:tcPr>
                  <w:tcW w:w="652" w:type="pct"/>
                  <w:vMerge w:val="continue"/>
                  <w:noWrap w:val="0"/>
                  <w:vAlign w:val="center"/>
                </w:tcPr>
                <w:p w14:paraId="17738B33">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default" w:ascii="Times New Roman" w:hAnsi="Times New Roman" w:eastAsia="宋体" w:cs="Times New Roman"/>
                      <w:b/>
                      <w:bCs w:val="0"/>
                      <w:color w:val="auto"/>
                      <w:sz w:val="21"/>
                      <w:szCs w:val="21"/>
                      <w:highlight w:val="none"/>
                    </w:rPr>
                  </w:pPr>
                </w:p>
              </w:tc>
              <w:tc>
                <w:tcPr>
                  <w:tcW w:w="989" w:type="pct"/>
                  <w:vMerge w:val="continue"/>
                  <w:noWrap w:val="0"/>
                  <w:vAlign w:val="center"/>
                </w:tcPr>
                <w:p w14:paraId="5A63C731">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default" w:ascii="Times New Roman" w:hAnsi="Times New Roman" w:eastAsia="宋体" w:cs="Times New Roman"/>
                      <w:b/>
                      <w:bCs w:val="0"/>
                      <w:color w:val="auto"/>
                      <w:sz w:val="21"/>
                      <w:szCs w:val="21"/>
                      <w:highlight w:val="none"/>
                    </w:rPr>
                  </w:pPr>
                </w:p>
              </w:tc>
              <w:tc>
                <w:tcPr>
                  <w:tcW w:w="637" w:type="pct"/>
                  <w:noWrap w:val="0"/>
                  <w:vAlign w:val="center"/>
                </w:tcPr>
                <w:p w14:paraId="661E1AEA">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rPr>
                    <w:t>监测结果</w:t>
                  </w:r>
                </w:p>
              </w:tc>
              <w:tc>
                <w:tcPr>
                  <w:tcW w:w="834" w:type="pct"/>
                  <w:noWrap w:val="0"/>
                  <w:vAlign w:val="center"/>
                </w:tcPr>
                <w:p w14:paraId="320593E4">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eastAsia" w:ascii="Times New Roman" w:hAnsi="Times New Roman" w:eastAsia="宋体" w:cs="Times New Roman"/>
                      <w:b/>
                      <w:bCs w:val="0"/>
                      <w:color w:val="auto"/>
                      <w:sz w:val="21"/>
                      <w:szCs w:val="21"/>
                      <w:highlight w:val="none"/>
                      <w:lang w:eastAsia="zh-CN"/>
                    </w:rPr>
                  </w:pPr>
                  <w:r>
                    <w:rPr>
                      <w:rFonts w:hint="eastAsia" w:ascii="Times New Roman" w:hAnsi="Times New Roman" w:eastAsia="宋体" w:cs="Times New Roman"/>
                      <w:b/>
                      <w:bCs w:val="0"/>
                      <w:color w:val="auto"/>
                      <w:sz w:val="21"/>
                      <w:szCs w:val="21"/>
                      <w:highlight w:val="none"/>
                      <w:lang w:val="en-US" w:eastAsia="zh-CN"/>
                    </w:rPr>
                    <w:t>达标指数</w:t>
                  </w:r>
                </w:p>
              </w:tc>
            </w:tr>
            <w:tr w14:paraId="0AA02E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1" w:type="pct"/>
                  <w:noWrap w:val="0"/>
                  <w:vAlign w:val="center"/>
                </w:tcPr>
                <w:p w14:paraId="31C3D790">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464" w:type="pct"/>
                  <w:noWrap w:val="0"/>
                  <w:vAlign w:val="center"/>
                </w:tcPr>
                <w:p w14:paraId="2D62E5B1">
                  <w:pPr>
                    <w:keepNext w:val="0"/>
                    <w:keepLines w:val="0"/>
                    <w:pageBreakBefore w:val="0"/>
                    <w:widowControl w:val="0"/>
                    <w:kinsoku/>
                    <w:wordWrap/>
                    <w:overflowPunct/>
                    <w:topLinePunct w:val="0"/>
                    <w:autoSpaceDE/>
                    <w:autoSpaceDN/>
                    <w:bidi w:val="0"/>
                    <w:adjustRightInd/>
                    <w:snapToGrid w:val="0"/>
                    <w:spacing w:line="360" w:lineRule="exact"/>
                    <w:ind w:left="-72" w:leftChars="-30" w:right="-72" w:rightChars="-3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pH值</w:t>
                  </w:r>
                </w:p>
              </w:tc>
              <w:tc>
                <w:tcPr>
                  <w:tcW w:w="652" w:type="pct"/>
                  <w:noWrap w:val="0"/>
                  <w:vAlign w:val="center"/>
                </w:tcPr>
                <w:p w14:paraId="001B1379">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89" w:type="pct"/>
                  <w:noWrap w:val="0"/>
                  <w:vAlign w:val="center"/>
                </w:tcPr>
                <w:p w14:paraId="761BB2BC">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6～9</w:t>
                  </w:r>
                </w:p>
              </w:tc>
              <w:tc>
                <w:tcPr>
                  <w:tcW w:w="637" w:type="pct"/>
                  <w:noWrap w:val="0"/>
                  <w:vAlign w:val="center"/>
                </w:tcPr>
                <w:p w14:paraId="746AB554">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8.43</w:t>
                  </w:r>
                </w:p>
              </w:tc>
              <w:tc>
                <w:tcPr>
                  <w:tcW w:w="834" w:type="pct"/>
                  <w:noWrap w:val="0"/>
                  <w:vAlign w:val="center"/>
                </w:tcPr>
                <w:p w14:paraId="495DFCB8">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2034CB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1" w:type="pct"/>
                  <w:noWrap w:val="0"/>
                  <w:vAlign w:val="center"/>
                </w:tcPr>
                <w:p w14:paraId="45C4653E">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464" w:type="pct"/>
                  <w:noWrap w:val="0"/>
                  <w:vAlign w:val="center"/>
                </w:tcPr>
                <w:p w14:paraId="7F77A41A">
                  <w:pPr>
                    <w:keepNext w:val="0"/>
                    <w:keepLines w:val="0"/>
                    <w:pageBreakBefore w:val="0"/>
                    <w:widowControl w:val="0"/>
                    <w:kinsoku/>
                    <w:wordWrap/>
                    <w:overflowPunct/>
                    <w:topLinePunct w:val="0"/>
                    <w:autoSpaceDE/>
                    <w:autoSpaceDN/>
                    <w:bidi w:val="0"/>
                    <w:adjustRightInd/>
                    <w:snapToGrid w:val="0"/>
                    <w:spacing w:line="360" w:lineRule="exact"/>
                    <w:ind w:left="-72" w:leftChars="-30" w:right="-72" w:rightChars="-3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溶解氧</w:t>
                  </w:r>
                </w:p>
              </w:tc>
              <w:tc>
                <w:tcPr>
                  <w:tcW w:w="652" w:type="pct"/>
                  <w:noWrap w:val="0"/>
                  <w:vAlign w:val="center"/>
                </w:tcPr>
                <w:p w14:paraId="7165B2B5">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w:t>
                  </w:r>
                </w:p>
              </w:tc>
              <w:tc>
                <w:tcPr>
                  <w:tcW w:w="989" w:type="pct"/>
                  <w:noWrap w:val="0"/>
                  <w:vAlign w:val="center"/>
                </w:tcPr>
                <w:p w14:paraId="12686B31">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≥饱和率90%（或7.5）</w:t>
                  </w:r>
                </w:p>
              </w:tc>
              <w:tc>
                <w:tcPr>
                  <w:tcW w:w="637" w:type="pct"/>
                  <w:noWrap w:val="0"/>
                  <w:vAlign w:val="center"/>
                </w:tcPr>
                <w:p w14:paraId="1C1A3543">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7.29</w:t>
                  </w:r>
                </w:p>
              </w:tc>
              <w:tc>
                <w:tcPr>
                  <w:tcW w:w="834" w:type="pct"/>
                  <w:noWrap w:val="0"/>
                  <w:vAlign w:val="center"/>
                </w:tcPr>
                <w:p w14:paraId="5E8A5BB3">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139139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1" w:type="pct"/>
                  <w:noWrap w:val="0"/>
                  <w:vAlign w:val="center"/>
                </w:tcPr>
                <w:p w14:paraId="19385475">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w:t>
                  </w:r>
                </w:p>
              </w:tc>
              <w:tc>
                <w:tcPr>
                  <w:tcW w:w="1464" w:type="pct"/>
                  <w:noWrap w:val="0"/>
                  <w:vAlign w:val="center"/>
                </w:tcPr>
                <w:p w14:paraId="5B33DB47">
                  <w:pPr>
                    <w:keepNext w:val="0"/>
                    <w:keepLines w:val="0"/>
                    <w:pageBreakBefore w:val="0"/>
                    <w:widowControl w:val="0"/>
                    <w:kinsoku/>
                    <w:wordWrap/>
                    <w:overflowPunct/>
                    <w:topLinePunct w:val="0"/>
                    <w:autoSpaceDE/>
                    <w:autoSpaceDN/>
                    <w:bidi w:val="0"/>
                    <w:adjustRightInd/>
                    <w:snapToGrid w:val="0"/>
                    <w:spacing w:line="360" w:lineRule="exact"/>
                    <w:ind w:left="-72" w:leftChars="-30" w:right="-72" w:rightChars="-3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化学需氧量（COD）</w:t>
                  </w:r>
                </w:p>
              </w:tc>
              <w:tc>
                <w:tcPr>
                  <w:tcW w:w="652" w:type="pct"/>
                  <w:noWrap w:val="0"/>
                  <w:vAlign w:val="center"/>
                </w:tcPr>
                <w:p w14:paraId="15693656">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w:t>
                  </w:r>
                </w:p>
              </w:tc>
              <w:tc>
                <w:tcPr>
                  <w:tcW w:w="989" w:type="pct"/>
                  <w:noWrap w:val="0"/>
                  <w:vAlign w:val="center"/>
                </w:tcPr>
                <w:p w14:paraId="417CA3FE">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637" w:type="pct"/>
                  <w:noWrap w:val="0"/>
                  <w:vAlign w:val="center"/>
                </w:tcPr>
                <w:p w14:paraId="54122973">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ND</w:t>
                  </w:r>
                </w:p>
              </w:tc>
              <w:tc>
                <w:tcPr>
                  <w:tcW w:w="834" w:type="pct"/>
                  <w:noWrap w:val="0"/>
                  <w:vAlign w:val="center"/>
                </w:tcPr>
                <w:p w14:paraId="3A6F05DB">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2CE925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1" w:type="pct"/>
                  <w:noWrap w:val="0"/>
                  <w:vAlign w:val="center"/>
                </w:tcPr>
                <w:p w14:paraId="6F3DB00B">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w:t>
                  </w:r>
                </w:p>
              </w:tc>
              <w:tc>
                <w:tcPr>
                  <w:tcW w:w="1464" w:type="pct"/>
                  <w:noWrap w:val="0"/>
                  <w:vAlign w:val="center"/>
                </w:tcPr>
                <w:p w14:paraId="6C2E89C4">
                  <w:pPr>
                    <w:keepNext w:val="0"/>
                    <w:keepLines w:val="0"/>
                    <w:pageBreakBefore w:val="0"/>
                    <w:widowControl w:val="0"/>
                    <w:kinsoku/>
                    <w:wordWrap/>
                    <w:overflowPunct/>
                    <w:topLinePunct w:val="0"/>
                    <w:autoSpaceDE/>
                    <w:autoSpaceDN/>
                    <w:bidi w:val="0"/>
                    <w:adjustRightInd/>
                    <w:snapToGrid w:val="0"/>
                    <w:spacing w:line="360" w:lineRule="exact"/>
                    <w:ind w:left="-72" w:leftChars="-30" w:right="-72" w:rightChars="-3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高锰酸钾指数</w:t>
                  </w:r>
                </w:p>
              </w:tc>
              <w:tc>
                <w:tcPr>
                  <w:tcW w:w="652" w:type="pct"/>
                  <w:noWrap w:val="0"/>
                  <w:vAlign w:val="center"/>
                </w:tcPr>
                <w:p w14:paraId="65AF56F9">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w:t>
                  </w:r>
                </w:p>
              </w:tc>
              <w:tc>
                <w:tcPr>
                  <w:tcW w:w="989" w:type="pct"/>
                  <w:noWrap w:val="0"/>
                  <w:vAlign w:val="center"/>
                </w:tcPr>
                <w:p w14:paraId="65D161BB">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637" w:type="pct"/>
                  <w:noWrap w:val="0"/>
                  <w:vAlign w:val="center"/>
                </w:tcPr>
                <w:p w14:paraId="134234F3">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0.72</w:t>
                  </w:r>
                </w:p>
              </w:tc>
              <w:tc>
                <w:tcPr>
                  <w:tcW w:w="834" w:type="pct"/>
                  <w:noWrap w:val="0"/>
                  <w:vAlign w:val="center"/>
                </w:tcPr>
                <w:p w14:paraId="1A157BFC">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39BA4F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1" w:type="pct"/>
                  <w:noWrap w:val="0"/>
                  <w:vAlign w:val="center"/>
                </w:tcPr>
                <w:p w14:paraId="5AC83133">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w:t>
                  </w:r>
                </w:p>
              </w:tc>
              <w:tc>
                <w:tcPr>
                  <w:tcW w:w="1464" w:type="pct"/>
                  <w:noWrap w:val="0"/>
                  <w:vAlign w:val="center"/>
                </w:tcPr>
                <w:p w14:paraId="0A9C3E03">
                  <w:pPr>
                    <w:keepNext w:val="0"/>
                    <w:keepLines w:val="0"/>
                    <w:pageBreakBefore w:val="0"/>
                    <w:widowControl w:val="0"/>
                    <w:kinsoku/>
                    <w:wordWrap/>
                    <w:overflowPunct/>
                    <w:topLinePunct w:val="0"/>
                    <w:autoSpaceDE/>
                    <w:autoSpaceDN/>
                    <w:bidi w:val="0"/>
                    <w:adjustRightInd/>
                    <w:snapToGrid w:val="0"/>
                    <w:spacing w:line="360" w:lineRule="exact"/>
                    <w:ind w:left="-72" w:leftChars="-30" w:right="-72" w:rightChars="-3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五日生化需氧量（BOD</w:t>
                  </w:r>
                  <w:r>
                    <w:rPr>
                      <w:rFonts w:hint="default" w:ascii="Times New Roman" w:hAnsi="Times New Roman" w:eastAsia="宋体" w:cs="Times New Roman"/>
                      <w:color w:val="auto"/>
                      <w:kern w:val="2"/>
                      <w:sz w:val="21"/>
                      <w:szCs w:val="21"/>
                      <w:highlight w:val="none"/>
                      <w:vertAlign w:val="subscript"/>
                      <w:lang w:val="en-US" w:eastAsia="zh-CN" w:bidi="ar-SA"/>
                    </w:rPr>
                    <w:t>5</w:t>
                  </w:r>
                  <w:r>
                    <w:rPr>
                      <w:rFonts w:hint="default" w:ascii="Times New Roman" w:hAnsi="Times New Roman" w:eastAsia="宋体" w:cs="Times New Roman"/>
                      <w:color w:val="auto"/>
                      <w:kern w:val="2"/>
                      <w:sz w:val="21"/>
                      <w:szCs w:val="21"/>
                      <w:highlight w:val="none"/>
                      <w:lang w:val="en-US" w:eastAsia="zh-CN" w:bidi="ar-SA"/>
                    </w:rPr>
                    <w:t>）</w:t>
                  </w:r>
                </w:p>
              </w:tc>
              <w:tc>
                <w:tcPr>
                  <w:tcW w:w="652" w:type="pct"/>
                  <w:noWrap w:val="0"/>
                  <w:vAlign w:val="center"/>
                </w:tcPr>
                <w:p w14:paraId="674B296E">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w:t>
                  </w:r>
                </w:p>
              </w:tc>
              <w:tc>
                <w:tcPr>
                  <w:tcW w:w="989" w:type="pct"/>
                  <w:noWrap w:val="0"/>
                  <w:vAlign w:val="center"/>
                </w:tcPr>
                <w:p w14:paraId="2174DC66">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637" w:type="pct"/>
                  <w:noWrap w:val="0"/>
                  <w:vAlign w:val="center"/>
                </w:tcPr>
                <w:p w14:paraId="3547C6C8">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0.21</w:t>
                  </w:r>
                </w:p>
              </w:tc>
              <w:tc>
                <w:tcPr>
                  <w:tcW w:w="834" w:type="pct"/>
                  <w:noWrap w:val="0"/>
                  <w:vAlign w:val="center"/>
                </w:tcPr>
                <w:p w14:paraId="0AF45AB2">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6232FD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5" w:hRule="atLeast"/>
                <w:jc w:val="center"/>
              </w:trPr>
              <w:tc>
                <w:tcPr>
                  <w:tcW w:w="421" w:type="pct"/>
                  <w:noWrap w:val="0"/>
                  <w:vAlign w:val="center"/>
                </w:tcPr>
                <w:p w14:paraId="4E9FADCA">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6</w:t>
                  </w:r>
                </w:p>
              </w:tc>
              <w:tc>
                <w:tcPr>
                  <w:tcW w:w="1464" w:type="pct"/>
                  <w:noWrap w:val="0"/>
                  <w:vAlign w:val="center"/>
                </w:tcPr>
                <w:p w14:paraId="6A7ADEDF">
                  <w:pPr>
                    <w:keepNext w:val="0"/>
                    <w:keepLines w:val="0"/>
                    <w:pageBreakBefore w:val="0"/>
                    <w:widowControl w:val="0"/>
                    <w:kinsoku/>
                    <w:wordWrap/>
                    <w:overflowPunct/>
                    <w:topLinePunct w:val="0"/>
                    <w:autoSpaceDE/>
                    <w:autoSpaceDN/>
                    <w:bidi w:val="0"/>
                    <w:adjustRightInd/>
                    <w:snapToGrid w:val="0"/>
                    <w:spacing w:line="360" w:lineRule="exact"/>
                    <w:ind w:left="-72" w:leftChars="-30" w:right="-72" w:rightChars="-3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氨（以N计）</w:t>
                  </w:r>
                </w:p>
              </w:tc>
              <w:tc>
                <w:tcPr>
                  <w:tcW w:w="652" w:type="pct"/>
                  <w:noWrap w:val="0"/>
                  <w:vAlign w:val="center"/>
                </w:tcPr>
                <w:p w14:paraId="718DE559">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w:t>
                  </w:r>
                </w:p>
              </w:tc>
              <w:tc>
                <w:tcPr>
                  <w:tcW w:w="989" w:type="pct"/>
                  <w:noWrap w:val="0"/>
                  <w:vAlign w:val="center"/>
                </w:tcPr>
                <w:p w14:paraId="251C1584">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≤0.15</w:t>
                  </w:r>
                </w:p>
              </w:tc>
              <w:tc>
                <w:tcPr>
                  <w:tcW w:w="637" w:type="pct"/>
                  <w:noWrap w:val="0"/>
                  <w:vAlign w:val="center"/>
                </w:tcPr>
                <w:p w14:paraId="20066782">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ND</w:t>
                  </w:r>
                </w:p>
              </w:tc>
              <w:tc>
                <w:tcPr>
                  <w:tcW w:w="834" w:type="pct"/>
                  <w:noWrap w:val="0"/>
                  <w:vAlign w:val="center"/>
                </w:tcPr>
                <w:p w14:paraId="0AB119A5">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002BB1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421" w:type="pct"/>
                  <w:noWrap w:val="0"/>
                  <w:vAlign w:val="center"/>
                </w:tcPr>
                <w:p w14:paraId="4E9A1D73">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7</w:t>
                  </w:r>
                </w:p>
              </w:tc>
              <w:tc>
                <w:tcPr>
                  <w:tcW w:w="1464" w:type="pct"/>
                  <w:noWrap w:val="0"/>
                  <w:vAlign w:val="center"/>
                </w:tcPr>
                <w:p w14:paraId="4CA80DA1">
                  <w:pPr>
                    <w:keepNext w:val="0"/>
                    <w:keepLines w:val="0"/>
                    <w:pageBreakBefore w:val="0"/>
                    <w:widowControl w:val="0"/>
                    <w:kinsoku/>
                    <w:wordWrap/>
                    <w:overflowPunct/>
                    <w:topLinePunct w:val="0"/>
                    <w:autoSpaceDE/>
                    <w:autoSpaceDN/>
                    <w:bidi w:val="0"/>
                    <w:adjustRightInd/>
                    <w:snapToGrid w:val="0"/>
                    <w:spacing w:line="360" w:lineRule="exact"/>
                    <w:ind w:left="-72" w:leftChars="-30" w:right="-72" w:rightChars="-3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总磷（以P计）</w:t>
                  </w:r>
                </w:p>
              </w:tc>
              <w:tc>
                <w:tcPr>
                  <w:tcW w:w="652" w:type="pct"/>
                  <w:noWrap w:val="0"/>
                  <w:vAlign w:val="center"/>
                </w:tcPr>
                <w:p w14:paraId="75D71C30">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w:t>
                  </w:r>
                </w:p>
              </w:tc>
              <w:tc>
                <w:tcPr>
                  <w:tcW w:w="989" w:type="pct"/>
                  <w:noWrap w:val="0"/>
                  <w:vAlign w:val="center"/>
                </w:tcPr>
                <w:p w14:paraId="22D589BC">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≤0.02（湖、库0.01）</w:t>
                  </w:r>
                </w:p>
              </w:tc>
              <w:tc>
                <w:tcPr>
                  <w:tcW w:w="637" w:type="pct"/>
                  <w:noWrap w:val="0"/>
                  <w:vAlign w:val="center"/>
                </w:tcPr>
                <w:p w14:paraId="3D36639F">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ND</w:t>
                  </w:r>
                </w:p>
              </w:tc>
              <w:tc>
                <w:tcPr>
                  <w:tcW w:w="834" w:type="pct"/>
                  <w:noWrap w:val="0"/>
                  <w:vAlign w:val="center"/>
                </w:tcPr>
                <w:p w14:paraId="1187D8EF">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20294D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1" w:type="pct"/>
                  <w:noWrap w:val="0"/>
                  <w:vAlign w:val="center"/>
                </w:tcPr>
                <w:p w14:paraId="4A7FAFAE">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8</w:t>
                  </w:r>
                </w:p>
              </w:tc>
              <w:tc>
                <w:tcPr>
                  <w:tcW w:w="1464" w:type="pct"/>
                  <w:noWrap w:val="0"/>
                  <w:vAlign w:val="center"/>
                </w:tcPr>
                <w:p w14:paraId="0FEAE38A">
                  <w:pPr>
                    <w:keepNext w:val="0"/>
                    <w:keepLines w:val="0"/>
                    <w:pageBreakBefore w:val="0"/>
                    <w:widowControl w:val="0"/>
                    <w:kinsoku/>
                    <w:wordWrap/>
                    <w:overflowPunct/>
                    <w:topLinePunct w:val="0"/>
                    <w:autoSpaceDE/>
                    <w:autoSpaceDN/>
                    <w:bidi w:val="0"/>
                    <w:adjustRightInd/>
                    <w:snapToGrid w:val="0"/>
                    <w:spacing w:line="360" w:lineRule="exact"/>
                    <w:ind w:left="-72" w:leftChars="-30" w:right="-72" w:rightChars="-3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总氮（以N计）</w:t>
                  </w:r>
                </w:p>
              </w:tc>
              <w:tc>
                <w:tcPr>
                  <w:tcW w:w="652" w:type="pct"/>
                  <w:noWrap w:val="0"/>
                  <w:vAlign w:val="center"/>
                </w:tcPr>
                <w:p w14:paraId="61C1C07E">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w:t>
                  </w:r>
                </w:p>
              </w:tc>
              <w:tc>
                <w:tcPr>
                  <w:tcW w:w="989" w:type="pct"/>
                  <w:noWrap w:val="0"/>
                  <w:vAlign w:val="center"/>
                </w:tcPr>
                <w:p w14:paraId="74CD04A3">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w:t>
                  </w:r>
                </w:p>
              </w:tc>
              <w:tc>
                <w:tcPr>
                  <w:tcW w:w="637" w:type="pct"/>
                  <w:noWrap w:val="0"/>
                  <w:vAlign w:val="center"/>
                </w:tcPr>
                <w:p w14:paraId="0143DD1C">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ND</w:t>
                  </w:r>
                </w:p>
              </w:tc>
              <w:tc>
                <w:tcPr>
                  <w:tcW w:w="834" w:type="pct"/>
                  <w:noWrap w:val="0"/>
                  <w:vAlign w:val="center"/>
                </w:tcPr>
                <w:p w14:paraId="6FBF0542">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216C5F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1" w:type="pct"/>
                  <w:noWrap w:val="0"/>
                  <w:vAlign w:val="center"/>
                </w:tcPr>
                <w:p w14:paraId="3416FEFD">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9</w:t>
                  </w:r>
                </w:p>
              </w:tc>
              <w:tc>
                <w:tcPr>
                  <w:tcW w:w="1464" w:type="pct"/>
                  <w:noWrap w:val="0"/>
                  <w:vAlign w:val="center"/>
                </w:tcPr>
                <w:p w14:paraId="07595D01">
                  <w:pPr>
                    <w:keepNext w:val="0"/>
                    <w:keepLines w:val="0"/>
                    <w:pageBreakBefore w:val="0"/>
                    <w:widowControl w:val="0"/>
                    <w:kinsoku/>
                    <w:wordWrap/>
                    <w:overflowPunct/>
                    <w:topLinePunct w:val="0"/>
                    <w:autoSpaceDE/>
                    <w:autoSpaceDN/>
                    <w:bidi w:val="0"/>
                    <w:adjustRightInd/>
                    <w:snapToGrid w:val="0"/>
                    <w:spacing w:line="360" w:lineRule="exact"/>
                    <w:ind w:left="-72" w:leftChars="-30" w:right="-72" w:rightChars="-3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铜</w:t>
                  </w:r>
                </w:p>
              </w:tc>
              <w:tc>
                <w:tcPr>
                  <w:tcW w:w="652" w:type="pct"/>
                  <w:noWrap w:val="0"/>
                  <w:vAlign w:val="center"/>
                </w:tcPr>
                <w:p w14:paraId="2CB99718">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w:t>
                  </w:r>
                </w:p>
              </w:tc>
              <w:tc>
                <w:tcPr>
                  <w:tcW w:w="989" w:type="pct"/>
                  <w:noWrap w:val="0"/>
                  <w:vAlign w:val="center"/>
                </w:tcPr>
                <w:p w14:paraId="313A4794">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w:t>
                  </w:r>
                </w:p>
              </w:tc>
              <w:tc>
                <w:tcPr>
                  <w:tcW w:w="637" w:type="pct"/>
                  <w:noWrap w:val="0"/>
                  <w:vAlign w:val="center"/>
                </w:tcPr>
                <w:p w14:paraId="7984F487">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1.77×10</w:t>
                  </w:r>
                  <w:r>
                    <w:rPr>
                      <w:rFonts w:hint="eastAsia" w:ascii="Times New Roman" w:hAnsi="Times New Roman" w:eastAsia="宋体" w:cs="Times New Roman"/>
                      <w:color w:val="auto"/>
                      <w:sz w:val="21"/>
                      <w:szCs w:val="21"/>
                      <w:highlight w:val="none"/>
                      <w:vertAlign w:val="superscript"/>
                      <w:lang w:val="en-US" w:eastAsia="zh-CN"/>
                    </w:rPr>
                    <w:t>-3</w:t>
                  </w:r>
                </w:p>
              </w:tc>
              <w:tc>
                <w:tcPr>
                  <w:tcW w:w="834" w:type="pct"/>
                  <w:noWrap w:val="0"/>
                  <w:vAlign w:val="center"/>
                </w:tcPr>
                <w:p w14:paraId="0599A0B5">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58C991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1" w:type="pct"/>
                  <w:noWrap w:val="0"/>
                  <w:vAlign w:val="center"/>
                </w:tcPr>
                <w:p w14:paraId="41F98C45">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1464" w:type="pct"/>
                  <w:noWrap w:val="0"/>
                  <w:vAlign w:val="center"/>
                </w:tcPr>
                <w:p w14:paraId="3E723E0C">
                  <w:pPr>
                    <w:keepNext w:val="0"/>
                    <w:keepLines w:val="0"/>
                    <w:pageBreakBefore w:val="0"/>
                    <w:widowControl w:val="0"/>
                    <w:kinsoku/>
                    <w:wordWrap/>
                    <w:overflowPunct/>
                    <w:topLinePunct w:val="0"/>
                    <w:autoSpaceDE/>
                    <w:autoSpaceDN/>
                    <w:bidi w:val="0"/>
                    <w:adjustRightInd/>
                    <w:snapToGrid w:val="0"/>
                    <w:spacing w:line="360" w:lineRule="exact"/>
                    <w:ind w:left="-72" w:leftChars="-30" w:right="-72" w:rightChars="-3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锌</w:t>
                  </w:r>
                </w:p>
              </w:tc>
              <w:tc>
                <w:tcPr>
                  <w:tcW w:w="652" w:type="pct"/>
                  <w:noWrap w:val="0"/>
                  <w:vAlign w:val="center"/>
                </w:tcPr>
                <w:p w14:paraId="5298D73F">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w:t>
                  </w:r>
                </w:p>
              </w:tc>
              <w:tc>
                <w:tcPr>
                  <w:tcW w:w="989" w:type="pct"/>
                  <w:noWrap w:val="0"/>
                  <w:vAlign w:val="center"/>
                </w:tcPr>
                <w:p w14:paraId="78A3BFAD">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c>
                <w:tcPr>
                  <w:tcW w:w="637" w:type="pct"/>
                  <w:noWrap w:val="0"/>
                  <w:vAlign w:val="center"/>
                </w:tcPr>
                <w:p w14:paraId="0EDAF2CB">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0.039</w:t>
                  </w:r>
                </w:p>
              </w:tc>
              <w:tc>
                <w:tcPr>
                  <w:tcW w:w="834" w:type="pct"/>
                  <w:noWrap w:val="0"/>
                  <w:vAlign w:val="center"/>
                </w:tcPr>
                <w:p w14:paraId="79B1D16D">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55F0CD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1" w:type="pct"/>
                  <w:noWrap w:val="0"/>
                  <w:vAlign w:val="center"/>
                </w:tcPr>
                <w:p w14:paraId="1F7E9FD6">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1</w:t>
                  </w:r>
                </w:p>
              </w:tc>
              <w:tc>
                <w:tcPr>
                  <w:tcW w:w="1464" w:type="pct"/>
                  <w:noWrap w:val="0"/>
                  <w:vAlign w:val="center"/>
                </w:tcPr>
                <w:p w14:paraId="351B62E3">
                  <w:pPr>
                    <w:keepNext w:val="0"/>
                    <w:keepLines w:val="0"/>
                    <w:pageBreakBefore w:val="0"/>
                    <w:widowControl w:val="0"/>
                    <w:kinsoku/>
                    <w:wordWrap/>
                    <w:overflowPunct/>
                    <w:topLinePunct w:val="0"/>
                    <w:autoSpaceDE/>
                    <w:autoSpaceDN/>
                    <w:bidi w:val="0"/>
                    <w:adjustRightInd/>
                    <w:snapToGrid w:val="0"/>
                    <w:spacing w:line="360" w:lineRule="exact"/>
                    <w:ind w:left="-72" w:leftChars="-30" w:right="-72" w:rightChars="-3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氟化物（以F</w:t>
                  </w:r>
                  <w:r>
                    <w:rPr>
                      <w:rFonts w:hint="default" w:ascii="Times New Roman" w:hAnsi="Times New Roman" w:eastAsia="宋体" w:cs="Times New Roman"/>
                      <w:color w:val="auto"/>
                      <w:kern w:val="2"/>
                      <w:sz w:val="21"/>
                      <w:szCs w:val="21"/>
                      <w:highlight w:val="none"/>
                      <w:lang w:val="en-US" w:eastAsia="zh-CN" w:bidi="ar-SA"/>
                    </w:rPr>
                    <w:t>-计）</w:t>
                  </w:r>
                </w:p>
              </w:tc>
              <w:tc>
                <w:tcPr>
                  <w:tcW w:w="652" w:type="pct"/>
                  <w:noWrap w:val="0"/>
                  <w:vAlign w:val="center"/>
                </w:tcPr>
                <w:p w14:paraId="661044D4">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w:t>
                  </w:r>
                </w:p>
              </w:tc>
              <w:tc>
                <w:tcPr>
                  <w:tcW w:w="989" w:type="pct"/>
                  <w:noWrap w:val="0"/>
                  <w:vAlign w:val="center"/>
                </w:tcPr>
                <w:p w14:paraId="6E89DF2D">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637" w:type="pct"/>
                  <w:noWrap w:val="0"/>
                  <w:vAlign w:val="center"/>
                </w:tcPr>
                <w:p w14:paraId="4A3EC04D">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ND</w:t>
                  </w:r>
                </w:p>
              </w:tc>
              <w:tc>
                <w:tcPr>
                  <w:tcW w:w="834" w:type="pct"/>
                  <w:noWrap w:val="0"/>
                  <w:vAlign w:val="center"/>
                </w:tcPr>
                <w:p w14:paraId="39D45013">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30BF9A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1" w:type="pct"/>
                  <w:noWrap w:val="0"/>
                  <w:vAlign w:val="center"/>
                </w:tcPr>
                <w:p w14:paraId="430C5B0F">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2</w:t>
                  </w:r>
                </w:p>
              </w:tc>
              <w:tc>
                <w:tcPr>
                  <w:tcW w:w="1464" w:type="pct"/>
                  <w:noWrap w:val="0"/>
                  <w:vAlign w:val="center"/>
                </w:tcPr>
                <w:p w14:paraId="7B6ED8B1">
                  <w:pPr>
                    <w:keepNext w:val="0"/>
                    <w:keepLines w:val="0"/>
                    <w:pageBreakBefore w:val="0"/>
                    <w:widowControl w:val="0"/>
                    <w:kinsoku/>
                    <w:wordWrap/>
                    <w:overflowPunct/>
                    <w:topLinePunct w:val="0"/>
                    <w:autoSpaceDE/>
                    <w:autoSpaceDN/>
                    <w:bidi w:val="0"/>
                    <w:adjustRightInd/>
                    <w:snapToGrid w:val="0"/>
                    <w:spacing w:line="360" w:lineRule="exact"/>
                    <w:ind w:left="-72" w:leftChars="-30" w:right="-72" w:rightChars="-3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硒</w:t>
                  </w:r>
                </w:p>
              </w:tc>
              <w:tc>
                <w:tcPr>
                  <w:tcW w:w="652" w:type="pct"/>
                  <w:noWrap w:val="0"/>
                  <w:vAlign w:val="center"/>
                </w:tcPr>
                <w:p w14:paraId="3CF7E87C">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w:t>
                  </w:r>
                </w:p>
              </w:tc>
              <w:tc>
                <w:tcPr>
                  <w:tcW w:w="989" w:type="pct"/>
                  <w:noWrap w:val="0"/>
                  <w:vAlign w:val="center"/>
                </w:tcPr>
                <w:p w14:paraId="6BE78A0C">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w:t>
                  </w:r>
                </w:p>
              </w:tc>
              <w:tc>
                <w:tcPr>
                  <w:tcW w:w="637" w:type="pct"/>
                  <w:noWrap w:val="0"/>
                  <w:vAlign w:val="center"/>
                </w:tcPr>
                <w:p w14:paraId="73AFAC7C">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0.33×10</w:t>
                  </w:r>
                  <w:r>
                    <w:rPr>
                      <w:rFonts w:hint="eastAsia" w:ascii="Times New Roman" w:hAnsi="Times New Roman" w:eastAsia="宋体" w:cs="Times New Roman"/>
                      <w:color w:val="auto"/>
                      <w:sz w:val="21"/>
                      <w:szCs w:val="21"/>
                      <w:highlight w:val="none"/>
                      <w:vertAlign w:val="superscript"/>
                      <w:lang w:val="en-US" w:eastAsia="zh-CN"/>
                    </w:rPr>
                    <w:t>-3</w:t>
                  </w:r>
                </w:p>
              </w:tc>
              <w:tc>
                <w:tcPr>
                  <w:tcW w:w="834" w:type="pct"/>
                  <w:noWrap w:val="0"/>
                  <w:vAlign w:val="center"/>
                </w:tcPr>
                <w:p w14:paraId="7D0DE7E4">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191EE7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1" w:type="pct"/>
                  <w:noWrap w:val="0"/>
                  <w:vAlign w:val="center"/>
                </w:tcPr>
                <w:p w14:paraId="2CFE4A93">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3</w:t>
                  </w:r>
                </w:p>
              </w:tc>
              <w:tc>
                <w:tcPr>
                  <w:tcW w:w="1464" w:type="pct"/>
                  <w:noWrap w:val="0"/>
                  <w:vAlign w:val="center"/>
                </w:tcPr>
                <w:p w14:paraId="469D1D82">
                  <w:pPr>
                    <w:keepNext w:val="0"/>
                    <w:keepLines w:val="0"/>
                    <w:pageBreakBefore w:val="0"/>
                    <w:widowControl w:val="0"/>
                    <w:kinsoku/>
                    <w:wordWrap/>
                    <w:overflowPunct/>
                    <w:topLinePunct w:val="0"/>
                    <w:autoSpaceDE/>
                    <w:autoSpaceDN/>
                    <w:bidi w:val="0"/>
                    <w:adjustRightInd/>
                    <w:snapToGrid w:val="0"/>
                    <w:spacing w:line="360" w:lineRule="exact"/>
                    <w:ind w:left="-72" w:leftChars="-30" w:right="-72" w:rightChars="-3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砷</w:t>
                  </w:r>
                </w:p>
              </w:tc>
              <w:tc>
                <w:tcPr>
                  <w:tcW w:w="652" w:type="pct"/>
                  <w:noWrap w:val="0"/>
                  <w:vAlign w:val="center"/>
                </w:tcPr>
                <w:p w14:paraId="535B119D">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w:t>
                  </w:r>
                </w:p>
              </w:tc>
              <w:tc>
                <w:tcPr>
                  <w:tcW w:w="989" w:type="pct"/>
                  <w:noWrap w:val="0"/>
                  <w:vAlign w:val="center"/>
                </w:tcPr>
                <w:p w14:paraId="7912FD5A">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c>
                <w:tcPr>
                  <w:tcW w:w="637" w:type="pct"/>
                  <w:noWrap w:val="0"/>
                  <w:vAlign w:val="center"/>
                </w:tcPr>
                <w:p w14:paraId="606DDD4A">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1.16×10</w:t>
                  </w:r>
                  <w:r>
                    <w:rPr>
                      <w:rFonts w:hint="eastAsia" w:ascii="Times New Roman" w:hAnsi="Times New Roman" w:eastAsia="宋体" w:cs="Times New Roman"/>
                      <w:color w:val="auto"/>
                      <w:sz w:val="21"/>
                      <w:szCs w:val="21"/>
                      <w:highlight w:val="none"/>
                      <w:vertAlign w:val="superscript"/>
                      <w:lang w:val="en-US" w:eastAsia="zh-CN"/>
                    </w:rPr>
                    <w:t>-3</w:t>
                  </w:r>
                </w:p>
              </w:tc>
              <w:tc>
                <w:tcPr>
                  <w:tcW w:w="834" w:type="pct"/>
                  <w:noWrap w:val="0"/>
                  <w:vAlign w:val="center"/>
                </w:tcPr>
                <w:p w14:paraId="003F1158">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73DB3F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1" w:type="pct"/>
                  <w:noWrap w:val="0"/>
                  <w:vAlign w:val="center"/>
                </w:tcPr>
                <w:p w14:paraId="6F119E34">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4</w:t>
                  </w:r>
                </w:p>
              </w:tc>
              <w:tc>
                <w:tcPr>
                  <w:tcW w:w="1464" w:type="pct"/>
                  <w:noWrap w:val="0"/>
                  <w:vAlign w:val="center"/>
                </w:tcPr>
                <w:p w14:paraId="74FFF52B">
                  <w:pPr>
                    <w:keepNext w:val="0"/>
                    <w:keepLines w:val="0"/>
                    <w:pageBreakBefore w:val="0"/>
                    <w:widowControl w:val="0"/>
                    <w:kinsoku/>
                    <w:wordWrap/>
                    <w:overflowPunct/>
                    <w:topLinePunct w:val="0"/>
                    <w:autoSpaceDE/>
                    <w:autoSpaceDN/>
                    <w:bidi w:val="0"/>
                    <w:adjustRightInd/>
                    <w:snapToGrid w:val="0"/>
                    <w:spacing w:line="360" w:lineRule="exact"/>
                    <w:ind w:left="-72" w:leftChars="-30" w:right="-72" w:rightChars="-3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汞</w:t>
                  </w:r>
                </w:p>
              </w:tc>
              <w:tc>
                <w:tcPr>
                  <w:tcW w:w="652" w:type="pct"/>
                  <w:noWrap w:val="0"/>
                  <w:vAlign w:val="center"/>
                </w:tcPr>
                <w:p w14:paraId="511F6061">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w:t>
                  </w:r>
                </w:p>
              </w:tc>
              <w:tc>
                <w:tcPr>
                  <w:tcW w:w="989" w:type="pct"/>
                  <w:noWrap w:val="0"/>
                  <w:vAlign w:val="center"/>
                </w:tcPr>
                <w:p w14:paraId="7CD20870">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≤0.00005</w:t>
                  </w:r>
                </w:p>
              </w:tc>
              <w:tc>
                <w:tcPr>
                  <w:tcW w:w="637" w:type="pct"/>
                  <w:noWrap w:val="0"/>
                  <w:vAlign w:val="center"/>
                </w:tcPr>
                <w:p w14:paraId="1803E747">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ND</w:t>
                  </w:r>
                </w:p>
              </w:tc>
              <w:tc>
                <w:tcPr>
                  <w:tcW w:w="834" w:type="pct"/>
                  <w:noWrap w:val="0"/>
                  <w:vAlign w:val="center"/>
                </w:tcPr>
                <w:p w14:paraId="2393E278">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0E8127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1" w:type="pct"/>
                  <w:noWrap w:val="0"/>
                  <w:vAlign w:val="center"/>
                </w:tcPr>
                <w:p w14:paraId="26EFE5D9">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5</w:t>
                  </w:r>
                </w:p>
              </w:tc>
              <w:tc>
                <w:tcPr>
                  <w:tcW w:w="1464" w:type="pct"/>
                  <w:noWrap w:val="0"/>
                  <w:vAlign w:val="center"/>
                </w:tcPr>
                <w:p w14:paraId="10B8B6AC">
                  <w:pPr>
                    <w:keepNext w:val="0"/>
                    <w:keepLines w:val="0"/>
                    <w:pageBreakBefore w:val="0"/>
                    <w:widowControl w:val="0"/>
                    <w:kinsoku/>
                    <w:wordWrap/>
                    <w:overflowPunct/>
                    <w:topLinePunct w:val="0"/>
                    <w:autoSpaceDE/>
                    <w:autoSpaceDN/>
                    <w:bidi w:val="0"/>
                    <w:adjustRightInd/>
                    <w:snapToGrid w:val="0"/>
                    <w:spacing w:line="360" w:lineRule="exact"/>
                    <w:ind w:left="-72" w:leftChars="-30" w:right="-72" w:rightChars="-3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镉</w:t>
                  </w:r>
                </w:p>
              </w:tc>
              <w:tc>
                <w:tcPr>
                  <w:tcW w:w="652" w:type="pct"/>
                  <w:noWrap w:val="0"/>
                  <w:vAlign w:val="center"/>
                </w:tcPr>
                <w:p w14:paraId="6CFF3B35">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w:t>
                  </w:r>
                </w:p>
              </w:tc>
              <w:tc>
                <w:tcPr>
                  <w:tcW w:w="989" w:type="pct"/>
                  <w:noWrap w:val="0"/>
                  <w:vAlign w:val="center"/>
                </w:tcPr>
                <w:p w14:paraId="779DB2B4">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w:t>
                  </w:r>
                </w:p>
              </w:tc>
              <w:tc>
                <w:tcPr>
                  <w:tcW w:w="637" w:type="pct"/>
                  <w:noWrap w:val="0"/>
                  <w:vAlign w:val="center"/>
                </w:tcPr>
                <w:p w14:paraId="1F78463C">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ND</w:t>
                  </w:r>
                </w:p>
              </w:tc>
              <w:tc>
                <w:tcPr>
                  <w:tcW w:w="834" w:type="pct"/>
                  <w:noWrap w:val="0"/>
                  <w:vAlign w:val="center"/>
                </w:tcPr>
                <w:p w14:paraId="55AB21D7">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5B9DA3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21" w:type="pct"/>
                  <w:noWrap w:val="0"/>
                  <w:vAlign w:val="center"/>
                </w:tcPr>
                <w:p w14:paraId="2B44CFCD">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6</w:t>
                  </w:r>
                </w:p>
              </w:tc>
              <w:tc>
                <w:tcPr>
                  <w:tcW w:w="1464" w:type="pct"/>
                  <w:noWrap w:val="0"/>
                  <w:vAlign w:val="center"/>
                </w:tcPr>
                <w:p w14:paraId="6D221E72">
                  <w:pPr>
                    <w:keepNext w:val="0"/>
                    <w:keepLines w:val="0"/>
                    <w:pageBreakBefore w:val="0"/>
                    <w:widowControl w:val="0"/>
                    <w:kinsoku/>
                    <w:wordWrap/>
                    <w:overflowPunct/>
                    <w:topLinePunct w:val="0"/>
                    <w:autoSpaceDE/>
                    <w:autoSpaceDN/>
                    <w:bidi w:val="0"/>
                    <w:adjustRightInd/>
                    <w:snapToGrid w:val="0"/>
                    <w:spacing w:line="360" w:lineRule="exact"/>
                    <w:ind w:left="-72" w:leftChars="-30" w:right="-72" w:rightChars="-3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铬（六价）</w:t>
                  </w:r>
                </w:p>
              </w:tc>
              <w:tc>
                <w:tcPr>
                  <w:tcW w:w="652" w:type="pct"/>
                  <w:noWrap w:val="0"/>
                  <w:vAlign w:val="center"/>
                </w:tcPr>
                <w:p w14:paraId="0ECBCE52">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w:t>
                  </w:r>
                </w:p>
              </w:tc>
              <w:tc>
                <w:tcPr>
                  <w:tcW w:w="989" w:type="pct"/>
                  <w:noWrap w:val="0"/>
                  <w:vAlign w:val="center"/>
                </w:tcPr>
                <w:p w14:paraId="32F67CD6">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w:t>
                  </w:r>
                </w:p>
              </w:tc>
              <w:tc>
                <w:tcPr>
                  <w:tcW w:w="637" w:type="pct"/>
                  <w:noWrap w:val="0"/>
                  <w:vAlign w:val="center"/>
                </w:tcPr>
                <w:p w14:paraId="5AC07064">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ND</w:t>
                  </w:r>
                </w:p>
              </w:tc>
              <w:tc>
                <w:tcPr>
                  <w:tcW w:w="834" w:type="pct"/>
                  <w:noWrap w:val="0"/>
                  <w:vAlign w:val="center"/>
                </w:tcPr>
                <w:p w14:paraId="33D04524">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753880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21" w:type="pct"/>
                  <w:noWrap w:val="0"/>
                  <w:vAlign w:val="center"/>
                </w:tcPr>
                <w:p w14:paraId="6B2C8877">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7</w:t>
                  </w:r>
                </w:p>
              </w:tc>
              <w:tc>
                <w:tcPr>
                  <w:tcW w:w="1464" w:type="pct"/>
                  <w:noWrap w:val="0"/>
                  <w:vAlign w:val="center"/>
                </w:tcPr>
                <w:p w14:paraId="09A10198">
                  <w:pPr>
                    <w:keepNext w:val="0"/>
                    <w:keepLines w:val="0"/>
                    <w:pageBreakBefore w:val="0"/>
                    <w:widowControl w:val="0"/>
                    <w:kinsoku/>
                    <w:wordWrap/>
                    <w:overflowPunct/>
                    <w:topLinePunct w:val="0"/>
                    <w:autoSpaceDE/>
                    <w:autoSpaceDN/>
                    <w:bidi w:val="0"/>
                    <w:adjustRightInd/>
                    <w:snapToGrid w:val="0"/>
                    <w:spacing w:line="360" w:lineRule="exact"/>
                    <w:ind w:left="-72" w:leftChars="-30" w:right="-72" w:rightChars="-3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铅</w:t>
                  </w:r>
                </w:p>
              </w:tc>
              <w:tc>
                <w:tcPr>
                  <w:tcW w:w="652" w:type="pct"/>
                  <w:noWrap w:val="0"/>
                  <w:vAlign w:val="center"/>
                </w:tcPr>
                <w:p w14:paraId="0867C467">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w:t>
                  </w:r>
                </w:p>
              </w:tc>
              <w:tc>
                <w:tcPr>
                  <w:tcW w:w="989" w:type="pct"/>
                  <w:noWrap w:val="0"/>
                  <w:vAlign w:val="center"/>
                </w:tcPr>
                <w:p w14:paraId="7F021642">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w:t>
                  </w:r>
                </w:p>
              </w:tc>
              <w:tc>
                <w:tcPr>
                  <w:tcW w:w="637" w:type="pct"/>
                  <w:noWrap w:val="0"/>
                  <w:vAlign w:val="center"/>
                </w:tcPr>
                <w:p w14:paraId="5852836E">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0.31×10</w:t>
                  </w:r>
                  <w:r>
                    <w:rPr>
                      <w:rFonts w:hint="eastAsia" w:ascii="Times New Roman" w:hAnsi="Times New Roman" w:eastAsia="宋体" w:cs="Times New Roman"/>
                      <w:color w:val="auto"/>
                      <w:sz w:val="21"/>
                      <w:szCs w:val="21"/>
                      <w:highlight w:val="none"/>
                      <w:vertAlign w:val="superscript"/>
                      <w:lang w:val="en-US" w:eastAsia="zh-CN"/>
                    </w:rPr>
                    <w:t>-3</w:t>
                  </w:r>
                </w:p>
              </w:tc>
              <w:tc>
                <w:tcPr>
                  <w:tcW w:w="834" w:type="pct"/>
                  <w:noWrap w:val="0"/>
                  <w:vAlign w:val="center"/>
                </w:tcPr>
                <w:p w14:paraId="00C1487B">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5DD7B7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1" w:type="pct"/>
                  <w:noWrap w:val="0"/>
                  <w:vAlign w:val="center"/>
                </w:tcPr>
                <w:p w14:paraId="08B66D0B">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8</w:t>
                  </w:r>
                </w:p>
              </w:tc>
              <w:tc>
                <w:tcPr>
                  <w:tcW w:w="1464" w:type="pct"/>
                  <w:noWrap w:val="0"/>
                  <w:vAlign w:val="center"/>
                </w:tcPr>
                <w:p w14:paraId="2B8702E8">
                  <w:pPr>
                    <w:keepNext w:val="0"/>
                    <w:keepLines w:val="0"/>
                    <w:pageBreakBefore w:val="0"/>
                    <w:widowControl w:val="0"/>
                    <w:kinsoku/>
                    <w:wordWrap/>
                    <w:overflowPunct/>
                    <w:topLinePunct w:val="0"/>
                    <w:autoSpaceDE/>
                    <w:autoSpaceDN/>
                    <w:bidi w:val="0"/>
                    <w:adjustRightInd/>
                    <w:snapToGrid w:val="0"/>
                    <w:spacing w:line="360" w:lineRule="exact"/>
                    <w:ind w:left="-72" w:leftChars="-30" w:right="-72" w:rightChars="-3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氰化物</w:t>
                  </w:r>
                </w:p>
              </w:tc>
              <w:tc>
                <w:tcPr>
                  <w:tcW w:w="652" w:type="pct"/>
                  <w:noWrap w:val="0"/>
                  <w:vAlign w:val="center"/>
                </w:tcPr>
                <w:p w14:paraId="76B41EF4">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w:t>
                  </w:r>
                </w:p>
              </w:tc>
              <w:tc>
                <w:tcPr>
                  <w:tcW w:w="989" w:type="pct"/>
                  <w:noWrap w:val="0"/>
                  <w:vAlign w:val="center"/>
                </w:tcPr>
                <w:p w14:paraId="502B546C">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≤0.005</w:t>
                  </w:r>
                </w:p>
              </w:tc>
              <w:tc>
                <w:tcPr>
                  <w:tcW w:w="637" w:type="pct"/>
                  <w:noWrap w:val="0"/>
                  <w:vAlign w:val="center"/>
                </w:tcPr>
                <w:p w14:paraId="0DA232E6">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ND</w:t>
                  </w:r>
                </w:p>
              </w:tc>
              <w:tc>
                <w:tcPr>
                  <w:tcW w:w="834" w:type="pct"/>
                  <w:noWrap w:val="0"/>
                  <w:vAlign w:val="center"/>
                </w:tcPr>
                <w:p w14:paraId="4DF11623">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4D2B3C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1" w:type="pct"/>
                  <w:noWrap w:val="0"/>
                  <w:vAlign w:val="center"/>
                </w:tcPr>
                <w:p w14:paraId="205A6896">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9</w:t>
                  </w:r>
                </w:p>
              </w:tc>
              <w:tc>
                <w:tcPr>
                  <w:tcW w:w="1464" w:type="pct"/>
                  <w:noWrap w:val="0"/>
                  <w:vAlign w:val="center"/>
                </w:tcPr>
                <w:p w14:paraId="7C64C933">
                  <w:pPr>
                    <w:keepNext w:val="0"/>
                    <w:keepLines w:val="0"/>
                    <w:pageBreakBefore w:val="0"/>
                    <w:widowControl w:val="0"/>
                    <w:kinsoku/>
                    <w:wordWrap/>
                    <w:overflowPunct/>
                    <w:topLinePunct w:val="0"/>
                    <w:autoSpaceDE/>
                    <w:autoSpaceDN/>
                    <w:bidi w:val="0"/>
                    <w:adjustRightInd/>
                    <w:snapToGrid w:val="0"/>
                    <w:spacing w:line="360" w:lineRule="exact"/>
                    <w:ind w:left="-72" w:leftChars="-30" w:right="-72" w:rightChars="-3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挥发酚</w:t>
                  </w:r>
                </w:p>
              </w:tc>
              <w:tc>
                <w:tcPr>
                  <w:tcW w:w="652" w:type="pct"/>
                  <w:noWrap w:val="0"/>
                  <w:vAlign w:val="center"/>
                </w:tcPr>
                <w:p w14:paraId="16C737BD">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w:t>
                  </w:r>
                </w:p>
              </w:tc>
              <w:tc>
                <w:tcPr>
                  <w:tcW w:w="989" w:type="pct"/>
                  <w:noWrap w:val="0"/>
                  <w:vAlign w:val="center"/>
                </w:tcPr>
                <w:p w14:paraId="306FEF64">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≤0.002</w:t>
                  </w:r>
                </w:p>
              </w:tc>
              <w:tc>
                <w:tcPr>
                  <w:tcW w:w="637" w:type="pct"/>
                  <w:noWrap w:val="0"/>
                  <w:vAlign w:val="center"/>
                </w:tcPr>
                <w:p w14:paraId="386C8198">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ND</w:t>
                  </w:r>
                </w:p>
              </w:tc>
              <w:tc>
                <w:tcPr>
                  <w:tcW w:w="834" w:type="pct"/>
                  <w:noWrap w:val="0"/>
                  <w:vAlign w:val="center"/>
                </w:tcPr>
                <w:p w14:paraId="62EDE8F3">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52D8AD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1" w:type="pct"/>
                  <w:noWrap w:val="0"/>
                  <w:vAlign w:val="center"/>
                </w:tcPr>
                <w:p w14:paraId="29BAAA9D">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1464" w:type="pct"/>
                  <w:noWrap w:val="0"/>
                  <w:vAlign w:val="center"/>
                </w:tcPr>
                <w:p w14:paraId="7A055E4E">
                  <w:pPr>
                    <w:keepNext w:val="0"/>
                    <w:keepLines w:val="0"/>
                    <w:pageBreakBefore w:val="0"/>
                    <w:widowControl w:val="0"/>
                    <w:kinsoku/>
                    <w:wordWrap/>
                    <w:overflowPunct/>
                    <w:topLinePunct w:val="0"/>
                    <w:autoSpaceDE/>
                    <w:autoSpaceDN/>
                    <w:bidi w:val="0"/>
                    <w:adjustRightInd/>
                    <w:snapToGrid w:val="0"/>
                    <w:spacing w:line="360" w:lineRule="exact"/>
                    <w:ind w:left="-72" w:leftChars="-30" w:right="-72" w:rightChars="-3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石油类</w:t>
                  </w:r>
                </w:p>
              </w:tc>
              <w:tc>
                <w:tcPr>
                  <w:tcW w:w="652" w:type="pct"/>
                  <w:noWrap w:val="0"/>
                  <w:vAlign w:val="center"/>
                </w:tcPr>
                <w:p w14:paraId="08B51DDD">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w:t>
                  </w:r>
                </w:p>
              </w:tc>
              <w:tc>
                <w:tcPr>
                  <w:tcW w:w="989" w:type="pct"/>
                  <w:noWrap w:val="0"/>
                  <w:vAlign w:val="center"/>
                </w:tcPr>
                <w:p w14:paraId="65F0C848">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c>
                <w:tcPr>
                  <w:tcW w:w="637" w:type="pct"/>
                  <w:noWrap w:val="0"/>
                  <w:vAlign w:val="center"/>
                </w:tcPr>
                <w:p w14:paraId="1E835452">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c>
                <w:tcPr>
                  <w:tcW w:w="834" w:type="pct"/>
                  <w:noWrap w:val="0"/>
                  <w:vAlign w:val="center"/>
                </w:tcPr>
                <w:p w14:paraId="077BE744">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03017D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1" w:type="pct"/>
                  <w:noWrap w:val="0"/>
                  <w:vAlign w:val="center"/>
                </w:tcPr>
                <w:p w14:paraId="1E36623B">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w:t>
                  </w:r>
                  <w:r>
                    <w:rPr>
                      <w:rFonts w:hint="eastAsia" w:ascii="Times New Roman" w:hAnsi="Times New Roman" w:eastAsia="宋体" w:cs="Times New Roman"/>
                      <w:color w:val="auto"/>
                      <w:sz w:val="21"/>
                      <w:szCs w:val="21"/>
                      <w:highlight w:val="none"/>
                      <w:lang w:val="en-US" w:eastAsia="zh-CN"/>
                    </w:rPr>
                    <w:t>1</w:t>
                  </w:r>
                </w:p>
              </w:tc>
              <w:tc>
                <w:tcPr>
                  <w:tcW w:w="1464" w:type="pct"/>
                  <w:noWrap w:val="0"/>
                  <w:vAlign w:val="center"/>
                </w:tcPr>
                <w:p w14:paraId="65263DA1">
                  <w:pPr>
                    <w:keepNext w:val="0"/>
                    <w:keepLines w:val="0"/>
                    <w:pageBreakBefore w:val="0"/>
                    <w:widowControl w:val="0"/>
                    <w:kinsoku/>
                    <w:wordWrap/>
                    <w:overflowPunct/>
                    <w:topLinePunct w:val="0"/>
                    <w:autoSpaceDE/>
                    <w:autoSpaceDN/>
                    <w:bidi w:val="0"/>
                    <w:adjustRightInd/>
                    <w:snapToGrid w:val="0"/>
                    <w:spacing w:line="360" w:lineRule="exact"/>
                    <w:ind w:left="-72" w:leftChars="-30" w:right="-72" w:rightChars="-3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阴离子表面活性剂</w:t>
                  </w:r>
                </w:p>
              </w:tc>
              <w:tc>
                <w:tcPr>
                  <w:tcW w:w="652" w:type="pct"/>
                  <w:noWrap w:val="0"/>
                  <w:vAlign w:val="center"/>
                </w:tcPr>
                <w:p w14:paraId="352526AC">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w:t>
                  </w:r>
                </w:p>
              </w:tc>
              <w:tc>
                <w:tcPr>
                  <w:tcW w:w="989" w:type="pct"/>
                  <w:noWrap w:val="0"/>
                  <w:vAlign w:val="center"/>
                </w:tcPr>
                <w:p w14:paraId="3DF1191F">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w:t>
                  </w:r>
                </w:p>
              </w:tc>
              <w:tc>
                <w:tcPr>
                  <w:tcW w:w="637" w:type="pct"/>
                  <w:noWrap w:val="0"/>
                  <w:vAlign w:val="center"/>
                </w:tcPr>
                <w:p w14:paraId="673FBC26">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ND</w:t>
                  </w:r>
                </w:p>
              </w:tc>
              <w:tc>
                <w:tcPr>
                  <w:tcW w:w="834" w:type="pct"/>
                  <w:noWrap w:val="0"/>
                  <w:vAlign w:val="center"/>
                </w:tcPr>
                <w:p w14:paraId="2CE5C0E5">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248D5A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1" w:type="pct"/>
                  <w:noWrap w:val="0"/>
                  <w:vAlign w:val="center"/>
                </w:tcPr>
                <w:p w14:paraId="49FC3E28">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w:t>
                  </w:r>
                </w:p>
              </w:tc>
              <w:tc>
                <w:tcPr>
                  <w:tcW w:w="1464" w:type="pct"/>
                  <w:noWrap w:val="0"/>
                  <w:vAlign w:val="center"/>
                </w:tcPr>
                <w:p w14:paraId="2C07A5C8">
                  <w:pPr>
                    <w:keepNext w:val="0"/>
                    <w:keepLines w:val="0"/>
                    <w:pageBreakBefore w:val="0"/>
                    <w:widowControl w:val="0"/>
                    <w:kinsoku/>
                    <w:wordWrap/>
                    <w:overflowPunct/>
                    <w:topLinePunct w:val="0"/>
                    <w:autoSpaceDE/>
                    <w:autoSpaceDN/>
                    <w:bidi w:val="0"/>
                    <w:adjustRightInd/>
                    <w:snapToGrid w:val="0"/>
                    <w:spacing w:line="360" w:lineRule="exact"/>
                    <w:ind w:left="-72" w:leftChars="-30" w:right="-72" w:rightChars="-3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硫化物</w:t>
                  </w:r>
                </w:p>
              </w:tc>
              <w:tc>
                <w:tcPr>
                  <w:tcW w:w="652" w:type="pct"/>
                  <w:noWrap w:val="0"/>
                  <w:vAlign w:val="center"/>
                </w:tcPr>
                <w:p w14:paraId="69AD014F">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w:t>
                  </w:r>
                </w:p>
              </w:tc>
              <w:tc>
                <w:tcPr>
                  <w:tcW w:w="989" w:type="pct"/>
                  <w:noWrap w:val="0"/>
                  <w:vAlign w:val="center"/>
                </w:tcPr>
                <w:p w14:paraId="58747B75">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c>
                <w:tcPr>
                  <w:tcW w:w="637" w:type="pct"/>
                  <w:noWrap w:val="0"/>
                  <w:vAlign w:val="center"/>
                </w:tcPr>
                <w:p w14:paraId="1B966FBC">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ND</w:t>
                  </w:r>
                </w:p>
              </w:tc>
              <w:tc>
                <w:tcPr>
                  <w:tcW w:w="834" w:type="pct"/>
                  <w:noWrap w:val="0"/>
                  <w:vAlign w:val="center"/>
                </w:tcPr>
                <w:p w14:paraId="56FC48AF">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7EE4EE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1" w:type="pct"/>
                  <w:noWrap w:val="0"/>
                  <w:vAlign w:val="center"/>
                </w:tcPr>
                <w:p w14:paraId="0E137F9A">
                  <w:pPr>
                    <w:keepNext w:val="0"/>
                    <w:keepLines w:val="0"/>
                    <w:pageBreakBefore w:val="0"/>
                    <w:kinsoku/>
                    <w:wordWrap/>
                    <w:overflowPunct/>
                    <w:topLinePunct w:val="0"/>
                    <w:autoSpaceDE/>
                    <w:autoSpaceDN/>
                    <w:bidi w:val="0"/>
                    <w:adjustRightInd/>
                    <w:snapToGrid w:val="0"/>
                    <w:spacing w:line="360" w:lineRule="exact"/>
                    <w:ind w:left="-72" w:leftChars="-30" w:right="-72" w:rightChars="-30"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w:t>
                  </w:r>
                </w:p>
              </w:tc>
              <w:tc>
                <w:tcPr>
                  <w:tcW w:w="1464" w:type="pct"/>
                  <w:noWrap w:val="0"/>
                  <w:vAlign w:val="center"/>
                </w:tcPr>
                <w:p w14:paraId="20FA4058">
                  <w:pPr>
                    <w:keepNext w:val="0"/>
                    <w:keepLines w:val="0"/>
                    <w:pageBreakBefore w:val="0"/>
                    <w:widowControl w:val="0"/>
                    <w:kinsoku/>
                    <w:wordWrap/>
                    <w:overflowPunct/>
                    <w:topLinePunct w:val="0"/>
                    <w:autoSpaceDE/>
                    <w:autoSpaceDN/>
                    <w:bidi w:val="0"/>
                    <w:adjustRightInd/>
                    <w:snapToGrid w:val="0"/>
                    <w:spacing w:line="360" w:lineRule="exact"/>
                    <w:ind w:left="-72" w:leftChars="-30" w:right="-72" w:rightChars="-3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粪大肠菌群</w:t>
                  </w:r>
                </w:p>
              </w:tc>
              <w:tc>
                <w:tcPr>
                  <w:tcW w:w="652" w:type="pct"/>
                  <w:noWrap w:val="0"/>
                  <w:vAlign w:val="center"/>
                </w:tcPr>
                <w:p w14:paraId="396F1FB2">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MPN/100ml</w:t>
                  </w:r>
                </w:p>
              </w:tc>
              <w:tc>
                <w:tcPr>
                  <w:tcW w:w="989" w:type="pct"/>
                  <w:noWrap w:val="0"/>
                  <w:vAlign w:val="center"/>
                </w:tcPr>
                <w:p w14:paraId="0E11CE72">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≤200</w:t>
                  </w:r>
                </w:p>
              </w:tc>
              <w:tc>
                <w:tcPr>
                  <w:tcW w:w="637" w:type="pct"/>
                  <w:noWrap w:val="0"/>
                  <w:vAlign w:val="center"/>
                </w:tcPr>
                <w:p w14:paraId="7514A443">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ND</w:t>
                  </w:r>
                </w:p>
              </w:tc>
              <w:tc>
                <w:tcPr>
                  <w:tcW w:w="834" w:type="pct"/>
                  <w:noWrap w:val="0"/>
                  <w:vAlign w:val="center"/>
                </w:tcPr>
                <w:p w14:paraId="4E74799E">
                  <w:pPr>
                    <w:keepNext w:val="0"/>
                    <w:keepLines w:val="0"/>
                    <w:pageBreakBefore w:val="0"/>
                    <w:widowControl w:val="0"/>
                    <w:kinsoku/>
                    <w:wordWrap/>
                    <w:overflowPunct w:val="0"/>
                    <w:topLinePunct/>
                    <w:autoSpaceDE/>
                    <w:autoSpaceDN/>
                    <w:bidi w:val="0"/>
                    <w:adjustRightInd/>
                    <w:snapToGrid w:val="0"/>
                    <w:spacing w:line="360" w:lineRule="exact"/>
                    <w:ind w:left="-72" w:leftChars="-30" w:right="-72" w:rightChars="-3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bl>
          <w:p w14:paraId="04631264">
            <w:pPr>
              <w:pStyle w:val="2"/>
              <w:rPr>
                <w:b/>
                <w:color w:val="000000"/>
                <w:kern w:val="0"/>
              </w:rPr>
            </w:pPr>
            <w:r>
              <w:rPr>
                <w:rFonts w:hint="default" w:ascii="Times New Roman" w:hAnsi="Times New Roman" w:eastAsia="宋体" w:cs="Times New Roman"/>
                <w:snapToGrid w:val="0"/>
                <w:color w:val="auto"/>
                <w:kern w:val="0"/>
                <w:sz w:val="24"/>
                <w:szCs w:val="24"/>
                <w:highlight w:val="none"/>
                <w:lang w:val="en-US" w:eastAsia="zh-CN" w:bidi="ar-SA"/>
              </w:rPr>
              <w:t>根据监测结果，各项监测因子均满足《地表水环境质量标准》（GB3838-2002）中Ⅰ类标准，说明萨很托亥河水质一般。</w:t>
            </w:r>
            <w:r>
              <w:rPr>
                <w:rFonts w:hint="eastAsia"/>
              </w:rPr>
              <w:t>本项目不向周边地表水体排放废水，合理规划勘探线路和作业区域，避免穿越季节性河流及冲沟，对水体环境影响较小。</w:t>
            </w:r>
          </w:p>
        </w:tc>
      </w:tr>
      <w:tr w14:paraId="7A9001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dxa"/>
            <w:tcMar>
              <w:left w:w="28" w:type="dxa"/>
              <w:right w:w="28" w:type="dxa"/>
            </w:tcMar>
            <w:vAlign w:val="center"/>
          </w:tcPr>
          <w:p w14:paraId="37BEAAE3">
            <w:pPr>
              <w:pStyle w:val="31"/>
            </w:pPr>
            <w:r>
              <w:t>与项目有关的原有</w:t>
            </w:r>
            <w:r>
              <w:rPr>
                <w:rFonts w:hint="eastAsia"/>
              </w:rPr>
              <w:t>环境</w:t>
            </w:r>
            <w:r>
              <w:t>污染</w:t>
            </w:r>
            <w:r>
              <w:rPr>
                <w:rFonts w:hint="eastAsia"/>
              </w:rPr>
              <w:t>和生态破坏</w:t>
            </w:r>
            <w:r>
              <w:t>问题</w:t>
            </w:r>
          </w:p>
        </w:tc>
        <w:tc>
          <w:tcPr>
            <w:tcW w:w="9267" w:type="dxa"/>
            <w:vAlign w:val="center"/>
          </w:tcPr>
          <w:p w14:paraId="3A6F20FD">
            <w:pPr>
              <w:adjustRightInd w:val="0"/>
              <w:snapToGrid w:val="0"/>
              <w:ind w:firstLine="480"/>
              <w:rPr>
                <w:rFonts w:hint="eastAsia" w:ascii="宋体" w:hAnsi="宋体" w:cs="宋体"/>
                <w:kern w:val="0"/>
                <w:szCs w:val="21"/>
              </w:rPr>
            </w:pPr>
            <w:r>
              <w:rPr>
                <w:rFonts w:hint="eastAsia"/>
              </w:rPr>
              <w:t>项目区位于</w:t>
            </w:r>
            <w:r>
              <w:rPr>
                <w:rFonts w:hint="eastAsia"/>
                <w:color w:val="000000"/>
              </w:rPr>
              <w:t>巴音郭楞蒙古自治州</w:t>
            </w:r>
            <w:r>
              <w:rPr>
                <w:rFonts w:hint="eastAsia"/>
                <w:color w:val="000000"/>
                <w:lang w:eastAsia="zh-CN"/>
              </w:rPr>
              <w:t>和静县287°方向直线距离约130千米处</w:t>
            </w:r>
            <w:r>
              <w:rPr>
                <w:rFonts w:hint="eastAsia"/>
              </w:rPr>
              <w:t>，行政区划隶属新疆和静县管辖</w:t>
            </w:r>
            <w:r>
              <w:rPr>
                <w:rFonts w:hint="eastAsia"/>
                <w:color w:val="000000"/>
                <w:kern w:val="0"/>
              </w:rPr>
              <w:t>，</w:t>
            </w:r>
            <w:r>
              <w:rPr>
                <w:rFonts w:hint="eastAsia" w:ascii="宋体" w:hAnsi="宋体"/>
                <w:color w:val="000000"/>
              </w:rPr>
              <w:t>属于</w:t>
            </w:r>
            <w:r>
              <w:rPr>
                <w:rFonts w:ascii="宋体" w:hAnsi="宋体"/>
                <w:color w:val="000000"/>
              </w:rPr>
              <w:t>新建</w:t>
            </w:r>
            <w:r>
              <w:rPr>
                <w:rFonts w:hint="eastAsia" w:ascii="宋体" w:hAnsi="宋体"/>
                <w:color w:val="000000"/>
              </w:rPr>
              <w:t>项目</w:t>
            </w:r>
            <w:r>
              <w:rPr>
                <w:rFonts w:ascii="宋体" w:hAnsi="宋体"/>
                <w:color w:val="000000"/>
              </w:rPr>
              <w:t>，无原有污染情况</w:t>
            </w:r>
            <w:r>
              <w:rPr>
                <w:rFonts w:hint="eastAsia" w:ascii="宋体" w:hAnsi="宋体"/>
                <w:color w:val="000000"/>
              </w:rPr>
              <w:t>。</w:t>
            </w:r>
          </w:p>
        </w:tc>
      </w:tr>
      <w:tr w14:paraId="13C2D7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67" w:hRule="atLeast"/>
          <w:jc w:val="center"/>
        </w:trPr>
        <w:tc>
          <w:tcPr>
            <w:tcW w:w="413" w:type="dxa"/>
            <w:vAlign w:val="center"/>
          </w:tcPr>
          <w:p w14:paraId="61CCA86B">
            <w:pPr>
              <w:pStyle w:val="31"/>
            </w:pPr>
            <w:r>
              <w:rPr>
                <w:rFonts w:hint="eastAsia"/>
              </w:rPr>
              <w:t>生态环境保护目标</w:t>
            </w:r>
          </w:p>
        </w:tc>
        <w:tc>
          <w:tcPr>
            <w:tcW w:w="9267" w:type="dxa"/>
            <w:vAlign w:val="center"/>
          </w:tcPr>
          <w:p w14:paraId="15C24298">
            <w:pPr>
              <w:pStyle w:val="20"/>
              <w:ind w:firstLine="482"/>
            </w:pPr>
            <w:bookmarkStart w:id="6" w:name="_Hlk124255559"/>
            <w:r>
              <w:rPr>
                <w:rFonts w:hint="eastAsia"/>
              </w:rPr>
              <w:t>1.大气环境</w:t>
            </w:r>
          </w:p>
          <w:p w14:paraId="037C1DB3">
            <w:pPr>
              <w:ind w:firstLine="480"/>
            </w:pPr>
            <w:r>
              <w:t>本项目场界外500m范围内无自然保护区、风景名胜区、居住区、文化区和农村地区中人群较集中的区域等大气环境保护目标；</w:t>
            </w:r>
          </w:p>
          <w:p w14:paraId="20582460">
            <w:pPr>
              <w:pStyle w:val="20"/>
              <w:ind w:firstLine="482"/>
            </w:pPr>
            <w:r>
              <w:rPr>
                <w:rFonts w:hint="eastAsia"/>
              </w:rPr>
              <w:t>2</w:t>
            </w:r>
            <w:r>
              <w:t>.</w:t>
            </w:r>
            <w:r>
              <w:rPr>
                <w:rFonts w:hint="eastAsia"/>
              </w:rPr>
              <w:t>声环境</w:t>
            </w:r>
          </w:p>
          <w:p w14:paraId="34CE9ABF">
            <w:pPr>
              <w:ind w:firstLine="480"/>
            </w:pPr>
            <w:r>
              <w:t>根据《环境影响评价技术导则声环境》(</w:t>
            </w:r>
            <w:r>
              <w:rPr>
                <w:rFonts w:hint="eastAsia"/>
              </w:rPr>
              <w:t>HJ2.4-2021</w:t>
            </w:r>
            <w:r>
              <w:t>)，声环境敏感目标指医院、学校、机关、科研单位、住宅、自然保护区等对噪声敏感的建筑物或区域。本项目场界外50m范围内无声环境保护目标；</w:t>
            </w:r>
          </w:p>
          <w:p w14:paraId="1D934BC0">
            <w:pPr>
              <w:pStyle w:val="20"/>
              <w:ind w:firstLine="482"/>
            </w:pPr>
            <w:r>
              <w:rPr>
                <w:rFonts w:hint="eastAsia"/>
              </w:rPr>
              <w:t>3</w:t>
            </w:r>
            <w:r>
              <w:t>.</w:t>
            </w:r>
            <w:r>
              <w:rPr>
                <w:rFonts w:hint="eastAsia"/>
              </w:rPr>
              <w:t>生态环境</w:t>
            </w:r>
          </w:p>
          <w:p w14:paraId="6C8704A4">
            <w:pPr>
              <w:ind w:firstLine="480"/>
              <w:outlineLvl w:val="1"/>
              <w:rPr>
                <w:color w:val="000000"/>
              </w:rPr>
            </w:pPr>
            <w:r>
              <w:rPr>
                <w:rFonts w:hint="eastAsia"/>
              </w:rPr>
              <w:t>根据现场踏勘，项目区位于</w:t>
            </w:r>
            <w:r>
              <w:rPr>
                <w:rFonts w:hint="eastAsia"/>
                <w:color w:val="000000"/>
              </w:rPr>
              <w:t>巴音郭楞蒙古自治州</w:t>
            </w:r>
            <w:r>
              <w:rPr>
                <w:rFonts w:hint="eastAsia"/>
                <w:color w:val="000000"/>
                <w:lang w:eastAsia="zh-CN"/>
              </w:rPr>
              <w:t>和静县287°方向直线距离约130千米处</w:t>
            </w:r>
            <w:r>
              <w:rPr>
                <w:rFonts w:hint="eastAsia"/>
              </w:rPr>
              <w:t>，行政区划隶属新疆和静县管辖，项目矿权范围内不涉及《环境影</w:t>
            </w:r>
            <w:r>
              <w:rPr>
                <w:rFonts w:hint="eastAsia"/>
                <w:color w:val="000000"/>
              </w:rPr>
              <w:t>响评价技术导则生态影响》（HJ19-2022）中规定的特殊生态敏感区、重要生态敏感区，详见《附图6项目区植被类型图》。</w:t>
            </w:r>
          </w:p>
          <w:p w14:paraId="29F8EBDB">
            <w:pPr>
              <w:ind w:firstLine="480"/>
              <w:outlineLvl w:val="1"/>
              <w:rPr>
                <w:color w:val="000000"/>
              </w:rPr>
            </w:pPr>
            <w:r>
              <w:rPr>
                <w:rFonts w:hint="eastAsia"/>
                <w:color w:val="000000"/>
              </w:rPr>
              <w:t>项目周边区域无饮用水水源保护区、国家及地方公益林、森林公园、湿地公园等生态环境敏感点，天山水源涵养与生物多样性维护生态保护红线区</w:t>
            </w:r>
            <w:r>
              <w:rPr>
                <w:rFonts w:hint="eastAsia"/>
                <w:color w:val="000000"/>
                <w:lang w:val="en-US" w:eastAsia="zh-CN"/>
              </w:rPr>
              <w:t>紧邻</w:t>
            </w:r>
            <w:r>
              <w:rPr>
                <w:rFonts w:hint="eastAsia"/>
                <w:color w:val="000000"/>
              </w:rPr>
              <w:t>本项目，红线区管控级别</w:t>
            </w:r>
            <w:r>
              <w:rPr>
                <w:rFonts w:hint="eastAsia"/>
                <w:color w:val="000000"/>
                <w:lang w:val="en-US" w:eastAsia="zh-CN"/>
              </w:rPr>
              <w:t>为</w:t>
            </w:r>
            <w:r>
              <w:rPr>
                <w:rFonts w:ascii="Segoe UI" w:hAnsi="Segoe UI" w:eastAsia="Segoe UI" w:cs="Segoe UI"/>
                <w:i w:val="0"/>
                <w:iCs w:val="0"/>
                <w:caps w:val="0"/>
                <w:spacing w:val="0"/>
                <w:sz w:val="24"/>
                <w:szCs w:val="24"/>
                <w:shd w:val="clear" w:fill="FFFFFF"/>
              </w:rPr>
              <w:t>核心保护区</w:t>
            </w:r>
            <w:r>
              <w:rPr>
                <w:rFonts w:hint="eastAsia" w:ascii="Segoe UI" w:hAnsi="Segoe UI" w:eastAsia="宋体" w:cs="Segoe UI"/>
                <w:i w:val="0"/>
                <w:iCs w:val="0"/>
                <w:caps w:val="0"/>
                <w:spacing w:val="0"/>
                <w:sz w:val="24"/>
                <w:szCs w:val="24"/>
                <w:shd w:val="clear" w:fill="FFFFFF"/>
                <w:lang w:eastAsia="zh-CN"/>
              </w:rPr>
              <w:t>，</w:t>
            </w:r>
            <w:r>
              <w:rPr>
                <w:rFonts w:hint="eastAsia"/>
                <w:color w:val="000000"/>
              </w:rPr>
              <w:t>详见《附图7项目区与生态红线位置关系图》。根据《关于加强生态保护红线管理的通知（试行）》</w:t>
            </w:r>
            <w:r>
              <w:rPr>
                <w:rFonts w:hint="eastAsia"/>
                <w:color w:val="000000"/>
                <w:lang w:eastAsia="zh-CN"/>
              </w:rPr>
              <w:t>（</w:t>
            </w:r>
            <w:r>
              <w:rPr>
                <w:rFonts w:hint="eastAsia"/>
                <w:color w:val="000000"/>
              </w:rPr>
              <w:t>2022年</w:t>
            </w:r>
            <w:r>
              <w:rPr>
                <w:rFonts w:hint="eastAsia"/>
                <w:color w:val="000000"/>
                <w:lang w:eastAsia="zh-CN"/>
              </w:rPr>
              <w:t>）</w:t>
            </w:r>
            <w:r>
              <w:rPr>
                <w:rFonts w:hint="eastAsia"/>
                <w:color w:val="000000"/>
              </w:rPr>
              <w:t>要求，勘查活动需落实生态影响减缓措施，严格执行绿色勘查、绿色开采及矿山生态修复相关规定。本项目为地质勘探工程，生产活动规模较小，在采取有效污染防治措施后，对天山水源涵养与生物多样性维护生态保护红线区基本无影响。</w:t>
            </w:r>
          </w:p>
          <w:p w14:paraId="6194F067">
            <w:pPr>
              <w:ind w:firstLine="480"/>
              <w:outlineLvl w:val="1"/>
              <w:rPr>
                <w:rFonts w:hint="eastAsia" w:eastAsia="宋体"/>
                <w:color w:val="000000"/>
                <w:lang w:eastAsia="zh-CN"/>
              </w:rPr>
            </w:pPr>
            <w:r>
              <w:rPr>
                <w:rFonts w:hint="eastAsia"/>
                <w:color w:val="000000"/>
              </w:rPr>
              <w:t>距离本项目最近水体为</w:t>
            </w:r>
            <w:r>
              <w:rPr>
                <w:rFonts w:hint="eastAsia"/>
                <w:lang w:eastAsia="zh-CN"/>
              </w:rPr>
              <w:t>萨很托亥河，</w:t>
            </w:r>
            <w:r>
              <w:rPr>
                <w:rFonts w:hint="eastAsia"/>
                <w:lang w:val="en-US" w:eastAsia="zh-CN"/>
              </w:rPr>
              <w:t>穿越工作区</w:t>
            </w:r>
            <w:r>
              <w:rPr>
                <w:rFonts w:hint="eastAsia"/>
                <w:bCs/>
                <w:color w:val="000000"/>
                <w:kern w:val="0"/>
              </w:rPr>
              <w:t>。</w:t>
            </w:r>
            <w:r>
              <w:rPr>
                <w:rFonts w:hint="eastAsia"/>
                <w:color w:val="000000"/>
              </w:rPr>
              <w:t>主要保护目标为项目探矿期间周边的生态环境质量维持现有水平。</w:t>
            </w:r>
            <w:bookmarkEnd w:id="6"/>
            <w:r>
              <w:rPr>
                <w:rFonts w:ascii="Segoe UI" w:hAnsi="Segoe UI" w:eastAsia="Segoe UI" w:cs="Segoe UI"/>
                <w:i w:val="0"/>
                <w:iCs w:val="0"/>
                <w:caps w:val="0"/>
                <w:spacing w:val="0"/>
                <w:sz w:val="24"/>
                <w:szCs w:val="24"/>
                <w:shd w:val="clear" w:fill="FFFFFF"/>
              </w:rPr>
              <w:t>通过前期水文调查，明确区域内的溪流、沟渠、地下暗河等水文连通通道，项目所有工程范围（含勘探钻孔、临时便道）均避开这些通道，不设置任何阻断径流的永久性设施，确保地表径流、地下水渗透的自然连通性。禁止在施工区域内设置排污口，所有施工废水（如</w:t>
            </w:r>
            <w:r>
              <w:rPr>
                <w:rFonts w:hint="eastAsia"/>
              </w:rPr>
              <w:t>钻探废水</w:t>
            </w:r>
            <w:r>
              <w:rPr>
                <w:rFonts w:ascii="Segoe UI" w:hAnsi="Segoe UI" w:eastAsia="Segoe UI" w:cs="Segoe UI"/>
                <w:i w:val="0"/>
                <w:iCs w:val="0"/>
                <w:caps w:val="0"/>
                <w:spacing w:val="0"/>
                <w:sz w:val="24"/>
                <w:szCs w:val="24"/>
                <w:shd w:val="clear" w:fill="FFFFFF"/>
              </w:rPr>
              <w:t>、生活污水）均经沉淀等处理后循环利用，不外排至周边水体，避免污染水源涵养的核心载体</w:t>
            </w:r>
            <w:r>
              <w:rPr>
                <w:rFonts w:hint="eastAsia" w:ascii="Segoe UI" w:hAnsi="Segoe UI" w:eastAsia="宋体" w:cs="Segoe UI"/>
                <w:i w:val="0"/>
                <w:iCs w:val="0"/>
                <w:caps w:val="0"/>
                <w:spacing w:val="0"/>
                <w:sz w:val="24"/>
                <w:szCs w:val="24"/>
                <w:shd w:val="clear" w:fill="FFFFFF"/>
                <w:lang w:eastAsia="zh-CN"/>
              </w:rPr>
              <w:t>。</w:t>
            </w:r>
            <w:r>
              <w:rPr>
                <w:rFonts w:ascii="Segoe UI" w:hAnsi="Segoe UI" w:eastAsia="Segoe UI" w:cs="Segoe UI"/>
                <w:i w:val="0"/>
                <w:iCs w:val="0"/>
                <w:caps w:val="0"/>
                <w:spacing w:val="0"/>
                <w:sz w:val="24"/>
                <w:szCs w:val="24"/>
                <w:shd w:val="clear" w:fill="FFFFFF"/>
              </w:rPr>
              <w:t>施工结束拆除所有临时设施后，对场地进行平整，消除人工压实痕迹，恢复地表自然起伏，确保降水能正常下渗、汇流，不改变区域原有水文连通路径，保障水文循环过程不受残留工程影响。</w:t>
            </w:r>
          </w:p>
          <w:p w14:paraId="0E9B1A05">
            <w:pPr>
              <w:pStyle w:val="29"/>
              <w:ind w:firstLine="480"/>
              <w:rPr>
                <w:color w:val="auto"/>
                <w:kern w:val="2"/>
                <w:sz w:val="24"/>
                <w:szCs w:val="24"/>
                <w:lang w:val="en-US"/>
              </w:rPr>
            </w:pPr>
            <w:r>
              <w:rPr>
                <w:rFonts w:hint="eastAsia"/>
                <w:color w:val="auto"/>
                <w:kern w:val="2"/>
                <w:sz w:val="24"/>
                <w:szCs w:val="24"/>
                <w:lang w:val="en-US"/>
              </w:rPr>
              <w:t>具体环境保护目标及保护级别详见表3-3，本项目探矿区与最近水体距离和天山水源涵养与生物多样性维护生态保护红线区距离详见《附图7项目区与生态红线位置关系图》。</w:t>
            </w:r>
          </w:p>
          <w:p w14:paraId="2327AF49">
            <w:pPr>
              <w:pStyle w:val="33"/>
              <w:spacing w:before="120"/>
              <w:ind w:firstLine="422"/>
              <w:rPr>
                <w:lang w:val="zh-CN"/>
              </w:rPr>
            </w:pPr>
            <w:r>
              <w:rPr>
                <w:lang w:val="zh-CN"/>
              </w:rPr>
              <w:t>表</w:t>
            </w:r>
            <w:r>
              <w:rPr>
                <w:rFonts w:hint="eastAsia"/>
              </w:rPr>
              <w:t>3-</w:t>
            </w:r>
            <w:r>
              <w:rPr>
                <w:rFonts w:hint="eastAsia"/>
                <w:lang w:val="en-US" w:eastAsia="zh-CN"/>
              </w:rPr>
              <w:t>4</w:t>
            </w:r>
            <w:r>
              <w:rPr>
                <w:lang w:val="zh-CN"/>
              </w:rPr>
              <w:t>环境保护目标及保护级别一览表</w:t>
            </w:r>
          </w:p>
          <w:tbl>
            <w:tblPr>
              <w:tblStyle w:val="23"/>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538"/>
              <w:gridCol w:w="1020"/>
              <w:gridCol w:w="825"/>
              <w:gridCol w:w="1749"/>
              <w:gridCol w:w="3885"/>
            </w:tblGrid>
            <w:tr w14:paraId="54E957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3" w:hRule="atLeast"/>
                <w:jc w:val="center"/>
              </w:trPr>
              <w:tc>
                <w:tcPr>
                  <w:tcW w:w="852" w:type="pct"/>
                  <w:vAlign w:val="center"/>
                </w:tcPr>
                <w:p w14:paraId="46D36484">
                  <w:pPr>
                    <w:pStyle w:val="38"/>
                  </w:pPr>
                  <w:r>
                    <w:t>环境保护目标</w:t>
                  </w:r>
                </w:p>
              </w:tc>
              <w:tc>
                <w:tcPr>
                  <w:tcW w:w="565" w:type="pct"/>
                  <w:vAlign w:val="center"/>
                </w:tcPr>
                <w:p w14:paraId="647B85AE">
                  <w:pPr>
                    <w:pStyle w:val="38"/>
                  </w:pPr>
                  <w:r>
                    <w:t>距离(m)</w:t>
                  </w:r>
                </w:p>
              </w:tc>
              <w:tc>
                <w:tcPr>
                  <w:tcW w:w="457" w:type="pct"/>
                  <w:vAlign w:val="center"/>
                </w:tcPr>
                <w:p w14:paraId="341AA500">
                  <w:pPr>
                    <w:pStyle w:val="38"/>
                  </w:pPr>
                  <w:r>
                    <w:t>方位</w:t>
                  </w:r>
                </w:p>
              </w:tc>
              <w:tc>
                <w:tcPr>
                  <w:tcW w:w="969" w:type="pct"/>
                  <w:vAlign w:val="center"/>
                </w:tcPr>
                <w:p w14:paraId="2C76939E">
                  <w:pPr>
                    <w:pStyle w:val="38"/>
                  </w:pPr>
                  <w:r>
                    <w:t>保护对象</w:t>
                  </w:r>
                </w:p>
              </w:tc>
              <w:tc>
                <w:tcPr>
                  <w:tcW w:w="2154" w:type="pct"/>
                  <w:vAlign w:val="center"/>
                </w:tcPr>
                <w:p w14:paraId="1A2C8721">
                  <w:pPr>
                    <w:pStyle w:val="38"/>
                  </w:pPr>
                  <w:r>
                    <w:t>保护级别</w:t>
                  </w:r>
                  <w:r>
                    <w:rPr>
                      <w:rFonts w:hint="eastAsia"/>
                    </w:rPr>
                    <w:t>、要求</w:t>
                  </w:r>
                </w:p>
              </w:tc>
            </w:tr>
            <w:tr w14:paraId="5CC178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1" w:hRule="atLeast"/>
                <w:jc w:val="center"/>
              </w:trPr>
              <w:tc>
                <w:tcPr>
                  <w:tcW w:w="852" w:type="pct"/>
                  <w:vAlign w:val="center"/>
                </w:tcPr>
                <w:p w14:paraId="53D20217">
                  <w:pPr>
                    <w:pStyle w:val="38"/>
                    <w:rPr>
                      <w:rFonts w:hint="eastAsia" w:eastAsia="宋体"/>
                      <w:lang w:eastAsia="zh-CN"/>
                    </w:rPr>
                  </w:pPr>
                  <w:r>
                    <w:rPr>
                      <w:rFonts w:hint="eastAsia"/>
                      <w:lang w:eastAsia="zh-CN"/>
                    </w:rPr>
                    <w:t>萨很托亥</w:t>
                  </w:r>
                </w:p>
              </w:tc>
              <w:tc>
                <w:tcPr>
                  <w:tcW w:w="565" w:type="pct"/>
                  <w:vAlign w:val="center"/>
                </w:tcPr>
                <w:p w14:paraId="25325D1C">
                  <w:pPr>
                    <w:pStyle w:val="38"/>
                    <w:rPr>
                      <w:rFonts w:hint="eastAsia" w:eastAsia="宋体"/>
                      <w:lang w:eastAsia="zh-CN"/>
                    </w:rPr>
                  </w:pPr>
                  <w:r>
                    <w:rPr>
                      <w:rFonts w:hint="eastAsia"/>
                      <w:lang w:val="en-US" w:eastAsia="zh-CN"/>
                    </w:rPr>
                    <w:t>穿越</w:t>
                  </w:r>
                </w:p>
              </w:tc>
              <w:tc>
                <w:tcPr>
                  <w:tcW w:w="457" w:type="pct"/>
                  <w:vAlign w:val="center"/>
                </w:tcPr>
                <w:p w14:paraId="2755975B">
                  <w:pPr>
                    <w:pStyle w:val="38"/>
                    <w:rPr>
                      <w:rFonts w:hint="eastAsia" w:eastAsia="宋体"/>
                      <w:lang w:eastAsia="zh-CN"/>
                    </w:rPr>
                  </w:pPr>
                  <w:r>
                    <w:rPr>
                      <w:rFonts w:hint="eastAsia"/>
                      <w:lang w:val="en-US" w:eastAsia="zh-CN"/>
                    </w:rPr>
                    <w:t>东侧</w:t>
                  </w:r>
                </w:p>
              </w:tc>
              <w:tc>
                <w:tcPr>
                  <w:tcW w:w="969" w:type="pct"/>
                  <w:vAlign w:val="center"/>
                </w:tcPr>
                <w:p w14:paraId="11C05F38">
                  <w:pPr>
                    <w:pStyle w:val="38"/>
                  </w:pPr>
                  <w:r>
                    <w:rPr>
                      <w:rFonts w:hint="eastAsia"/>
                    </w:rPr>
                    <w:t>地表水</w:t>
                  </w:r>
                </w:p>
              </w:tc>
              <w:tc>
                <w:tcPr>
                  <w:tcW w:w="2154" w:type="pct"/>
                  <w:vAlign w:val="center"/>
                </w:tcPr>
                <w:p w14:paraId="6D610E98">
                  <w:pPr>
                    <w:pStyle w:val="38"/>
                  </w:pPr>
                  <w:r>
                    <w:t>《地表水环境质量标准》（GB3838-2002）Ⅰ类水质标准</w:t>
                  </w:r>
                </w:p>
              </w:tc>
            </w:tr>
            <w:tr w14:paraId="15545D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1" w:hRule="atLeast"/>
                <w:jc w:val="center"/>
              </w:trPr>
              <w:tc>
                <w:tcPr>
                  <w:tcW w:w="852" w:type="pct"/>
                  <w:vAlign w:val="center"/>
                </w:tcPr>
                <w:p w14:paraId="7A960A86">
                  <w:pPr>
                    <w:pStyle w:val="38"/>
                    <w:rPr>
                      <w:rFonts w:hint="eastAsia"/>
                    </w:rPr>
                  </w:pPr>
                  <w:r>
                    <w:rPr>
                      <w:rFonts w:hint="eastAsia"/>
                      <w:color w:val="000000"/>
                    </w:rPr>
                    <w:t>生态保护红线区</w:t>
                  </w:r>
                </w:p>
              </w:tc>
              <w:tc>
                <w:tcPr>
                  <w:tcW w:w="565" w:type="pct"/>
                  <w:vAlign w:val="center"/>
                </w:tcPr>
                <w:p w14:paraId="0E71AEC8">
                  <w:pPr>
                    <w:pStyle w:val="38"/>
                    <w:rPr>
                      <w:rFonts w:hint="eastAsia" w:eastAsia="宋体"/>
                      <w:lang w:eastAsia="zh-CN"/>
                    </w:rPr>
                  </w:pPr>
                  <w:r>
                    <w:rPr>
                      <w:rFonts w:hint="eastAsia"/>
                      <w:lang w:val="en-US" w:eastAsia="zh-CN"/>
                    </w:rPr>
                    <w:t>紧邻</w:t>
                  </w:r>
                </w:p>
              </w:tc>
              <w:tc>
                <w:tcPr>
                  <w:tcW w:w="457" w:type="pct"/>
                  <w:vAlign w:val="center"/>
                </w:tcPr>
                <w:p w14:paraId="793A7BB7">
                  <w:pPr>
                    <w:pStyle w:val="38"/>
                    <w:rPr>
                      <w:rFonts w:hint="eastAsia" w:eastAsia="宋体"/>
                      <w:lang w:val="en-US" w:eastAsia="zh-CN"/>
                    </w:rPr>
                  </w:pPr>
                  <w:r>
                    <w:rPr>
                      <w:rFonts w:hint="eastAsia"/>
                      <w:lang w:val="en-US" w:eastAsia="zh-CN"/>
                    </w:rPr>
                    <w:t>东、西侧</w:t>
                  </w:r>
                </w:p>
              </w:tc>
              <w:tc>
                <w:tcPr>
                  <w:tcW w:w="969" w:type="pct"/>
                  <w:vAlign w:val="center"/>
                </w:tcPr>
                <w:p w14:paraId="413805A0">
                  <w:pPr>
                    <w:pStyle w:val="38"/>
                    <w:rPr>
                      <w:rFonts w:hint="eastAsia"/>
                    </w:rPr>
                  </w:pPr>
                  <w:r>
                    <w:rPr>
                      <w:rFonts w:hint="eastAsia"/>
                      <w:color w:val="000000"/>
                    </w:rPr>
                    <w:t>天山水源涵养与生物多样性维护生态保护红线区</w:t>
                  </w:r>
                </w:p>
              </w:tc>
              <w:tc>
                <w:tcPr>
                  <w:tcW w:w="2154" w:type="pct"/>
                  <w:vAlign w:val="center"/>
                </w:tcPr>
                <w:p w14:paraId="4D2927B2">
                  <w:pPr>
                    <w:pStyle w:val="38"/>
                  </w:pPr>
                  <w:r>
                    <w:t>维护区域内水源涵养、生物多样性等生态功能，确保生态系统稳定，不得进行破坏生态环境的行为</w:t>
                  </w:r>
                  <w:r>
                    <w:rPr>
                      <w:rFonts w:hint="default"/>
                    </w:rPr>
                    <w:t>。</w:t>
                  </w:r>
                </w:p>
              </w:tc>
            </w:tr>
          </w:tbl>
          <w:p w14:paraId="5140152C">
            <w:pPr>
              <w:ind w:firstLine="480"/>
              <w:outlineLvl w:val="1"/>
              <w:rPr>
                <w:color w:val="000000"/>
              </w:rPr>
            </w:pPr>
          </w:p>
        </w:tc>
      </w:tr>
      <w:tr w14:paraId="185474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13" w:type="dxa"/>
            <w:vAlign w:val="center"/>
          </w:tcPr>
          <w:p w14:paraId="47099867">
            <w:pPr>
              <w:pStyle w:val="31"/>
            </w:pPr>
            <w:r>
              <w:rPr>
                <w:rFonts w:hint="eastAsia"/>
              </w:rPr>
              <w:t>评价标准</w:t>
            </w:r>
          </w:p>
        </w:tc>
        <w:tc>
          <w:tcPr>
            <w:tcW w:w="9267" w:type="dxa"/>
            <w:vAlign w:val="center"/>
          </w:tcPr>
          <w:p w14:paraId="66673540">
            <w:pPr>
              <w:ind w:firstLine="482"/>
              <w:textAlignment w:val="center"/>
              <w:rPr>
                <w:b/>
                <w:bCs/>
                <w:color w:val="000000"/>
              </w:rPr>
            </w:pPr>
            <w:r>
              <w:rPr>
                <w:rFonts w:hint="eastAsia"/>
                <w:b/>
                <w:bCs/>
                <w:color w:val="000000"/>
              </w:rPr>
              <w:t>1、环境质量标准</w:t>
            </w:r>
          </w:p>
          <w:p w14:paraId="239F2EDE">
            <w:pPr>
              <w:ind w:firstLine="482"/>
              <w:textAlignment w:val="center"/>
              <w:rPr>
                <w:b/>
                <w:bCs/>
                <w:color w:val="000000"/>
              </w:rPr>
            </w:pPr>
            <w:r>
              <w:rPr>
                <w:b/>
                <w:bCs/>
                <w:color w:val="000000"/>
              </w:rPr>
              <w:t>1.1环境空气</w:t>
            </w:r>
          </w:p>
          <w:p w14:paraId="376C972F">
            <w:pPr>
              <w:ind w:firstLine="480"/>
              <w:textAlignment w:val="center"/>
            </w:pPr>
            <w:r>
              <w:rPr>
                <w:color w:val="000000"/>
                <w:szCs w:val="22"/>
              </w:rPr>
              <w:t>环境空气质量执行《环境空气质量标准》（GB3095-2012）中的二级标准</w:t>
            </w:r>
            <w:r>
              <w:rPr>
                <w:bCs/>
                <w:color w:val="000000"/>
                <w:szCs w:val="22"/>
              </w:rPr>
              <w:t>。</w:t>
            </w:r>
          </w:p>
          <w:p w14:paraId="69CACCEC">
            <w:pPr>
              <w:ind w:firstLine="482"/>
              <w:textAlignment w:val="center"/>
              <w:rPr>
                <w:b/>
                <w:bCs/>
                <w:color w:val="000000"/>
              </w:rPr>
            </w:pPr>
            <w:r>
              <w:rPr>
                <w:rFonts w:hint="eastAsia"/>
                <w:b/>
                <w:bCs/>
                <w:color w:val="000000"/>
              </w:rPr>
              <w:t>1</w:t>
            </w:r>
            <w:r>
              <w:rPr>
                <w:b/>
                <w:bCs/>
                <w:color w:val="000000"/>
              </w:rPr>
              <w:t>.2声环境</w:t>
            </w:r>
          </w:p>
          <w:p w14:paraId="0B203E57">
            <w:pPr>
              <w:snapToGrid w:val="0"/>
              <w:ind w:firstLine="480"/>
              <w:rPr>
                <w:color w:val="000000"/>
                <w:szCs w:val="22"/>
              </w:rPr>
            </w:pPr>
            <w:r>
              <w:rPr>
                <w:color w:val="000000"/>
                <w:szCs w:val="22"/>
              </w:rPr>
              <w:t>项目区声环境质量执行《声环境质量标准》（GB3096-2008）2类标准，即昼间≤60dB(A)，夜间≤50dB(A)。</w:t>
            </w:r>
          </w:p>
          <w:p w14:paraId="5809EBD9">
            <w:pPr>
              <w:pStyle w:val="29"/>
              <w:ind w:firstLine="482"/>
              <w:rPr>
                <w:b/>
                <w:bCs/>
                <w:kern w:val="2"/>
                <w:sz w:val="24"/>
                <w:szCs w:val="24"/>
                <w:lang w:val="en-US"/>
              </w:rPr>
            </w:pPr>
            <w:r>
              <w:rPr>
                <w:rFonts w:hint="eastAsia"/>
                <w:b/>
                <w:bCs/>
                <w:kern w:val="2"/>
                <w:sz w:val="24"/>
                <w:szCs w:val="24"/>
                <w:lang w:val="en-US"/>
              </w:rPr>
              <w:t>1.3地表水</w:t>
            </w:r>
          </w:p>
          <w:p w14:paraId="1132F86D">
            <w:pPr>
              <w:pStyle w:val="16"/>
              <w:ind w:left="0" w:firstLine="480" w:firstLineChars="200"/>
              <w:rPr>
                <w:color w:val="000000"/>
              </w:rPr>
            </w:pPr>
            <w:r>
              <w:rPr>
                <w:rFonts w:hint="eastAsia"/>
                <w:color w:val="000000"/>
              </w:rPr>
              <w:t>距离本项目最近水体为</w:t>
            </w:r>
            <w:r>
              <w:rPr>
                <w:rFonts w:hint="eastAsia"/>
                <w:lang w:eastAsia="zh-CN"/>
              </w:rPr>
              <w:t>萨很托亥河，</w:t>
            </w:r>
            <w:r>
              <w:rPr>
                <w:rFonts w:hint="eastAsia"/>
                <w:lang w:val="en-US" w:eastAsia="zh-CN"/>
              </w:rPr>
              <w:t>穿越工作区</w:t>
            </w:r>
            <w:r>
              <w:rPr>
                <w:rFonts w:hint="eastAsia"/>
                <w:bCs/>
                <w:color w:val="000000"/>
                <w:kern w:val="0"/>
              </w:rPr>
              <w:t>。</w:t>
            </w:r>
            <w:r>
              <w:rPr>
                <w:rFonts w:hint="eastAsia"/>
                <w:lang w:eastAsia="zh-CN"/>
              </w:rPr>
              <w:t>萨很托亥</w:t>
            </w:r>
            <w:r>
              <w:rPr>
                <w:color w:val="000000"/>
              </w:rPr>
              <w:t>水环境质量执行《地表水环境质量标准》（GB3838-2002）Ⅰ类水质标准。</w:t>
            </w:r>
          </w:p>
          <w:p w14:paraId="3B5335AE">
            <w:pPr>
              <w:pStyle w:val="33"/>
              <w:spacing w:before="120"/>
              <w:ind w:firstLine="422"/>
            </w:pPr>
            <w:r>
              <w:rPr>
                <w:rFonts w:hint="eastAsia"/>
              </w:rPr>
              <w:t>表3-</w:t>
            </w:r>
            <w:r>
              <w:rPr>
                <w:rFonts w:hint="eastAsia"/>
                <w:lang w:val="en-US" w:eastAsia="zh-CN"/>
              </w:rPr>
              <w:t>5</w:t>
            </w:r>
            <w:r>
              <w:rPr>
                <w:rFonts w:hint="eastAsia"/>
              </w:rPr>
              <w:t>地表水环境质量标准</w:t>
            </w:r>
          </w:p>
          <w:tbl>
            <w:tblPr>
              <w:tblStyle w:val="23"/>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129"/>
              <w:gridCol w:w="2904"/>
              <w:gridCol w:w="1207"/>
              <w:gridCol w:w="2777"/>
            </w:tblGrid>
            <w:tr w14:paraId="6273F4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2" w:hRule="atLeast"/>
              </w:trPr>
              <w:tc>
                <w:tcPr>
                  <w:tcW w:w="1180" w:type="pct"/>
                  <w:vAlign w:val="center"/>
                </w:tcPr>
                <w:p w14:paraId="03F00767">
                  <w:pPr>
                    <w:pStyle w:val="38"/>
                  </w:pPr>
                  <w:r>
                    <w:rPr>
                      <w:rFonts w:hint="eastAsia"/>
                    </w:rPr>
                    <w:t>标准名称及代号</w:t>
                  </w:r>
                </w:p>
              </w:tc>
              <w:tc>
                <w:tcPr>
                  <w:tcW w:w="1610" w:type="pct"/>
                  <w:vAlign w:val="center"/>
                </w:tcPr>
                <w:p w14:paraId="118049E2">
                  <w:pPr>
                    <w:pStyle w:val="38"/>
                  </w:pPr>
                  <w:r>
                    <w:rPr>
                      <w:rFonts w:hint="eastAsia"/>
                    </w:rPr>
                    <w:t>污染物名称</w:t>
                  </w:r>
                </w:p>
              </w:tc>
              <w:tc>
                <w:tcPr>
                  <w:tcW w:w="669" w:type="pct"/>
                  <w:vAlign w:val="center"/>
                </w:tcPr>
                <w:p w14:paraId="1396C0D7">
                  <w:pPr>
                    <w:pStyle w:val="38"/>
                  </w:pPr>
                  <w:r>
                    <w:rPr>
                      <w:rFonts w:hint="eastAsia"/>
                    </w:rPr>
                    <w:t>单位</w:t>
                  </w:r>
                </w:p>
              </w:tc>
              <w:tc>
                <w:tcPr>
                  <w:tcW w:w="1540" w:type="pct"/>
                  <w:vAlign w:val="center"/>
                </w:tcPr>
                <w:p w14:paraId="01739459">
                  <w:pPr>
                    <w:pStyle w:val="38"/>
                  </w:pPr>
                  <w:r>
                    <w:rPr>
                      <w:rFonts w:hint="eastAsia"/>
                    </w:rPr>
                    <w:t>标准限值</w:t>
                  </w:r>
                </w:p>
              </w:tc>
            </w:tr>
            <w:tr w14:paraId="087D52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7" w:hRule="atLeast"/>
              </w:trPr>
              <w:tc>
                <w:tcPr>
                  <w:tcW w:w="1180" w:type="pct"/>
                  <w:vMerge w:val="restart"/>
                  <w:vAlign w:val="center"/>
                </w:tcPr>
                <w:p w14:paraId="23CEEFAC">
                  <w:pPr>
                    <w:pStyle w:val="38"/>
                  </w:pPr>
                  <w:r>
                    <w:t>《地表水环境质量标准》（GB3838-2002）Ⅰ类水质标准</w:t>
                  </w:r>
                </w:p>
              </w:tc>
              <w:tc>
                <w:tcPr>
                  <w:tcW w:w="1610" w:type="pct"/>
                  <w:vAlign w:val="center"/>
                </w:tcPr>
                <w:p w14:paraId="07DD26EE">
                  <w:pPr>
                    <w:pStyle w:val="38"/>
                  </w:pPr>
                  <w:r>
                    <w:rPr>
                      <w:rFonts w:hint="eastAsia"/>
                    </w:rPr>
                    <w:t>pH值</w:t>
                  </w:r>
                </w:p>
              </w:tc>
              <w:tc>
                <w:tcPr>
                  <w:tcW w:w="669" w:type="pct"/>
                  <w:vAlign w:val="center"/>
                </w:tcPr>
                <w:p w14:paraId="45581EE8">
                  <w:pPr>
                    <w:pStyle w:val="38"/>
                  </w:pPr>
                  <w:r>
                    <w:rPr>
                      <w:rFonts w:hint="eastAsia"/>
                    </w:rPr>
                    <w:t>无量纲</w:t>
                  </w:r>
                </w:p>
              </w:tc>
              <w:tc>
                <w:tcPr>
                  <w:tcW w:w="1540" w:type="pct"/>
                  <w:vAlign w:val="center"/>
                </w:tcPr>
                <w:p w14:paraId="6F92543E">
                  <w:pPr>
                    <w:pStyle w:val="38"/>
                    <w:tabs>
                      <w:tab w:val="left" w:pos="582"/>
                      <w:tab w:val="center" w:pos="1033"/>
                    </w:tabs>
                  </w:pPr>
                  <w:r>
                    <w:rPr>
                      <w:rFonts w:hint="eastAsia"/>
                    </w:rPr>
                    <w:t>6~9</w:t>
                  </w:r>
                </w:p>
              </w:tc>
            </w:tr>
            <w:tr w14:paraId="3746B8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7" w:hRule="atLeast"/>
              </w:trPr>
              <w:tc>
                <w:tcPr>
                  <w:tcW w:w="1180" w:type="pct"/>
                  <w:vMerge w:val="continue"/>
                  <w:vAlign w:val="center"/>
                </w:tcPr>
                <w:p w14:paraId="27DFD6B7">
                  <w:pPr>
                    <w:pStyle w:val="38"/>
                  </w:pPr>
                </w:p>
              </w:tc>
              <w:tc>
                <w:tcPr>
                  <w:tcW w:w="1610" w:type="pct"/>
                  <w:vAlign w:val="center"/>
                </w:tcPr>
                <w:p w14:paraId="54A52FB8">
                  <w:pPr>
                    <w:pStyle w:val="38"/>
                  </w:pPr>
                  <w:r>
                    <w:rPr>
                      <w:rFonts w:hint="eastAsia"/>
                    </w:rPr>
                    <w:t>溶解氧</w:t>
                  </w:r>
                </w:p>
              </w:tc>
              <w:tc>
                <w:tcPr>
                  <w:tcW w:w="669" w:type="pct"/>
                  <w:vMerge w:val="restart"/>
                  <w:vAlign w:val="center"/>
                </w:tcPr>
                <w:p w14:paraId="7BA7B30A">
                  <w:pPr>
                    <w:pStyle w:val="38"/>
                  </w:pPr>
                  <w:r>
                    <w:rPr>
                      <w:rFonts w:hint="eastAsia"/>
                    </w:rPr>
                    <w:t>m</w:t>
                  </w:r>
                  <w:r>
                    <w:t>g/</w:t>
                  </w:r>
                  <w:r>
                    <w:rPr>
                      <w:rFonts w:hint="eastAsia"/>
                    </w:rPr>
                    <w:t>L</w:t>
                  </w:r>
                </w:p>
              </w:tc>
              <w:tc>
                <w:tcPr>
                  <w:tcW w:w="1540" w:type="pct"/>
                  <w:vAlign w:val="center"/>
                </w:tcPr>
                <w:p w14:paraId="4801787F">
                  <w:pPr>
                    <w:pStyle w:val="38"/>
                  </w:pPr>
                  <w:r>
                    <w:t>≥</w:t>
                  </w:r>
                  <w:r>
                    <w:rPr>
                      <w:rFonts w:hint="eastAsia"/>
                    </w:rPr>
                    <w:t>饱和率90%（或7.5）</w:t>
                  </w:r>
                </w:p>
              </w:tc>
            </w:tr>
            <w:tr w14:paraId="313A9A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7" w:hRule="atLeast"/>
              </w:trPr>
              <w:tc>
                <w:tcPr>
                  <w:tcW w:w="1180" w:type="pct"/>
                  <w:vMerge w:val="continue"/>
                  <w:vAlign w:val="center"/>
                </w:tcPr>
                <w:p w14:paraId="0CA38EE2">
                  <w:pPr>
                    <w:pStyle w:val="38"/>
                  </w:pPr>
                </w:p>
              </w:tc>
              <w:tc>
                <w:tcPr>
                  <w:tcW w:w="1610" w:type="pct"/>
                  <w:vAlign w:val="center"/>
                </w:tcPr>
                <w:p w14:paraId="335EBF3B">
                  <w:pPr>
                    <w:pStyle w:val="38"/>
                  </w:pPr>
                  <w:r>
                    <w:rPr>
                      <w:rFonts w:hint="eastAsia"/>
                    </w:rPr>
                    <w:t>高锰酸盐指数</w:t>
                  </w:r>
                </w:p>
              </w:tc>
              <w:tc>
                <w:tcPr>
                  <w:tcW w:w="669" w:type="pct"/>
                  <w:vMerge w:val="continue"/>
                  <w:vAlign w:val="center"/>
                </w:tcPr>
                <w:p w14:paraId="4F3B2FFE">
                  <w:pPr>
                    <w:pStyle w:val="38"/>
                  </w:pPr>
                </w:p>
              </w:tc>
              <w:tc>
                <w:tcPr>
                  <w:tcW w:w="1540" w:type="pct"/>
                  <w:vAlign w:val="center"/>
                </w:tcPr>
                <w:p w14:paraId="4E0DA8AF">
                  <w:pPr>
                    <w:pStyle w:val="38"/>
                  </w:pPr>
                  <w:r>
                    <w:t>≤</w:t>
                  </w:r>
                  <w:r>
                    <w:rPr>
                      <w:rFonts w:hint="eastAsia"/>
                    </w:rPr>
                    <w:t>2</w:t>
                  </w:r>
                </w:p>
              </w:tc>
            </w:tr>
            <w:tr w14:paraId="114ECA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7" w:hRule="atLeast"/>
              </w:trPr>
              <w:tc>
                <w:tcPr>
                  <w:tcW w:w="1180" w:type="pct"/>
                  <w:vMerge w:val="continue"/>
                  <w:vAlign w:val="center"/>
                </w:tcPr>
                <w:p w14:paraId="719665A9">
                  <w:pPr>
                    <w:pStyle w:val="38"/>
                  </w:pPr>
                </w:p>
              </w:tc>
              <w:tc>
                <w:tcPr>
                  <w:tcW w:w="1610" w:type="pct"/>
                  <w:vAlign w:val="center"/>
                </w:tcPr>
                <w:p w14:paraId="066D41BF">
                  <w:pPr>
                    <w:pStyle w:val="38"/>
                  </w:pPr>
                  <w:r>
                    <w:rPr>
                      <w:rFonts w:hint="eastAsia"/>
                    </w:rPr>
                    <w:t>COD</w:t>
                  </w:r>
                </w:p>
              </w:tc>
              <w:tc>
                <w:tcPr>
                  <w:tcW w:w="669" w:type="pct"/>
                  <w:vMerge w:val="continue"/>
                  <w:vAlign w:val="center"/>
                </w:tcPr>
                <w:p w14:paraId="2B58B8D1">
                  <w:pPr>
                    <w:pStyle w:val="38"/>
                  </w:pPr>
                </w:p>
              </w:tc>
              <w:tc>
                <w:tcPr>
                  <w:tcW w:w="1540" w:type="pct"/>
                  <w:vAlign w:val="center"/>
                </w:tcPr>
                <w:p w14:paraId="72A6C4D8">
                  <w:pPr>
                    <w:pStyle w:val="38"/>
                  </w:pPr>
                  <w:r>
                    <w:t>≤</w:t>
                  </w:r>
                  <w:r>
                    <w:rPr>
                      <w:rFonts w:hint="eastAsia"/>
                    </w:rPr>
                    <w:t>15</w:t>
                  </w:r>
                </w:p>
              </w:tc>
            </w:tr>
            <w:tr w14:paraId="796564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7" w:hRule="atLeast"/>
              </w:trPr>
              <w:tc>
                <w:tcPr>
                  <w:tcW w:w="1180" w:type="pct"/>
                  <w:vMerge w:val="continue"/>
                  <w:vAlign w:val="center"/>
                </w:tcPr>
                <w:p w14:paraId="6A069403">
                  <w:pPr>
                    <w:pStyle w:val="38"/>
                  </w:pPr>
                </w:p>
              </w:tc>
              <w:tc>
                <w:tcPr>
                  <w:tcW w:w="1610" w:type="pct"/>
                  <w:vAlign w:val="center"/>
                </w:tcPr>
                <w:p w14:paraId="514A4A3A">
                  <w:pPr>
                    <w:pStyle w:val="38"/>
                  </w:pPr>
                  <w:r>
                    <w:rPr>
                      <w:rFonts w:hint="eastAsia"/>
                    </w:rPr>
                    <w:t>BOD</w:t>
                  </w:r>
                  <w:r>
                    <w:rPr>
                      <w:rFonts w:hint="eastAsia"/>
                      <w:vertAlign w:val="subscript"/>
                    </w:rPr>
                    <w:t>5</w:t>
                  </w:r>
                </w:p>
              </w:tc>
              <w:tc>
                <w:tcPr>
                  <w:tcW w:w="669" w:type="pct"/>
                  <w:vMerge w:val="continue"/>
                  <w:vAlign w:val="center"/>
                </w:tcPr>
                <w:p w14:paraId="30F3F126">
                  <w:pPr>
                    <w:pStyle w:val="38"/>
                  </w:pPr>
                </w:p>
              </w:tc>
              <w:tc>
                <w:tcPr>
                  <w:tcW w:w="1540" w:type="pct"/>
                  <w:vAlign w:val="center"/>
                </w:tcPr>
                <w:p w14:paraId="7B2447A0">
                  <w:pPr>
                    <w:pStyle w:val="38"/>
                  </w:pPr>
                  <w:r>
                    <w:t>≤</w:t>
                  </w:r>
                  <w:r>
                    <w:rPr>
                      <w:rFonts w:hint="eastAsia"/>
                    </w:rPr>
                    <w:t>3</w:t>
                  </w:r>
                </w:p>
              </w:tc>
            </w:tr>
            <w:tr w14:paraId="7A1936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7" w:hRule="atLeast"/>
              </w:trPr>
              <w:tc>
                <w:tcPr>
                  <w:tcW w:w="1180" w:type="pct"/>
                  <w:vMerge w:val="continue"/>
                  <w:vAlign w:val="center"/>
                </w:tcPr>
                <w:p w14:paraId="0F643429">
                  <w:pPr>
                    <w:pStyle w:val="38"/>
                  </w:pPr>
                </w:p>
              </w:tc>
              <w:tc>
                <w:tcPr>
                  <w:tcW w:w="1610" w:type="pct"/>
                  <w:vAlign w:val="center"/>
                </w:tcPr>
                <w:p w14:paraId="3A83DDD9">
                  <w:pPr>
                    <w:pStyle w:val="38"/>
                  </w:pPr>
                  <w:r>
                    <w:rPr>
                      <w:rFonts w:hint="eastAsia"/>
                    </w:rPr>
                    <w:t>氨氮</w:t>
                  </w:r>
                </w:p>
              </w:tc>
              <w:tc>
                <w:tcPr>
                  <w:tcW w:w="669" w:type="pct"/>
                  <w:vMerge w:val="continue"/>
                  <w:vAlign w:val="center"/>
                </w:tcPr>
                <w:p w14:paraId="507A663F">
                  <w:pPr>
                    <w:pStyle w:val="38"/>
                  </w:pPr>
                </w:p>
              </w:tc>
              <w:tc>
                <w:tcPr>
                  <w:tcW w:w="1540" w:type="pct"/>
                  <w:vAlign w:val="center"/>
                </w:tcPr>
                <w:p w14:paraId="7622E868">
                  <w:pPr>
                    <w:pStyle w:val="38"/>
                  </w:pPr>
                  <w:r>
                    <w:t>≤</w:t>
                  </w:r>
                  <w:r>
                    <w:rPr>
                      <w:rFonts w:hint="eastAsia"/>
                    </w:rPr>
                    <w:t>0.15</w:t>
                  </w:r>
                </w:p>
              </w:tc>
            </w:tr>
            <w:tr w14:paraId="3D902A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1180" w:type="pct"/>
                  <w:vMerge w:val="continue"/>
                  <w:vAlign w:val="center"/>
                </w:tcPr>
                <w:p w14:paraId="2B91EF15">
                  <w:pPr>
                    <w:pStyle w:val="38"/>
                  </w:pPr>
                </w:p>
              </w:tc>
              <w:tc>
                <w:tcPr>
                  <w:tcW w:w="1610" w:type="pct"/>
                  <w:vAlign w:val="center"/>
                </w:tcPr>
                <w:p w14:paraId="38E6951F">
                  <w:pPr>
                    <w:pStyle w:val="38"/>
                  </w:pPr>
                  <w:r>
                    <w:rPr>
                      <w:rFonts w:hint="eastAsia"/>
                    </w:rPr>
                    <w:t>总磷</w:t>
                  </w:r>
                </w:p>
              </w:tc>
              <w:tc>
                <w:tcPr>
                  <w:tcW w:w="669" w:type="pct"/>
                  <w:vMerge w:val="continue"/>
                  <w:vAlign w:val="center"/>
                </w:tcPr>
                <w:p w14:paraId="0BBCB7E7">
                  <w:pPr>
                    <w:pStyle w:val="38"/>
                  </w:pPr>
                </w:p>
              </w:tc>
              <w:tc>
                <w:tcPr>
                  <w:tcW w:w="1540" w:type="pct"/>
                  <w:vAlign w:val="center"/>
                </w:tcPr>
                <w:p w14:paraId="5A856191">
                  <w:pPr>
                    <w:pStyle w:val="38"/>
                  </w:pPr>
                  <w:r>
                    <w:t>≤</w:t>
                  </w:r>
                  <w:r>
                    <w:rPr>
                      <w:rFonts w:hint="eastAsia"/>
                    </w:rPr>
                    <w:t>0.02（湖、库0.01）</w:t>
                  </w:r>
                </w:p>
              </w:tc>
            </w:tr>
            <w:tr w14:paraId="3B9797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1180" w:type="pct"/>
                  <w:vMerge w:val="continue"/>
                  <w:vAlign w:val="center"/>
                </w:tcPr>
                <w:p w14:paraId="0C04F03C">
                  <w:pPr>
                    <w:pStyle w:val="38"/>
                  </w:pPr>
                </w:p>
              </w:tc>
              <w:tc>
                <w:tcPr>
                  <w:tcW w:w="1610" w:type="pct"/>
                  <w:vAlign w:val="center"/>
                </w:tcPr>
                <w:p w14:paraId="41427A39">
                  <w:pPr>
                    <w:pStyle w:val="38"/>
                  </w:pPr>
                  <w:r>
                    <w:rPr>
                      <w:rFonts w:hint="eastAsia"/>
                    </w:rPr>
                    <w:t>总氮</w:t>
                  </w:r>
                </w:p>
              </w:tc>
              <w:tc>
                <w:tcPr>
                  <w:tcW w:w="669" w:type="pct"/>
                  <w:vMerge w:val="continue"/>
                  <w:vAlign w:val="center"/>
                </w:tcPr>
                <w:p w14:paraId="3FC59CD6">
                  <w:pPr>
                    <w:pStyle w:val="38"/>
                  </w:pPr>
                </w:p>
              </w:tc>
              <w:tc>
                <w:tcPr>
                  <w:tcW w:w="1540" w:type="pct"/>
                  <w:vAlign w:val="center"/>
                </w:tcPr>
                <w:p w14:paraId="1F146E35">
                  <w:pPr>
                    <w:pStyle w:val="38"/>
                  </w:pPr>
                  <w:r>
                    <w:t>≤</w:t>
                  </w:r>
                  <w:r>
                    <w:rPr>
                      <w:rFonts w:hint="eastAsia"/>
                    </w:rPr>
                    <w:t>0.2</w:t>
                  </w:r>
                </w:p>
              </w:tc>
            </w:tr>
            <w:tr w14:paraId="3E0964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180" w:type="pct"/>
                  <w:vMerge w:val="continue"/>
                  <w:vAlign w:val="center"/>
                </w:tcPr>
                <w:p w14:paraId="09D5E7DC">
                  <w:pPr>
                    <w:pStyle w:val="38"/>
                  </w:pPr>
                </w:p>
              </w:tc>
              <w:tc>
                <w:tcPr>
                  <w:tcW w:w="1610" w:type="pct"/>
                  <w:vAlign w:val="center"/>
                </w:tcPr>
                <w:p w14:paraId="0BED2E0C">
                  <w:pPr>
                    <w:pStyle w:val="38"/>
                  </w:pPr>
                  <w:r>
                    <w:rPr>
                      <w:rFonts w:hint="eastAsia"/>
                    </w:rPr>
                    <w:t>铜</w:t>
                  </w:r>
                </w:p>
              </w:tc>
              <w:tc>
                <w:tcPr>
                  <w:tcW w:w="669" w:type="pct"/>
                  <w:vMerge w:val="continue"/>
                  <w:vAlign w:val="center"/>
                </w:tcPr>
                <w:p w14:paraId="43455821">
                  <w:pPr>
                    <w:pStyle w:val="38"/>
                  </w:pPr>
                </w:p>
              </w:tc>
              <w:tc>
                <w:tcPr>
                  <w:tcW w:w="1540" w:type="pct"/>
                  <w:vAlign w:val="center"/>
                </w:tcPr>
                <w:p w14:paraId="59E75869">
                  <w:pPr>
                    <w:pStyle w:val="38"/>
                  </w:pPr>
                  <w:r>
                    <w:t>≤</w:t>
                  </w:r>
                  <w:r>
                    <w:rPr>
                      <w:rFonts w:hint="eastAsia"/>
                    </w:rPr>
                    <w:t>0.01</w:t>
                  </w:r>
                </w:p>
              </w:tc>
            </w:tr>
            <w:tr w14:paraId="5B8C85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1180" w:type="pct"/>
                  <w:vMerge w:val="continue"/>
                  <w:vAlign w:val="center"/>
                </w:tcPr>
                <w:p w14:paraId="41FDC46F">
                  <w:pPr>
                    <w:pStyle w:val="38"/>
                  </w:pPr>
                </w:p>
              </w:tc>
              <w:tc>
                <w:tcPr>
                  <w:tcW w:w="1610" w:type="pct"/>
                  <w:vAlign w:val="center"/>
                </w:tcPr>
                <w:p w14:paraId="2DD13DEC">
                  <w:pPr>
                    <w:pStyle w:val="38"/>
                  </w:pPr>
                  <w:r>
                    <w:rPr>
                      <w:rFonts w:hint="eastAsia"/>
                    </w:rPr>
                    <w:t>锌</w:t>
                  </w:r>
                </w:p>
              </w:tc>
              <w:tc>
                <w:tcPr>
                  <w:tcW w:w="669" w:type="pct"/>
                  <w:vMerge w:val="continue"/>
                  <w:vAlign w:val="center"/>
                </w:tcPr>
                <w:p w14:paraId="211CD4D8">
                  <w:pPr>
                    <w:pStyle w:val="38"/>
                  </w:pPr>
                </w:p>
              </w:tc>
              <w:tc>
                <w:tcPr>
                  <w:tcW w:w="1540" w:type="pct"/>
                  <w:vAlign w:val="center"/>
                </w:tcPr>
                <w:p w14:paraId="0E06D939">
                  <w:pPr>
                    <w:pStyle w:val="38"/>
                  </w:pPr>
                  <w:r>
                    <w:t>≤</w:t>
                  </w:r>
                  <w:r>
                    <w:rPr>
                      <w:rFonts w:hint="eastAsia"/>
                    </w:rPr>
                    <w:t>0.05</w:t>
                  </w:r>
                </w:p>
              </w:tc>
            </w:tr>
            <w:tr w14:paraId="75A8AA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180" w:type="pct"/>
                  <w:vMerge w:val="continue"/>
                  <w:vAlign w:val="center"/>
                </w:tcPr>
                <w:p w14:paraId="1A2CC9F8">
                  <w:pPr>
                    <w:pStyle w:val="38"/>
                  </w:pPr>
                </w:p>
              </w:tc>
              <w:tc>
                <w:tcPr>
                  <w:tcW w:w="1610" w:type="pct"/>
                  <w:vAlign w:val="center"/>
                </w:tcPr>
                <w:p w14:paraId="2122A71D">
                  <w:pPr>
                    <w:pStyle w:val="38"/>
                  </w:pPr>
                  <w:r>
                    <w:rPr>
                      <w:rFonts w:hint="eastAsia"/>
                    </w:rPr>
                    <w:t>氟化物</w:t>
                  </w:r>
                </w:p>
              </w:tc>
              <w:tc>
                <w:tcPr>
                  <w:tcW w:w="669" w:type="pct"/>
                  <w:vMerge w:val="continue"/>
                  <w:vAlign w:val="center"/>
                </w:tcPr>
                <w:p w14:paraId="4B3473D4">
                  <w:pPr>
                    <w:pStyle w:val="38"/>
                  </w:pPr>
                </w:p>
              </w:tc>
              <w:tc>
                <w:tcPr>
                  <w:tcW w:w="1540" w:type="pct"/>
                  <w:vAlign w:val="center"/>
                </w:tcPr>
                <w:p w14:paraId="5F6322C7">
                  <w:pPr>
                    <w:pStyle w:val="38"/>
                  </w:pPr>
                  <w:r>
                    <w:t>≤</w:t>
                  </w:r>
                  <w:r>
                    <w:rPr>
                      <w:rFonts w:hint="eastAsia"/>
                    </w:rPr>
                    <w:t>1.0</w:t>
                  </w:r>
                </w:p>
              </w:tc>
            </w:tr>
            <w:tr w14:paraId="49B94C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180" w:type="pct"/>
                  <w:vMerge w:val="continue"/>
                  <w:vAlign w:val="center"/>
                </w:tcPr>
                <w:p w14:paraId="340A7A9A">
                  <w:pPr>
                    <w:pStyle w:val="38"/>
                  </w:pPr>
                </w:p>
              </w:tc>
              <w:tc>
                <w:tcPr>
                  <w:tcW w:w="1610" w:type="pct"/>
                  <w:vAlign w:val="center"/>
                </w:tcPr>
                <w:p w14:paraId="2D5A99B7">
                  <w:pPr>
                    <w:pStyle w:val="38"/>
                  </w:pPr>
                  <w:r>
                    <w:rPr>
                      <w:rFonts w:hint="eastAsia"/>
                    </w:rPr>
                    <w:t>硒</w:t>
                  </w:r>
                </w:p>
              </w:tc>
              <w:tc>
                <w:tcPr>
                  <w:tcW w:w="669" w:type="pct"/>
                  <w:vMerge w:val="continue"/>
                  <w:vAlign w:val="center"/>
                </w:tcPr>
                <w:p w14:paraId="54E79057">
                  <w:pPr>
                    <w:pStyle w:val="38"/>
                  </w:pPr>
                </w:p>
              </w:tc>
              <w:tc>
                <w:tcPr>
                  <w:tcW w:w="1540" w:type="pct"/>
                  <w:vAlign w:val="center"/>
                </w:tcPr>
                <w:p w14:paraId="239275F3">
                  <w:pPr>
                    <w:pStyle w:val="38"/>
                  </w:pPr>
                  <w:r>
                    <w:t>≤</w:t>
                  </w:r>
                  <w:r>
                    <w:rPr>
                      <w:rFonts w:hint="eastAsia"/>
                    </w:rPr>
                    <w:t>0.01</w:t>
                  </w:r>
                </w:p>
              </w:tc>
            </w:tr>
            <w:tr w14:paraId="4193DA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180" w:type="pct"/>
                  <w:vMerge w:val="continue"/>
                  <w:vAlign w:val="center"/>
                </w:tcPr>
                <w:p w14:paraId="28D1753E">
                  <w:pPr>
                    <w:pStyle w:val="38"/>
                  </w:pPr>
                </w:p>
              </w:tc>
              <w:tc>
                <w:tcPr>
                  <w:tcW w:w="1610" w:type="pct"/>
                  <w:vAlign w:val="center"/>
                </w:tcPr>
                <w:p w14:paraId="5C83B80C">
                  <w:pPr>
                    <w:pStyle w:val="38"/>
                  </w:pPr>
                  <w:r>
                    <w:rPr>
                      <w:rFonts w:hint="eastAsia"/>
                    </w:rPr>
                    <w:t>砷</w:t>
                  </w:r>
                </w:p>
              </w:tc>
              <w:tc>
                <w:tcPr>
                  <w:tcW w:w="669" w:type="pct"/>
                  <w:vMerge w:val="continue"/>
                  <w:vAlign w:val="center"/>
                </w:tcPr>
                <w:p w14:paraId="6B4AA237">
                  <w:pPr>
                    <w:pStyle w:val="38"/>
                  </w:pPr>
                </w:p>
              </w:tc>
              <w:tc>
                <w:tcPr>
                  <w:tcW w:w="1540" w:type="pct"/>
                  <w:vAlign w:val="center"/>
                </w:tcPr>
                <w:p w14:paraId="699E52C6">
                  <w:pPr>
                    <w:pStyle w:val="38"/>
                  </w:pPr>
                  <w:r>
                    <w:t>≤</w:t>
                  </w:r>
                  <w:r>
                    <w:rPr>
                      <w:rFonts w:hint="eastAsia"/>
                    </w:rPr>
                    <w:t>0.05</w:t>
                  </w:r>
                </w:p>
              </w:tc>
            </w:tr>
            <w:tr w14:paraId="14F452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180" w:type="pct"/>
                  <w:vMerge w:val="continue"/>
                  <w:vAlign w:val="center"/>
                </w:tcPr>
                <w:p w14:paraId="583E8E29">
                  <w:pPr>
                    <w:pStyle w:val="38"/>
                  </w:pPr>
                </w:p>
              </w:tc>
              <w:tc>
                <w:tcPr>
                  <w:tcW w:w="1610" w:type="pct"/>
                  <w:vAlign w:val="center"/>
                </w:tcPr>
                <w:p w14:paraId="66712F19">
                  <w:pPr>
                    <w:pStyle w:val="38"/>
                  </w:pPr>
                  <w:r>
                    <w:rPr>
                      <w:rFonts w:hint="eastAsia"/>
                    </w:rPr>
                    <w:t>汞</w:t>
                  </w:r>
                </w:p>
              </w:tc>
              <w:tc>
                <w:tcPr>
                  <w:tcW w:w="669" w:type="pct"/>
                  <w:vMerge w:val="continue"/>
                  <w:vAlign w:val="center"/>
                </w:tcPr>
                <w:p w14:paraId="1DC34F62">
                  <w:pPr>
                    <w:pStyle w:val="38"/>
                  </w:pPr>
                </w:p>
              </w:tc>
              <w:tc>
                <w:tcPr>
                  <w:tcW w:w="1540" w:type="pct"/>
                  <w:vAlign w:val="center"/>
                </w:tcPr>
                <w:p w14:paraId="51765A60">
                  <w:pPr>
                    <w:pStyle w:val="38"/>
                  </w:pPr>
                  <w:r>
                    <w:t>≤</w:t>
                  </w:r>
                  <w:r>
                    <w:rPr>
                      <w:rFonts w:hint="eastAsia"/>
                    </w:rPr>
                    <w:t>0.00005</w:t>
                  </w:r>
                </w:p>
              </w:tc>
            </w:tr>
            <w:tr w14:paraId="53CA8A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180" w:type="pct"/>
                  <w:vMerge w:val="continue"/>
                  <w:vAlign w:val="center"/>
                </w:tcPr>
                <w:p w14:paraId="0DE51FAB">
                  <w:pPr>
                    <w:pStyle w:val="38"/>
                  </w:pPr>
                </w:p>
              </w:tc>
              <w:tc>
                <w:tcPr>
                  <w:tcW w:w="1610" w:type="pct"/>
                  <w:vAlign w:val="center"/>
                </w:tcPr>
                <w:p w14:paraId="54D547DE">
                  <w:pPr>
                    <w:pStyle w:val="38"/>
                  </w:pPr>
                  <w:r>
                    <w:rPr>
                      <w:rFonts w:hint="eastAsia"/>
                    </w:rPr>
                    <w:t>镉</w:t>
                  </w:r>
                </w:p>
              </w:tc>
              <w:tc>
                <w:tcPr>
                  <w:tcW w:w="669" w:type="pct"/>
                  <w:vMerge w:val="continue"/>
                  <w:vAlign w:val="center"/>
                </w:tcPr>
                <w:p w14:paraId="6957EF75">
                  <w:pPr>
                    <w:pStyle w:val="38"/>
                  </w:pPr>
                </w:p>
              </w:tc>
              <w:tc>
                <w:tcPr>
                  <w:tcW w:w="1540" w:type="pct"/>
                  <w:vAlign w:val="center"/>
                </w:tcPr>
                <w:p w14:paraId="4C413A8A">
                  <w:pPr>
                    <w:pStyle w:val="38"/>
                  </w:pPr>
                  <w:r>
                    <w:t>≤</w:t>
                  </w:r>
                  <w:r>
                    <w:rPr>
                      <w:rFonts w:hint="eastAsia"/>
                    </w:rPr>
                    <w:t>0.001</w:t>
                  </w:r>
                </w:p>
              </w:tc>
            </w:tr>
            <w:tr w14:paraId="40CF77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180" w:type="pct"/>
                  <w:vMerge w:val="continue"/>
                  <w:vAlign w:val="center"/>
                </w:tcPr>
                <w:p w14:paraId="0813CFE8">
                  <w:pPr>
                    <w:pStyle w:val="38"/>
                  </w:pPr>
                </w:p>
              </w:tc>
              <w:tc>
                <w:tcPr>
                  <w:tcW w:w="1610" w:type="pct"/>
                  <w:vAlign w:val="center"/>
                </w:tcPr>
                <w:p w14:paraId="3FE3A5C7">
                  <w:pPr>
                    <w:pStyle w:val="38"/>
                  </w:pPr>
                  <w:r>
                    <w:rPr>
                      <w:rFonts w:hint="eastAsia"/>
                    </w:rPr>
                    <w:t>铬（六价）</w:t>
                  </w:r>
                </w:p>
              </w:tc>
              <w:tc>
                <w:tcPr>
                  <w:tcW w:w="669" w:type="pct"/>
                  <w:vMerge w:val="continue"/>
                  <w:vAlign w:val="center"/>
                </w:tcPr>
                <w:p w14:paraId="65F8D4AF">
                  <w:pPr>
                    <w:pStyle w:val="38"/>
                  </w:pPr>
                </w:p>
              </w:tc>
              <w:tc>
                <w:tcPr>
                  <w:tcW w:w="1540" w:type="pct"/>
                  <w:vAlign w:val="center"/>
                </w:tcPr>
                <w:p w14:paraId="7DD00960">
                  <w:pPr>
                    <w:pStyle w:val="38"/>
                  </w:pPr>
                  <w:r>
                    <w:t>≤</w:t>
                  </w:r>
                  <w:r>
                    <w:rPr>
                      <w:rFonts w:hint="eastAsia"/>
                    </w:rPr>
                    <w:t>0.01</w:t>
                  </w:r>
                </w:p>
              </w:tc>
            </w:tr>
            <w:tr w14:paraId="7B6419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180" w:type="pct"/>
                  <w:vMerge w:val="continue"/>
                  <w:vAlign w:val="center"/>
                </w:tcPr>
                <w:p w14:paraId="5A387A61">
                  <w:pPr>
                    <w:pStyle w:val="38"/>
                  </w:pPr>
                </w:p>
              </w:tc>
              <w:tc>
                <w:tcPr>
                  <w:tcW w:w="1610" w:type="pct"/>
                  <w:vAlign w:val="center"/>
                </w:tcPr>
                <w:p w14:paraId="16F99603">
                  <w:pPr>
                    <w:pStyle w:val="38"/>
                  </w:pPr>
                  <w:r>
                    <w:rPr>
                      <w:rFonts w:hint="eastAsia"/>
                    </w:rPr>
                    <w:t>铅</w:t>
                  </w:r>
                </w:p>
              </w:tc>
              <w:tc>
                <w:tcPr>
                  <w:tcW w:w="669" w:type="pct"/>
                  <w:vMerge w:val="continue"/>
                  <w:vAlign w:val="center"/>
                </w:tcPr>
                <w:p w14:paraId="664F453E">
                  <w:pPr>
                    <w:pStyle w:val="38"/>
                  </w:pPr>
                </w:p>
              </w:tc>
              <w:tc>
                <w:tcPr>
                  <w:tcW w:w="1540" w:type="pct"/>
                  <w:vAlign w:val="center"/>
                </w:tcPr>
                <w:p w14:paraId="7F59474A">
                  <w:pPr>
                    <w:pStyle w:val="38"/>
                  </w:pPr>
                  <w:r>
                    <w:t>≤</w:t>
                  </w:r>
                  <w:r>
                    <w:rPr>
                      <w:rFonts w:hint="eastAsia"/>
                    </w:rPr>
                    <w:t>0.01</w:t>
                  </w:r>
                </w:p>
              </w:tc>
            </w:tr>
            <w:tr w14:paraId="63DE8F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180" w:type="pct"/>
                  <w:vMerge w:val="continue"/>
                  <w:vAlign w:val="center"/>
                </w:tcPr>
                <w:p w14:paraId="453B5B87">
                  <w:pPr>
                    <w:pStyle w:val="38"/>
                  </w:pPr>
                </w:p>
              </w:tc>
              <w:tc>
                <w:tcPr>
                  <w:tcW w:w="1610" w:type="pct"/>
                  <w:vAlign w:val="center"/>
                </w:tcPr>
                <w:p w14:paraId="028D5A70">
                  <w:pPr>
                    <w:pStyle w:val="38"/>
                  </w:pPr>
                  <w:r>
                    <w:rPr>
                      <w:rFonts w:hint="eastAsia"/>
                    </w:rPr>
                    <w:t>氰化物</w:t>
                  </w:r>
                </w:p>
              </w:tc>
              <w:tc>
                <w:tcPr>
                  <w:tcW w:w="669" w:type="pct"/>
                  <w:vMerge w:val="continue"/>
                  <w:vAlign w:val="center"/>
                </w:tcPr>
                <w:p w14:paraId="68E92233">
                  <w:pPr>
                    <w:pStyle w:val="38"/>
                  </w:pPr>
                </w:p>
              </w:tc>
              <w:tc>
                <w:tcPr>
                  <w:tcW w:w="1540" w:type="pct"/>
                  <w:vAlign w:val="center"/>
                </w:tcPr>
                <w:p w14:paraId="20ED2896">
                  <w:pPr>
                    <w:pStyle w:val="38"/>
                  </w:pPr>
                  <w:r>
                    <w:t>≤</w:t>
                  </w:r>
                  <w:r>
                    <w:rPr>
                      <w:rFonts w:hint="eastAsia"/>
                    </w:rPr>
                    <w:t>0.005</w:t>
                  </w:r>
                </w:p>
              </w:tc>
            </w:tr>
            <w:tr w14:paraId="3CB570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180" w:type="pct"/>
                  <w:vMerge w:val="continue"/>
                  <w:vAlign w:val="center"/>
                </w:tcPr>
                <w:p w14:paraId="68625028">
                  <w:pPr>
                    <w:pStyle w:val="38"/>
                  </w:pPr>
                </w:p>
              </w:tc>
              <w:tc>
                <w:tcPr>
                  <w:tcW w:w="1610" w:type="pct"/>
                  <w:vAlign w:val="center"/>
                </w:tcPr>
                <w:p w14:paraId="67EEF070">
                  <w:pPr>
                    <w:pStyle w:val="38"/>
                  </w:pPr>
                  <w:r>
                    <w:rPr>
                      <w:rFonts w:hint="eastAsia"/>
                    </w:rPr>
                    <w:t>挥发酚</w:t>
                  </w:r>
                </w:p>
              </w:tc>
              <w:tc>
                <w:tcPr>
                  <w:tcW w:w="669" w:type="pct"/>
                  <w:vMerge w:val="continue"/>
                  <w:vAlign w:val="center"/>
                </w:tcPr>
                <w:p w14:paraId="774ABE0C">
                  <w:pPr>
                    <w:pStyle w:val="38"/>
                  </w:pPr>
                </w:p>
              </w:tc>
              <w:tc>
                <w:tcPr>
                  <w:tcW w:w="1540" w:type="pct"/>
                  <w:vAlign w:val="center"/>
                </w:tcPr>
                <w:p w14:paraId="307B019D">
                  <w:pPr>
                    <w:pStyle w:val="38"/>
                  </w:pPr>
                  <w:r>
                    <w:t>≤</w:t>
                  </w:r>
                  <w:r>
                    <w:rPr>
                      <w:rFonts w:hint="eastAsia"/>
                    </w:rPr>
                    <w:t>0.002</w:t>
                  </w:r>
                </w:p>
              </w:tc>
            </w:tr>
            <w:tr w14:paraId="6ED81B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180" w:type="pct"/>
                  <w:vMerge w:val="continue"/>
                  <w:vAlign w:val="center"/>
                </w:tcPr>
                <w:p w14:paraId="3960A250">
                  <w:pPr>
                    <w:pStyle w:val="38"/>
                  </w:pPr>
                </w:p>
              </w:tc>
              <w:tc>
                <w:tcPr>
                  <w:tcW w:w="1610" w:type="pct"/>
                  <w:vAlign w:val="center"/>
                </w:tcPr>
                <w:p w14:paraId="2395496A">
                  <w:pPr>
                    <w:pStyle w:val="38"/>
                  </w:pPr>
                  <w:r>
                    <w:rPr>
                      <w:rFonts w:hint="eastAsia"/>
                    </w:rPr>
                    <w:t>石油类</w:t>
                  </w:r>
                </w:p>
              </w:tc>
              <w:tc>
                <w:tcPr>
                  <w:tcW w:w="669" w:type="pct"/>
                  <w:vMerge w:val="continue"/>
                  <w:vAlign w:val="center"/>
                </w:tcPr>
                <w:p w14:paraId="64A0229F">
                  <w:pPr>
                    <w:pStyle w:val="38"/>
                  </w:pPr>
                </w:p>
              </w:tc>
              <w:tc>
                <w:tcPr>
                  <w:tcW w:w="1540" w:type="pct"/>
                  <w:vAlign w:val="center"/>
                </w:tcPr>
                <w:p w14:paraId="2CC2682F">
                  <w:pPr>
                    <w:pStyle w:val="38"/>
                  </w:pPr>
                  <w:r>
                    <w:t>≤</w:t>
                  </w:r>
                  <w:r>
                    <w:rPr>
                      <w:rFonts w:hint="eastAsia"/>
                    </w:rPr>
                    <w:t>0.05</w:t>
                  </w:r>
                </w:p>
              </w:tc>
            </w:tr>
            <w:tr w14:paraId="68D2E9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180" w:type="pct"/>
                  <w:vMerge w:val="continue"/>
                  <w:vAlign w:val="center"/>
                </w:tcPr>
                <w:p w14:paraId="683B2CCF">
                  <w:pPr>
                    <w:pStyle w:val="38"/>
                  </w:pPr>
                </w:p>
              </w:tc>
              <w:tc>
                <w:tcPr>
                  <w:tcW w:w="1610" w:type="pct"/>
                  <w:vAlign w:val="center"/>
                </w:tcPr>
                <w:p w14:paraId="0D2E69E5">
                  <w:pPr>
                    <w:pStyle w:val="38"/>
                  </w:pPr>
                  <w:r>
                    <w:rPr>
                      <w:rFonts w:hint="eastAsia"/>
                    </w:rPr>
                    <w:t>阴离子表面活性剂</w:t>
                  </w:r>
                </w:p>
              </w:tc>
              <w:tc>
                <w:tcPr>
                  <w:tcW w:w="669" w:type="pct"/>
                  <w:vMerge w:val="continue"/>
                  <w:vAlign w:val="center"/>
                </w:tcPr>
                <w:p w14:paraId="483D8C1F">
                  <w:pPr>
                    <w:pStyle w:val="38"/>
                  </w:pPr>
                </w:p>
              </w:tc>
              <w:tc>
                <w:tcPr>
                  <w:tcW w:w="1540" w:type="pct"/>
                  <w:vAlign w:val="center"/>
                </w:tcPr>
                <w:p w14:paraId="48F17F28">
                  <w:pPr>
                    <w:pStyle w:val="38"/>
                  </w:pPr>
                  <w:r>
                    <w:t>≤</w:t>
                  </w:r>
                  <w:r>
                    <w:rPr>
                      <w:rFonts w:hint="eastAsia"/>
                    </w:rPr>
                    <w:t>0.2</w:t>
                  </w:r>
                </w:p>
              </w:tc>
            </w:tr>
            <w:tr w14:paraId="2C8E8A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180" w:type="pct"/>
                  <w:vMerge w:val="continue"/>
                  <w:vAlign w:val="center"/>
                </w:tcPr>
                <w:p w14:paraId="4F8C970D">
                  <w:pPr>
                    <w:pStyle w:val="38"/>
                  </w:pPr>
                </w:p>
              </w:tc>
              <w:tc>
                <w:tcPr>
                  <w:tcW w:w="1610" w:type="pct"/>
                  <w:vAlign w:val="center"/>
                </w:tcPr>
                <w:p w14:paraId="1E9B70F0">
                  <w:pPr>
                    <w:pStyle w:val="38"/>
                  </w:pPr>
                  <w:r>
                    <w:rPr>
                      <w:rFonts w:hint="eastAsia"/>
                    </w:rPr>
                    <w:t>硫化物</w:t>
                  </w:r>
                </w:p>
              </w:tc>
              <w:tc>
                <w:tcPr>
                  <w:tcW w:w="669" w:type="pct"/>
                  <w:vMerge w:val="continue"/>
                  <w:vAlign w:val="center"/>
                </w:tcPr>
                <w:p w14:paraId="5C09D5B2">
                  <w:pPr>
                    <w:pStyle w:val="38"/>
                  </w:pPr>
                </w:p>
              </w:tc>
              <w:tc>
                <w:tcPr>
                  <w:tcW w:w="1540" w:type="pct"/>
                  <w:vAlign w:val="center"/>
                </w:tcPr>
                <w:p w14:paraId="2E4B46A9">
                  <w:pPr>
                    <w:pStyle w:val="38"/>
                  </w:pPr>
                  <w:r>
                    <w:t>≤</w:t>
                  </w:r>
                  <w:r>
                    <w:rPr>
                      <w:rFonts w:hint="eastAsia"/>
                    </w:rPr>
                    <w:t>0.05</w:t>
                  </w:r>
                </w:p>
              </w:tc>
            </w:tr>
            <w:tr w14:paraId="5B7791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180" w:type="pct"/>
                  <w:vMerge w:val="continue"/>
                  <w:vAlign w:val="center"/>
                </w:tcPr>
                <w:p w14:paraId="36805C68">
                  <w:pPr>
                    <w:pStyle w:val="38"/>
                  </w:pPr>
                </w:p>
              </w:tc>
              <w:tc>
                <w:tcPr>
                  <w:tcW w:w="1610" w:type="pct"/>
                  <w:vAlign w:val="center"/>
                </w:tcPr>
                <w:p w14:paraId="3948CC9E">
                  <w:pPr>
                    <w:pStyle w:val="38"/>
                  </w:pPr>
                  <w:r>
                    <w:rPr>
                      <w:rFonts w:hint="eastAsia"/>
                    </w:rPr>
                    <w:t>粪大肠菌群</w:t>
                  </w:r>
                </w:p>
              </w:tc>
              <w:tc>
                <w:tcPr>
                  <w:tcW w:w="669" w:type="pct"/>
                  <w:vAlign w:val="center"/>
                </w:tcPr>
                <w:p w14:paraId="5E8A9105">
                  <w:pPr>
                    <w:pStyle w:val="38"/>
                  </w:pPr>
                  <w:r>
                    <w:rPr>
                      <w:rFonts w:hint="eastAsia"/>
                    </w:rPr>
                    <w:t>个/L</w:t>
                  </w:r>
                </w:p>
              </w:tc>
              <w:tc>
                <w:tcPr>
                  <w:tcW w:w="1540" w:type="pct"/>
                  <w:vAlign w:val="center"/>
                </w:tcPr>
                <w:p w14:paraId="3A81E3FF">
                  <w:pPr>
                    <w:pStyle w:val="38"/>
                  </w:pPr>
                  <w:r>
                    <w:t>≤</w:t>
                  </w:r>
                  <w:r>
                    <w:rPr>
                      <w:rFonts w:hint="eastAsia"/>
                    </w:rPr>
                    <w:t>200</w:t>
                  </w:r>
                </w:p>
              </w:tc>
            </w:tr>
          </w:tbl>
          <w:p w14:paraId="231D1B75">
            <w:pPr>
              <w:snapToGrid w:val="0"/>
              <w:ind w:firstLine="482"/>
              <w:rPr>
                <w:b/>
                <w:bCs/>
              </w:rPr>
            </w:pPr>
            <w:r>
              <w:rPr>
                <w:b/>
                <w:bCs/>
              </w:rPr>
              <w:t>2</w:t>
            </w:r>
            <w:r>
              <w:rPr>
                <w:rFonts w:hint="eastAsia"/>
                <w:b/>
                <w:bCs/>
              </w:rPr>
              <w:t>、污染物排放标准</w:t>
            </w:r>
          </w:p>
          <w:p w14:paraId="29A63FE6">
            <w:pPr>
              <w:ind w:firstLine="482"/>
            </w:pPr>
            <w:r>
              <w:rPr>
                <w:rFonts w:hint="eastAsia"/>
                <w:b/>
                <w:bCs/>
              </w:rPr>
              <w:t>2</w:t>
            </w:r>
            <w:r>
              <w:rPr>
                <w:b/>
                <w:bCs/>
              </w:rPr>
              <w:t>.1废气</w:t>
            </w:r>
          </w:p>
          <w:p w14:paraId="1A91946A">
            <w:pPr>
              <w:snapToGrid w:val="0"/>
              <w:ind w:firstLine="480"/>
            </w:pPr>
            <w:r>
              <w:rPr>
                <w:rFonts w:hint="eastAsia"/>
              </w:rPr>
              <w:t>施工扬尘</w:t>
            </w:r>
            <w:r>
              <w:t>执行《大气污染物综合排放标准》（GB16297-</w:t>
            </w:r>
            <w:r>
              <w:rPr>
                <w:rFonts w:hint="eastAsia"/>
              </w:rPr>
              <w:t>19</w:t>
            </w:r>
            <w:r>
              <w:t>96）</w:t>
            </w:r>
            <w:r>
              <w:rPr>
                <w:rFonts w:hint="eastAsia"/>
              </w:rPr>
              <w:t>中无组织排放监控浓度限值，</w:t>
            </w:r>
            <w:r>
              <w:t>详见表</w:t>
            </w:r>
            <w:r>
              <w:rPr>
                <w:rFonts w:hint="eastAsia"/>
              </w:rPr>
              <w:t>3-</w:t>
            </w:r>
            <w:r>
              <w:rPr>
                <w:rFonts w:hint="eastAsia"/>
                <w:lang w:val="en-US" w:eastAsia="zh-CN"/>
              </w:rPr>
              <w:t>6</w:t>
            </w:r>
            <w:r>
              <w:t>。</w:t>
            </w:r>
          </w:p>
          <w:p w14:paraId="591C4A1F">
            <w:pPr>
              <w:pStyle w:val="33"/>
              <w:spacing w:before="120"/>
              <w:ind w:firstLine="480"/>
              <w:rPr>
                <w:vertAlign w:val="superscript"/>
              </w:rPr>
            </w:pPr>
            <w:r>
              <w:t>表3-</w:t>
            </w:r>
            <w:r>
              <w:rPr>
                <w:rFonts w:hint="eastAsia"/>
                <w:lang w:val="en-US" w:eastAsia="zh-CN"/>
              </w:rPr>
              <w:t>6</w:t>
            </w:r>
            <w:r>
              <w:t>大气污染物综合排放标准</w:t>
            </w:r>
            <w:r>
              <w:rPr>
                <w:rFonts w:hint="eastAsia"/>
              </w:rPr>
              <w:t>（摘录）</w:t>
            </w:r>
            <w:r>
              <w:t>单位：mg/m</w:t>
            </w:r>
            <w:r>
              <w:rPr>
                <w:vertAlign w:val="superscript"/>
              </w:rPr>
              <w:t>3</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53"/>
              <w:gridCol w:w="2522"/>
              <w:gridCol w:w="5046"/>
            </w:tblGrid>
            <w:tr w14:paraId="3CE97F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05" w:type="pct"/>
                  <w:vAlign w:val="center"/>
                </w:tcPr>
                <w:p w14:paraId="3DE098C0">
                  <w:pPr>
                    <w:pStyle w:val="31"/>
                    <w:ind w:firstLine="480"/>
                  </w:pPr>
                  <w:r>
                    <w:rPr>
                      <w:rFonts w:hint="eastAsia"/>
                    </w:rPr>
                    <w:t>序号</w:t>
                  </w:r>
                </w:p>
              </w:tc>
              <w:tc>
                <w:tcPr>
                  <w:tcW w:w="1398" w:type="pct"/>
                  <w:vAlign w:val="center"/>
                </w:tcPr>
                <w:p w14:paraId="4946F16D">
                  <w:pPr>
                    <w:pStyle w:val="31"/>
                    <w:ind w:firstLine="480"/>
                  </w:pPr>
                  <w:r>
                    <w:rPr>
                      <w:rFonts w:hint="eastAsia"/>
                    </w:rPr>
                    <w:t>污染物</w:t>
                  </w:r>
                </w:p>
              </w:tc>
              <w:tc>
                <w:tcPr>
                  <w:tcW w:w="2797" w:type="pct"/>
                  <w:vAlign w:val="center"/>
                </w:tcPr>
                <w:p w14:paraId="136376A5">
                  <w:pPr>
                    <w:pStyle w:val="31"/>
                    <w:ind w:firstLine="480"/>
                  </w:pPr>
                  <w:r>
                    <w:rPr>
                      <w:rFonts w:hint="eastAsia"/>
                    </w:rPr>
                    <w:t>无组织排放监控浓度限值（</w:t>
                  </w:r>
                  <w:r>
                    <w:t>mg/m</w:t>
                  </w:r>
                  <w:r>
                    <w:rPr>
                      <w:vertAlign w:val="superscript"/>
                    </w:rPr>
                    <w:t>3</w:t>
                  </w:r>
                  <w:r>
                    <w:rPr>
                      <w:rFonts w:hint="eastAsia"/>
                    </w:rPr>
                    <w:t>）</w:t>
                  </w:r>
                </w:p>
              </w:tc>
            </w:tr>
            <w:tr w14:paraId="26C1E4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05" w:type="pct"/>
                  <w:vAlign w:val="center"/>
                </w:tcPr>
                <w:p w14:paraId="45FCF1C3">
                  <w:pPr>
                    <w:pStyle w:val="31"/>
                    <w:ind w:firstLine="480"/>
                    <w:rPr>
                      <w:lang w:val="pt-BR"/>
                    </w:rPr>
                  </w:pPr>
                  <w:r>
                    <w:rPr>
                      <w:rFonts w:hint="eastAsia"/>
                      <w:lang w:val="pt-BR"/>
                    </w:rPr>
                    <w:t>1</w:t>
                  </w:r>
                </w:p>
              </w:tc>
              <w:tc>
                <w:tcPr>
                  <w:tcW w:w="1398" w:type="pct"/>
                  <w:vAlign w:val="center"/>
                </w:tcPr>
                <w:p w14:paraId="2BA95A21">
                  <w:pPr>
                    <w:pStyle w:val="31"/>
                    <w:ind w:firstLine="480"/>
                  </w:pPr>
                  <w:r>
                    <w:rPr>
                      <w:rFonts w:hint="eastAsia"/>
                    </w:rPr>
                    <w:t>颗粒物</w:t>
                  </w:r>
                </w:p>
              </w:tc>
              <w:tc>
                <w:tcPr>
                  <w:tcW w:w="2797" w:type="pct"/>
                  <w:vAlign w:val="center"/>
                </w:tcPr>
                <w:p w14:paraId="1BDF032D">
                  <w:pPr>
                    <w:pStyle w:val="31"/>
                    <w:ind w:firstLine="480"/>
                  </w:pPr>
                  <w:r>
                    <w:t>1.0</w:t>
                  </w:r>
                </w:p>
              </w:tc>
            </w:tr>
          </w:tbl>
          <w:p w14:paraId="6A258C20">
            <w:pPr>
              <w:ind w:firstLine="480"/>
            </w:pPr>
            <w:r>
              <w:t>2014年5月16日，环境保护部及国家质量监督检验检疫总局联合发布了《非道路移动机械用柴油机排气污染物排放限值及测量方法（中国第三、四阶段）》（GB20891-2014），标准规定了非道路移动机械用柴油机（含额定净功率不超过37k</w:t>
            </w:r>
            <w:r>
              <w:rPr>
                <w:rFonts w:hint="eastAsia"/>
              </w:rPr>
              <w:t>w</w:t>
            </w:r>
            <w:r>
              <w:t>的船用柴油机）和在道路上用于载人（货）的车辆装用的第二台柴油机排气污染物排放限值及测量方法，因此本项目所使用柴油发电机执行该标准中表2的第</w:t>
            </w:r>
            <w:r>
              <w:rPr>
                <w:rFonts w:hint="eastAsia"/>
              </w:rPr>
              <w:t>四</w:t>
            </w:r>
            <w:r>
              <w:t>阶段限值要求。</w:t>
            </w:r>
          </w:p>
          <w:p w14:paraId="47C47714">
            <w:pPr>
              <w:pStyle w:val="33"/>
              <w:spacing w:before="120"/>
              <w:ind w:firstLine="480"/>
            </w:pPr>
            <w:r>
              <w:rPr>
                <w:rFonts w:hint="eastAsia"/>
              </w:rPr>
              <w:t>表</w:t>
            </w:r>
            <w:r>
              <w:t>3-</w:t>
            </w:r>
            <w:r>
              <w:rPr>
                <w:rFonts w:hint="eastAsia"/>
                <w:lang w:val="en-US" w:eastAsia="zh-CN"/>
              </w:rPr>
              <w:t>7</w:t>
            </w:r>
            <w:r>
              <w:rPr>
                <w:rFonts w:hint="eastAsia"/>
              </w:rPr>
              <w:t>非道路移动机械用柴油机排气污染物排放限值及测量方法</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35"/>
              <w:gridCol w:w="1915"/>
              <w:gridCol w:w="1376"/>
              <w:gridCol w:w="2217"/>
              <w:gridCol w:w="2078"/>
            </w:tblGrid>
            <w:tr w14:paraId="54BC13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95" w:type="pct"/>
                  <w:vAlign w:val="center"/>
                </w:tcPr>
                <w:p w14:paraId="7D353317">
                  <w:pPr>
                    <w:spacing w:line="240" w:lineRule="auto"/>
                    <w:ind w:firstLine="0" w:firstLineChars="0"/>
                    <w:jc w:val="center"/>
                    <w:rPr>
                      <w:color w:val="000000"/>
                      <w:sz w:val="21"/>
                      <w:szCs w:val="21"/>
                    </w:rPr>
                  </w:pPr>
                  <w:r>
                    <w:rPr>
                      <w:rFonts w:hint="eastAsia"/>
                      <w:color w:val="000000"/>
                      <w:sz w:val="21"/>
                      <w:szCs w:val="21"/>
                    </w:rPr>
                    <w:t>阶段</w:t>
                  </w:r>
                </w:p>
              </w:tc>
              <w:tc>
                <w:tcPr>
                  <w:tcW w:w="1061" w:type="pct"/>
                  <w:vAlign w:val="center"/>
                </w:tcPr>
                <w:p w14:paraId="2E7F2293">
                  <w:pPr>
                    <w:spacing w:line="240" w:lineRule="auto"/>
                    <w:ind w:firstLine="0" w:firstLineChars="0"/>
                    <w:jc w:val="center"/>
                    <w:rPr>
                      <w:color w:val="000000"/>
                      <w:sz w:val="21"/>
                      <w:szCs w:val="21"/>
                    </w:rPr>
                  </w:pPr>
                  <w:r>
                    <w:rPr>
                      <w:rFonts w:hint="eastAsia"/>
                      <w:color w:val="000000"/>
                      <w:sz w:val="21"/>
                      <w:szCs w:val="21"/>
                    </w:rPr>
                    <w:t>额定功率</w:t>
                  </w:r>
                </w:p>
              </w:tc>
              <w:tc>
                <w:tcPr>
                  <w:tcW w:w="762" w:type="pct"/>
                  <w:vAlign w:val="center"/>
                </w:tcPr>
                <w:p w14:paraId="21D548F0">
                  <w:pPr>
                    <w:spacing w:line="240" w:lineRule="auto"/>
                    <w:ind w:firstLine="0" w:firstLineChars="0"/>
                    <w:jc w:val="center"/>
                    <w:rPr>
                      <w:color w:val="000000"/>
                      <w:sz w:val="21"/>
                      <w:szCs w:val="21"/>
                    </w:rPr>
                  </w:pPr>
                  <w:r>
                    <w:rPr>
                      <w:rFonts w:hint="eastAsia"/>
                      <w:color w:val="000000"/>
                      <w:sz w:val="21"/>
                      <w:szCs w:val="21"/>
                    </w:rPr>
                    <w:t>CO(g/kWh)</w:t>
                  </w:r>
                </w:p>
              </w:tc>
              <w:tc>
                <w:tcPr>
                  <w:tcW w:w="1229" w:type="pct"/>
                  <w:vAlign w:val="center"/>
                </w:tcPr>
                <w:p w14:paraId="6B42BB85">
                  <w:pPr>
                    <w:spacing w:line="240" w:lineRule="auto"/>
                    <w:ind w:firstLine="0" w:firstLineChars="0"/>
                    <w:jc w:val="center"/>
                    <w:rPr>
                      <w:color w:val="000000"/>
                      <w:sz w:val="21"/>
                      <w:szCs w:val="21"/>
                    </w:rPr>
                  </w:pPr>
                  <w:r>
                    <w:rPr>
                      <w:rFonts w:hint="eastAsia"/>
                      <w:color w:val="000000"/>
                      <w:sz w:val="21"/>
                      <w:szCs w:val="21"/>
                    </w:rPr>
                    <w:t>CH+NOx(g/kWh)</w:t>
                  </w:r>
                </w:p>
              </w:tc>
              <w:tc>
                <w:tcPr>
                  <w:tcW w:w="1152" w:type="pct"/>
                  <w:vAlign w:val="center"/>
                </w:tcPr>
                <w:p w14:paraId="1BFCAEAF">
                  <w:pPr>
                    <w:spacing w:line="240" w:lineRule="auto"/>
                    <w:ind w:firstLine="0" w:firstLineChars="0"/>
                    <w:jc w:val="center"/>
                    <w:rPr>
                      <w:color w:val="000000"/>
                      <w:sz w:val="21"/>
                      <w:szCs w:val="21"/>
                    </w:rPr>
                  </w:pPr>
                  <w:r>
                    <w:rPr>
                      <w:rFonts w:hint="eastAsia"/>
                      <w:color w:val="000000"/>
                      <w:sz w:val="21"/>
                      <w:szCs w:val="21"/>
                    </w:rPr>
                    <w:t>PM(g/kWh)</w:t>
                  </w:r>
                </w:p>
              </w:tc>
            </w:tr>
            <w:tr w14:paraId="68E815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95" w:type="pct"/>
                  <w:vAlign w:val="center"/>
                </w:tcPr>
                <w:p w14:paraId="1F05AC8B">
                  <w:pPr>
                    <w:spacing w:line="240" w:lineRule="auto"/>
                    <w:ind w:firstLine="0" w:firstLineChars="0"/>
                    <w:jc w:val="center"/>
                    <w:rPr>
                      <w:bCs/>
                      <w:color w:val="000000"/>
                      <w:sz w:val="21"/>
                      <w:szCs w:val="21"/>
                    </w:rPr>
                  </w:pPr>
                  <w:r>
                    <w:rPr>
                      <w:rFonts w:hint="eastAsia"/>
                      <w:bCs/>
                      <w:color w:val="000000"/>
                      <w:sz w:val="21"/>
                      <w:szCs w:val="21"/>
                    </w:rPr>
                    <w:t>第四阶段</w:t>
                  </w:r>
                </w:p>
              </w:tc>
              <w:tc>
                <w:tcPr>
                  <w:tcW w:w="1061" w:type="pct"/>
                  <w:vAlign w:val="center"/>
                </w:tcPr>
                <w:p w14:paraId="3BEF26A8">
                  <w:pPr>
                    <w:spacing w:line="240" w:lineRule="auto"/>
                    <w:ind w:firstLine="0" w:firstLineChars="0"/>
                    <w:jc w:val="center"/>
                    <w:rPr>
                      <w:color w:val="000000"/>
                      <w:sz w:val="21"/>
                      <w:szCs w:val="21"/>
                    </w:rPr>
                  </w:pPr>
                  <w:r>
                    <w:rPr>
                      <w:color w:val="000000"/>
                      <w:sz w:val="21"/>
                      <w:szCs w:val="21"/>
                    </w:rPr>
                    <w:t>130</w:t>
                  </w:r>
                  <w:r>
                    <w:rPr>
                      <w:rFonts w:hint="eastAsia"/>
                      <w:color w:val="000000"/>
                      <w:sz w:val="21"/>
                      <w:szCs w:val="21"/>
                    </w:rPr>
                    <w:t>≤Pmax≤560</w:t>
                  </w:r>
                </w:p>
              </w:tc>
              <w:tc>
                <w:tcPr>
                  <w:tcW w:w="762" w:type="pct"/>
                  <w:vAlign w:val="center"/>
                </w:tcPr>
                <w:p w14:paraId="6AE48112">
                  <w:pPr>
                    <w:spacing w:line="240" w:lineRule="auto"/>
                    <w:ind w:firstLine="0" w:firstLineChars="0"/>
                    <w:jc w:val="center"/>
                    <w:rPr>
                      <w:color w:val="000000"/>
                      <w:sz w:val="21"/>
                      <w:szCs w:val="21"/>
                    </w:rPr>
                  </w:pPr>
                  <w:r>
                    <w:rPr>
                      <w:rFonts w:hint="eastAsia"/>
                      <w:color w:val="000000"/>
                      <w:sz w:val="21"/>
                      <w:szCs w:val="21"/>
                    </w:rPr>
                    <w:t>3.5</w:t>
                  </w:r>
                </w:p>
              </w:tc>
              <w:tc>
                <w:tcPr>
                  <w:tcW w:w="1229" w:type="pct"/>
                  <w:vAlign w:val="center"/>
                </w:tcPr>
                <w:p w14:paraId="66AD1B22">
                  <w:pPr>
                    <w:spacing w:line="240" w:lineRule="auto"/>
                    <w:ind w:firstLine="0" w:firstLineChars="0"/>
                    <w:jc w:val="center"/>
                    <w:rPr>
                      <w:color w:val="000000"/>
                      <w:sz w:val="21"/>
                      <w:szCs w:val="21"/>
                    </w:rPr>
                  </w:pPr>
                  <w:r>
                    <w:rPr>
                      <w:rFonts w:hint="eastAsia"/>
                      <w:color w:val="000000"/>
                      <w:sz w:val="21"/>
                      <w:szCs w:val="21"/>
                    </w:rPr>
                    <w:t>6.4</w:t>
                  </w:r>
                </w:p>
              </w:tc>
              <w:tc>
                <w:tcPr>
                  <w:tcW w:w="1152" w:type="pct"/>
                  <w:vAlign w:val="center"/>
                </w:tcPr>
                <w:p w14:paraId="36FC56D3">
                  <w:pPr>
                    <w:spacing w:line="240" w:lineRule="auto"/>
                    <w:ind w:firstLine="0" w:firstLineChars="0"/>
                    <w:jc w:val="center"/>
                    <w:rPr>
                      <w:color w:val="000000"/>
                      <w:sz w:val="21"/>
                      <w:szCs w:val="21"/>
                    </w:rPr>
                  </w:pPr>
                  <w:r>
                    <w:rPr>
                      <w:rFonts w:hint="eastAsia"/>
                      <w:color w:val="000000"/>
                      <w:sz w:val="21"/>
                      <w:szCs w:val="21"/>
                    </w:rPr>
                    <w:t>0.2</w:t>
                  </w:r>
                </w:p>
              </w:tc>
            </w:tr>
          </w:tbl>
          <w:p w14:paraId="7EFFB7FC">
            <w:pPr>
              <w:pStyle w:val="20"/>
              <w:ind w:firstLine="482"/>
            </w:pPr>
            <w:r>
              <w:rPr>
                <w:rFonts w:hint="eastAsia"/>
              </w:rPr>
              <w:t>2</w:t>
            </w:r>
            <w:r>
              <w:t>.2噪声</w:t>
            </w:r>
          </w:p>
          <w:p w14:paraId="435FB15A">
            <w:pPr>
              <w:snapToGrid w:val="0"/>
              <w:ind w:firstLine="480"/>
              <w:rPr>
                <w:b/>
              </w:rPr>
            </w:pPr>
            <w:r>
              <w:t>施工期执行《</w:t>
            </w:r>
            <w:r>
              <w:rPr>
                <w:rFonts w:hint="eastAsia"/>
              </w:rPr>
              <w:t>建筑施工场界环境噪声排放标准</w:t>
            </w:r>
            <w:r>
              <w:t>》（GB12523</w:t>
            </w:r>
            <w:r>
              <w:rPr>
                <w:rFonts w:hint="eastAsia"/>
              </w:rPr>
              <w:t>-2011</w:t>
            </w:r>
            <w:r>
              <w:t>）中的相关标准</w:t>
            </w:r>
            <w:r>
              <w:rPr>
                <w:rFonts w:hint="eastAsia"/>
              </w:rPr>
              <w:t>。</w:t>
            </w:r>
          </w:p>
          <w:p w14:paraId="2F1926F9">
            <w:pPr>
              <w:pStyle w:val="33"/>
              <w:spacing w:before="120"/>
              <w:jc w:val="center"/>
            </w:pPr>
            <w:r>
              <w:t>表3-</w:t>
            </w:r>
            <w:r>
              <w:rPr>
                <w:rFonts w:hint="eastAsia"/>
                <w:lang w:val="en-US" w:eastAsia="zh-CN"/>
              </w:rPr>
              <w:t>8</w:t>
            </w:r>
            <w:r>
              <w:t>建筑施工场界环境噪声排放标准（摘录）单位：dB（A）</w:t>
            </w:r>
          </w:p>
          <w:tbl>
            <w:tblPr>
              <w:tblStyle w:val="23"/>
              <w:tblW w:w="4999" w:type="pct"/>
              <w:tblInd w:w="1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509"/>
              <w:gridCol w:w="4510"/>
            </w:tblGrid>
            <w:tr w14:paraId="19FA4C3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500" w:type="pct"/>
                </w:tcPr>
                <w:p w14:paraId="63B09CD4">
                  <w:pPr>
                    <w:pStyle w:val="31"/>
                  </w:pPr>
                  <w:r>
                    <w:t>昼间</w:t>
                  </w:r>
                </w:p>
              </w:tc>
              <w:tc>
                <w:tcPr>
                  <w:tcW w:w="2500" w:type="pct"/>
                </w:tcPr>
                <w:p w14:paraId="6ADABF1A">
                  <w:pPr>
                    <w:pStyle w:val="31"/>
                  </w:pPr>
                  <w:r>
                    <w:t>夜间</w:t>
                  </w:r>
                </w:p>
              </w:tc>
            </w:tr>
            <w:tr w14:paraId="537AFF5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500" w:type="pct"/>
                  <w:vAlign w:val="center"/>
                </w:tcPr>
                <w:p w14:paraId="0D2D07AE">
                  <w:pPr>
                    <w:pStyle w:val="31"/>
                  </w:pPr>
                  <w:r>
                    <w:t>70</w:t>
                  </w:r>
                </w:p>
              </w:tc>
              <w:tc>
                <w:tcPr>
                  <w:tcW w:w="2500" w:type="pct"/>
                  <w:vAlign w:val="center"/>
                </w:tcPr>
                <w:p w14:paraId="22E66B1E">
                  <w:pPr>
                    <w:pStyle w:val="31"/>
                  </w:pPr>
                  <w:r>
                    <w:t>55</w:t>
                  </w:r>
                </w:p>
              </w:tc>
            </w:tr>
          </w:tbl>
          <w:p w14:paraId="184D37FA">
            <w:pPr>
              <w:pStyle w:val="20"/>
              <w:ind w:firstLine="482"/>
            </w:pPr>
            <w:r>
              <w:rPr>
                <w:rFonts w:hint="eastAsia"/>
              </w:rPr>
              <w:t>2</w:t>
            </w:r>
            <w:r>
              <w:t>.3</w:t>
            </w:r>
            <w:r>
              <w:rPr>
                <w:rFonts w:hint="eastAsia"/>
              </w:rPr>
              <w:t>固体废弃物</w:t>
            </w:r>
          </w:p>
          <w:p w14:paraId="0A0BCC32">
            <w:pPr>
              <w:ind w:firstLine="480"/>
              <w:rPr>
                <w:b/>
                <w:bCs/>
              </w:rPr>
            </w:pPr>
            <w:r>
              <w:rPr>
                <w:rFonts w:hint="eastAsia"/>
              </w:rPr>
              <w:t>一般废物执行</w:t>
            </w:r>
            <w:r>
              <w:rPr>
                <w:rFonts w:hint="eastAsia"/>
                <w:bCs/>
                <w:color w:val="000000"/>
                <w:kern w:val="0"/>
              </w:rPr>
              <w:t>《</w:t>
            </w:r>
            <w:r>
              <w:rPr>
                <w:rFonts w:hint="eastAsia"/>
                <w:color w:val="000000"/>
              </w:rPr>
              <w:t>一般工业固体废物贮存和填埋污染控制标准</w:t>
            </w:r>
            <w:r>
              <w:rPr>
                <w:rFonts w:hint="eastAsia"/>
                <w:bCs/>
                <w:color w:val="000000"/>
                <w:kern w:val="0"/>
              </w:rPr>
              <w:t>》（</w:t>
            </w:r>
            <w:r>
              <w:rPr>
                <w:bCs/>
                <w:color w:val="000000"/>
                <w:kern w:val="0"/>
              </w:rPr>
              <w:t>GB18599-2020</w:t>
            </w:r>
            <w:r>
              <w:rPr>
                <w:rFonts w:hint="eastAsia"/>
                <w:bCs/>
                <w:color w:val="000000"/>
                <w:kern w:val="0"/>
              </w:rPr>
              <w:t>）</w:t>
            </w:r>
            <w:r>
              <w:rPr>
                <w:rFonts w:hint="eastAsia"/>
              </w:rPr>
              <w:t>中相关标准。</w:t>
            </w:r>
            <w:r>
              <w:rPr>
                <w:rFonts w:hint="eastAsia"/>
                <w:lang w:val="en-US" w:eastAsia="zh-CN"/>
              </w:rPr>
              <w:t>危险废物满足《危险废物贮存污染控制标准》（GB18597—2023）中有关规定。</w:t>
            </w:r>
          </w:p>
        </w:tc>
      </w:tr>
      <w:tr w14:paraId="6A35B0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13" w:type="dxa"/>
            <w:vAlign w:val="center"/>
          </w:tcPr>
          <w:p w14:paraId="71FA4151">
            <w:pPr>
              <w:pStyle w:val="31"/>
            </w:pPr>
            <w:r>
              <w:rPr>
                <w:rFonts w:hint="eastAsia"/>
              </w:rPr>
              <w:t>其他</w:t>
            </w:r>
          </w:p>
        </w:tc>
        <w:tc>
          <w:tcPr>
            <w:tcW w:w="9267" w:type="dxa"/>
            <w:vAlign w:val="center"/>
          </w:tcPr>
          <w:p w14:paraId="271F2E69">
            <w:pPr>
              <w:snapToGrid w:val="0"/>
              <w:ind w:firstLine="480"/>
            </w:pPr>
            <w:r>
              <w:rPr>
                <w:rFonts w:hint="eastAsia"/>
              </w:rPr>
              <w:t>无</w:t>
            </w:r>
          </w:p>
        </w:tc>
      </w:tr>
    </w:tbl>
    <w:p w14:paraId="2A3F2245">
      <w:pPr>
        <w:pStyle w:val="4"/>
        <w:rPr>
          <w:snapToGrid w:val="0"/>
        </w:rPr>
      </w:pPr>
      <w:r>
        <w:rPr>
          <w:snapToGrid w:val="0"/>
          <w:sz w:val="36"/>
          <w:szCs w:val="36"/>
        </w:rPr>
        <w:br w:type="page"/>
      </w:r>
      <w:r>
        <w:rPr>
          <w:rFonts w:hint="eastAsia"/>
          <w:snapToGrid w:val="0"/>
        </w:rPr>
        <w:t>四、生态环境影响分析</w:t>
      </w:r>
    </w:p>
    <w:tbl>
      <w:tblPr>
        <w:tblStyle w:val="23"/>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8540"/>
      </w:tblGrid>
      <w:tr w14:paraId="55EB4C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9" w:hRule="atLeast"/>
          <w:jc w:val="center"/>
        </w:trPr>
        <w:tc>
          <w:tcPr>
            <w:tcW w:w="441" w:type="dxa"/>
            <w:tcMar>
              <w:left w:w="28" w:type="dxa"/>
              <w:right w:w="28" w:type="dxa"/>
            </w:tcMar>
            <w:vAlign w:val="center"/>
          </w:tcPr>
          <w:p w14:paraId="667AC534">
            <w:pPr>
              <w:pStyle w:val="31"/>
            </w:pPr>
            <w:bookmarkStart w:id="7" w:name="_Hlk69138538"/>
            <w:r>
              <w:rPr>
                <w:rFonts w:hint="eastAsia"/>
              </w:rPr>
              <w:t>施工期生态环境影响分析</w:t>
            </w:r>
          </w:p>
        </w:tc>
        <w:tc>
          <w:tcPr>
            <w:tcW w:w="8540" w:type="dxa"/>
            <w:vAlign w:val="center"/>
          </w:tcPr>
          <w:p w14:paraId="278E5BBA">
            <w:pPr>
              <w:ind w:firstLine="480"/>
            </w:pPr>
            <w:r>
              <w:rPr>
                <w:rFonts w:hint="eastAsia"/>
              </w:rPr>
              <w:t>本项目探矿期间主要的环境影响为探矿过程产生的废水、废气、噪声、固体废物排放对环境的影响及生态保护措施。</w:t>
            </w:r>
          </w:p>
          <w:p w14:paraId="378C67DE">
            <w:pPr>
              <w:pStyle w:val="20"/>
              <w:ind w:firstLine="482"/>
            </w:pPr>
            <w:r>
              <w:rPr>
                <w:rFonts w:hint="eastAsia"/>
              </w:rPr>
              <w:t>1、大气环境影响分析</w:t>
            </w:r>
          </w:p>
          <w:p w14:paraId="1D419816">
            <w:pPr>
              <w:ind w:firstLine="480"/>
            </w:pPr>
            <w:r>
              <w:rPr>
                <w:rFonts w:hint="eastAsia"/>
              </w:rPr>
              <w:t>结合项目施工特点及施工内容，本项目施工期大气污染源主要</w:t>
            </w:r>
            <w:r>
              <w:rPr>
                <w:rFonts w:hint="eastAsia"/>
                <w:lang w:eastAsia="zh-CN"/>
              </w:rPr>
              <w:t>来自</w:t>
            </w:r>
            <w:r>
              <w:rPr>
                <w:rFonts w:hint="eastAsia"/>
              </w:rPr>
              <w:t>钻探、槽探等过程中产生的扬尘以及运输车辆、柴油发电机废气和施工机械等产生的燃油烟气。</w:t>
            </w:r>
          </w:p>
          <w:p w14:paraId="2EBD6B7E">
            <w:pPr>
              <w:pStyle w:val="20"/>
              <w:ind w:firstLine="482"/>
            </w:pPr>
            <w:r>
              <w:rPr>
                <w:rFonts w:hint="eastAsia"/>
              </w:rPr>
              <w:t>1.1扬尘</w:t>
            </w:r>
          </w:p>
          <w:p w14:paraId="39706C98">
            <w:pPr>
              <w:ind w:firstLine="480"/>
            </w:pPr>
            <w:r>
              <w:rPr>
                <w:rFonts w:hint="eastAsia"/>
              </w:rPr>
              <w:t>在勘查过程中，扬尘污染主要来源于：钻探工程产生的扬尘，槽探过程中挖掘出的土石方堆放时因风力作用产生的扬尘以及运输扬尘。</w:t>
            </w:r>
          </w:p>
          <w:p w14:paraId="52127E0E">
            <w:pPr>
              <w:ind w:firstLine="480"/>
            </w:pPr>
            <w:r>
              <w:rPr>
                <w:rFonts w:hint="eastAsia" w:ascii="宋体" w:hAnsi="宋体" w:cs="宋体"/>
              </w:rPr>
              <w:t>①</w:t>
            </w:r>
            <w:r>
              <w:t>钻</w:t>
            </w:r>
            <w:r>
              <w:rPr>
                <w:rFonts w:hint="eastAsia"/>
              </w:rPr>
              <w:t>探、槽探挖掘</w:t>
            </w:r>
            <w:r>
              <w:t>粉尘</w:t>
            </w:r>
          </w:p>
          <w:p w14:paraId="32DF6314">
            <w:pPr>
              <w:ind w:firstLine="480"/>
            </w:pPr>
            <w:r>
              <w:t>据有关研究，在不设置围</w:t>
            </w:r>
            <w:r>
              <w:rPr>
                <w:rFonts w:hint="eastAsia"/>
              </w:rPr>
              <w:t>挡</w:t>
            </w:r>
            <w:r>
              <w:t>时，扬尘影响主要在下风向距离250m范围内；有围</w:t>
            </w:r>
            <w:r>
              <w:rPr>
                <w:rFonts w:hint="eastAsia"/>
              </w:rPr>
              <w:t>挡</w:t>
            </w:r>
            <w:r>
              <w:t>时，扬尘影响主要在下风向距离200m范围内。因此，在对作业场界设置</w:t>
            </w:r>
            <w:r>
              <w:rPr>
                <w:rFonts w:hint="eastAsia"/>
              </w:rPr>
              <w:t>围挡</w:t>
            </w:r>
            <w:r>
              <w:t>并辅以现场洒水抑尘等措施，抑尘效率70%～80%，能有效减少扬尘的影响。</w:t>
            </w:r>
          </w:p>
          <w:p w14:paraId="7E83BCB0">
            <w:pPr>
              <w:ind w:firstLine="480"/>
            </w:pPr>
            <w:r>
              <w:t>本项目各作业点施工量较小，且均在山区进行，周边有山体作为天然防尘屏障，同时，加强作业区洒水抑尘的情况下，扬尘影响主要集中在施工场地内，对外环境影响较小。但为确保工人身体健康，须佩戴防护口罩。</w:t>
            </w:r>
          </w:p>
          <w:p w14:paraId="65A779B5">
            <w:pPr>
              <w:ind w:firstLine="480"/>
            </w:pPr>
            <w:r>
              <w:rPr>
                <w:rFonts w:hint="eastAsia"/>
              </w:rPr>
              <w:t>②渣土堆放扬尘</w:t>
            </w:r>
          </w:p>
          <w:p w14:paraId="50B6DA24">
            <w:pPr>
              <w:ind w:firstLine="480"/>
            </w:pPr>
            <w:r>
              <w:rPr>
                <w:rFonts w:hint="eastAsia"/>
              </w:rPr>
              <w:t>对挖掘过</w:t>
            </w:r>
            <w:r>
              <w:rPr>
                <w:rFonts w:hint="eastAsia"/>
                <w:lang w:eastAsia="zh-CN"/>
              </w:rPr>
              <w:t>程中</w:t>
            </w:r>
            <w:r>
              <w:rPr>
                <w:rFonts w:hint="eastAsia"/>
              </w:rPr>
              <w:t>临时堆放的渣土表面进行压实，必要时设置塑料薄膜加以覆盖，并辅以洒水抑尘，可有效控制尘源，进一步减轻对环境的影响。</w:t>
            </w:r>
          </w:p>
          <w:p w14:paraId="75DCAEC6">
            <w:pPr>
              <w:ind w:firstLine="480"/>
            </w:pPr>
            <w:r>
              <w:rPr>
                <w:rFonts w:hint="eastAsia" w:ascii="宋体" w:hAnsi="宋体" w:cs="宋体"/>
              </w:rPr>
              <w:t>③</w:t>
            </w:r>
            <w:r>
              <w:rPr>
                <w:rFonts w:hint="eastAsia"/>
              </w:rPr>
              <w:t>运输道路扬尘</w:t>
            </w:r>
          </w:p>
          <w:p w14:paraId="6F6B34F9">
            <w:pPr>
              <w:ind w:firstLine="480"/>
            </w:pPr>
            <w:r>
              <w:rPr>
                <w:rFonts w:hint="eastAsia"/>
              </w:rPr>
              <w:t>前期矿区内部道路平整过程以及车辆运输样品及生活用品时会产生一定扬尘，施工扬尘的污染程度与风速、粉尘颗粒、粉尘含水量和汽车行驶速度等因素有关，汽车行驶速度和风速增大，产生的起尘量呈正比或级数增加，粉尘污染范围相应扩大。粉尘含水量增大，粉尘污染范围相应减小。施工扬尘会造成局部地段降尘量增多，对施工现场周围的大气环境会产生一定的影响。但这种污染是局部的、短期的，工程完成之后这种影响就会消失。</w:t>
            </w:r>
          </w:p>
          <w:p w14:paraId="63F191D4">
            <w:pPr>
              <w:ind w:firstLine="480"/>
            </w:pPr>
            <w:r>
              <w:rPr>
                <w:rFonts w:hint="eastAsia"/>
              </w:rPr>
              <w:t>经查阅资料，施工扬尘对施工区周围15m内的范围影响最大，15m之外的降尘浓度衰减较快，到200m处达到平衡点。据现场踏勘，项目200m内均无居民点，项目各施工段均不会对项目周围的居民点居民生活环境造成明显影响。</w:t>
            </w:r>
          </w:p>
          <w:p w14:paraId="32A55546">
            <w:pPr>
              <w:ind w:firstLine="480"/>
            </w:pPr>
            <w:r>
              <w:rPr>
                <w:rFonts w:hint="eastAsia"/>
              </w:rPr>
              <w:t>要求与建议：</w:t>
            </w:r>
          </w:p>
          <w:p w14:paraId="766AF21B">
            <w:pPr>
              <w:ind w:firstLine="480"/>
            </w:pPr>
            <w:r>
              <w:t>a.</w:t>
            </w:r>
            <w:r>
              <w:rPr>
                <w:rFonts w:hint="eastAsia"/>
              </w:rPr>
              <w:t>渣土运输、堆放要求遮盖；</w:t>
            </w:r>
          </w:p>
          <w:p w14:paraId="70AD4261">
            <w:pPr>
              <w:ind w:firstLine="480"/>
            </w:pPr>
            <w:r>
              <w:t>b.</w:t>
            </w:r>
            <w:r>
              <w:rPr>
                <w:rFonts w:hint="eastAsia"/>
              </w:rPr>
              <w:t>及时清理场地弃渣料，不能及时清运的要求采取覆盖，洒水抑尘等措施；</w:t>
            </w:r>
          </w:p>
          <w:p w14:paraId="0CB92107">
            <w:pPr>
              <w:ind w:firstLine="480"/>
            </w:pPr>
            <w:r>
              <w:rPr>
                <w:rFonts w:hint="eastAsia"/>
              </w:rPr>
              <w:t>c.尽量缩短施工期，干燥、大风天气施工必须采取洒水抑尘措施；</w:t>
            </w:r>
          </w:p>
          <w:p w14:paraId="0A48E1E6">
            <w:pPr>
              <w:ind w:firstLine="480"/>
            </w:pPr>
            <w:r>
              <w:rPr>
                <w:rFonts w:hint="eastAsia"/>
              </w:rPr>
              <w:t>d.运输道路要定时进行清扫、洒水；</w:t>
            </w:r>
          </w:p>
          <w:p w14:paraId="40BC11BD">
            <w:pPr>
              <w:ind w:firstLine="480"/>
            </w:pPr>
            <w:r>
              <w:rPr>
                <w:rFonts w:hint="eastAsia"/>
              </w:rPr>
              <w:t>治理措施：在钻探、挖掘</w:t>
            </w:r>
            <w:r>
              <w:rPr>
                <w:rFonts w:hint="eastAsia"/>
                <w:lang w:eastAsia="zh-CN"/>
              </w:rPr>
              <w:t>作业</w:t>
            </w:r>
            <w:r>
              <w:rPr>
                <w:rFonts w:hint="eastAsia"/>
              </w:rPr>
              <w:t>中建议施工人员</w:t>
            </w:r>
            <w:r>
              <w:t>戴口罩、防尘面罩等劳动防护装备</w:t>
            </w:r>
            <w:r>
              <w:rPr>
                <w:rFonts w:hint="eastAsia"/>
              </w:rPr>
              <w:t>，同时</w:t>
            </w:r>
            <w:r>
              <w:t>避开大风天气作业</w:t>
            </w:r>
            <w:r>
              <w:rPr>
                <w:rFonts w:hint="eastAsia"/>
              </w:rPr>
              <w:t>，矿区内部道路限速行驶</w:t>
            </w:r>
            <w:r>
              <w:t>。</w:t>
            </w:r>
            <w:r>
              <w:rPr>
                <w:rFonts w:hint="eastAsia"/>
              </w:rPr>
              <w:t>对于钻探剥离的土石方，</w:t>
            </w:r>
            <w:r>
              <w:rPr>
                <w:rFonts w:hint="eastAsia"/>
                <w:bCs/>
              </w:rPr>
              <w:t>要求采用竹席或篷布覆盖，可有效减少扬尘的产生，</w:t>
            </w:r>
            <w:r>
              <w:rPr>
                <w:rFonts w:hint="eastAsia"/>
              </w:rPr>
              <w:t>由于挖方量较小，所以扬尘产生量较小。</w:t>
            </w:r>
          </w:p>
          <w:p w14:paraId="1002D5DE">
            <w:pPr>
              <w:pStyle w:val="20"/>
              <w:ind w:firstLine="482"/>
            </w:pPr>
            <w:r>
              <w:rPr>
                <w:rFonts w:hint="eastAsia"/>
              </w:rPr>
              <w:t>1.2燃油废气</w:t>
            </w:r>
          </w:p>
          <w:p w14:paraId="0373C456">
            <w:pPr>
              <w:ind w:firstLine="480"/>
            </w:pPr>
            <w:r>
              <w:rPr>
                <w:rFonts w:hint="eastAsia"/>
              </w:rPr>
              <w:t>本项目施工过程中采用自备发电机发电，发电机功率为50kW，耗费柴油量为30t，根据《非道路移动源大气污染物排放清单编制技术指南》（生态环境部2024第92号）中非道路移动机械（包括柴油发电机组）大气污染物排放量计算方法1，计算CO、NO</w:t>
            </w:r>
            <w:r>
              <w:rPr>
                <w:rFonts w:hint="eastAsia"/>
                <w:vertAlign w:val="subscript"/>
              </w:rPr>
              <w:t>2</w:t>
            </w:r>
            <w:r>
              <w:rPr>
                <w:rFonts w:hint="eastAsia"/>
              </w:rPr>
              <w:t>和THC、PM</w:t>
            </w:r>
            <w:r>
              <w:rPr>
                <w:rFonts w:hint="eastAsia"/>
                <w:vertAlign w:val="subscript"/>
              </w:rPr>
              <w:t>2.5</w:t>
            </w:r>
            <w:r>
              <w:rPr>
                <w:rFonts w:hint="eastAsia"/>
              </w:rPr>
              <w:t>和PM</w:t>
            </w:r>
            <w:r>
              <w:rPr>
                <w:rFonts w:hint="eastAsia"/>
                <w:vertAlign w:val="subscript"/>
              </w:rPr>
              <w:t>10</w:t>
            </w:r>
            <w:r>
              <w:rPr>
                <w:rFonts w:hint="eastAsia"/>
              </w:rPr>
              <w:t>的排放量。计算公式如下：</w:t>
            </w:r>
          </w:p>
          <w:p w14:paraId="0CBD1A26">
            <w:pPr>
              <w:ind w:firstLine="480"/>
              <w:jc w:val="center"/>
            </w:pPr>
            <w:r>
              <w:rPr>
                <w:rFonts w:hint="eastAsia"/>
              </w:rPr>
              <w:t>E=(Y×EF)</w:t>
            </w:r>
            <w:r>
              <w:rPr>
                <w:rFonts w:ascii="Arial" w:hAnsi="Arial" w:cs="Arial"/>
              </w:rPr>
              <w:t>×</w:t>
            </w:r>
            <w:r>
              <w:rPr>
                <w:rFonts w:hint="eastAsia"/>
              </w:rPr>
              <w:t>10</w:t>
            </w:r>
            <w:r>
              <w:rPr>
                <w:rFonts w:hint="eastAsia"/>
                <w:vertAlign w:val="superscript"/>
              </w:rPr>
              <w:t>-6</w:t>
            </w:r>
          </w:p>
          <w:p w14:paraId="5227B90A">
            <w:pPr>
              <w:ind w:firstLine="480"/>
            </w:pPr>
            <w:r>
              <w:rPr>
                <w:rFonts w:hint="eastAsia"/>
              </w:rPr>
              <w:t>式中，E为非道路移动机械的CO、THC、NO</w:t>
            </w:r>
            <w:r>
              <w:rPr>
                <w:rFonts w:hint="eastAsia"/>
                <w:vertAlign w:val="subscript"/>
              </w:rPr>
              <w:t>X</w:t>
            </w:r>
            <w:r>
              <w:rPr>
                <w:rFonts w:hint="eastAsia"/>
              </w:rPr>
              <w:t>、PM</w:t>
            </w:r>
            <w:r>
              <w:rPr>
                <w:rFonts w:hint="eastAsia"/>
                <w:vertAlign w:val="subscript"/>
              </w:rPr>
              <w:t>2.5</w:t>
            </w:r>
            <w:r>
              <w:rPr>
                <w:rFonts w:hint="eastAsia"/>
              </w:rPr>
              <w:t>和PM</w:t>
            </w:r>
            <w:r>
              <w:rPr>
                <w:rFonts w:hint="eastAsia"/>
                <w:vertAlign w:val="subscript"/>
              </w:rPr>
              <w:t>10</w:t>
            </w:r>
            <w:r>
              <w:rPr>
                <w:rFonts w:hint="eastAsia"/>
              </w:rPr>
              <w:t>排放量，单位为吨；Y为燃油消耗量，单位为千克；E为排放系数，单位为g/kg燃料。</w:t>
            </w:r>
          </w:p>
          <w:p w14:paraId="1F34ECDB">
            <w:pPr>
              <w:ind w:firstLine="480"/>
            </w:pPr>
            <w:r>
              <w:rPr>
                <w:rFonts w:hint="eastAsia"/>
              </w:rPr>
              <w:t>根据该指南方法1适用的非道路移动机械平均排放系数（g/kg燃料），柴油发电机组CO、THC、NO</w:t>
            </w:r>
            <w:r>
              <w:rPr>
                <w:rFonts w:hint="eastAsia"/>
                <w:vertAlign w:val="subscript"/>
              </w:rPr>
              <w:t>X</w:t>
            </w:r>
            <w:r>
              <w:rPr>
                <w:rFonts w:hint="eastAsia"/>
              </w:rPr>
              <w:t>、PM</w:t>
            </w:r>
            <w:r>
              <w:rPr>
                <w:rFonts w:hint="eastAsia"/>
                <w:vertAlign w:val="subscript"/>
              </w:rPr>
              <w:t>2.5</w:t>
            </w:r>
            <w:r>
              <w:rPr>
                <w:rFonts w:hint="eastAsia"/>
              </w:rPr>
              <w:t>和PM</w:t>
            </w:r>
            <w:r>
              <w:rPr>
                <w:rFonts w:hint="eastAsia"/>
                <w:vertAlign w:val="subscript"/>
              </w:rPr>
              <w:t>10</w:t>
            </w:r>
            <w:r>
              <w:rPr>
                <w:rFonts w:hint="eastAsia"/>
              </w:rPr>
              <w:t>的排放系数分别为10.72g/kg燃料、3.39g/kg燃料、32.79g/kg燃料、2.09g/kg燃料、2.09g/kg燃料。</w:t>
            </w:r>
          </w:p>
          <w:p w14:paraId="5118608E">
            <w:pPr>
              <w:ind w:firstLine="480"/>
            </w:pPr>
            <w:r>
              <w:rPr>
                <w:rFonts w:hint="eastAsia"/>
              </w:rPr>
              <w:t>本项目施工地点较为开阔，扩散条件较好，不会对周边环境产生影响。项目施工期间排放的大气污染物将随工程的结束而消失。则本项目施工期间机械设备的尾气产生情况见表4-1。</w:t>
            </w:r>
          </w:p>
          <w:p w14:paraId="49A29685">
            <w:pPr>
              <w:pStyle w:val="33"/>
              <w:spacing w:before="120"/>
            </w:pPr>
            <w:r>
              <w:rPr>
                <w:rFonts w:hint="eastAsia"/>
              </w:rPr>
              <w:t>表4-1燃烧柴油污染物产生量</w:t>
            </w:r>
          </w:p>
          <w:tbl>
            <w:tblPr>
              <w:tblStyle w:val="23"/>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97"/>
              <w:gridCol w:w="2030"/>
              <w:gridCol w:w="2483"/>
              <w:gridCol w:w="2481"/>
            </w:tblGrid>
            <w:tr w14:paraId="1A6878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82" w:type="pct"/>
                  <w:tcBorders>
                    <w:tl2br w:val="nil"/>
                    <w:tr2bl w:val="nil"/>
                  </w:tcBorders>
                  <w:vAlign w:val="center"/>
                </w:tcPr>
                <w:p w14:paraId="1D6BBC22">
                  <w:pPr>
                    <w:pStyle w:val="31"/>
                  </w:pPr>
                  <w:r>
                    <w:t>序号</w:t>
                  </w:r>
                </w:p>
              </w:tc>
              <w:tc>
                <w:tcPr>
                  <w:tcW w:w="1224" w:type="pct"/>
                  <w:tcBorders>
                    <w:tl2br w:val="nil"/>
                    <w:tr2bl w:val="nil"/>
                  </w:tcBorders>
                  <w:vAlign w:val="center"/>
                </w:tcPr>
                <w:p w14:paraId="122918BB">
                  <w:pPr>
                    <w:pStyle w:val="31"/>
                  </w:pPr>
                  <w:r>
                    <w:t>污染物</w:t>
                  </w:r>
                </w:p>
              </w:tc>
              <w:tc>
                <w:tcPr>
                  <w:tcW w:w="1497" w:type="pct"/>
                  <w:tcBorders>
                    <w:tl2br w:val="nil"/>
                    <w:tr2bl w:val="nil"/>
                  </w:tcBorders>
                  <w:vAlign w:val="center"/>
                </w:tcPr>
                <w:p w14:paraId="5F4A2537">
                  <w:pPr>
                    <w:pStyle w:val="31"/>
                  </w:pPr>
                  <w:r>
                    <w:t>燃烧产污系数</w:t>
                  </w:r>
                </w:p>
              </w:tc>
              <w:tc>
                <w:tcPr>
                  <w:tcW w:w="1495" w:type="pct"/>
                  <w:tcBorders>
                    <w:tl2br w:val="nil"/>
                    <w:tr2bl w:val="nil"/>
                  </w:tcBorders>
                  <w:vAlign w:val="center"/>
                </w:tcPr>
                <w:p w14:paraId="76E59B03">
                  <w:pPr>
                    <w:pStyle w:val="31"/>
                  </w:pPr>
                  <w:r>
                    <w:t>污染物</w:t>
                  </w:r>
                  <w:r>
                    <w:rPr>
                      <w:rFonts w:hint="eastAsia"/>
                    </w:rPr>
                    <w:t>排放量</w:t>
                  </w:r>
                </w:p>
              </w:tc>
            </w:tr>
            <w:tr w14:paraId="4BB9B2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trPr>
              <w:tc>
                <w:tcPr>
                  <w:tcW w:w="782" w:type="pct"/>
                  <w:tcBorders>
                    <w:tl2br w:val="nil"/>
                    <w:tr2bl w:val="nil"/>
                  </w:tcBorders>
                  <w:vAlign w:val="center"/>
                </w:tcPr>
                <w:p w14:paraId="2FBFDE31">
                  <w:pPr>
                    <w:pStyle w:val="31"/>
                  </w:pPr>
                  <w:r>
                    <w:t>1</w:t>
                  </w:r>
                </w:p>
              </w:tc>
              <w:tc>
                <w:tcPr>
                  <w:tcW w:w="1224" w:type="pct"/>
                  <w:tcBorders>
                    <w:tl2br w:val="nil"/>
                    <w:tr2bl w:val="nil"/>
                  </w:tcBorders>
                  <w:vAlign w:val="center"/>
                </w:tcPr>
                <w:p w14:paraId="3B766F4F">
                  <w:pPr>
                    <w:pStyle w:val="31"/>
                  </w:pPr>
                  <w:r>
                    <w:rPr>
                      <w:rFonts w:hint="eastAsia"/>
                    </w:rPr>
                    <w:t>CO</w:t>
                  </w:r>
                </w:p>
              </w:tc>
              <w:tc>
                <w:tcPr>
                  <w:tcW w:w="1497" w:type="pct"/>
                  <w:tcBorders>
                    <w:tl2br w:val="nil"/>
                    <w:tr2bl w:val="nil"/>
                  </w:tcBorders>
                  <w:vAlign w:val="center"/>
                </w:tcPr>
                <w:p w14:paraId="43906A97">
                  <w:pPr>
                    <w:pStyle w:val="31"/>
                  </w:pPr>
                  <w:r>
                    <w:rPr>
                      <w:rFonts w:hint="eastAsia"/>
                    </w:rPr>
                    <w:t>10.72g/kg</w:t>
                  </w:r>
                </w:p>
              </w:tc>
              <w:tc>
                <w:tcPr>
                  <w:tcW w:w="2481" w:type="dxa"/>
                  <w:tcBorders>
                    <w:tl2br w:val="nil"/>
                    <w:tr2bl w:val="nil"/>
                  </w:tcBorders>
                  <w:vAlign w:val="center"/>
                </w:tcPr>
                <w:p w14:paraId="2BBCCDE1">
                  <w:pPr>
                    <w:pStyle w:val="31"/>
                    <w:ind w:left="0" w:leftChars="0" w:firstLine="0" w:firstLineChars="0"/>
                  </w:pPr>
                  <w:r>
                    <w:rPr>
                      <w:rFonts w:hint="eastAsia"/>
                    </w:rPr>
                    <w:t>0.321</w:t>
                  </w:r>
                  <w:r>
                    <w:rPr>
                      <w:rFonts w:hint="eastAsia"/>
                      <w:lang w:val="en-US" w:eastAsia="zh-CN"/>
                    </w:rPr>
                    <w:t>6</w:t>
                  </w:r>
                  <w:r>
                    <w:rPr>
                      <w:rFonts w:hint="eastAsia"/>
                    </w:rPr>
                    <w:t>t/a</w:t>
                  </w:r>
                </w:p>
              </w:tc>
            </w:tr>
            <w:tr w14:paraId="505BA0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trPr>
              <w:tc>
                <w:tcPr>
                  <w:tcW w:w="782" w:type="pct"/>
                  <w:tcBorders>
                    <w:tl2br w:val="nil"/>
                    <w:tr2bl w:val="nil"/>
                  </w:tcBorders>
                  <w:vAlign w:val="center"/>
                </w:tcPr>
                <w:p w14:paraId="454B21F1">
                  <w:pPr>
                    <w:pStyle w:val="31"/>
                  </w:pPr>
                  <w:r>
                    <w:rPr>
                      <w:rFonts w:hint="eastAsia"/>
                    </w:rPr>
                    <w:t>2</w:t>
                  </w:r>
                </w:p>
              </w:tc>
              <w:tc>
                <w:tcPr>
                  <w:tcW w:w="1224" w:type="pct"/>
                  <w:tcBorders>
                    <w:tl2br w:val="nil"/>
                    <w:tr2bl w:val="nil"/>
                  </w:tcBorders>
                  <w:vAlign w:val="center"/>
                </w:tcPr>
                <w:p w14:paraId="5BFB2718">
                  <w:pPr>
                    <w:pStyle w:val="31"/>
                  </w:pPr>
                  <w:r>
                    <w:rPr>
                      <w:rFonts w:hint="eastAsia"/>
                    </w:rPr>
                    <w:t>THC</w:t>
                  </w:r>
                </w:p>
              </w:tc>
              <w:tc>
                <w:tcPr>
                  <w:tcW w:w="1497" w:type="pct"/>
                  <w:tcBorders>
                    <w:tl2br w:val="nil"/>
                    <w:tr2bl w:val="nil"/>
                  </w:tcBorders>
                  <w:vAlign w:val="center"/>
                </w:tcPr>
                <w:p w14:paraId="77B21608">
                  <w:pPr>
                    <w:pStyle w:val="31"/>
                  </w:pPr>
                  <w:r>
                    <w:rPr>
                      <w:rFonts w:hint="eastAsia"/>
                    </w:rPr>
                    <w:t>3.39g/kg</w:t>
                  </w:r>
                </w:p>
              </w:tc>
              <w:tc>
                <w:tcPr>
                  <w:tcW w:w="2481" w:type="dxa"/>
                  <w:tcBorders>
                    <w:tl2br w:val="nil"/>
                    <w:tr2bl w:val="nil"/>
                  </w:tcBorders>
                  <w:vAlign w:val="center"/>
                </w:tcPr>
                <w:p w14:paraId="496EA00A">
                  <w:pPr>
                    <w:pStyle w:val="31"/>
                    <w:ind w:left="0" w:leftChars="0" w:firstLine="0" w:firstLineChars="0"/>
                  </w:pPr>
                  <w:r>
                    <w:rPr>
                      <w:rFonts w:hint="eastAsia"/>
                    </w:rPr>
                    <w:t>0.101</w:t>
                  </w:r>
                  <w:r>
                    <w:rPr>
                      <w:rFonts w:hint="eastAsia"/>
                      <w:lang w:val="en-US" w:eastAsia="zh-CN"/>
                    </w:rPr>
                    <w:t>7</w:t>
                  </w:r>
                  <w:r>
                    <w:rPr>
                      <w:rFonts w:hint="eastAsia"/>
                    </w:rPr>
                    <w:t>t/a</w:t>
                  </w:r>
                </w:p>
              </w:tc>
            </w:tr>
            <w:tr w14:paraId="522950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trPr>
              <w:tc>
                <w:tcPr>
                  <w:tcW w:w="782" w:type="pct"/>
                  <w:tcBorders>
                    <w:tl2br w:val="nil"/>
                    <w:tr2bl w:val="nil"/>
                  </w:tcBorders>
                  <w:vAlign w:val="center"/>
                </w:tcPr>
                <w:p w14:paraId="411D43D4">
                  <w:pPr>
                    <w:pStyle w:val="31"/>
                  </w:pPr>
                  <w:r>
                    <w:rPr>
                      <w:rFonts w:hint="eastAsia"/>
                    </w:rPr>
                    <w:t>3</w:t>
                  </w:r>
                </w:p>
              </w:tc>
              <w:tc>
                <w:tcPr>
                  <w:tcW w:w="1224" w:type="pct"/>
                  <w:tcBorders>
                    <w:tl2br w:val="nil"/>
                    <w:tr2bl w:val="nil"/>
                  </w:tcBorders>
                  <w:vAlign w:val="center"/>
                </w:tcPr>
                <w:p w14:paraId="2FFAAB53">
                  <w:pPr>
                    <w:pStyle w:val="31"/>
                  </w:pPr>
                  <w:r>
                    <w:rPr>
                      <w:rFonts w:hint="eastAsia"/>
                    </w:rPr>
                    <w:t>NO</w:t>
                  </w:r>
                  <w:r>
                    <w:rPr>
                      <w:rFonts w:hint="eastAsia"/>
                      <w:vertAlign w:val="subscript"/>
                    </w:rPr>
                    <w:t>X</w:t>
                  </w:r>
                </w:p>
              </w:tc>
              <w:tc>
                <w:tcPr>
                  <w:tcW w:w="1497" w:type="pct"/>
                  <w:tcBorders>
                    <w:tl2br w:val="nil"/>
                    <w:tr2bl w:val="nil"/>
                  </w:tcBorders>
                  <w:vAlign w:val="center"/>
                </w:tcPr>
                <w:p w14:paraId="425B4612">
                  <w:pPr>
                    <w:pStyle w:val="31"/>
                  </w:pPr>
                  <w:r>
                    <w:rPr>
                      <w:rFonts w:hint="eastAsia"/>
                    </w:rPr>
                    <w:t>32.79g/kg</w:t>
                  </w:r>
                </w:p>
              </w:tc>
              <w:tc>
                <w:tcPr>
                  <w:tcW w:w="2481" w:type="dxa"/>
                  <w:tcBorders>
                    <w:tl2br w:val="nil"/>
                    <w:tr2bl w:val="nil"/>
                  </w:tcBorders>
                  <w:vAlign w:val="center"/>
                </w:tcPr>
                <w:p w14:paraId="02EAD958">
                  <w:pPr>
                    <w:pStyle w:val="31"/>
                    <w:ind w:left="0" w:leftChars="0" w:firstLine="0" w:firstLineChars="0"/>
                  </w:pPr>
                  <w:r>
                    <w:rPr>
                      <w:rFonts w:hint="eastAsia"/>
                    </w:rPr>
                    <w:t>0.98</w:t>
                  </w:r>
                  <w:r>
                    <w:rPr>
                      <w:rFonts w:hint="eastAsia"/>
                      <w:lang w:val="en-US" w:eastAsia="zh-CN"/>
                    </w:rPr>
                    <w:t>37</w:t>
                  </w:r>
                  <w:r>
                    <w:rPr>
                      <w:rFonts w:hint="eastAsia"/>
                    </w:rPr>
                    <w:t>t/a</w:t>
                  </w:r>
                </w:p>
              </w:tc>
            </w:tr>
            <w:tr w14:paraId="191A33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trPr>
              <w:tc>
                <w:tcPr>
                  <w:tcW w:w="782" w:type="pct"/>
                  <w:tcBorders>
                    <w:tl2br w:val="nil"/>
                    <w:tr2bl w:val="nil"/>
                  </w:tcBorders>
                  <w:vAlign w:val="center"/>
                </w:tcPr>
                <w:p w14:paraId="128CF5A9">
                  <w:pPr>
                    <w:pStyle w:val="31"/>
                  </w:pPr>
                  <w:r>
                    <w:rPr>
                      <w:rFonts w:hint="eastAsia"/>
                    </w:rPr>
                    <w:t>4</w:t>
                  </w:r>
                </w:p>
              </w:tc>
              <w:tc>
                <w:tcPr>
                  <w:tcW w:w="1224" w:type="pct"/>
                  <w:tcBorders>
                    <w:tl2br w:val="nil"/>
                    <w:tr2bl w:val="nil"/>
                  </w:tcBorders>
                  <w:vAlign w:val="center"/>
                </w:tcPr>
                <w:p w14:paraId="47755C2E">
                  <w:pPr>
                    <w:pStyle w:val="31"/>
                  </w:pPr>
                  <w:r>
                    <w:rPr>
                      <w:rFonts w:hint="eastAsia"/>
                    </w:rPr>
                    <w:t>PM</w:t>
                  </w:r>
                  <w:r>
                    <w:rPr>
                      <w:rFonts w:hint="eastAsia"/>
                      <w:vertAlign w:val="subscript"/>
                    </w:rPr>
                    <w:t>2.5</w:t>
                  </w:r>
                </w:p>
              </w:tc>
              <w:tc>
                <w:tcPr>
                  <w:tcW w:w="1497" w:type="pct"/>
                  <w:tcBorders>
                    <w:tl2br w:val="nil"/>
                    <w:tr2bl w:val="nil"/>
                  </w:tcBorders>
                  <w:vAlign w:val="center"/>
                </w:tcPr>
                <w:p w14:paraId="7E2E1DC2">
                  <w:pPr>
                    <w:pStyle w:val="31"/>
                  </w:pPr>
                  <w:r>
                    <w:rPr>
                      <w:rFonts w:hint="eastAsia"/>
                    </w:rPr>
                    <w:t>2.09g/kg</w:t>
                  </w:r>
                </w:p>
              </w:tc>
              <w:tc>
                <w:tcPr>
                  <w:tcW w:w="2481" w:type="dxa"/>
                  <w:tcBorders>
                    <w:tl2br w:val="nil"/>
                    <w:tr2bl w:val="nil"/>
                  </w:tcBorders>
                  <w:vAlign w:val="center"/>
                </w:tcPr>
                <w:p w14:paraId="5F50713F">
                  <w:pPr>
                    <w:pStyle w:val="31"/>
                    <w:ind w:left="0" w:leftChars="0" w:firstLine="0" w:firstLineChars="0"/>
                  </w:pPr>
                  <w:r>
                    <w:rPr>
                      <w:rFonts w:hint="eastAsia"/>
                    </w:rPr>
                    <w:t>0.</w:t>
                  </w:r>
                  <w:r>
                    <w:rPr>
                      <w:rFonts w:hint="eastAsia"/>
                      <w:lang w:val="en-US" w:eastAsia="zh-CN"/>
                    </w:rPr>
                    <w:t>0627</w:t>
                  </w:r>
                  <w:r>
                    <w:rPr>
                      <w:rFonts w:hint="eastAsia"/>
                    </w:rPr>
                    <w:t>t/a</w:t>
                  </w:r>
                </w:p>
              </w:tc>
            </w:tr>
            <w:tr w14:paraId="2F9F88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trPr>
              <w:tc>
                <w:tcPr>
                  <w:tcW w:w="782" w:type="pct"/>
                  <w:tcBorders>
                    <w:tl2br w:val="nil"/>
                    <w:tr2bl w:val="nil"/>
                  </w:tcBorders>
                  <w:vAlign w:val="center"/>
                </w:tcPr>
                <w:p w14:paraId="71C9A3A1">
                  <w:pPr>
                    <w:pStyle w:val="31"/>
                  </w:pPr>
                  <w:r>
                    <w:rPr>
                      <w:rFonts w:hint="eastAsia"/>
                    </w:rPr>
                    <w:t>5</w:t>
                  </w:r>
                </w:p>
              </w:tc>
              <w:tc>
                <w:tcPr>
                  <w:tcW w:w="1224" w:type="pct"/>
                  <w:tcBorders>
                    <w:tl2br w:val="nil"/>
                    <w:tr2bl w:val="nil"/>
                  </w:tcBorders>
                  <w:vAlign w:val="center"/>
                </w:tcPr>
                <w:p w14:paraId="4B92B7CF">
                  <w:pPr>
                    <w:pStyle w:val="31"/>
                  </w:pPr>
                  <w:r>
                    <w:rPr>
                      <w:rFonts w:hint="eastAsia"/>
                    </w:rPr>
                    <w:t>PM</w:t>
                  </w:r>
                  <w:r>
                    <w:rPr>
                      <w:rFonts w:hint="eastAsia"/>
                      <w:vertAlign w:val="subscript"/>
                    </w:rPr>
                    <w:t>10</w:t>
                  </w:r>
                </w:p>
              </w:tc>
              <w:tc>
                <w:tcPr>
                  <w:tcW w:w="1497" w:type="pct"/>
                  <w:tcBorders>
                    <w:tl2br w:val="nil"/>
                    <w:tr2bl w:val="nil"/>
                  </w:tcBorders>
                  <w:vAlign w:val="center"/>
                </w:tcPr>
                <w:p w14:paraId="4ECE26BE">
                  <w:pPr>
                    <w:pStyle w:val="31"/>
                  </w:pPr>
                  <w:r>
                    <w:rPr>
                      <w:rFonts w:hint="eastAsia"/>
                    </w:rPr>
                    <w:t>2.09g/kg</w:t>
                  </w:r>
                </w:p>
              </w:tc>
              <w:tc>
                <w:tcPr>
                  <w:tcW w:w="2481" w:type="dxa"/>
                  <w:tcBorders>
                    <w:tl2br w:val="nil"/>
                    <w:tr2bl w:val="nil"/>
                  </w:tcBorders>
                  <w:vAlign w:val="center"/>
                </w:tcPr>
                <w:p w14:paraId="69FF42C4">
                  <w:pPr>
                    <w:pStyle w:val="31"/>
                    <w:ind w:left="0" w:leftChars="0" w:firstLine="0" w:firstLineChars="0"/>
                  </w:pPr>
                  <w:r>
                    <w:rPr>
                      <w:rFonts w:hint="eastAsia"/>
                    </w:rPr>
                    <w:t>0.</w:t>
                  </w:r>
                  <w:r>
                    <w:rPr>
                      <w:rFonts w:hint="eastAsia"/>
                      <w:lang w:val="en-US" w:eastAsia="zh-CN"/>
                    </w:rPr>
                    <w:t>0627</w:t>
                  </w:r>
                  <w:r>
                    <w:rPr>
                      <w:rFonts w:hint="eastAsia"/>
                    </w:rPr>
                    <w:t>t/a</w:t>
                  </w:r>
                </w:p>
              </w:tc>
            </w:tr>
            <w:tr w14:paraId="49CDCA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782" w:type="pct"/>
                  <w:tcBorders>
                    <w:tl2br w:val="nil"/>
                    <w:tr2bl w:val="nil"/>
                  </w:tcBorders>
                  <w:vAlign w:val="center"/>
                </w:tcPr>
                <w:p w14:paraId="1E6BBA65">
                  <w:pPr>
                    <w:pStyle w:val="31"/>
                  </w:pPr>
                  <w:r>
                    <w:rPr>
                      <w:rFonts w:hint="eastAsia"/>
                    </w:rPr>
                    <w:t>6</w:t>
                  </w:r>
                </w:p>
              </w:tc>
              <w:tc>
                <w:tcPr>
                  <w:tcW w:w="1224" w:type="pct"/>
                  <w:tcBorders>
                    <w:tl2br w:val="nil"/>
                    <w:tr2bl w:val="nil"/>
                  </w:tcBorders>
                  <w:vAlign w:val="center"/>
                </w:tcPr>
                <w:p w14:paraId="15D10B42">
                  <w:pPr>
                    <w:pStyle w:val="31"/>
                  </w:pPr>
                  <w:r>
                    <w:rPr>
                      <w:rFonts w:hint="eastAsia"/>
                    </w:rPr>
                    <w:t>SO</w:t>
                  </w:r>
                  <w:r>
                    <w:rPr>
                      <w:rFonts w:hint="eastAsia"/>
                      <w:vertAlign w:val="subscript"/>
                    </w:rPr>
                    <w:t>2</w:t>
                  </w:r>
                </w:p>
              </w:tc>
              <w:tc>
                <w:tcPr>
                  <w:tcW w:w="1497" w:type="pct"/>
                  <w:tcBorders>
                    <w:tl2br w:val="nil"/>
                    <w:tr2bl w:val="nil"/>
                  </w:tcBorders>
                  <w:vAlign w:val="center"/>
                </w:tcPr>
                <w:p w14:paraId="1EF7F332">
                  <w:pPr>
                    <w:pStyle w:val="31"/>
                  </w:pPr>
                  <w:r>
                    <w:rPr>
                      <w:rFonts w:hint="eastAsia"/>
                    </w:rPr>
                    <w:t>0.35g/kg</w:t>
                  </w:r>
                </w:p>
              </w:tc>
              <w:tc>
                <w:tcPr>
                  <w:tcW w:w="2481" w:type="dxa"/>
                  <w:tcBorders>
                    <w:tl2br w:val="nil"/>
                    <w:tr2bl w:val="nil"/>
                  </w:tcBorders>
                  <w:vAlign w:val="center"/>
                </w:tcPr>
                <w:p w14:paraId="11DE37FA">
                  <w:pPr>
                    <w:pStyle w:val="31"/>
                    <w:ind w:left="0" w:leftChars="0" w:firstLine="0" w:firstLineChars="0"/>
                  </w:pPr>
                  <w:r>
                    <w:rPr>
                      <w:rFonts w:hint="eastAsia"/>
                    </w:rPr>
                    <w:t>0.01</w:t>
                  </w:r>
                  <w:r>
                    <w:rPr>
                      <w:rFonts w:hint="eastAsia"/>
                      <w:lang w:val="en-US" w:eastAsia="zh-CN"/>
                    </w:rPr>
                    <w:t>05</w:t>
                  </w:r>
                  <w:r>
                    <w:rPr>
                      <w:rFonts w:hint="eastAsia"/>
                    </w:rPr>
                    <w:t>t/a</w:t>
                  </w:r>
                </w:p>
              </w:tc>
            </w:tr>
          </w:tbl>
          <w:p w14:paraId="733E90EC">
            <w:pPr>
              <w:ind w:firstLine="480"/>
            </w:pPr>
            <w:r>
              <w:rPr>
                <w:rFonts w:hint="eastAsia"/>
              </w:rPr>
              <w:t>柴油发电机</w:t>
            </w:r>
            <w:r>
              <w:t>燃烧废气</w:t>
            </w:r>
            <w:r>
              <w:rPr>
                <w:rFonts w:hint="eastAsia"/>
              </w:rPr>
              <w:t>各污染物</w:t>
            </w:r>
            <w:r>
              <w:t>排放浓度</w:t>
            </w:r>
            <w:r>
              <w:rPr>
                <w:rFonts w:hint="eastAsia"/>
              </w:rPr>
              <w:t>能够</w:t>
            </w:r>
            <w:r>
              <w:t>满足《非道路移动机械用柴油机排气污染物排放限值及测量方法（中国第三、四阶段）》（GB20891-2014）</w:t>
            </w:r>
            <w:r>
              <w:rPr>
                <w:rFonts w:hint="eastAsia"/>
              </w:rPr>
              <w:t>中排放标准要求。</w:t>
            </w:r>
          </w:p>
          <w:p w14:paraId="34981893">
            <w:pPr>
              <w:pStyle w:val="20"/>
              <w:ind w:firstLine="482"/>
            </w:pPr>
            <w:r>
              <w:rPr>
                <w:rFonts w:hint="eastAsia"/>
              </w:rPr>
              <w:t>2、地表水环境影响分析</w:t>
            </w:r>
          </w:p>
          <w:p w14:paraId="532EEEAF">
            <w:pPr>
              <w:ind w:firstLine="480"/>
            </w:pPr>
            <w:r>
              <w:rPr>
                <w:rFonts w:hint="eastAsia"/>
                <w:lang w:val="en-US" w:eastAsia="zh-CN"/>
              </w:rPr>
              <w:t>项目区内地表水体为萨很托亥，无其他地下水溢出点，本次钻探作业布设位置远离上述地表水体，且作业过程不会对区域地下水环境产生不利影响。</w:t>
            </w:r>
            <w:r>
              <w:rPr>
                <w:rFonts w:hint="eastAsia"/>
              </w:rPr>
              <w:t>勘探作业期间产生的废水分为生产废水和生活废水，其中生产废水为钻探废水。</w:t>
            </w:r>
          </w:p>
          <w:p w14:paraId="07415D86">
            <w:pPr>
              <w:pStyle w:val="20"/>
              <w:ind w:firstLine="482"/>
            </w:pPr>
            <w:r>
              <w:rPr>
                <w:rFonts w:hint="eastAsia"/>
                <w:lang w:val="en-US" w:eastAsia="zh-CN"/>
              </w:rPr>
              <w:t>2</w:t>
            </w:r>
            <w:r>
              <w:rPr>
                <w:rFonts w:hint="eastAsia"/>
              </w:rPr>
              <w:t>.1生产废水</w:t>
            </w:r>
          </w:p>
          <w:p w14:paraId="6EB460ED">
            <w:pPr>
              <w:ind w:firstLine="482"/>
            </w:pPr>
            <w:r>
              <w:rPr>
                <w:rFonts w:hint="eastAsia"/>
                <w:b/>
                <w:bCs/>
              </w:rPr>
              <w:t>产生情况：</w:t>
            </w:r>
            <w:r>
              <w:rPr>
                <w:rFonts w:hint="eastAsia"/>
              </w:rPr>
              <w:t>钻探过程中会产生一定量的钻探废水，预计为4</w:t>
            </w:r>
            <w:r>
              <w:t>m</w:t>
            </w:r>
            <w:r>
              <w:rPr>
                <w:vertAlign w:val="superscript"/>
              </w:rPr>
              <w:t>3</w:t>
            </w:r>
            <w:r>
              <w:t>/d</w:t>
            </w:r>
            <w:r>
              <w:rPr>
                <w:rFonts w:hint="eastAsia"/>
              </w:rPr>
              <w:t>，该废水主要污染物为SS。本项目在每个钻孔附近设置1个</w:t>
            </w:r>
            <w:r>
              <w:t>5</w:t>
            </w:r>
            <w:r>
              <w:rPr>
                <w:rFonts w:hint="eastAsia"/>
              </w:rPr>
              <w:t>m</w:t>
            </w:r>
            <w:r>
              <w:rPr>
                <w:vertAlign w:val="superscript"/>
              </w:rPr>
              <w:t>3</w:t>
            </w:r>
            <w:r>
              <w:rPr>
                <w:rFonts w:hint="eastAsia"/>
              </w:rPr>
              <w:t>的沉淀池收集废水，废水沉淀后回用于钻孔和洒水降尘，不外排。钻探废水损耗量按1</w:t>
            </w:r>
            <w:r>
              <w:t>0</w:t>
            </w:r>
            <w:r>
              <w:rPr>
                <w:rFonts w:hint="eastAsia"/>
              </w:rPr>
              <w:t>%计，每日需补充新鲜水0</w:t>
            </w:r>
            <w:r>
              <w:t>.4</w:t>
            </w:r>
            <w:r>
              <w:rPr>
                <w:rFonts w:hint="eastAsia"/>
              </w:rPr>
              <w:t>m</w:t>
            </w:r>
            <w:r>
              <w:rPr>
                <w:vertAlign w:val="superscript"/>
              </w:rPr>
              <w:t>3</w:t>
            </w:r>
            <w:r>
              <w:rPr>
                <w:rFonts w:hint="eastAsia"/>
              </w:rPr>
              <w:t>。废水中SS的浓度一般约为2000mg/L，则SS产生量约为0.008t/d（</w:t>
            </w:r>
            <w:r>
              <w:rPr>
                <w:rFonts w:hint="eastAsia"/>
                <w:lang w:val="en-US" w:eastAsia="zh-CN"/>
              </w:rPr>
              <w:t>1.2</w:t>
            </w:r>
            <w:r>
              <w:rPr>
                <w:rFonts w:hint="eastAsia"/>
              </w:rPr>
              <w:t>t/a）。</w:t>
            </w:r>
          </w:p>
          <w:p w14:paraId="48C42645">
            <w:pPr>
              <w:ind w:firstLine="482"/>
            </w:pPr>
            <w:r>
              <w:rPr>
                <w:rFonts w:hint="eastAsia"/>
                <w:b/>
                <w:bCs/>
              </w:rPr>
              <w:t>治理措施：</w:t>
            </w:r>
            <w:r>
              <w:rPr>
                <w:rFonts w:hint="eastAsia"/>
              </w:rPr>
              <w:t>本项目每孔钻井设置</w:t>
            </w:r>
            <w:r>
              <w:t>1</w:t>
            </w:r>
            <w:r>
              <w:rPr>
                <w:rFonts w:hint="eastAsia"/>
              </w:rPr>
              <w:t>个沉淀池（设计容积5m</w:t>
            </w:r>
            <w:r>
              <w:rPr>
                <w:rFonts w:hint="eastAsia"/>
                <w:vertAlign w:val="superscript"/>
              </w:rPr>
              <w:t>3</w:t>
            </w:r>
            <w:r>
              <w:rPr>
                <w:rFonts w:hint="eastAsia"/>
              </w:rPr>
              <w:t>），采用防渗膜塑料布及支架组装，循环使用定期补充，不外排，在所有钻探工作完成后，最终产生的废泥浆（主要成分为SS，不含有毒有害成分）进行固化后无害化处理，措施可行。</w:t>
            </w:r>
          </w:p>
          <w:p w14:paraId="20431BD3">
            <w:pPr>
              <w:pStyle w:val="20"/>
              <w:ind w:firstLine="482"/>
            </w:pPr>
            <w:r>
              <w:rPr>
                <w:rFonts w:hint="eastAsia"/>
                <w:lang w:val="en-US" w:eastAsia="zh-CN"/>
              </w:rPr>
              <w:t>2</w:t>
            </w:r>
            <w:r>
              <w:rPr>
                <w:rFonts w:hint="eastAsia"/>
              </w:rPr>
              <w:t>.2生活废水</w:t>
            </w:r>
          </w:p>
          <w:p w14:paraId="0F2F3CB3">
            <w:pPr>
              <w:ind w:firstLine="480"/>
            </w:pPr>
            <w:r>
              <w:rPr>
                <w:rFonts w:hint="eastAsia"/>
                <w:b/>
                <w:bCs/>
              </w:rPr>
              <w:t>产生情况：</w:t>
            </w:r>
            <w:r>
              <w:rPr>
                <w:rFonts w:hint="eastAsia"/>
              </w:rPr>
              <w:t>本项目钻探工作中采用临时帐篷作为居住生活区，本项目</w:t>
            </w:r>
            <w:r>
              <w:t>在施工场地的生活</w:t>
            </w:r>
            <w:r>
              <w:rPr>
                <w:rFonts w:hint="eastAsia"/>
              </w:rPr>
              <w:t>用水</w:t>
            </w:r>
            <w:r>
              <w:t>量</w:t>
            </w:r>
            <w:r>
              <w:rPr>
                <w:rFonts w:hint="eastAsia"/>
              </w:rPr>
              <w:t>按55</w:t>
            </w:r>
            <w:r>
              <w:t>L/</w:t>
            </w:r>
            <w:r>
              <w:rPr>
                <w:rFonts w:hint="eastAsia"/>
              </w:rPr>
              <w:t>人</w:t>
            </w:r>
            <w:r>
              <w:t>·d</w:t>
            </w:r>
            <w:r>
              <w:rPr>
                <w:rFonts w:hint="eastAsia"/>
              </w:rPr>
              <w:t>计，生活时间约</w:t>
            </w:r>
            <w:r>
              <w:rPr>
                <w:rFonts w:hint="eastAsia"/>
                <w:lang w:val="en-US" w:eastAsia="zh-CN"/>
              </w:rPr>
              <w:t>150</w:t>
            </w:r>
            <w:r>
              <w:t>d/a</w:t>
            </w:r>
            <w:r>
              <w:rPr>
                <w:rFonts w:hint="eastAsia"/>
              </w:rPr>
              <w:t>，</w:t>
            </w:r>
            <w:r>
              <w:t>本项目按照最大施工人员</w:t>
            </w:r>
            <w:r>
              <w:rPr>
                <w:rFonts w:hint="eastAsia"/>
              </w:rPr>
              <w:t>1</w:t>
            </w:r>
            <w:r>
              <w:rPr>
                <w:rFonts w:hint="eastAsia"/>
                <w:lang w:val="en-US" w:eastAsia="zh-CN"/>
              </w:rPr>
              <w:t>5</w:t>
            </w:r>
            <w:r>
              <w:rPr>
                <w:rFonts w:hint="eastAsia"/>
              </w:rPr>
              <w:t>人</w:t>
            </w:r>
            <w:r>
              <w:t>计算，排污按照</w:t>
            </w:r>
            <w:r>
              <w:rPr>
                <w:rFonts w:hint="eastAsia"/>
              </w:rPr>
              <w:t>80</w:t>
            </w:r>
            <w:r>
              <w:t>%计算，则本项目</w:t>
            </w:r>
            <w:r>
              <w:rPr>
                <w:rFonts w:hint="eastAsia"/>
              </w:rPr>
              <w:t>生活用水量</w:t>
            </w:r>
            <w:r>
              <w:t>为</w:t>
            </w:r>
            <w:r>
              <w:rPr>
                <w:rFonts w:hint="eastAsia"/>
                <w:lang w:val="en-US" w:eastAsia="zh-CN"/>
              </w:rPr>
              <w:t>0.825</w:t>
            </w:r>
            <w:r>
              <w:t>m</w:t>
            </w:r>
            <w:r>
              <w:rPr>
                <w:vertAlign w:val="superscript"/>
              </w:rPr>
              <w:t>3</w:t>
            </w:r>
            <w:r>
              <w:t>/d，</w:t>
            </w:r>
            <w:r>
              <w:rPr>
                <w:rFonts w:hint="eastAsia"/>
                <w:lang w:val="en-US" w:eastAsia="zh-CN"/>
              </w:rPr>
              <w:t>123.75</w:t>
            </w:r>
            <w:r>
              <w:t>m</w:t>
            </w:r>
            <w:r>
              <w:rPr>
                <w:vertAlign w:val="superscript"/>
              </w:rPr>
              <w:t>3</w:t>
            </w:r>
            <w:r>
              <w:t>/a</w:t>
            </w:r>
            <w:r>
              <w:rPr>
                <w:rFonts w:hint="eastAsia"/>
              </w:rPr>
              <w:t>，生活污水产生量</w:t>
            </w:r>
            <w:r>
              <w:t>为</w:t>
            </w:r>
            <w:r>
              <w:rPr>
                <w:rFonts w:hint="eastAsia"/>
              </w:rPr>
              <w:t>0.</w:t>
            </w:r>
            <w:r>
              <w:rPr>
                <w:rFonts w:hint="eastAsia"/>
                <w:lang w:val="en-US" w:eastAsia="zh-CN"/>
              </w:rPr>
              <w:t>66</w:t>
            </w:r>
            <w:r>
              <w:t>m</w:t>
            </w:r>
            <w:r>
              <w:rPr>
                <w:vertAlign w:val="superscript"/>
              </w:rPr>
              <w:t>3</w:t>
            </w:r>
            <w:r>
              <w:t>/d</w:t>
            </w:r>
            <w:r>
              <w:rPr>
                <w:rFonts w:hint="eastAsia"/>
              </w:rPr>
              <w:t>，</w:t>
            </w:r>
            <w:r>
              <w:rPr>
                <w:rFonts w:hint="eastAsia"/>
                <w:lang w:val="en-US" w:eastAsia="zh-CN"/>
              </w:rPr>
              <w:t>99</w:t>
            </w:r>
            <w:r>
              <w:t>m</w:t>
            </w:r>
            <w:r>
              <w:rPr>
                <w:vertAlign w:val="superscript"/>
              </w:rPr>
              <w:t>3</w:t>
            </w:r>
            <w:r>
              <w:t>/a</w:t>
            </w:r>
            <w:r>
              <w:rPr>
                <w:rFonts w:hint="eastAsia"/>
              </w:rPr>
              <w:t>。</w:t>
            </w:r>
            <w:r>
              <w:t>一般生活污水COD的产生浓度约为</w:t>
            </w:r>
            <w:r>
              <w:rPr>
                <w:rFonts w:hint="eastAsia"/>
                <w:lang w:val="en-US" w:eastAsia="zh-CN"/>
              </w:rPr>
              <w:t>3</w:t>
            </w:r>
            <w:r>
              <w:t>00mg/L，BOD</w:t>
            </w:r>
            <w:r>
              <w:rPr>
                <w:vertAlign w:val="subscript"/>
              </w:rPr>
              <w:t>5</w:t>
            </w:r>
            <w:r>
              <w:t>的产生浓度约为300mg/L，SS的产生浓度约为2</w:t>
            </w:r>
            <w:r>
              <w:rPr>
                <w:rFonts w:hint="eastAsia"/>
                <w:lang w:val="en-US" w:eastAsia="zh-CN"/>
              </w:rPr>
              <w:t>0</w:t>
            </w:r>
            <w:r>
              <w:t>0mg/L，NH</w:t>
            </w:r>
            <w:r>
              <w:rPr>
                <w:vertAlign w:val="subscript"/>
              </w:rPr>
              <w:t>3</w:t>
            </w:r>
            <w:r>
              <w:t>-N的产生浓度约为30mg/L，则本项目COD产生量约为0.0</w:t>
            </w:r>
            <w:r>
              <w:rPr>
                <w:rFonts w:hint="eastAsia"/>
                <w:lang w:val="en-US" w:eastAsia="zh-CN"/>
              </w:rPr>
              <w:t>297</w:t>
            </w:r>
            <w:r>
              <w:rPr>
                <w:rFonts w:hint="eastAsia"/>
              </w:rPr>
              <w:t>t</w:t>
            </w:r>
            <w:r>
              <w:t>/a，BOD</w:t>
            </w:r>
            <w:r>
              <w:rPr>
                <w:vertAlign w:val="subscript"/>
              </w:rPr>
              <w:t>5</w:t>
            </w:r>
            <w:r>
              <w:t>产生量约为0.0</w:t>
            </w:r>
            <w:r>
              <w:rPr>
                <w:rFonts w:hint="eastAsia"/>
                <w:lang w:val="en-US" w:eastAsia="zh-CN"/>
              </w:rPr>
              <w:t>297</w:t>
            </w:r>
            <w:r>
              <w:t>t/a，SS产生量约为0.</w:t>
            </w:r>
            <w:r>
              <w:rPr>
                <w:rFonts w:hint="eastAsia"/>
                <w:lang w:val="en-US" w:eastAsia="zh-CN"/>
              </w:rPr>
              <w:t>0198</w:t>
            </w:r>
            <w:r>
              <w:t>t/a，NH</w:t>
            </w:r>
            <w:r>
              <w:rPr>
                <w:vertAlign w:val="subscript"/>
              </w:rPr>
              <w:t>3</w:t>
            </w:r>
            <w:r>
              <w:t>-N产生量约为0.00</w:t>
            </w:r>
            <w:r>
              <w:rPr>
                <w:rFonts w:hint="eastAsia"/>
                <w:lang w:val="en-US" w:eastAsia="zh-CN"/>
              </w:rPr>
              <w:t>297</w:t>
            </w:r>
            <w:r>
              <w:t>t/a。</w:t>
            </w:r>
          </w:p>
          <w:p w14:paraId="762F2DF0">
            <w:pPr>
              <w:ind w:firstLine="480"/>
            </w:pPr>
            <w:r>
              <w:rPr>
                <w:b/>
                <w:bCs/>
              </w:rPr>
              <w:t>治理措施：</w:t>
            </w:r>
            <w:r>
              <w:rPr>
                <w:rFonts w:hint="eastAsia"/>
                <w:shd w:val="clear" w:color="auto" w:fill="auto"/>
                <w:lang w:val="en-US" w:eastAsia="zh-CN"/>
              </w:rPr>
              <w:t>生活污水排入一体化污水处理设施后，其出水标准可达到《农村生活污水处理排放标准》（DB654275-2019）表2中C级标准，用于洒水降尘和周边绿化，不外排，不与地表水体发生水力联系，对周围环境影</w:t>
            </w:r>
            <w:r>
              <w:rPr>
                <w:rFonts w:hint="eastAsia" w:ascii="Times New Roman" w:hAnsi="Times New Roman" w:eastAsia="宋体" w:cs="宋体"/>
                <w:shd w:val="clear" w:color="auto" w:fill="auto"/>
                <w:lang w:val="en-US" w:eastAsia="zh-CN"/>
              </w:rPr>
              <w:t>响较小。</w:t>
            </w:r>
          </w:p>
          <w:p w14:paraId="477E6623">
            <w:pPr>
              <w:ind w:firstLine="480"/>
            </w:pPr>
            <w:r>
              <w:rPr>
                <w:rFonts w:hint="eastAsia"/>
              </w:rPr>
              <w:t>本项目用水一览表见表4-</w:t>
            </w:r>
            <w:r>
              <w:rPr>
                <w:rFonts w:hint="eastAsia"/>
                <w:lang w:val="en-US" w:eastAsia="zh-CN"/>
              </w:rPr>
              <w:t>3</w:t>
            </w:r>
            <w:r>
              <w:rPr>
                <w:rFonts w:hint="eastAsia"/>
              </w:rPr>
              <w:t>。</w:t>
            </w:r>
          </w:p>
          <w:p w14:paraId="3A9A02DD">
            <w:pPr>
              <w:pStyle w:val="33"/>
              <w:spacing w:before="120"/>
            </w:pPr>
            <w:r>
              <w:rPr>
                <w:rFonts w:hint="eastAsia"/>
              </w:rPr>
              <w:t>表4-</w:t>
            </w:r>
            <w:r>
              <w:rPr>
                <w:rFonts w:hint="eastAsia"/>
                <w:lang w:val="en-US" w:eastAsia="zh-CN"/>
              </w:rPr>
              <w:t>3</w:t>
            </w:r>
            <w:r>
              <w:rPr>
                <w:rFonts w:hint="eastAsia"/>
              </w:rPr>
              <w:t>项目用水情况一览表</w:t>
            </w:r>
          </w:p>
          <w:tbl>
            <w:tblPr>
              <w:tblStyle w:val="23"/>
              <w:tblW w:w="499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60"/>
              <w:gridCol w:w="2665"/>
              <w:gridCol w:w="1834"/>
              <w:gridCol w:w="2863"/>
            </w:tblGrid>
            <w:tr w14:paraId="3A5FCD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3" w:hRule="atLeast"/>
              </w:trPr>
              <w:tc>
                <w:tcPr>
                  <w:tcW w:w="577" w:type="pct"/>
                  <w:vAlign w:val="center"/>
                </w:tcPr>
                <w:p w14:paraId="42A82B9D">
                  <w:pPr>
                    <w:pStyle w:val="31"/>
                  </w:pPr>
                  <w:r>
                    <w:t>序号</w:t>
                  </w:r>
                </w:p>
              </w:tc>
              <w:tc>
                <w:tcPr>
                  <w:tcW w:w="1600" w:type="pct"/>
                  <w:vAlign w:val="center"/>
                </w:tcPr>
                <w:p w14:paraId="53DDA5CF">
                  <w:pPr>
                    <w:pStyle w:val="31"/>
                  </w:pPr>
                  <w:r>
                    <w:t>用水位置</w:t>
                  </w:r>
                </w:p>
              </w:tc>
              <w:tc>
                <w:tcPr>
                  <w:tcW w:w="1101" w:type="pct"/>
                  <w:vAlign w:val="center"/>
                </w:tcPr>
                <w:p w14:paraId="365E56DB">
                  <w:pPr>
                    <w:pStyle w:val="31"/>
                  </w:pPr>
                  <w:r>
                    <w:t>用水方式</w:t>
                  </w:r>
                </w:p>
              </w:tc>
              <w:tc>
                <w:tcPr>
                  <w:tcW w:w="1719" w:type="pct"/>
                  <w:vAlign w:val="center"/>
                </w:tcPr>
                <w:p w14:paraId="36954935">
                  <w:pPr>
                    <w:pStyle w:val="31"/>
                  </w:pPr>
                  <w:r>
                    <w:t>用水量</w:t>
                  </w:r>
                </w:p>
              </w:tc>
            </w:tr>
            <w:tr w14:paraId="652280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3" w:hRule="atLeast"/>
              </w:trPr>
              <w:tc>
                <w:tcPr>
                  <w:tcW w:w="577" w:type="pct"/>
                  <w:vAlign w:val="center"/>
                </w:tcPr>
                <w:p w14:paraId="1AB8B6A8">
                  <w:pPr>
                    <w:pStyle w:val="31"/>
                  </w:pPr>
                  <w:r>
                    <w:t>1</w:t>
                  </w:r>
                </w:p>
              </w:tc>
              <w:tc>
                <w:tcPr>
                  <w:tcW w:w="1600" w:type="pct"/>
                  <w:vAlign w:val="center"/>
                </w:tcPr>
                <w:p w14:paraId="6206130D">
                  <w:pPr>
                    <w:pStyle w:val="31"/>
                  </w:pPr>
                  <w:r>
                    <w:t>钻探</w:t>
                  </w:r>
                </w:p>
              </w:tc>
              <w:tc>
                <w:tcPr>
                  <w:tcW w:w="1101" w:type="pct"/>
                  <w:vAlign w:val="center"/>
                </w:tcPr>
                <w:p w14:paraId="52327D43">
                  <w:pPr>
                    <w:pStyle w:val="31"/>
                  </w:pPr>
                  <w:r>
                    <w:t>钻探废水</w:t>
                  </w:r>
                </w:p>
              </w:tc>
              <w:tc>
                <w:tcPr>
                  <w:tcW w:w="1719" w:type="pct"/>
                  <w:vAlign w:val="center"/>
                </w:tcPr>
                <w:p w14:paraId="04871CD0">
                  <w:pPr>
                    <w:pStyle w:val="31"/>
                  </w:pPr>
                  <w:r>
                    <w:rPr>
                      <w:rFonts w:hint="eastAsia"/>
                    </w:rPr>
                    <w:t>0.</w:t>
                  </w:r>
                  <w:r>
                    <w:t>4m</w:t>
                  </w:r>
                  <w:r>
                    <w:rPr>
                      <w:vertAlign w:val="superscript"/>
                    </w:rPr>
                    <w:t>3</w:t>
                  </w:r>
                  <w:r>
                    <w:t>/d</w:t>
                  </w:r>
                  <w:r>
                    <w:rPr>
                      <w:rFonts w:hint="eastAsia"/>
                    </w:rPr>
                    <w:t>，</w:t>
                  </w:r>
                  <w:r>
                    <w:rPr>
                      <w:rFonts w:hint="eastAsia"/>
                      <w:lang w:val="en-US" w:eastAsia="zh-CN"/>
                    </w:rPr>
                    <w:t>60</w:t>
                  </w:r>
                  <w:r>
                    <w:t>m</w:t>
                  </w:r>
                  <w:r>
                    <w:rPr>
                      <w:vertAlign w:val="superscript"/>
                    </w:rPr>
                    <w:t>3</w:t>
                  </w:r>
                  <w:r>
                    <w:t>/a</w:t>
                  </w:r>
                </w:p>
              </w:tc>
            </w:tr>
            <w:tr w14:paraId="04B2D4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3" w:hRule="atLeast"/>
              </w:trPr>
              <w:tc>
                <w:tcPr>
                  <w:tcW w:w="577" w:type="pct"/>
                  <w:vAlign w:val="center"/>
                </w:tcPr>
                <w:p w14:paraId="1C0FFCB1">
                  <w:pPr>
                    <w:pStyle w:val="31"/>
                  </w:pPr>
                  <w:r>
                    <w:t>2</w:t>
                  </w:r>
                </w:p>
              </w:tc>
              <w:tc>
                <w:tcPr>
                  <w:tcW w:w="1600" w:type="pct"/>
                  <w:vAlign w:val="center"/>
                </w:tcPr>
                <w:p w14:paraId="161AB7CA">
                  <w:pPr>
                    <w:pStyle w:val="31"/>
                  </w:pPr>
                  <w:r>
                    <w:rPr>
                      <w:rFonts w:hint="eastAsia"/>
                    </w:rPr>
                    <w:t>临时堆场</w:t>
                  </w:r>
                  <w:r>
                    <w:t>、便道</w:t>
                  </w:r>
                </w:p>
              </w:tc>
              <w:tc>
                <w:tcPr>
                  <w:tcW w:w="1101" w:type="pct"/>
                  <w:vAlign w:val="center"/>
                </w:tcPr>
                <w:p w14:paraId="576DD141">
                  <w:pPr>
                    <w:pStyle w:val="31"/>
                  </w:pPr>
                  <w:r>
                    <w:t>抑尘废水</w:t>
                  </w:r>
                </w:p>
              </w:tc>
              <w:tc>
                <w:tcPr>
                  <w:tcW w:w="1719" w:type="pct"/>
                  <w:vAlign w:val="center"/>
                </w:tcPr>
                <w:p w14:paraId="5FECEDC0">
                  <w:pPr>
                    <w:pStyle w:val="31"/>
                  </w:pPr>
                  <w:r>
                    <w:rPr>
                      <w:rFonts w:hint="eastAsia"/>
                    </w:rPr>
                    <w:t>3</w:t>
                  </w:r>
                  <w:r>
                    <w:t>m</w:t>
                  </w:r>
                  <w:r>
                    <w:rPr>
                      <w:vertAlign w:val="superscript"/>
                    </w:rPr>
                    <w:t>3</w:t>
                  </w:r>
                  <w:r>
                    <w:t>/d，</w:t>
                  </w:r>
                  <w:r>
                    <w:rPr>
                      <w:rFonts w:hint="eastAsia"/>
                      <w:lang w:val="en-US" w:eastAsia="zh-CN"/>
                    </w:rPr>
                    <w:t>450</w:t>
                  </w:r>
                  <w:r>
                    <w:t>m</w:t>
                  </w:r>
                  <w:r>
                    <w:rPr>
                      <w:vertAlign w:val="superscript"/>
                    </w:rPr>
                    <w:t>3</w:t>
                  </w:r>
                  <w:r>
                    <w:t>/a</w:t>
                  </w:r>
                </w:p>
              </w:tc>
            </w:tr>
            <w:tr w14:paraId="61872D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3" w:hRule="atLeast"/>
              </w:trPr>
              <w:tc>
                <w:tcPr>
                  <w:tcW w:w="577" w:type="pct"/>
                  <w:vAlign w:val="center"/>
                </w:tcPr>
                <w:p w14:paraId="0E615388">
                  <w:pPr>
                    <w:pStyle w:val="31"/>
                  </w:pPr>
                  <w:r>
                    <w:t>3</w:t>
                  </w:r>
                </w:p>
              </w:tc>
              <w:tc>
                <w:tcPr>
                  <w:tcW w:w="1600" w:type="pct"/>
                  <w:vAlign w:val="center"/>
                </w:tcPr>
                <w:p w14:paraId="02CCEF55">
                  <w:pPr>
                    <w:pStyle w:val="31"/>
                  </w:pPr>
                  <w:r>
                    <w:t>生活区</w:t>
                  </w:r>
                </w:p>
              </w:tc>
              <w:tc>
                <w:tcPr>
                  <w:tcW w:w="1101" w:type="pct"/>
                  <w:vAlign w:val="center"/>
                </w:tcPr>
                <w:p w14:paraId="1B869D17">
                  <w:pPr>
                    <w:pStyle w:val="31"/>
                  </w:pPr>
                  <w:r>
                    <w:t>生活废水</w:t>
                  </w:r>
                </w:p>
              </w:tc>
              <w:tc>
                <w:tcPr>
                  <w:tcW w:w="1719" w:type="pct"/>
                  <w:vAlign w:val="center"/>
                </w:tcPr>
                <w:p w14:paraId="01D9D252">
                  <w:pPr>
                    <w:pStyle w:val="31"/>
                  </w:pPr>
                  <w:r>
                    <w:rPr>
                      <w:rFonts w:hint="eastAsia"/>
                      <w:bCs/>
                    </w:rPr>
                    <w:t>0.</w:t>
                  </w:r>
                  <w:r>
                    <w:rPr>
                      <w:rFonts w:hint="eastAsia"/>
                      <w:bCs/>
                      <w:lang w:val="en-US" w:eastAsia="zh-CN"/>
                    </w:rPr>
                    <w:t>825</w:t>
                  </w:r>
                  <w:r>
                    <w:rPr>
                      <w:bCs/>
                    </w:rPr>
                    <w:t>m</w:t>
                  </w:r>
                  <w:r>
                    <w:rPr>
                      <w:bCs/>
                      <w:vertAlign w:val="superscript"/>
                    </w:rPr>
                    <w:t>3</w:t>
                  </w:r>
                  <w:r>
                    <w:rPr>
                      <w:bCs/>
                    </w:rPr>
                    <w:t>/d</w:t>
                  </w:r>
                  <w:r>
                    <w:t>，</w:t>
                  </w:r>
                  <w:r>
                    <w:rPr>
                      <w:rFonts w:hint="eastAsia"/>
                      <w:lang w:val="en-US" w:eastAsia="zh-CN"/>
                    </w:rPr>
                    <w:t>123.75</w:t>
                  </w:r>
                  <w:r>
                    <w:t>m</w:t>
                  </w:r>
                  <w:r>
                    <w:rPr>
                      <w:vertAlign w:val="superscript"/>
                    </w:rPr>
                    <w:t>3</w:t>
                  </w:r>
                  <w:r>
                    <w:t>/a</w:t>
                  </w:r>
                </w:p>
              </w:tc>
            </w:tr>
          </w:tbl>
          <w:p w14:paraId="792C0A6F">
            <w:pPr>
              <w:adjustRightInd w:val="0"/>
              <w:snapToGrid w:val="0"/>
              <w:ind w:firstLine="0" w:firstLineChars="0"/>
              <w:rPr>
                <w:b/>
              </w:rPr>
            </w:pPr>
          </w:p>
          <w:p w14:paraId="29E43FB7">
            <w:pPr>
              <w:pStyle w:val="33"/>
              <w:spacing w:before="120"/>
            </w:pPr>
            <w:r>
              <mc:AlternateContent>
                <mc:Choice Requires="wpc">
                  <w:drawing>
                    <wp:anchor distT="0" distB="0" distL="114300" distR="114300" simplePos="0" relativeHeight="251659264" behindDoc="0" locked="0" layoutInCell="1" allowOverlap="1">
                      <wp:simplePos x="0" y="0"/>
                      <wp:positionH relativeFrom="column">
                        <wp:posOffset>-582930</wp:posOffset>
                      </wp:positionH>
                      <wp:positionV relativeFrom="paragraph">
                        <wp:posOffset>22225</wp:posOffset>
                      </wp:positionV>
                      <wp:extent cx="5311140" cy="2244090"/>
                      <wp:effectExtent l="0" t="0" r="3810" b="0"/>
                      <wp:wrapTopAndBottom/>
                      <wp:docPr id="45" name="画布 45"/>
                      <wp:cNvGraphicFramePr/>
                      <a:graphic xmlns:a="http://schemas.openxmlformats.org/drawingml/2006/main">
                        <a:graphicData uri="http://schemas.microsoft.com/office/word/2010/wordprocessingCanvas">
                          <wpc:wpc>
                            <wpc:bg>
                              <a:noFill/>
                            </wpc:bg>
                            <wpc:whole>
                              <a:ln>
                                <a:noFill/>
                              </a:ln>
                            </wpc:whole>
                            <wps:wsp>
                              <wps:cNvPr id="73" name="直接箭头连接符 18"/>
                              <wps:cNvCnPr/>
                              <wps:spPr>
                                <a:xfrm>
                                  <a:off x="779145" y="1269365"/>
                                  <a:ext cx="504825" cy="0"/>
                                </a:xfrm>
                                <a:prstGeom prst="straightConnector1">
                                  <a:avLst/>
                                </a:prstGeom>
                                <a:ln w="12700" cap="flat" cmpd="sng">
                                  <a:solidFill>
                                    <a:srgbClr val="000000"/>
                                  </a:solidFill>
                                  <a:prstDash val="solid"/>
                                  <a:headEnd type="none" w="med" len="med"/>
                                  <a:tailEnd type="arrow" w="lg" len="lg"/>
                                </a:ln>
                              </wps:spPr>
                              <wps:bodyPr/>
                            </wps:wsp>
                            <wps:wsp>
                              <wps:cNvPr id="74" name="文本框 19"/>
                              <wps:cNvSpPr txBox="1"/>
                              <wps:spPr>
                                <a:xfrm>
                                  <a:off x="104775" y="1059815"/>
                                  <a:ext cx="819150" cy="447675"/>
                                </a:xfrm>
                                <a:prstGeom prst="rect">
                                  <a:avLst/>
                                </a:prstGeom>
                                <a:solidFill>
                                  <a:srgbClr val="FFFFFF"/>
                                </a:solidFill>
                                <a:ln>
                                  <a:noFill/>
                                </a:ln>
                              </wps:spPr>
                              <wps:txbx>
                                <w:txbxContent>
                                  <w:p w14:paraId="7552372C">
                                    <w:pPr>
                                      <w:pStyle w:val="31"/>
                                    </w:pPr>
                                    <w:r>
                                      <w:t>新鲜水</w:t>
                                    </w:r>
                                  </w:p>
                                  <w:p w14:paraId="3D27056C">
                                    <w:pPr>
                                      <w:pStyle w:val="31"/>
                                      <w:rPr>
                                        <w:rFonts w:hint="default" w:eastAsia="宋体"/>
                                        <w:lang w:val="en-US" w:eastAsia="zh-CN"/>
                                      </w:rPr>
                                    </w:pPr>
                                    <w:r>
                                      <w:rPr>
                                        <w:rFonts w:hint="eastAsia"/>
                                        <w:lang w:val="en-US" w:eastAsia="zh-CN"/>
                                      </w:rPr>
                                      <w:t>633.75</w:t>
                                    </w:r>
                                  </w:p>
                                </w:txbxContent>
                              </wps:txbx>
                              <wps:bodyPr upright="1"/>
                            </wps:wsp>
                            <wps:wsp>
                              <wps:cNvPr id="75" name="直接连接符 20"/>
                              <wps:cNvCnPr/>
                              <wps:spPr>
                                <a:xfrm>
                                  <a:off x="1274445" y="632460"/>
                                  <a:ext cx="9525" cy="1095375"/>
                                </a:xfrm>
                                <a:prstGeom prst="line">
                                  <a:avLst/>
                                </a:prstGeom>
                                <a:ln w="9525" cap="flat" cmpd="sng">
                                  <a:solidFill>
                                    <a:srgbClr val="000000"/>
                                  </a:solidFill>
                                  <a:prstDash val="solid"/>
                                  <a:headEnd type="none" w="med" len="med"/>
                                  <a:tailEnd type="none" w="med" len="med"/>
                                </a:ln>
                              </wps:spPr>
                              <wps:bodyPr/>
                            </wps:wsp>
                            <wps:wsp>
                              <wps:cNvPr id="76" name="文本框 21"/>
                              <wps:cNvSpPr txBox="1"/>
                              <wps:spPr>
                                <a:xfrm>
                                  <a:off x="1979295" y="508635"/>
                                  <a:ext cx="101790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C2CBEB">
                                    <w:pPr>
                                      <w:pStyle w:val="31"/>
                                      <w:rPr>
                                        <w:rFonts w:hint="default" w:eastAsia="宋体"/>
                                        <w:lang w:val="en-US" w:eastAsia="zh-CN"/>
                                      </w:rPr>
                                    </w:pPr>
                                    <w:r>
                                      <w:rPr>
                                        <w:rFonts w:hint="eastAsia"/>
                                      </w:rPr>
                                      <w:t>钻探用水</w:t>
                                    </w:r>
                                    <w:r>
                                      <w:rPr>
                                        <w:rFonts w:hint="eastAsia"/>
                                        <w:lang w:val="en-US" w:eastAsia="zh-CN"/>
                                      </w:rPr>
                                      <w:t>54</w:t>
                                    </w:r>
                                  </w:p>
                                </w:txbxContent>
                              </wps:txbx>
                              <wps:bodyPr upright="1"/>
                            </wps:wsp>
                            <wps:wsp>
                              <wps:cNvPr id="77" name="直接连接符 22"/>
                              <wps:cNvCnPr/>
                              <wps:spPr>
                                <a:xfrm>
                                  <a:off x="3008630" y="555625"/>
                                  <a:ext cx="237490" cy="10795"/>
                                </a:xfrm>
                                <a:prstGeom prst="line">
                                  <a:avLst/>
                                </a:prstGeom>
                                <a:ln w="9525" cap="flat" cmpd="sng">
                                  <a:solidFill>
                                    <a:srgbClr val="000000"/>
                                  </a:solidFill>
                                  <a:prstDash val="solid"/>
                                  <a:headEnd type="none" w="med" len="med"/>
                                  <a:tailEnd type="none" w="med" len="med"/>
                                </a:ln>
                              </wps:spPr>
                              <wps:bodyPr/>
                            </wps:wsp>
                            <wps:wsp>
                              <wps:cNvPr id="78" name="直接连接符 23"/>
                              <wps:cNvCnPr/>
                              <wps:spPr>
                                <a:xfrm flipH="1" flipV="1">
                                  <a:off x="3246755" y="251460"/>
                                  <a:ext cx="635" cy="333375"/>
                                </a:xfrm>
                                <a:prstGeom prst="line">
                                  <a:avLst/>
                                </a:prstGeom>
                                <a:ln w="9525" cap="flat" cmpd="sng">
                                  <a:solidFill>
                                    <a:srgbClr val="000000"/>
                                  </a:solidFill>
                                  <a:prstDash val="solid"/>
                                  <a:headEnd type="none" w="med" len="med"/>
                                  <a:tailEnd type="none" w="med" len="med"/>
                                </a:ln>
                              </wps:spPr>
                              <wps:bodyPr/>
                            </wps:wsp>
                            <wps:wsp>
                              <wps:cNvPr id="79" name="直接连接符 24"/>
                              <wps:cNvCnPr/>
                              <wps:spPr>
                                <a:xfrm flipH="1">
                                  <a:off x="2446020" y="260985"/>
                                  <a:ext cx="809625" cy="635"/>
                                </a:xfrm>
                                <a:prstGeom prst="line">
                                  <a:avLst/>
                                </a:prstGeom>
                                <a:ln w="9525" cap="flat" cmpd="sng">
                                  <a:solidFill>
                                    <a:srgbClr val="000000"/>
                                  </a:solidFill>
                                  <a:prstDash val="solid"/>
                                  <a:headEnd type="none" w="med" len="med"/>
                                  <a:tailEnd type="none" w="med" len="med"/>
                                </a:ln>
                              </wps:spPr>
                              <wps:bodyPr/>
                            </wps:wsp>
                            <wps:wsp>
                              <wps:cNvPr id="80" name="直接箭头连接符 25"/>
                              <wps:cNvCnPr/>
                              <wps:spPr>
                                <a:xfrm flipH="1">
                                  <a:off x="2445385" y="261620"/>
                                  <a:ext cx="635" cy="247015"/>
                                </a:xfrm>
                                <a:prstGeom prst="straightConnector1">
                                  <a:avLst/>
                                </a:prstGeom>
                                <a:ln w="12700" cap="flat" cmpd="sng">
                                  <a:solidFill>
                                    <a:srgbClr val="000000"/>
                                  </a:solidFill>
                                  <a:prstDash val="solid"/>
                                  <a:headEnd type="none" w="med" len="med"/>
                                  <a:tailEnd type="arrow" w="lg" len="lg"/>
                                </a:ln>
                              </wps:spPr>
                              <wps:bodyPr/>
                            </wps:wsp>
                            <wps:wsp>
                              <wps:cNvPr id="81" name="直接箭头连接符 26"/>
                              <wps:cNvCnPr>
                                <a:endCxn id="76" idx="1"/>
                              </wps:cNvCnPr>
                              <wps:spPr>
                                <a:xfrm flipV="1">
                                  <a:off x="1283970" y="647065"/>
                                  <a:ext cx="695325" cy="4445"/>
                                </a:xfrm>
                                <a:prstGeom prst="straightConnector1">
                                  <a:avLst/>
                                </a:prstGeom>
                                <a:ln w="12700" cap="flat" cmpd="sng">
                                  <a:solidFill>
                                    <a:srgbClr val="000000"/>
                                  </a:solidFill>
                                  <a:prstDash val="solid"/>
                                  <a:headEnd type="none" w="med" len="med"/>
                                  <a:tailEnd type="arrow" w="lg" len="lg"/>
                                </a:ln>
                              </wps:spPr>
                              <wps:bodyPr/>
                            </wps:wsp>
                            <wps:wsp>
                              <wps:cNvPr id="82" name="文本框 27"/>
                              <wps:cNvSpPr txBox="1"/>
                              <wps:spPr>
                                <a:xfrm>
                                  <a:off x="2465705" y="236855"/>
                                  <a:ext cx="755650" cy="274320"/>
                                </a:xfrm>
                                <a:prstGeom prst="rect">
                                  <a:avLst/>
                                </a:prstGeom>
                                <a:noFill/>
                                <a:ln>
                                  <a:noFill/>
                                </a:ln>
                              </wps:spPr>
                              <wps:txbx>
                                <w:txbxContent>
                                  <w:p w14:paraId="1CEBCDF3">
                                    <w:pPr>
                                      <w:pStyle w:val="31"/>
                                      <w:jc w:val="both"/>
                                    </w:pPr>
                                    <w:r>
                                      <w:rPr>
                                        <w:rFonts w:hint="eastAsia"/>
                                      </w:rPr>
                                      <w:t>循环用水</w:t>
                                    </w:r>
                                  </w:p>
                                </w:txbxContent>
                              </wps:txbx>
                              <wps:bodyPr upright="1"/>
                            </wps:wsp>
                            <wps:wsp>
                              <wps:cNvPr id="83" name="直接连接符 28"/>
                              <wps:cNvCnPr/>
                              <wps:spPr>
                                <a:xfrm flipV="1">
                                  <a:off x="2045970" y="261620"/>
                                  <a:ext cx="114300" cy="227965"/>
                                </a:xfrm>
                                <a:prstGeom prst="line">
                                  <a:avLst/>
                                </a:prstGeom>
                                <a:ln w="6350" cap="flat" cmpd="sng">
                                  <a:solidFill>
                                    <a:srgbClr val="000000"/>
                                  </a:solidFill>
                                  <a:prstDash val="dashDot"/>
                                  <a:headEnd type="none" w="med" len="med"/>
                                  <a:tailEnd type="arrow" w="med" len="med"/>
                                </a:ln>
                              </wps:spPr>
                              <wps:bodyPr/>
                            </wps:wsp>
                            <wps:wsp>
                              <wps:cNvPr id="84" name="文本框 29"/>
                              <wps:cNvSpPr txBox="1"/>
                              <wps:spPr>
                                <a:xfrm>
                                  <a:off x="1741805" y="28575"/>
                                  <a:ext cx="812800" cy="308610"/>
                                </a:xfrm>
                                <a:prstGeom prst="rect">
                                  <a:avLst/>
                                </a:prstGeom>
                                <a:noFill/>
                                <a:ln>
                                  <a:noFill/>
                                </a:ln>
                              </wps:spPr>
                              <wps:txbx>
                                <w:txbxContent>
                                  <w:p w14:paraId="7751F099">
                                    <w:pPr>
                                      <w:pStyle w:val="31"/>
                                      <w:rPr>
                                        <w:rFonts w:hint="default" w:eastAsia="宋体"/>
                                        <w:lang w:val="en-US" w:eastAsia="zh-CN"/>
                                      </w:rPr>
                                    </w:pPr>
                                    <w:r>
                                      <w:rPr>
                                        <w:rFonts w:hint="eastAsia"/>
                                      </w:rPr>
                                      <w:t>损耗</w:t>
                                    </w:r>
                                    <w:r>
                                      <w:rPr>
                                        <w:rFonts w:hint="eastAsia"/>
                                        <w:lang w:val="en-US" w:eastAsia="zh-CN"/>
                                      </w:rPr>
                                      <w:t>6</w:t>
                                    </w:r>
                                  </w:p>
                                </w:txbxContent>
                              </wps:txbx>
                              <wps:bodyPr upright="1"/>
                            </wps:wsp>
                            <wps:wsp>
                              <wps:cNvPr id="85" name="文本框 30"/>
                              <wps:cNvSpPr txBox="1"/>
                              <wps:spPr>
                                <a:xfrm>
                                  <a:off x="1313180" y="427355"/>
                                  <a:ext cx="469900" cy="304800"/>
                                </a:xfrm>
                                <a:prstGeom prst="rect">
                                  <a:avLst/>
                                </a:prstGeom>
                                <a:noFill/>
                                <a:ln>
                                  <a:noFill/>
                                </a:ln>
                              </wps:spPr>
                              <wps:txbx>
                                <w:txbxContent>
                                  <w:p w14:paraId="0E8F46AD">
                                    <w:pPr>
                                      <w:pStyle w:val="31"/>
                                      <w:rPr>
                                        <w:rFonts w:hint="default" w:eastAsia="宋体"/>
                                        <w:lang w:val="en-US" w:eastAsia="zh-CN"/>
                                      </w:rPr>
                                    </w:pPr>
                                    <w:r>
                                      <w:rPr>
                                        <w:rFonts w:hint="eastAsia"/>
                                        <w:lang w:val="en-US" w:eastAsia="zh-CN"/>
                                      </w:rPr>
                                      <w:t>60</w:t>
                                    </w:r>
                                  </w:p>
                                </w:txbxContent>
                              </wps:txbx>
                              <wps:bodyPr upright="1"/>
                            </wps:wsp>
                            <wps:wsp>
                              <wps:cNvPr id="86" name="直接箭头连接符 31"/>
                              <wps:cNvCnPr/>
                              <wps:spPr>
                                <a:xfrm>
                                  <a:off x="1275080" y="1713230"/>
                                  <a:ext cx="673100" cy="0"/>
                                </a:xfrm>
                                <a:prstGeom prst="straightConnector1">
                                  <a:avLst/>
                                </a:prstGeom>
                                <a:ln w="12700" cap="flat" cmpd="sng">
                                  <a:solidFill>
                                    <a:srgbClr val="000000"/>
                                  </a:solidFill>
                                  <a:prstDash val="solid"/>
                                  <a:headEnd type="none" w="med" len="med"/>
                                  <a:tailEnd type="arrow" w="lg" len="lg"/>
                                </a:ln>
                              </wps:spPr>
                              <wps:bodyPr/>
                            </wps:wsp>
                            <wps:wsp>
                              <wps:cNvPr id="87" name="直接箭头连接符 32"/>
                              <wps:cNvCnPr/>
                              <wps:spPr>
                                <a:xfrm>
                                  <a:off x="1294130" y="1265555"/>
                                  <a:ext cx="673100" cy="0"/>
                                </a:xfrm>
                                <a:prstGeom prst="straightConnector1">
                                  <a:avLst/>
                                </a:prstGeom>
                                <a:ln w="12700" cap="flat" cmpd="sng">
                                  <a:solidFill>
                                    <a:srgbClr val="000000"/>
                                  </a:solidFill>
                                  <a:prstDash val="solid"/>
                                  <a:headEnd type="none" w="med" len="med"/>
                                  <a:tailEnd type="arrow" w="lg" len="lg"/>
                                </a:ln>
                              </wps:spPr>
                              <wps:bodyPr/>
                            </wps:wsp>
                            <wps:wsp>
                              <wps:cNvPr id="88" name="文本框 33"/>
                              <wps:cNvSpPr txBox="1"/>
                              <wps:spPr>
                                <a:xfrm>
                                  <a:off x="1970405" y="1122680"/>
                                  <a:ext cx="10795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65C96E">
                                    <w:pPr>
                                      <w:pStyle w:val="31"/>
                                      <w:rPr>
                                        <w:rFonts w:hint="default" w:eastAsia="宋体"/>
                                        <w:lang w:val="en-US" w:eastAsia="zh-CN"/>
                                      </w:rPr>
                                    </w:pPr>
                                    <w:r>
                                      <w:rPr>
                                        <w:rFonts w:hint="eastAsia"/>
                                      </w:rPr>
                                      <w:t>抑尘用水</w:t>
                                    </w:r>
                                    <w:r>
                                      <w:rPr>
                                        <w:rFonts w:hint="eastAsia"/>
                                        <w:lang w:val="en-US" w:eastAsia="zh-CN"/>
                                      </w:rPr>
                                      <w:t>450</w:t>
                                    </w:r>
                                  </w:p>
                                </w:txbxContent>
                              </wps:txbx>
                              <wps:bodyPr upright="1"/>
                            </wps:wsp>
                            <wps:wsp>
                              <wps:cNvPr id="89" name="文本框 34"/>
                              <wps:cNvSpPr txBox="1"/>
                              <wps:spPr>
                                <a:xfrm>
                                  <a:off x="1351280" y="1036955"/>
                                  <a:ext cx="469900" cy="304800"/>
                                </a:xfrm>
                                <a:prstGeom prst="rect">
                                  <a:avLst/>
                                </a:prstGeom>
                                <a:noFill/>
                                <a:ln>
                                  <a:noFill/>
                                </a:ln>
                              </wps:spPr>
                              <wps:txbx>
                                <w:txbxContent>
                                  <w:p w14:paraId="46568E33">
                                    <w:pPr>
                                      <w:ind w:firstLine="0" w:firstLineChars="0"/>
                                      <w:rPr>
                                        <w:rFonts w:hint="default" w:eastAsia="宋体"/>
                                        <w:sz w:val="21"/>
                                        <w:szCs w:val="21"/>
                                        <w:lang w:val="en-US" w:eastAsia="zh-CN"/>
                                      </w:rPr>
                                    </w:pPr>
                                    <w:r>
                                      <w:rPr>
                                        <w:rFonts w:hint="eastAsia"/>
                                        <w:sz w:val="21"/>
                                        <w:szCs w:val="21"/>
                                        <w:lang w:val="en-US" w:eastAsia="zh-CN"/>
                                      </w:rPr>
                                      <w:t>450</w:t>
                                    </w:r>
                                  </w:p>
                                </w:txbxContent>
                              </wps:txbx>
                              <wps:bodyPr upright="1"/>
                            </wps:wsp>
                            <wps:wsp>
                              <wps:cNvPr id="92" name="文本框 37"/>
                              <wps:cNvSpPr txBox="1"/>
                              <wps:spPr>
                                <a:xfrm>
                                  <a:off x="1951355" y="1569085"/>
                                  <a:ext cx="1078230" cy="2774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AAE57E">
                                    <w:pPr>
                                      <w:pStyle w:val="31"/>
                                      <w:jc w:val="both"/>
                                      <w:rPr>
                                        <w:rFonts w:hint="default" w:eastAsia="宋体"/>
                                        <w:lang w:val="en-US" w:eastAsia="zh-CN"/>
                                      </w:rPr>
                                    </w:pPr>
                                    <w:r>
                                      <w:rPr>
                                        <w:rFonts w:hint="eastAsia"/>
                                      </w:rPr>
                                      <w:t>生活用水</w:t>
                                    </w:r>
                                  </w:p>
                                </w:txbxContent>
                              </wps:txbx>
                              <wps:bodyPr upright="1"/>
                            </wps:wsp>
                            <wps:wsp>
                              <wps:cNvPr id="93" name="直接连接符 38"/>
                              <wps:cNvCnPr/>
                              <wps:spPr>
                                <a:xfrm flipV="1">
                                  <a:off x="3056255" y="1551305"/>
                                  <a:ext cx="254000" cy="152400"/>
                                </a:xfrm>
                                <a:prstGeom prst="line">
                                  <a:avLst/>
                                </a:prstGeom>
                                <a:ln w="6350" cap="flat" cmpd="sng">
                                  <a:solidFill>
                                    <a:srgbClr val="000000"/>
                                  </a:solidFill>
                                  <a:prstDash val="dashDot"/>
                                  <a:headEnd type="none" w="med" len="med"/>
                                  <a:tailEnd type="arrow" w="med" len="med"/>
                                </a:ln>
                              </wps:spPr>
                              <wps:bodyPr/>
                            </wps:wsp>
                            <wps:wsp>
                              <wps:cNvPr id="94" name="文本框 39"/>
                              <wps:cNvSpPr txBox="1"/>
                              <wps:spPr>
                                <a:xfrm>
                                  <a:off x="1322705" y="1446530"/>
                                  <a:ext cx="555625" cy="304800"/>
                                </a:xfrm>
                                <a:prstGeom prst="rect">
                                  <a:avLst/>
                                </a:prstGeom>
                                <a:noFill/>
                                <a:ln>
                                  <a:noFill/>
                                </a:ln>
                              </wps:spPr>
                              <wps:txbx>
                                <w:txbxContent>
                                  <w:p w14:paraId="7FC4D636">
                                    <w:pPr>
                                      <w:ind w:firstLine="0" w:firstLineChars="0"/>
                                      <w:rPr>
                                        <w:rFonts w:hint="default" w:eastAsia="宋体"/>
                                        <w:sz w:val="21"/>
                                        <w:szCs w:val="21"/>
                                        <w:lang w:val="en-US" w:eastAsia="zh-CN"/>
                                      </w:rPr>
                                    </w:pPr>
                                    <w:r>
                                      <w:rPr>
                                        <w:rFonts w:hint="eastAsia"/>
                                        <w:sz w:val="21"/>
                                        <w:szCs w:val="21"/>
                                        <w:lang w:val="en-US" w:eastAsia="zh-CN"/>
                                      </w:rPr>
                                      <w:t>123.75</w:t>
                                    </w:r>
                                  </w:p>
                                </w:txbxContent>
                              </wps:txbx>
                              <wps:bodyPr upright="1"/>
                            </wps:wsp>
                            <wps:wsp>
                              <wps:cNvPr id="95" name="文本框 40"/>
                              <wps:cNvSpPr txBox="1"/>
                              <wps:spPr>
                                <a:xfrm>
                                  <a:off x="3208655" y="1370330"/>
                                  <a:ext cx="812800" cy="304800"/>
                                </a:xfrm>
                                <a:prstGeom prst="rect">
                                  <a:avLst/>
                                </a:prstGeom>
                                <a:noFill/>
                                <a:ln>
                                  <a:noFill/>
                                </a:ln>
                              </wps:spPr>
                              <wps:txbx>
                                <w:txbxContent>
                                  <w:p w14:paraId="09F3B7EA">
                                    <w:pPr>
                                      <w:pStyle w:val="31"/>
                                      <w:rPr>
                                        <w:rFonts w:hint="default" w:eastAsia="宋体"/>
                                        <w:lang w:val="en-US" w:eastAsia="zh-CN"/>
                                      </w:rPr>
                                    </w:pPr>
                                    <w:r>
                                      <w:rPr>
                                        <w:rFonts w:hint="eastAsia"/>
                                      </w:rPr>
                                      <w:t>损耗</w:t>
                                    </w:r>
                                    <w:r>
                                      <w:rPr>
                                        <w:rFonts w:hint="eastAsia"/>
                                        <w:lang w:val="en-US" w:eastAsia="zh-CN"/>
                                      </w:rPr>
                                      <w:t>24.75</w:t>
                                    </w:r>
                                  </w:p>
                                </w:txbxContent>
                              </wps:txbx>
                              <wps:bodyPr upright="1"/>
                            </wps:wsp>
                            <wps:wsp>
                              <wps:cNvPr id="96" name="直接箭头连接符 41"/>
                              <wps:cNvCnPr/>
                              <wps:spPr>
                                <a:xfrm>
                                  <a:off x="3037205" y="1741805"/>
                                  <a:ext cx="495300" cy="0"/>
                                </a:xfrm>
                                <a:prstGeom prst="straightConnector1">
                                  <a:avLst/>
                                </a:prstGeom>
                                <a:ln w="12700" cap="flat" cmpd="sng">
                                  <a:solidFill>
                                    <a:srgbClr val="000000"/>
                                  </a:solidFill>
                                  <a:prstDash val="solid"/>
                                  <a:headEnd type="none" w="med" len="med"/>
                                  <a:tailEnd type="arrow" w="lg" len="lg"/>
                                </a:ln>
                              </wps:spPr>
                              <wps:bodyPr/>
                            </wps:wsp>
                            <wps:wsp>
                              <wps:cNvPr id="97" name="文本框 42"/>
                              <wps:cNvSpPr txBox="1"/>
                              <wps:spPr>
                                <a:xfrm>
                                  <a:off x="3542030" y="1610360"/>
                                  <a:ext cx="915035" cy="4489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746368">
                                    <w:pPr>
                                      <w:pStyle w:val="31"/>
                                      <w:jc w:val="left"/>
                                      <w:rPr>
                                        <w:rFonts w:hint="default" w:eastAsia="宋体"/>
                                        <w:lang w:val="en-US" w:eastAsia="zh-CN"/>
                                      </w:rPr>
                                    </w:pPr>
                                    <w:r>
                                      <w:rPr>
                                        <w:rFonts w:hint="eastAsia"/>
                                        <w:shd w:val="clear" w:color="auto" w:fill="auto"/>
                                        <w:lang w:val="en-US" w:eastAsia="zh-CN"/>
                                      </w:rPr>
                                      <w:t>一体化污水处理设施</w:t>
                                    </w:r>
                                    <w:r>
                                      <w:rPr>
                                        <w:rFonts w:hint="eastAsia"/>
                                        <w:lang w:val="en-US" w:eastAsia="zh-CN"/>
                                      </w:rPr>
                                      <w:t>99</w:t>
                                    </w:r>
                                  </w:p>
                                </w:txbxContent>
                              </wps:txbx>
                              <wps:bodyPr upright="1"/>
                            </wps:wsp>
                            <wps:wsp>
                              <wps:cNvPr id="98" name="直接箭头连接符 43"/>
                              <wps:cNvCnPr/>
                              <wps:spPr>
                                <a:xfrm flipV="1">
                                  <a:off x="4457065" y="1748155"/>
                                  <a:ext cx="284480" cy="3175"/>
                                </a:xfrm>
                                <a:prstGeom prst="straightConnector1">
                                  <a:avLst/>
                                </a:prstGeom>
                                <a:ln w="12700" cap="flat" cmpd="sng">
                                  <a:solidFill>
                                    <a:srgbClr val="000000"/>
                                  </a:solidFill>
                                  <a:prstDash val="solid"/>
                                  <a:headEnd type="none" w="med" len="med"/>
                                  <a:tailEnd type="arrow" w="lg" len="lg"/>
                                </a:ln>
                              </wps:spPr>
                              <wps:bodyPr/>
                            </wps:wsp>
                            <wps:wsp>
                              <wps:cNvPr id="99" name="文本框 44"/>
                              <wps:cNvSpPr txBox="1"/>
                              <wps:spPr>
                                <a:xfrm>
                                  <a:off x="4560570" y="1630680"/>
                                  <a:ext cx="735330" cy="418465"/>
                                </a:xfrm>
                                <a:prstGeom prst="rect">
                                  <a:avLst/>
                                </a:prstGeom>
                                <a:solidFill>
                                  <a:srgbClr val="FFFFFF"/>
                                </a:solidFill>
                                <a:ln>
                                  <a:noFill/>
                                </a:ln>
                              </wps:spPr>
                              <wps:txbx>
                                <w:txbxContent>
                                  <w:p w14:paraId="33B7A656">
                                    <w:pPr>
                                      <w:pStyle w:val="31"/>
                                    </w:pPr>
                                    <w:r>
                                      <w:rPr>
                                        <w:rFonts w:hint="eastAsia"/>
                                        <w:shd w:val="clear" w:color="auto" w:fill="auto"/>
                                        <w:lang w:val="en-US" w:eastAsia="zh-CN"/>
                                      </w:rPr>
                                      <w:t>洒水降尘</w:t>
                                    </w:r>
                                    <w:r>
                                      <w:rPr>
                                        <w:rFonts w:hint="eastAsia"/>
                                      </w:rPr>
                                      <w:t>周边绿化</w:t>
                                    </w:r>
                                  </w:p>
                                </w:txbxContent>
                              </wps:txbx>
                              <wps:bodyPr upright="1"/>
                            </wps:wsp>
                          </wpc:wpc>
                        </a:graphicData>
                      </a:graphic>
                    </wp:anchor>
                  </w:drawing>
                </mc:Choice>
                <mc:Fallback>
                  <w:pict>
                    <v:group id="_x0000_s1026" o:spid="_x0000_s1026" o:spt="203" style="position:absolute;left:0pt;margin-left:-45.9pt;margin-top:1.75pt;height:176.7pt;width:418.2pt;mso-wrap-distance-bottom:0pt;mso-wrap-distance-top:0pt;z-index:251659264;mso-width-relative:page;mso-height-relative:page;" coordsize="5311140,2244090" editas="canvas" o:gfxdata="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">
                      <o:lock v:ext="edit" aspectratio="f"/>
                      <v:shape id="_x0000_s1026" o:spid="_x0000_s1026" style="position:absolute;left:0;top:0;height:2244090;width:5311140;" filled="f" stroked="f" coordsize="21600,21600" o:gfxdata="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">
                        <v:fill on="f" focussize="0,0"/>
                        <v:stroke on="f"/>
                        <v:imagedata o:title=""/>
                        <o:lock v:ext="edit" aspectratio="f"/>
                      </v:shape>
                      <v:shape id="直接箭头连接符 18" o:spid="_x0000_s1026" o:spt="32" type="#_x0000_t32" style="position:absolute;left:779145;top:1269365;height:0;width:504825;" filled="f" stroked="t" coordsize="21600,21600" o:gfxdata="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Z4Djx2gAAAAkBAAAP&#10;AAAAAAAAAAEAIAAAACIAAABkcnMvZG93bnJldi54bWxQSwECFAAUAAAACACHTuJATe0C7hYCAAD4&#10;AwAADgAAAAAAAAABACAAAAApAQAAZHJzL2Uyb0RvYy54bWxQSwUGAAAAAAYABgBZAQAAsQUAAAAA&#10;">
                        <v:fill on="f" focussize="0,0"/>
                        <v:stroke weight="1pt" color="#000000" joinstyle="round" endarrow="open" endarrowwidth="wide" endarrowlength="long"/>
                        <v:imagedata o:title=""/>
                        <o:lock v:ext="edit" aspectratio="f"/>
                      </v:shape>
                      <v:shape id="文本框 19" o:spid="_x0000_s1026" o:spt="202" type="#_x0000_t202" style="position:absolute;left:104775;top:1059815;height:447675;width:819150;" fillcolor="#FFFFFF" filled="t" stroked="f" coordsize="21600,21600" o:gfxdata="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5515c9cAAAAJAQAADwAAAAAAAAABACAAAAAiAAAAZHJz&#10;L2Rvd25yZXYueG1sUEsBAhQAFAAAAAgAh07iQDZP3EjMAQAAgwMAAA4AAAAAAAAAAQAgAAAAJgEA&#10;AGRycy9lMm9Eb2MueG1sUEsFBgAAAAAGAAYAWQEAAGQFAAAAAA==&#10;">
                        <v:fill on="t" focussize="0,0"/>
                        <v:stroke on="f"/>
                        <v:imagedata o:title=""/>
                        <o:lock v:ext="edit" aspectratio="f"/>
                        <v:textbox>
                          <w:txbxContent>
                            <w:p w14:paraId="7552372C">
                              <w:pPr>
                                <w:pStyle w:val="31"/>
                              </w:pPr>
                              <w:r>
                                <w:t>新鲜水</w:t>
                              </w:r>
                            </w:p>
                            <w:p w14:paraId="3D27056C">
                              <w:pPr>
                                <w:pStyle w:val="31"/>
                                <w:rPr>
                                  <w:rFonts w:hint="default" w:eastAsia="宋体"/>
                                  <w:lang w:val="en-US" w:eastAsia="zh-CN"/>
                                </w:rPr>
                              </w:pPr>
                              <w:r>
                                <w:rPr>
                                  <w:rFonts w:hint="eastAsia"/>
                                  <w:lang w:val="en-US" w:eastAsia="zh-CN"/>
                                </w:rPr>
                                <w:t>633.75</w:t>
                              </w:r>
                            </w:p>
                          </w:txbxContent>
                        </v:textbox>
                      </v:shape>
                      <v:line id="直接连接符 20" o:spid="_x0000_s1026" o:spt="20" style="position:absolute;left:1274445;top:632460;height:1095375;width:9525;" filled="f" stroked="t" coordsize="21600,21600" o:gfxdata="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nmOiI2AAAAAkBAAAPAAAAAAAAAAEAIAAAACIAAABkcnMvZG93bnJldi54bWxQ&#10;SwECFAAUAAAACACHTuJA7k1PR/cBAADoAwAADgAAAAAAAAABACAAAAAnAQAAZHJzL2Uyb0RvYy54&#10;bWxQSwUGAAAAAAYABgBZAQAAkAUAAAAA&#10;">
                        <v:fill on="f" focussize="0,0"/>
                        <v:stroke color="#000000" joinstyle="round"/>
                        <v:imagedata o:title=""/>
                        <o:lock v:ext="edit" aspectratio="f"/>
                      </v:line>
                      <v:shape id="文本框 21" o:spid="_x0000_s1026" o:spt="202" type="#_x0000_t202" style="position:absolute;left:1979295;top:508635;height:276225;width:1017905;" fillcolor="#FFFFFF" filled="t" stroked="t" coordsize="21600,21600" o:gfxdata="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j07OjYAAAACQEAAA8A&#10;AAAAAAAAAQAgAAAAIgAAAGRycy9kb3ducmV2LnhtbFBLAQIUABQAAAAIAIdO4kBbWzVxFwIAAEME&#10;AAAOAAAAAAAAAAEAIAAAACcBAABkcnMvZTJvRG9jLnhtbFBLBQYAAAAABgAGAFkBAACwBQAAAAA=&#10;">
                        <v:fill on="t" focussize="0,0"/>
                        <v:stroke color="#000000" joinstyle="miter"/>
                        <v:imagedata o:title=""/>
                        <o:lock v:ext="edit" aspectratio="f"/>
                        <v:textbox>
                          <w:txbxContent>
                            <w:p w14:paraId="76C2CBEB">
                              <w:pPr>
                                <w:pStyle w:val="31"/>
                                <w:rPr>
                                  <w:rFonts w:hint="default" w:eastAsia="宋体"/>
                                  <w:lang w:val="en-US" w:eastAsia="zh-CN"/>
                                </w:rPr>
                              </w:pPr>
                              <w:r>
                                <w:rPr>
                                  <w:rFonts w:hint="eastAsia"/>
                                </w:rPr>
                                <w:t>钻探用水</w:t>
                              </w:r>
                              <w:r>
                                <w:rPr>
                                  <w:rFonts w:hint="eastAsia"/>
                                  <w:lang w:val="en-US" w:eastAsia="zh-CN"/>
                                </w:rPr>
                                <w:t>54</w:t>
                              </w:r>
                            </w:p>
                          </w:txbxContent>
                        </v:textbox>
                      </v:shape>
                      <v:line id="直接连接符 22" o:spid="_x0000_s1026" o:spt="20" style="position:absolute;left:3008630;top:555625;height:10795;width:237490;" filled="f" stroked="t" coordsize="21600,21600" o:gfxdata="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eY6IjYAAAACQEAAA8AAAAAAAAAAQAgAAAAIgAAAGRycy9kb3du&#10;cmV2LnhtbFBLAQIUABQAAAAIAIdO4kBTN9m1/wEAAOgDAAAOAAAAAAAAAAEAIAAAACcBAABkcnMv&#10;ZTJvRG9jLnhtbFBLBQYAAAAABgAGAFkBAACYBQAAAAA=&#10;">
                        <v:fill on="f" focussize="0,0"/>
                        <v:stroke color="#000000" joinstyle="round"/>
                        <v:imagedata o:title=""/>
                        <o:lock v:ext="edit" aspectratio="f"/>
                      </v:line>
                      <v:line id="直接连接符 23" o:spid="_x0000_s1026" o:spt="20" style="position:absolute;left:3246755;top:251460;flip:x y;height:333375;width:635;" filled="f" stroked="t" coordsize="21600,21600" o:gfxdata="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lGS6DVAAAACQEAAA8AAAAAAAAAAQAgAAAAIgAAAGRycy9k&#10;b3ducmV2LnhtbFBLAQIUABQAAAAIAIdO4kBDyv4LBQIAAPoDAAAOAAAAAAAAAAEAIAAAACQBAABk&#10;cnMvZTJvRG9jLnhtbFBLBQYAAAAABgAGAFkBAACbBQAAAAA=&#10;">
                        <v:fill on="f" focussize="0,0"/>
                        <v:stroke color="#000000" joinstyle="round"/>
                        <v:imagedata o:title=""/>
                        <o:lock v:ext="edit" aspectratio="f"/>
                      </v:line>
                      <v:line id="直接连接符 24" o:spid="_x0000_s1026" o:spt="20" style="position:absolute;left:2446020;top:260985;flip:x;height:635;width:809625;" filled="f" stroked="t" coordsize="21600,21600" o:gfxdata="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SwuVNgAAAAJAQAADwAAAAAAAAABACAAAAAiAAAAZHJz&#10;L2Rvd25yZXYueG1sUEsBAhQAFAAAAAgAh07iQK2tjWoEAgAA8AMAAA4AAAAAAAAAAQAgAAAAJwEA&#10;AGRycy9lMm9Eb2MueG1sUEsFBgAAAAAGAAYAWQEAAJ0FAAAAAA==&#10;">
                        <v:fill on="f" focussize="0,0"/>
                        <v:stroke color="#000000" joinstyle="round"/>
                        <v:imagedata o:title=""/>
                        <o:lock v:ext="edit" aspectratio="f"/>
                      </v:line>
                      <v:shape id="直接箭头连接符 25" o:spid="_x0000_s1026" o:spt="32" type="#_x0000_t32" style="position:absolute;left:2445385;top:261620;flip:x;height:247015;width:635;" filled="f" stroked="t" coordsize="21600,21600" o:gfxdata="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wKzmtYAAAAJ&#10;AQAADwAAAAAAAAABACAAAAAiAAAAZHJzL2Rvd25yZXYueG1sUEsBAhQAFAAAAAgAh07iQDecbtwe&#10;AgAABAQAAA4AAAAAAAAAAQAgAAAAJQEAAGRycy9lMm9Eb2MueG1sUEsFBgAAAAAGAAYAWQEAALUF&#10;AAAAAA==&#10;">
                        <v:fill on="f" focussize="0,0"/>
                        <v:stroke weight="1pt" color="#000000" joinstyle="round" endarrow="open" endarrowwidth="wide" endarrowlength="long"/>
                        <v:imagedata o:title=""/>
                        <o:lock v:ext="edit" aspectratio="f"/>
                      </v:shape>
                      <v:shape id="直接箭头连接符 26" o:spid="_x0000_s1026" o:spt="32" type="#_x0000_t32" style="position:absolute;left:1283970;top:647065;flip:y;height:4445;width:695325;" filled="f" stroked="t" coordsize="21600,21600" o:gfxdata="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sCs5rWAAAACQEAAA8AAAAAAAAAAQAgAAAAIgAAAGRycy9kb3ducmV2LnhtbFBLAQIU&#10;ABQAAAAIAIdO4kBVeayNLgIAAC0EAAAOAAAAAAAAAAEAIAAAACUBAABkcnMvZTJvRG9jLnhtbFBL&#10;BQYAAAAABgAGAFkBAADFBQAAAAA=&#10;">
                        <v:fill on="f" focussize="0,0"/>
                        <v:stroke weight="1pt" color="#000000" joinstyle="round" endarrow="open" endarrowwidth="wide" endarrowlength="long"/>
                        <v:imagedata o:title=""/>
                        <o:lock v:ext="edit" aspectratio="f"/>
                      </v:shape>
                      <v:shape id="文本框 27" o:spid="_x0000_s1026" o:spt="202" type="#_x0000_t202" style="position:absolute;left:2465705;top:236855;height:274320;width:755650;" filled="f" stroked="f" coordsize="21600,21600" o:gfxdata="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yT2GLWAAAACQEAAA8AAAAAAAAAAQAgAAAAIgAAAGRycy9kb3ducmV2LnhtbFBLAQIUABQA&#10;AAAIAIdO4kA/EOUcuQEAAFoDAAAOAAAAAAAAAAEAIAAAACUBAABkcnMvZTJvRG9jLnhtbFBLBQYA&#10;AAAABgAGAFkBAABQBQAAAAA=&#10;">
                        <v:fill on="f" focussize="0,0"/>
                        <v:stroke on="f"/>
                        <v:imagedata o:title=""/>
                        <o:lock v:ext="edit" aspectratio="f"/>
                        <v:textbox>
                          <w:txbxContent>
                            <w:p w14:paraId="1CEBCDF3">
                              <w:pPr>
                                <w:pStyle w:val="31"/>
                                <w:jc w:val="both"/>
                              </w:pPr>
                              <w:r>
                                <w:rPr>
                                  <w:rFonts w:hint="eastAsia"/>
                                </w:rPr>
                                <w:t>循环用水</w:t>
                              </w:r>
                            </w:p>
                          </w:txbxContent>
                        </v:textbox>
                      </v:shape>
                      <v:line id="直接连接符 28" o:spid="_x0000_s1026" o:spt="20" style="position:absolute;left:2045970;top:261620;flip:y;height:227965;width:114300;" filled="f" stroked="t" coordsize="21600,21600" o:gfxdata="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QNMgtYAAAAJAQAADwAAAAAAAAABACAAAAAi&#10;AAAAZHJzL2Rvd25yZXYueG1sUEsBAhQAFAAAAAgAh07iQJP0sBQMAgAA9gMAAA4AAAAAAAAAAQAg&#10;AAAAJQEAAGRycy9lMm9Eb2MueG1sUEsFBgAAAAAGAAYAWQEAAKMFAAAAAA==&#10;">
                        <v:fill on="f" focussize="0,0"/>
                        <v:stroke weight="0.5pt" color="#000000" joinstyle="round" dashstyle="dashDot" endarrow="open"/>
                        <v:imagedata o:title=""/>
                        <o:lock v:ext="edit" aspectratio="f"/>
                      </v:line>
                      <v:shape id="文本框 29" o:spid="_x0000_s1026" o:spt="202" type="#_x0000_t202" style="position:absolute;left:1741805;top:28575;height:308610;width:812800;" filled="f" stroked="f" coordsize="21600,21600" o:gfxdata="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sk9hi1gAAAAkBAAAPAAAAAAAAAAEAIAAAACIAAABkcnMvZG93bnJldi54bWxQSwECFAAU&#10;AAAACACHTuJAeSf3SboBAABZAwAADgAAAAAAAAABACAAAAAlAQAAZHJzL2Uyb0RvYy54bWxQSwUG&#10;AAAAAAYABgBZAQAAUQUAAAAA&#10;">
                        <v:fill on="f" focussize="0,0"/>
                        <v:stroke on="f"/>
                        <v:imagedata o:title=""/>
                        <o:lock v:ext="edit" aspectratio="f"/>
                        <v:textbox>
                          <w:txbxContent>
                            <w:p w14:paraId="7751F099">
                              <w:pPr>
                                <w:pStyle w:val="31"/>
                                <w:rPr>
                                  <w:rFonts w:hint="default" w:eastAsia="宋体"/>
                                  <w:lang w:val="en-US" w:eastAsia="zh-CN"/>
                                </w:rPr>
                              </w:pPr>
                              <w:r>
                                <w:rPr>
                                  <w:rFonts w:hint="eastAsia"/>
                                </w:rPr>
                                <w:t>损耗</w:t>
                              </w:r>
                              <w:r>
                                <w:rPr>
                                  <w:rFonts w:hint="eastAsia"/>
                                  <w:lang w:val="en-US" w:eastAsia="zh-CN"/>
                                </w:rPr>
                                <w:t>6</w:t>
                              </w:r>
                            </w:p>
                          </w:txbxContent>
                        </v:textbox>
                      </v:shape>
                      <v:shape id="文本框 30" o:spid="_x0000_s1026" o:spt="202" type="#_x0000_t202" style="position:absolute;left:1313180;top:427355;height:304800;width:469900;" filled="f" stroked="f" coordsize="21600,21600" o:gfxdata="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sk9hi1gAAAAkBAAAPAAAAAAAAAAEAIAAAACIAAABkcnMvZG93bnJldi54bWxQSwECFAAUAAAA&#10;CACHTuJAZLR2W7cBAABaAwAADgAAAAAAAAABACAAAAAlAQAAZHJzL2Uyb0RvYy54bWxQSwUGAAAA&#10;AAYABgBZAQAATgUAAAAA&#10;">
                        <v:fill on="f" focussize="0,0"/>
                        <v:stroke on="f"/>
                        <v:imagedata o:title=""/>
                        <o:lock v:ext="edit" aspectratio="f"/>
                        <v:textbox>
                          <w:txbxContent>
                            <w:p w14:paraId="0E8F46AD">
                              <w:pPr>
                                <w:pStyle w:val="31"/>
                                <w:rPr>
                                  <w:rFonts w:hint="default" w:eastAsia="宋体"/>
                                  <w:lang w:val="en-US" w:eastAsia="zh-CN"/>
                                </w:rPr>
                              </w:pPr>
                              <w:r>
                                <w:rPr>
                                  <w:rFonts w:hint="eastAsia"/>
                                  <w:lang w:val="en-US" w:eastAsia="zh-CN"/>
                                </w:rPr>
                                <w:t>60</w:t>
                              </w:r>
                            </w:p>
                          </w:txbxContent>
                        </v:textbox>
                      </v:shape>
                      <v:shape id="直接箭头连接符 31" o:spid="_x0000_s1026" o:spt="32" type="#_x0000_t32" style="position:absolute;left:1275080;top:1713230;height:0;width:673100;" filled="f" stroked="t" coordsize="21600,21600" o:gfxdata="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eA48doAAAAJAQAADwAAAAAA&#10;AAABACAAAAAiAAAAZHJzL2Rvd25yZXYueG1sUEsBAhQAFAAAAAgAh07iQIs1KJERAgAA+QMAAA4A&#10;AAAAAAAAAQAgAAAAKQEAAGRycy9lMm9Eb2MueG1sUEsFBgAAAAAGAAYAWQEAAKwFAAAAAA==&#10;">
                        <v:fill on="f" focussize="0,0"/>
                        <v:stroke weight="1pt" color="#000000" joinstyle="round" endarrow="open" endarrowwidth="wide" endarrowlength="long"/>
                        <v:imagedata o:title=""/>
                        <o:lock v:ext="edit" aspectratio="f"/>
                      </v:shape>
                      <v:shape id="直接箭头连接符 32" o:spid="_x0000_s1026" o:spt="32" type="#_x0000_t32" style="position:absolute;left:1294130;top:1265555;height:0;width:673100;" filled="f" stroked="t" coordsize="21600,21600" o:gfxdata="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ngOPHaAAAACQEAAA8AAAAA&#10;AAAAAQAgAAAAIgAAAGRycy9kb3ducmV2LnhtbFBLAQIUABQAAAAIAIdO4kDxia9FEgIAAPkDAAAO&#10;AAAAAAAAAAEAIAAAACkBAABkcnMvZTJvRG9jLnhtbFBLBQYAAAAABgAGAFkBAACtBQAAAAA=&#10;">
                        <v:fill on="f" focussize="0,0"/>
                        <v:stroke weight="1pt" color="#000000" joinstyle="round" endarrow="open" endarrowwidth="wide" endarrowlength="long"/>
                        <v:imagedata o:title=""/>
                        <o:lock v:ext="edit" aspectratio="f"/>
                      </v:shape>
                      <v:shape id="文本框 33" o:spid="_x0000_s1026" o:spt="202" type="#_x0000_t202" style="position:absolute;left:1970405;top:1122680;height:266700;width:1079500;" fillcolor="#FFFFFF" filled="t" stroked="t" coordsize="21600,21600" o:gfxdata="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49Ozo2AAAAAkBAAAPAAAA&#10;AAAAAAEAIAAAACIAAABkcnMvZG93bnJldi54bWxQSwECFAAUAAAACACHTuJAOPqxARUCAABEBAAA&#10;DgAAAAAAAAABACAAAAAnAQAAZHJzL2Uyb0RvYy54bWxQSwUGAAAAAAYABgBZAQAArgUAAAAA&#10;">
                        <v:fill on="t" focussize="0,0"/>
                        <v:stroke color="#000000" joinstyle="miter"/>
                        <v:imagedata o:title=""/>
                        <o:lock v:ext="edit" aspectratio="f"/>
                        <v:textbox>
                          <w:txbxContent>
                            <w:p w14:paraId="0165C96E">
                              <w:pPr>
                                <w:pStyle w:val="31"/>
                                <w:rPr>
                                  <w:rFonts w:hint="default" w:eastAsia="宋体"/>
                                  <w:lang w:val="en-US" w:eastAsia="zh-CN"/>
                                </w:rPr>
                              </w:pPr>
                              <w:r>
                                <w:rPr>
                                  <w:rFonts w:hint="eastAsia"/>
                                </w:rPr>
                                <w:t>抑尘用水</w:t>
                              </w:r>
                              <w:r>
                                <w:rPr>
                                  <w:rFonts w:hint="eastAsia"/>
                                  <w:lang w:val="en-US" w:eastAsia="zh-CN"/>
                                </w:rPr>
                                <w:t>450</w:t>
                              </w:r>
                            </w:p>
                          </w:txbxContent>
                        </v:textbox>
                      </v:shape>
                      <v:shape id="文本框 34" o:spid="_x0000_s1026" o:spt="202" type="#_x0000_t202" style="position:absolute;left:1351280;top:1036955;height:304800;width:469900;" filled="f" stroked="f" coordsize="21600,21600" o:gfxdata="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7JPYYtYAAAAJAQAADwAAAAAAAAABACAAAAAiAAAAZHJzL2Rvd25yZXYueG1sUEsBAhQAFAAA&#10;AAgAh07iQGvnlPa4AQAAWwMAAA4AAAAAAAAAAQAgAAAAJQEAAGRycy9lMm9Eb2MueG1sUEsFBgAA&#10;AAAGAAYAWQEAAE8FAAAAAA==&#10;">
                        <v:fill on="f" focussize="0,0"/>
                        <v:stroke on="f"/>
                        <v:imagedata o:title=""/>
                        <o:lock v:ext="edit" aspectratio="f"/>
                        <v:textbox>
                          <w:txbxContent>
                            <w:p w14:paraId="46568E33">
                              <w:pPr>
                                <w:ind w:firstLine="0" w:firstLineChars="0"/>
                                <w:rPr>
                                  <w:rFonts w:hint="default" w:eastAsia="宋体"/>
                                  <w:sz w:val="21"/>
                                  <w:szCs w:val="21"/>
                                  <w:lang w:val="en-US" w:eastAsia="zh-CN"/>
                                </w:rPr>
                              </w:pPr>
                              <w:r>
                                <w:rPr>
                                  <w:rFonts w:hint="eastAsia"/>
                                  <w:sz w:val="21"/>
                                  <w:szCs w:val="21"/>
                                  <w:lang w:val="en-US" w:eastAsia="zh-CN"/>
                                </w:rPr>
                                <w:t>450</w:t>
                              </w:r>
                            </w:p>
                          </w:txbxContent>
                        </v:textbox>
                      </v:shape>
                      <v:shape id="文本框 37" o:spid="_x0000_s1026" o:spt="202" type="#_x0000_t202" style="position:absolute;left:1951355;top:1569085;height:277495;width:1078230;" fillcolor="#FFFFFF" filled="t" stroked="t" coordsize="21600,21600" o:gfxdata="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j07OjYAAAACQEAAA8A&#10;AAAAAAAAAQAgAAAAIgAAAGRycy9kb3ducmV2LnhtbFBLAQIUABQAAAAIAIdO4kDOAGBCFwIAAEQE&#10;AAAOAAAAAAAAAAEAIAAAACcBAABkcnMvZTJvRG9jLnhtbFBLBQYAAAAABgAGAFkBAACwBQAAAAA=&#10;">
                        <v:fill on="t" focussize="0,0"/>
                        <v:stroke color="#000000" joinstyle="miter"/>
                        <v:imagedata o:title=""/>
                        <o:lock v:ext="edit" aspectratio="f"/>
                        <v:textbox>
                          <w:txbxContent>
                            <w:p w14:paraId="53AAE57E">
                              <w:pPr>
                                <w:pStyle w:val="31"/>
                                <w:jc w:val="both"/>
                                <w:rPr>
                                  <w:rFonts w:hint="default" w:eastAsia="宋体"/>
                                  <w:lang w:val="en-US" w:eastAsia="zh-CN"/>
                                </w:rPr>
                              </w:pPr>
                              <w:r>
                                <w:rPr>
                                  <w:rFonts w:hint="eastAsia"/>
                                </w:rPr>
                                <w:t>生活用水</w:t>
                              </w:r>
                            </w:p>
                          </w:txbxContent>
                        </v:textbox>
                      </v:shape>
                      <v:line id="直接连接符 38" o:spid="_x0000_s1026" o:spt="20" style="position:absolute;left:3056255;top:1551305;flip:y;height:152400;width:254000;" filled="f" stroked="t" coordsize="21600,21600" o:gfxdata="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QNMgtYAAAAJAQAADwAAAAAAAAABACAAAAAiAAAA&#10;ZHJzL2Rvd25yZXYueG1sUEsBAhQAFAAAAAgAh07iQOBCl5EJAgAA9wMAAA4AAAAAAAAAAQAgAAAA&#10;JQEAAGRycy9lMm9Eb2MueG1sUEsFBgAAAAAGAAYAWQEAAKAFAAAAAA==&#10;">
                        <v:fill on="f" focussize="0,0"/>
                        <v:stroke weight="0.5pt" color="#000000" joinstyle="round" dashstyle="dashDot" endarrow="open"/>
                        <v:imagedata o:title=""/>
                        <o:lock v:ext="edit" aspectratio="f"/>
                      </v:line>
                      <v:shape id="文本框 39" o:spid="_x0000_s1026" o:spt="202" type="#_x0000_t202" style="position:absolute;left:1322705;top:1446530;height:304800;width:555625;" filled="f" stroked="f" coordsize="21600,21600" o:gfxdata="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yT2GLWAAAACQEAAA8AAAAAAAAAAQAgAAAAIgAAAGRycy9kb3ducmV2LnhtbFBLAQIUABQA&#10;AAAIAIdO4kANQSgXuQEAAFsDAAAOAAAAAAAAAAEAIAAAACUBAABkcnMvZTJvRG9jLnhtbFBLBQYA&#10;AAAABgAGAFkBAABQBQAAAAA=&#10;">
                        <v:fill on="f" focussize="0,0"/>
                        <v:stroke on="f"/>
                        <v:imagedata o:title=""/>
                        <o:lock v:ext="edit" aspectratio="f"/>
                        <v:textbox>
                          <w:txbxContent>
                            <w:p w14:paraId="7FC4D636">
                              <w:pPr>
                                <w:ind w:firstLine="0" w:firstLineChars="0"/>
                                <w:rPr>
                                  <w:rFonts w:hint="default" w:eastAsia="宋体"/>
                                  <w:sz w:val="21"/>
                                  <w:szCs w:val="21"/>
                                  <w:lang w:val="en-US" w:eastAsia="zh-CN"/>
                                </w:rPr>
                              </w:pPr>
                              <w:r>
                                <w:rPr>
                                  <w:rFonts w:hint="eastAsia"/>
                                  <w:sz w:val="21"/>
                                  <w:szCs w:val="21"/>
                                  <w:lang w:val="en-US" w:eastAsia="zh-CN"/>
                                </w:rPr>
                                <w:t>123.75</w:t>
                              </w:r>
                            </w:p>
                          </w:txbxContent>
                        </v:textbox>
                      </v:shape>
                      <v:shape id="文本框 40" o:spid="_x0000_s1026" o:spt="202" type="#_x0000_t202" style="position:absolute;left:3208655;top:1370330;height:304800;width:812800;" filled="f" stroked="f" coordsize="21600,21600" o:gfxdata="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yT2GLWAAAACQEAAA8AAAAAAAAAAQAgAAAAIgAAAGRycy9kb3ducmV2LnhtbFBLAQIUABQAAAAI&#10;AIdO4kAWFjBdtgEAAFsDAAAOAAAAAAAAAAEAIAAAACUBAABkcnMvZTJvRG9jLnhtbFBLBQYAAAAA&#10;BgAGAFkBAABNBQAAAAA=&#10;">
                        <v:fill on="f" focussize="0,0"/>
                        <v:stroke on="f"/>
                        <v:imagedata o:title=""/>
                        <o:lock v:ext="edit" aspectratio="f"/>
                        <v:textbox>
                          <w:txbxContent>
                            <w:p w14:paraId="09F3B7EA">
                              <w:pPr>
                                <w:pStyle w:val="31"/>
                                <w:rPr>
                                  <w:rFonts w:hint="default" w:eastAsia="宋体"/>
                                  <w:lang w:val="en-US" w:eastAsia="zh-CN"/>
                                </w:rPr>
                              </w:pPr>
                              <w:r>
                                <w:rPr>
                                  <w:rFonts w:hint="eastAsia"/>
                                </w:rPr>
                                <w:t>损耗</w:t>
                              </w:r>
                              <w:r>
                                <w:rPr>
                                  <w:rFonts w:hint="eastAsia"/>
                                  <w:lang w:val="en-US" w:eastAsia="zh-CN"/>
                                </w:rPr>
                                <w:t>24.75</w:t>
                              </w:r>
                            </w:p>
                          </w:txbxContent>
                        </v:textbox>
                      </v:shape>
                      <v:shape id="直接箭头连接符 41" o:spid="_x0000_s1026" o:spt="32" type="#_x0000_t32" style="position:absolute;left:3037205;top:1741805;height:0;width:495300;" filled="f" stroked="t" coordsize="21600,21600" o:gfxdata="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ngOPHaAAAACQEAAA8A&#10;AAAAAAAAAQAgAAAAIgAAAGRycy9kb3ducmV2LnhtbFBLAQIUABQAAAAIAIdO4kArQ17EFQIAAPkD&#10;AAAOAAAAAAAAAAEAIAAAACkBAABkcnMvZTJvRG9jLnhtbFBLBQYAAAAABgAGAFkBAACwBQAAAAA=&#10;">
                        <v:fill on="f" focussize="0,0"/>
                        <v:stroke weight="1pt" color="#000000" joinstyle="round" endarrow="open" endarrowwidth="wide" endarrowlength="long"/>
                        <v:imagedata o:title=""/>
                        <o:lock v:ext="edit" aspectratio="f"/>
                      </v:shape>
                      <v:shape id="文本框 42" o:spid="_x0000_s1026" o:spt="202" type="#_x0000_t202" style="position:absolute;left:3542030;top:1610360;height:448945;width:915035;" fillcolor="#FFFFFF" filled="t" stroked="t" coordsize="21600,21600" o:gfxdata="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j07OjYAAAACQEAAA8AAAAA&#10;AAAAAQAgAAAAIgAAAGRycy9kb3ducmV2LnhtbFBLAQIUABQAAAAIAIdO4kAkYyJ1FAIAAEMEAAAO&#10;AAAAAAAAAAEAIAAAACcBAABkcnMvZTJvRG9jLnhtbFBLBQYAAAAABgAGAFkBAACtBQAAAAA=&#10;">
                        <v:fill on="t" focussize="0,0"/>
                        <v:stroke color="#000000" joinstyle="miter"/>
                        <v:imagedata o:title=""/>
                        <o:lock v:ext="edit" aspectratio="f"/>
                        <v:textbox>
                          <w:txbxContent>
                            <w:p w14:paraId="5A746368">
                              <w:pPr>
                                <w:pStyle w:val="31"/>
                                <w:jc w:val="left"/>
                                <w:rPr>
                                  <w:rFonts w:hint="default" w:eastAsia="宋体"/>
                                  <w:lang w:val="en-US" w:eastAsia="zh-CN"/>
                                </w:rPr>
                              </w:pPr>
                              <w:r>
                                <w:rPr>
                                  <w:rFonts w:hint="eastAsia"/>
                                  <w:shd w:val="clear" w:color="auto" w:fill="auto"/>
                                  <w:lang w:val="en-US" w:eastAsia="zh-CN"/>
                                </w:rPr>
                                <w:t>一体化污水处理设施</w:t>
                              </w:r>
                              <w:r>
                                <w:rPr>
                                  <w:rFonts w:hint="eastAsia"/>
                                  <w:lang w:val="en-US" w:eastAsia="zh-CN"/>
                                </w:rPr>
                                <w:t>99</w:t>
                              </w:r>
                            </w:p>
                          </w:txbxContent>
                        </v:textbox>
                      </v:shape>
                      <v:shape id="直接箭头连接符 43" o:spid="_x0000_s1026" o:spt="32" type="#_x0000_t32" style="position:absolute;left:4457065;top:1748155;flip:y;height:3175;width:284480;" filled="f" stroked="t" coordsize="21600,21600" o:gfxdata="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wKzmtYA&#10;AAAJAQAADwAAAAAAAAABACAAAAAiAAAAZHJzL2Rvd25yZXYueG1sUEsBAhQAFAAAAAgAh07iQHmo&#10;U9YhAgAABgQAAA4AAAAAAAAAAQAgAAAAJQEAAGRycy9lMm9Eb2MueG1sUEsFBgAAAAAGAAYAWQEA&#10;ALgFAAAAAA==&#10;">
                        <v:fill on="f" focussize="0,0"/>
                        <v:stroke weight="1pt" color="#000000" joinstyle="round" endarrow="open" endarrowwidth="wide" endarrowlength="long"/>
                        <v:imagedata o:title=""/>
                        <o:lock v:ext="edit" aspectratio="f"/>
                      </v:shape>
                      <v:shape id="文本框 44" o:spid="_x0000_s1026" o:spt="202" type="#_x0000_t202" style="position:absolute;left:4560570;top:1630680;height:418465;width:735330;" fillcolor="#FFFFFF" filled="t" stroked="f" coordsize="21600,21600" o:gfxdata="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edeXPXAAAACQEAAA8AAAAAAAAAAQAgAAAAIgAAAGRy&#10;cy9kb3ducmV2LnhtbFBLAQIUABQAAAAIAIdO4kC+2zKHzQEAAIQDAAAOAAAAAAAAAAEAIAAAACYB&#10;AABkcnMvZTJvRG9jLnhtbFBLBQYAAAAABgAGAFkBAABlBQAAAAA=&#10;">
                        <v:fill on="t" focussize="0,0"/>
                        <v:stroke on="f"/>
                        <v:imagedata o:title=""/>
                        <o:lock v:ext="edit" aspectratio="f"/>
                        <v:textbox>
                          <w:txbxContent>
                            <w:p w14:paraId="33B7A656">
                              <w:pPr>
                                <w:pStyle w:val="31"/>
                              </w:pPr>
                              <w:r>
                                <w:rPr>
                                  <w:rFonts w:hint="eastAsia"/>
                                  <w:shd w:val="clear" w:color="auto" w:fill="auto"/>
                                  <w:lang w:val="en-US" w:eastAsia="zh-CN"/>
                                </w:rPr>
                                <w:t>洒水降尘</w:t>
                              </w:r>
                              <w:r>
                                <w:rPr>
                                  <w:rFonts w:hint="eastAsia"/>
                                </w:rPr>
                                <w:t>周边绿化</w:t>
                              </w:r>
                            </w:p>
                          </w:txbxContent>
                        </v:textbox>
                      </v:shape>
                      <w10:wrap type="topAndBottom"/>
                    </v:group>
                  </w:pict>
                </mc:Fallback>
              </mc:AlternateContent>
            </w:r>
            <w:r>
              <w:rPr>
                <w:rFonts w:hint="eastAsia"/>
              </w:rPr>
              <w:t>图4本项目水平衡图单位：m</w:t>
            </w:r>
            <w:r>
              <w:rPr>
                <w:rFonts w:hint="eastAsia"/>
                <w:vertAlign w:val="superscript"/>
              </w:rPr>
              <w:t>3</w:t>
            </w:r>
            <w:r>
              <w:rPr>
                <w:rFonts w:hint="eastAsia"/>
              </w:rPr>
              <w:t>/a</w:t>
            </w:r>
          </w:p>
          <w:p w14:paraId="51A933A5">
            <w:pPr>
              <w:bidi w:val="0"/>
              <w:rPr>
                <w:rFonts w:hint="eastAsia"/>
                <w:lang w:val="en-US" w:eastAsia="zh-CN"/>
              </w:rPr>
            </w:pPr>
            <w:r>
              <w:rPr>
                <w:rFonts w:hint="eastAsia"/>
                <w:lang w:val="en-US" w:eastAsia="zh-CN"/>
              </w:rPr>
              <w:t>（1）污水处理可行性分析：</w:t>
            </w:r>
          </w:p>
          <w:p w14:paraId="2754941C">
            <w:pPr>
              <w:bidi w:val="0"/>
              <w:rPr>
                <w:rFonts w:hint="default"/>
                <w:lang w:val="en-US" w:eastAsia="zh-CN"/>
              </w:rPr>
            </w:pPr>
            <w:r>
              <w:rPr>
                <w:rFonts w:hint="eastAsia"/>
                <w:lang w:val="en-US" w:eastAsia="zh-CN"/>
              </w:rPr>
              <w:t>本</w:t>
            </w:r>
            <w:r>
              <w:rPr>
                <w:rFonts w:hint="default"/>
                <w:lang w:val="en-US" w:eastAsia="zh-CN"/>
              </w:rPr>
              <w:t>项目一体化污水设施采用3池构造，主要为沉淀及初发酵、发酵、清水池，设置比例2：1：3，处理工艺为沉淀及厌氧发酵，处理能力1m</w:t>
            </w:r>
            <w:r>
              <w:rPr>
                <w:rFonts w:hint="default"/>
                <w:vertAlign w:val="superscript"/>
                <w:lang w:val="en-US" w:eastAsia="zh-CN"/>
              </w:rPr>
              <w:t>3</w:t>
            </w:r>
            <w:r>
              <w:rPr>
                <w:rFonts w:hint="default"/>
                <w:lang w:val="en-US" w:eastAsia="zh-CN"/>
              </w:rPr>
              <w:t>/d，水力停留时间16-24小时，满足生活污水处理需求。</w:t>
            </w:r>
            <w:r>
              <w:rPr>
                <w:rFonts w:hint="default"/>
                <w:sz w:val="24"/>
                <w:highlight w:val="none"/>
                <w:lang w:val="en-US" w:eastAsia="zh-CN"/>
              </w:rPr>
              <w:t>其出水标准可达到《农村生活污水处理排放标准》（DB654275-2019）表2中C级标准，</w:t>
            </w:r>
            <w:r>
              <w:rPr>
                <w:rFonts w:hint="eastAsia"/>
                <w:shd w:val="clear" w:color="auto" w:fill="auto"/>
                <w:lang w:val="en-US" w:eastAsia="zh-CN"/>
              </w:rPr>
              <w:t>用于洒水降尘和周边绿化，不外排</w:t>
            </w:r>
            <w:r>
              <w:rPr>
                <w:rFonts w:hint="default"/>
                <w:sz w:val="24"/>
                <w:highlight w:val="none"/>
                <w:lang w:val="en-US" w:eastAsia="zh-CN"/>
              </w:rPr>
              <w:t>。</w:t>
            </w:r>
          </w:p>
          <w:p w14:paraId="5152858C">
            <w:pPr>
              <w:ind w:firstLine="480"/>
            </w:pPr>
            <w:r>
              <w:rPr>
                <w:rFonts w:hint="eastAsia"/>
              </w:rPr>
              <w:t>因此，本项目施工期间废水产生量较小，水质较为简单，采取上述措施后施工期间产生的废水能够全部做到综合利用不外排。</w:t>
            </w:r>
          </w:p>
          <w:p w14:paraId="0B0FC474">
            <w:pPr>
              <w:pStyle w:val="20"/>
              <w:ind w:firstLine="482"/>
            </w:pPr>
            <w:r>
              <w:rPr>
                <w:rFonts w:hint="eastAsia"/>
              </w:rPr>
              <w:t>3、施工期噪声影响分析</w:t>
            </w:r>
          </w:p>
          <w:p w14:paraId="4073BB65">
            <w:pPr>
              <w:adjustRightInd w:val="0"/>
              <w:snapToGrid w:val="0"/>
              <w:ind w:firstLine="480"/>
              <w:rPr>
                <w:b/>
              </w:rPr>
            </w:pPr>
            <w:r>
              <w:t>本项目噪声来源包括运输车辆噪声</w:t>
            </w:r>
            <w:r>
              <w:rPr>
                <w:rFonts w:hint="eastAsia"/>
              </w:rPr>
              <w:t>以及作业</w:t>
            </w:r>
            <w:r>
              <w:t>机械噪声，如</w:t>
            </w:r>
            <w:r>
              <w:rPr>
                <w:rFonts w:hint="eastAsia"/>
              </w:rPr>
              <w:t>空压机、钻探设备、柴油发电机</w:t>
            </w:r>
            <w:r>
              <w:t>等</w:t>
            </w:r>
            <w:r>
              <w:rPr>
                <w:rFonts w:hint="eastAsia"/>
              </w:rPr>
              <w:t>。</w:t>
            </w:r>
            <w:r>
              <w:t>噪声源强约</w:t>
            </w:r>
            <w:r>
              <w:rPr>
                <w:rFonts w:hint="eastAsia"/>
              </w:rPr>
              <w:t>85~1</w:t>
            </w:r>
            <w:r>
              <w:t>0</w:t>
            </w:r>
            <w:r>
              <w:rPr>
                <w:rFonts w:hint="eastAsia"/>
              </w:rPr>
              <w:t>0</w:t>
            </w:r>
            <w:r>
              <w:t>dB</w:t>
            </w:r>
            <w:r>
              <w:rPr>
                <w:rFonts w:hint="eastAsia"/>
              </w:rPr>
              <w:t>(</w:t>
            </w:r>
            <w:r>
              <w:t>A)</w:t>
            </w:r>
            <w:r>
              <w:rPr>
                <w:rFonts w:hint="eastAsia"/>
              </w:rPr>
              <w:t>。</w:t>
            </w:r>
            <w:r>
              <w:t>根据类比调查，主要噪声源及声级详见表</w:t>
            </w:r>
            <w:r>
              <w:rPr>
                <w:rFonts w:hint="eastAsia"/>
              </w:rPr>
              <w:t>4-</w:t>
            </w:r>
            <w:r>
              <w:rPr>
                <w:rFonts w:hint="eastAsia"/>
                <w:lang w:val="en-US" w:eastAsia="zh-CN"/>
              </w:rPr>
              <w:t>4</w:t>
            </w:r>
            <w:r>
              <w:rPr>
                <w:b/>
              </w:rPr>
              <w:t>：</w:t>
            </w:r>
          </w:p>
          <w:p w14:paraId="77604F24">
            <w:pPr>
              <w:pStyle w:val="33"/>
              <w:spacing w:before="120"/>
            </w:pPr>
            <w:r>
              <w:rPr>
                <w:rFonts w:hint="eastAsia"/>
              </w:rPr>
              <w:t>表4-</w:t>
            </w:r>
            <w:r>
              <w:rPr>
                <w:rFonts w:hint="eastAsia"/>
                <w:lang w:val="en-US" w:eastAsia="zh-CN"/>
              </w:rPr>
              <w:t>4</w:t>
            </w:r>
            <w:r>
              <w:rPr>
                <w:rFonts w:hint="eastAsia"/>
              </w:rPr>
              <w:t>主要噪声源及声级一览表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12"/>
              <w:gridCol w:w="1369"/>
              <w:gridCol w:w="2425"/>
              <w:gridCol w:w="841"/>
              <w:gridCol w:w="1197"/>
              <w:gridCol w:w="1880"/>
            </w:tblGrid>
            <w:tr w14:paraId="4D84E0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8" w:hRule="atLeast"/>
                <w:jc w:val="center"/>
              </w:trPr>
              <w:tc>
                <w:tcPr>
                  <w:tcW w:w="368" w:type="pct"/>
                  <w:vAlign w:val="center"/>
                </w:tcPr>
                <w:p w14:paraId="3B236AF1">
                  <w:pPr>
                    <w:pStyle w:val="31"/>
                  </w:pPr>
                  <w:r>
                    <w:t>序号</w:t>
                  </w:r>
                </w:p>
              </w:tc>
              <w:tc>
                <w:tcPr>
                  <w:tcW w:w="822" w:type="pct"/>
                  <w:vAlign w:val="center"/>
                </w:tcPr>
                <w:p w14:paraId="69C46E06">
                  <w:pPr>
                    <w:pStyle w:val="31"/>
                  </w:pPr>
                  <w:r>
                    <w:t>声源名称</w:t>
                  </w:r>
                </w:p>
              </w:tc>
              <w:tc>
                <w:tcPr>
                  <w:tcW w:w="1456" w:type="pct"/>
                  <w:vAlign w:val="center"/>
                </w:tcPr>
                <w:p w14:paraId="5DB71C9E">
                  <w:pPr>
                    <w:pStyle w:val="31"/>
                  </w:pPr>
                  <w:r>
                    <w:t>噪声级dB</w:t>
                  </w:r>
                  <w:r>
                    <w:rPr>
                      <w:rFonts w:hint="eastAsia"/>
                    </w:rPr>
                    <w:t>(</w:t>
                  </w:r>
                  <w:r>
                    <w:t>A)</w:t>
                  </w:r>
                </w:p>
              </w:tc>
              <w:tc>
                <w:tcPr>
                  <w:tcW w:w="505" w:type="pct"/>
                  <w:vAlign w:val="center"/>
                </w:tcPr>
                <w:p w14:paraId="165299DC">
                  <w:pPr>
                    <w:pStyle w:val="31"/>
                  </w:pPr>
                  <w:r>
                    <w:rPr>
                      <w:rFonts w:hint="eastAsia"/>
                    </w:rPr>
                    <w:t>数量</w:t>
                  </w:r>
                </w:p>
              </w:tc>
              <w:tc>
                <w:tcPr>
                  <w:tcW w:w="719" w:type="pct"/>
                  <w:vAlign w:val="center"/>
                </w:tcPr>
                <w:p w14:paraId="6389E56D">
                  <w:pPr>
                    <w:pStyle w:val="31"/>
                  </w:pPr>
                  <w:r>
                    <w:t>距声源</w:t>
                  </w:r>
                </w:p>
              </w:tc>
              <w:tc>
                <w:tcPr>
                  <w:tcW w:w="1129" w:type="pct"/>
                  <w:vAlign w:val="center"/>
                </w:tcPr>
                <w:p w14:paraId="71CA5208">
                  <w:pPr>
                    <w:pStyle w:val="31"/>
                  </w:pPr>
                  <w:r>
                    <w:t>备注</w:t>
                  </w:r>
                </w:p>
              </w:tc>
            </w:tr>
            <w:tr w14:paraId="75A6C0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368" w:type="pct"/>
                  <w:vAlign w:val="center"/>
                </w:tcPr>
                <w:p w14:paraId="4D60519C">
                  <w:pPr>
                    <w:pStyle w:val="31"/>
                  </w:pPr>
                  <w:r>
                    <w:rPr>
                      <w:rFonts w:hint="eastAsia"/>
                    </w:rPr>
                    <w:t>1</w:t>
                  </w:r>
                </w:p>
              </w:tc>
              <w:tc>
                <w:tcPr>
                  <w:tcW w:w="822" w:type="pct"/>
                  <w:vAlign w:val="center"/>
                </w:tcPr>
                <w:p w14:paraId="1E37921A">
                  <w:pPr>
                    <w:pStyle w:val="31"/>
                  </w:pPr>
                  <w:r>
                    <w:rPr>
                      <w:rFonts w:hint="eastAsia"/>
                    </w:rPr>
                    <w:t>挖掘机</w:t>
                  </w:r>
                </w:p>
              </w:tc>
              <w:tc>
                <w:tcPr>
                  <w:tcW w:w="1456" w:type="pct"/>
                  <w:vAlign w:val="center"/>
                </w:tcPr>
                <w:p w14:paraId="01AFEF5F">
                  <w:pPr>
                    <w:pStyle w:val="31"/>
                  </w:pPr>
                  <w:r>
                    <w:t>90</w:t>
                  </w:r>
                </w:p>
              </w:tc>
              <w:tc>
                <w:tcPr>
                  <w:tcW w:w="505" w:type="pct"/>
                  <w:vAlign w:val="center"/>
                </w:tcPr>
                <w:p w14:paraId="7ABC419A">
                  <w:pPr>
                    <w:pStyle w:val="31"/>
                  </w:pPr>
                  <w:r>
                    <w:rPr>
                      <w:rFonts w:hint="eastAsia"/>
                    </w:rPr>
                    <w:t>2</w:t>
                  </w:r>
                </w:p>
              </w:tc>
              <w:tc>
                <w:tcPr>
                  <w:tcW w:w="719" w:type="pct"/>
                  <w:vAlign w:val="center"/>
                </w:tcPr>
                <w:p w14:paraId="5063600E">
                  <w:pPr>
                    <w:pStyle w:val="31"/>
                  </w:pPr>
                  <w:r>
                    <w:rPr>
                      <w:rFonts w:hint="eastAsia"/>
                    </w:rPr>
                    <w:t>5</w:t>
                  </w:r>
                  <w:r>
                    <w:t>m</w:t>
                  </w:r>
                </w:p>
              </w:tc>
              <w:tc>
                <w:tcPr>
                  <w:tcW w:w="1129" w:type="pct"/>
                  <w:vAlign w:val="center"/>
                </w:tcPr>
                <w:p w14:paraId="048D5A6B">
                  <w:pPr>
                    <w:pStyle w:val="31"/>
                  </w:pPr>
                  <w:r>
                    <w:rPr>
                      <w:rFonts w:hint="eastAsia"/>
                    </w:rPr>
                    <w:t>/</w:t>
                  </w:r>
                </w:p>
              </w:tc>
            </w:tr>
            <w:tr w14:paraId="12B05D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368" w:type="pct"/>
                  <w:vAlign w:val="center"/>
                </w:tcPr>
                <w:p w14:paraId="5B1DD4B1">
                  <w:pPr>
                    <w:pStyle w:val="31"/>
                  </w:pPr>
                  <w:r>
                    <w:rPr>
                      <w:rFonts w:hint="eastAsia"/>
                    </w:rPr>
                    <w:t>2</w:t>
                  </w:r>
                </w:p>
              </w:tc>
              <w:tc>
                <w:tcPr>
                  <w:tcW w:w="822" w:type="pct"/>
                  <w:vAlign w:val="center"/>
                </w:tcPr>
                <w:p w14:paraId="7C09F416">
                  <w:pPr>
                    <w:pStyle w:val="31"/>
                    <w:rPr>
                      <w:szCs w:val="24"/>
                    </w:rPr>
                  </w:pPr>
                  <w:r>
                    <w:rPr>
                      <w:rFonts w:hint="eastAsia"/>
                    </w:rPr>
                    <w:t>钻探设备</w:t>
                  </w:r>
                </w:p>
              </w:tc>
              <w:tc>
                <w:tcPr>
                  <w:tcW w:w="1456" w:type="pct"/>
                  <w:vAlign w:val="center"/>
                </w:tcPr>
                <w:p w14:paraId="21D50835">
                  <w:pPr>
                    <w:pStyle w:val="31"/>
                    <w:rPr>
                      <w:szCs w:val="24"/>
                    </w:rPr>
                  </w:pPr>
                  <w:r>
                    <w:rPr>
                      <w:rFonts w:hint="eastAsia"/>
                    </w:rPr>
                    <w:t>90~100</w:t>
                  </w:r>
                </w:p>
              </w:tc>
              <w:tc>
                <w:tcPr>
                  <w:tcW w:w="505" w:type="pct"/>
                  <w:vAlign w:val="center"/>
                </w:tcPr>
                <w:p w14:paraId="6CC297C3">
                  <w:pPr>
                    <w:pStyle w:val="31"/>
                    <w:rPr>
                      <w:szCs w:val="24"/>
                    </w:rPr>
                  </w:pPr>
                  <w:r>
                    <w:rPr>
                      <w:rFonts w:hint="eastAsia"/>
                    </w:rPr>
                    <w:t>2</w:t>
                  </w:r>
                </w:p>
              </w:tc>
              <w:tc>
                <w:tcPr>
                  <w:tcW w:w="719" w:type="pct"/>
                  <w:vAlign w:val="center"/>
                </w:tcPr>
                <w:p w14:paraId="19FE67B4">
                  <w:pPr>
                    <w:pStyle w:val="31"/>
                    <w:rPr>
                      <w:szCs w:val="24"/>
                    </w:rPr>
                  </w:pPr>
                  <w:r>
                    <w:rPr>
                      <w:rFonts w:hint="eastAsia"/>
                    </w:rPr>
                    <w:t>5m</w:t>
                  </w:r>
                </w:p>
              </w:tc>
              <w:tc>
                <w:tcPr>
                  <w:tcW w:w="1129" w:type="pct"/>
                  <w:vAlign w:val="center"/>
                </w:tcPr>
                <w:p w14:paraId="12CEE795">
                  <w:pPr>
                    <w:pStyle w:val="31"/>
                  </w:pPr>
                  <w:r>
                    <w:rPr>
                      <w:rFonts w:hint="eastAsia"/>
                    </w:rPr>
                    <w:t>/</w:t>
                  </w:r>
                </w:p>
              </w:tc>
            </w:tr>
            <w:tr w14:paraId="7F972F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368" w:type="pct"/>
                  <w:vAlign w:val="center"/>
                </w:tcPr>
                <w:p w14:paraId="19027F99">
                  <w:pPr>
                    <w:pStyle w:val="31"/>
                  </w:pPr>
                  <w:r>
                    <w:rPr>
                      <w:rFonts w:hint="eastAsia"/>
                    </w:rPr>
                    <w:t>3</w:t>
                  </w:r>
                </w:p>
              </w:tc>
              <w:tc>
                <w:tcPr>
                  <w:tcW w:w="822" w:type="pct"/>
                  <w:vAlign w:val="center"/>
                </w:tcPr>
                <w:p w14:paraId="3608ACC2">
                  <w:pPr>
                    <w:pStyle w:val="31"/>
                    <w:rPr>
                      <w:szCs w:val="24"/>
                    </w:rPr>
                  </w:pPr>
                  <w:r>
                    <w:rPr>
                      <w:rFonts w:hint="eastAsia"/>
                    </w:rPr>
                    <w:t>发电机</w:t>
                  </w:r>
                </w:p>
              </w:tc>
              <w:tc>
                <w:tcPr>
                  <w:tcW w:w="1456" w:type="pct"/>
                  <w:vAlign w:val="center"/>
                </w:tcPr>
                <w:p w14:paraId="517BCB43">
                  <w:pPr>
                    <w:pStyle w:val="31"/>
                    <w:rPr>
                      <w:szCs w:val="24"/>
                    </w:rPr>
                  </w:pPr>
                  <w:r>
                    <w:rPr>
                      <w:rFonts w:hint="eastAsia"/>
                    </w:rPr>
                    <w:t>85~90</w:t>
                  </w:r>
                </w:p>
              </w:tc>
              <w:tc>
                <w:tcPr>
                  <w:tcW w:w="505" w:type="pct"/>
                  <w:vAlign w:val="center"/>
                </w:tcPr>
                <w:p w14:paraId="5098CC55">
                  <w:pPr>
                    <w:pStyle w:val="31"/>
                    <w:rPr>
                      <w:szCs w:val="24"/>
                    </w:rPr>
                  </w:pPr>
                  <w:r>
                    <w:rPr>
                      <w:rFonts w:hint="eastAsia"/>
                    </w:rPr>
                    <w:t>2</w:t>
                  </w:r>
                </w:p>
              </w:tc>
              <w:tc>
                <w:tcPr>
                  <w:tcW w:w="719" w:type="pct"/>
                  <w:vAlign w:val="center"/>
                </w:tcPr>
                <w:p w14:paraId="414EC839">
                  <w:pPr>
                    <w:pStyle w:val="31"/>
                    <w:rPr>
                      <w:szCs w:val="24"/>
                    </w:rPr>
                  </w:pPr>
                  <w:r>
                    <w:rPr>
                      <w:rFonts w:hint="eastAsia"/>
                    </w:rPr>
                    <w:t>5m</w:t>
                  </w:r>
                </w:p>
              </w:tc>
              <w:tc>
                <w:tcPr>
                  <w:tcW w:w="1129" w:type="pct"/>
                  <w:vAlign w:val="center"/>
                </w:tcPr>
                <w:p w14:paraId="252D2BA3">
                  <w:pPr>
                    <w:pStyle w:val="31"/>
                  </w:pPr>
                  <w:r>
                    <w:rPr>
                      <w:rFonts w:hint="eastAsia"/>
                    </w:rPr>
                    <w:t>/</w:t>
                  </w:r>
                </w:p>
              </w:tc>
            </w:tr>
          </w:tbl>
          <w:p w14:paraId="527F465C">
            <w:pPr>
              <w:ind w:firstLine="480"/>
            </w:pPr>
            <w:r>
              <w:rPr>
                <w:rFonts w:hint="eastAsia"/>
              </w:rPr>
              <w:t>防治措施：合理布设施工场地，使用低噪声设备，加强钻探设备、凿岩机、空压机、柴油发电机设备的维护保养工作，保持其良好工况，夜间禁止施工。而且要对连续接触高噪声源的操作人员，采取相应防护措施。</w:t>
            </w:r>
          </w:p>
          <w:p w14:paraId="682A05F7">
            <w:pPr>
              <w:pStyle w:val="20"/>
              <w:ind w:firstLine="482"/>
            </w:pPr>
            <w:r>
              <w:rPr>
                <w:rFonts w:hint="eastAsia"/>
              </w:rPr>
              <w:t>4、施工期固体废弃物</w:t>
            </w:r>
          </w:p>
          <w:p w14:paraId="1AAB0B7F">
            <w:pPr>
              <w:ind w:firstLine="480"/>
              <w:rPr>
                <w:rFonts w:hint="eastAsia" w:eastAsia="宋体"/>
                <w:lang w:val="en-US" w:eastAsia="zh-CN"/>
              </w:rPr>
            </w:pPr>
            <w:r>
              <w:t>本项目固体废物</w:t>
            </w:r>
            <w:r>
              <w:rPr>
                <w:rFonts w:hint="eastAsia"/>
              </w:rPr>
              <w:t>为一般固废和危险废物。一般固废</w:t>
            </w:r>
            <w:r>
              <w:t>主要为</w:t>
            </w:r>
            <w:r>
              <w:rPr>
                <w:rFonts w:hint="eastAsia"/>
              </w:rPr>
              <w:t>钻探</w:t>
            </w:r>
            <w:r>
              <w:t>产生的临时土石方</w:t>
            </w:r>
            <w:r>
              <w:rPr>
                <w:rFonts w:hint="eastAsia"/>
              </w:rPr>
              <w:t>、钻探泥浆及施工人员产生的生活垃圾。危险废物包括</w:t>
            </w:r>
            <w:r>
              <w:rPr>
                <w:rFonts w:hint="eastAsia"/>
                <w:lang w:val="en-US" w:eastAsia="zh-CN"/>
              </w:rPr>
              <w:t>废油桶。</w:t>
            </w:r>
          </w:p>
          <w:p w14:paraId="365556A3">
            <w:pPr>
              <w:pStyle w:val="20"/>
              <w:ind w:firstLine="482"/>
            </w:pPr>
            <w:r>
              <w:rPr>
                <w:rFonts w:hint="eastAsia"/>
              </w:rPr>
              <w:t>4.1一般固废</w:t>
            </w:r>
          </w:p>
          <w:p w14:paraId="05376FB7">
            <w:pPr>
              <w:ind w:firstLine="480"/>
              <w:rPr>
                <w:snapToGrid w:val="0"/>
                <w:kern w:val="0"/>
                <w:szCs w:val="21"/>
              </w:rPr>
            </w:pPr>
            <w:r>
              <w:rPr>
                <w:rFonts w:hint="eastAsia"/>
                <w:snapToGrid w:val="0"/>
                <w:kern w:val="0"/>
                <w:szCs w:val="21"/>
              </w:rPr>
              <w:t>①土石方</w:t>
            </w:r>
          </w:p>
          <w:p w14:paraId="42431F02">
            <w:pPr>
              <w:ind w:firstLine="480"/>
            </w:pPr>
            <w:r>
              <w:t>本项目</w:t>
            </w:r>
            <w:r>
              <w:rPr>
                <w:rFonts w:hint="eastAsia"/>
              </w:rPr>
              <w:t>钻探</w:t>
            </w:r>
            <w:r>
              <w:t>总工程量为</w:t>
            </w:r>
            <w:r>
              <w:rPr>
                <w:rFonts w:hint="eastAsia"/>
                <w:lang w:val="en-US" w:eastAsia="zh-CN"/>
              </w:rPr>
              <w:t>5</w:t>
            </w:r>
            <w:r>
              <w:rPr>
                <w:rFonts w:hint="eastAsia"/>
              </w:rPr>
              <w:t>000</w:t>
            </w:r>
            <w:r>
              <w:t>m，钻探</w:t>
            </w:r>
            <w:r>
              <w:rPr>
                <w:rFonts w:hint="eastAsia"/>
              </w:rPr>
              <w:t>开孔直径不小于75</w:t>
            </w:r>
            <w:r>
              <w:t>mm</w:t>
            </w:r>
            <w:r>
              <w:rPr>
                <w:rFonts w:hint="eastAsia"/>
              </w:rPr>
              <w:t>，</w:t>
            </w:r>
            <w:r>
              <w:t>岩心产生的土方量为</w:t>
            </w:r>
            <w:r>
              <w:rPr>
                <w:rFonts w:hint="eastAsia"/>
                <w:lang w:val="en-US" w:eastAsia="zh-CN"/>
              </w:rPr>
              <w:t>22.1</w:t>
            </w:r>
            <w:r>
              <w:t>m</w:t>
            </w:r>
            <w:r>
              <w:rPr>
                <w:vertAlign w:val="superscript"/>
              </w:rPr>
              <w:t>3</w:t>
            </w:r>
            <w:r>
              <w:t>(V=πr</w:t>
            </w:r>
            <w:r>
              <w:rPr>
                <w:vertAlign w:val="superscript"/>
              </w:rPr>
              <w:t>2</w:t>
            </w:r>
            <w:r>
              <w:t>×h)，</w:t>
            </w:r>
            <w:r>
              <w:rPr>
                <w:rFonts w:hint="eastAsia"/>
              </w:rPr>
              <w:t>部分采样</w:t>
            </w:r>
            <w:r>
              <w:t>带回实验室分析</w:t>
            </w:r>
            <w:r>
              <w:rPr>
                <w:rFonts w:hint="eastAsia"/>
              </w:rPr>
              <w:t>。</w:t>
            </w:r>
            <w:r>
              <w:t>按每孔周边需剥离面积</w:t>
            </w:r>
            <w:r>
              <w:rPr>
                <w:rFonts w:hint="eastAsia"/>
              </w:rPr>
              <w:t>15</w:t>
            </w:r>
            <w:r>
              <w:t>m</w:t>
            </w:r>
            <w:r>
              <w:rPr>
                <w:vertAlign w:val="superscript"/>
              </w:rPr>
              <w:t>2</w:t>
            </w:r>
            <w:r>
              <w:t>计算，</w:t>
            </w:r>
            <w:r>
              <w:rPr>
                <w:rFonts w:hint="eastAsia"/>
              </w:rPr>
              <w:t>本次评价按</w:t>
            </w:r>
            <w:r>
              <w:rPr>
                <w:rFonts w:hint="eastAsia"/>
                <w:lang w:val="en-US" w:eastAsia="zh-CN"/>
              </w:rPr>
              <w:t>12</w:t>
            </w:r>
            <w:r>
              <w:rPr>
                <w:rFonts w:hint="eastAsia"/>
              </w:rPr>
              <w:t>个钻孔计，</w:t>
            </w:r>
            <w:r>
              <w:t>共计需剥离</w:t>
            </w:r>
            <w:r>
              <w:rPr>
                <w:rFonts w:hint="eastAsia"/>
              </w:rPr>
              <w:t>1</w:t>
            </w:r>
            <w:r>
              <w:rPr>
                <w:rFonts w:hint="eastAsia"/>
                <w:lang w:val="en-US" w:eastAsia="zh-CN"/>
              </w:rPr>
              <w:t>8</w:t>
            </w:r>
            <w:r>
              <w:rPr>
                <w:rFonts w:hint="eastAsia"/>
              </w:rPr>
              <w:t>0</w:t>
            </w:r>
            <w:r>
              <w:t>m</w:t>
            </w:r>
            <w:r>
              <w:rPr>
                <w:vertAlign w:val="superscript"/>
              </w:rPr>
              <w:t>2</w:t>
            </w:r>
            <w:r>
              <w:t>，剥离厚度按20cm计算，每孔需剥离</w:t>
            </w:r>
            <w:r>
              <w:rPr>
                <w:rFonts w:hint="eastAsia"/>
              </w:rPr>
              <w:t>3</w:t>
            </w:r>
            <w:r>
              <w:t>m</w:t>
            </w:r>
            <w:r>
              <w:rPr>
                <w:vertAlign w:val="superscript"/>
              </w:rPr>
              <w:t>3</w:t>
            </w:r>
            <w:r>
              <w:t>，共需要堆放约</w:t>
            </w:r>
            <w:r>
              <w:rPr>
                <w:rFonts w:hint="eastAsia"/>
                <w:lang w:val="en-US" w:eastAsia="zh-CN"/>
              </w:rPr>
              <w:t>36</w:t>
            </w:r>
            <w:r>
              <w:t>m</w:t>
            </w:r>
            <w:r>
              <w:rPr>
                <w:vertAlign w:val="superscript"/>
              </w:rPr>
              <w:t>3</w:t>
            </w:r>
            <w:r>
              <w:t>(松散系数k=1.3</w:t>
            </w:r>
            <w:r>
              <w:rPr>
                <w:rFonts w:hint="eastAsia"/>
              </w:rPr>
              <w:t>，</w:t>
            </w:r>
            <w:r>
              <w:t>剥离松</w:t>
            </w:r>
            <w:r>
              <w:rPr>
                <w:rFonts w:hint="eastAsia"/>
              </w:rPr>
              <w:t>散</w:t>
            </w:r>
            <w:r>
              <w:t>方</w:t>
            </w:r>
            <w:r>
              <w:rPr>
                <w:rFonts w:hint="eastAsia"/>
                <w:lang w:val="en-US" w:eastAsia="zh-CN"/>
              </w:rPr>
              <w:t>46.8</w:t>
            </w:r>
            <w:r>
              <w:t>m</w:t>
            </w:r>
            <w:r>
              <w:rPr>
                <w:vertAlign w:val="superscript"/>
              </w:rPr>
              <w:t>3</w:t>
            </w:r>
            <w:r>
              <w:t>)</w:t>
            </w:r>
            <w:r>
              <w:rPr>
                <w:rFonts w:hint="eastAsia"/>
              </w:rPr>
              <w:t>；槽探总工程量为</w:t>
            </w:r>
            <w:r>
              <w:rPr>
                <w:rFonts w:hint="eastAsia"/>
                <w:lang w:val="en-US" w:eastAsia="zh-CN"/>
              </w:rPr>
              <w:t>5</w:t>
            </w:r>
            <w:r>
              <w:rPr>
                <w:rFonts w:hint="eastAsia"/>
              </w:rPr>
              <w:t>000m</w:t>
            </w:r>
            <w:r>
              <w:rPr>
                <w:vertAlign w:val="superscript"/>
              </w:rPr>
              <w:t>3</w:t>
            </w:r>
            <w:r>
              <w:rPr>
                <w:rFonts w:hint="eastAsia"/>
              </w:rPr>
              <w:t>。详见表2-6土石方平衡一览表。由于本项目产生的土石方量较少，因此不单独设置废石场，废石与剥离的表土分类暂存于钻孔及探槽附近的临时表土堆放场，用于回填</w:t>
            </w:r>
            <w:r>
              <w:t>。</w:t>
            </w:r>
          </w:p>
          <w:p w14:paraId="738999BC">
            <w:pPr>
              <w:ind w:firstLine="480"/>
              <w:rPr>
                <w:snapToGrid w:val="0"/>
                <w:kern w:val="0"/>
                <w:szCs w:val="21"/>
              </w:rPr>
            </w:pPr>
            <w:r>
              <w:rPr>
                <w:rFonts w:hint="eastAsia"/>
                <w:snapToGrid w:val="0"/>
                <w:kern w:val="0"/>
                <w:szCs w:val="21"/>
              </w:rPr>
              <w:t>②钻探泥浆</w:t>
            </w:r>
          </w:p>
          <w:p w14:paraId="5A4225EE">
            <w:pPr>
              <w:ind w:firstLine="480"/>
              <w:jc w:val="left"/>
            </w:pPr>
            <w:r>
              <w:rPr>
                <w:rFonts w:hint="eastAsia"/>
              </w:rPr>
              <w:t>钻探使用的泥浆采用水基非磺化泥浆，从钻孔孔口返回后引至沉淀池，通过沉淀处理后，上清液循环使用，不外排。该类固废含水率</w:t>
            </w:r>
            <w:r>
              <w:t>90%</w:t>
            </w:r>
            <w:r>
              <w:rPr>
                <w:rFonts w:hint="eastAsia"/>
              </w:rPr>
              <w:t>。主要为岩屑胶结水团与泥沙混合物，属一般固废，根据业主提供的施工经验数据，在现有施工机具及环境条件下产生泥浆</w:t>
            </w:r>
            <w:r>
              <w:t>0.5t/100m</w:t>
            </w:r>
            <w:r>
              <w:rPr>
                <w:rFonts w:hint="eastAsia"/>
              </w:rPr>
              <w:t>。本项目钻探工作量为</w:t>
            </w:r>
            <w:r>
              <w:rPr>
                <w:rFonts w:hint="eastAsia"/>
                <w:lang w:val="en-US" w:eastAsia="zh-CN"/>
              </w:rPr>
              <w:t>5</w:t>
            </w:r>
            <w:r>
              <w:rPr>
                <w:rFonts w:hint="eastAsia"/>
              </w:rPr>
              <w:t>000</w:t>
            </w:r>
            <w:r>
              <w:t>m</w:t>
            </w:r>
            <w:r>
              <w:rPr>
                <w:rFonts w:hint="eastAsia"/>
              </w:rPr>
              <w:t>，则整个探矿期泥浆产生量约为</w:t>
            </w:r>
            <w:r>
              <w:rPr>
                <w:rFonts w:hint="eastAsia"/>
                <w:lang w:val="en-US" w:eastAsia="zh-CN"/>
              </w:rPr>
              <w:t>25</w:t>
            </w:r>
            <w:r>
              <w:t>t</w:t>
            </w:r>
            <w:r>
              <w:rPr>
                <w:rFonts w:hint="eastAsia"/>
              </w:rPr>
              <w:t>。最终产生的废泥浆无任何添加剂成分，泥浆主要成分为SS，属一般固废，钻探泥浆完工后，将钻探泥浆填入沉淀池内，并采用水泥固化填埋。本项目对钻探泥浆采取固化处理措施合理可行。</w:t>
            </w:r>
          </w:p>
          <w:p w14:paraId="7758FBD4">
            <w:pPr>
              <w:ind w:firstLine="480"/>
              <w:jc w:val="left"/>
            </w:pPr>
            <w:r>
              <w:rPr>
                <w:rFonts w:hint="eastAsia"/>
              </w:rPr>
              <w:t>③钻孔岩屑</w:t>
            </w:r>
          </w:p>
          <w:p w14:paraId="087DAAE2">
            <w:pPr>
              <w:ind w:firstLine="480"/>
              <w:jc w:val="left"/>
            </w:pPr>
            <w:r>
              <w:t>钻屑产生量参考同类型项目经验公式进行计算：</w:t>
            </w:r>
          </w:p>
          <w:p w14:paraId="57157B87">
            <w:pPr>
              <w:ind w:firstLine="480"/>
              <w:jc w:val="center"/>
            </w:pPr>
            <w:r>
              <w:t>V=πr</w:t>
            </w:r>
            <w:r>
              <w:rPr>
                <w:vertAlign w:val="superscript"/>
              </w:rPr>
              <w:t>2</w:t>
            </w:r>
            <w:r>
              <w:t>×h×k</w:t>
            </w:r>
          </w:p>
          <w:p w14:paraId="689B97A1">
            <w:pPr>
              <w:ind w:firstLine="480"/>
              <w:jc w:val="left"/>
            </w:pPr>
            <w:r>
              <w:t>其中：V——钻屑体积，m</w:t>
            </w:r>
            <w:r>
              <w:rPr>
                <w:vertAlign w:val="superscript"/>
              </w:rPr>
              <w:t>3</w:t>
            </w:r>
            <w:r>
              <w:t>；</w:t>
            </w:r>
          </w:p>
          <w:p w14:paraId="0E01785C">
            <w:pPr>
              <w:ind w:firstLine="480"/>
              <w:jc w:val="left"/>
            </w:pPr>
            <w:r>
              <w:t>π——圆周率，圆的周长与直径的比值，本次取3.14；</w:t>
            </w:r>
          </w:p>
          <w:p w14:paraId="254DA0FC">
            <w:pPr>
              <w:ind w:firstLine="480"/>
              <w:jc w:val="left"/>
            </w:pPr>
            <w:r>
              <w:t>r—钻井半径，m，0.0375m；</w:t>
            </w:r>
          </w:p>
          <w:p w14:paraId="12FE0CB3">
            <w:pPr>
              <w:ind w:firstLine="480"/>
              <w:jc w:val="left"/>
            </w:pPr>
            <w:r>
              <w:t>h——最大钻孔深度，</w:t>
            </w:r>
            <w:r>
              <w:rPr>
                <w:rFonts w:hint="eastAsia"/>
                <w:lang w:val="en-US" w:eastAsia="zh-CN"/>
              </w:rPr>
              <w:t>61</w:t>
            </w:r>
            <w:r>
              <w:t>0m；</w:t>
            </w:r>
          </w:p>
          <w:p w14:paraId="784C5D2E">
            <w:pPr>
              <w:ind w:firstLine="480"/>
              <w:jc w:val="left"/>
            </w:pPr>
            <w:r>
              <w:t>k——井眼扩大率，本次取，10%。</w:t>
            </w:r>
          </w:p>
          <w:p w14:paraId="64CCCFF5">
            <w:pPr>
              <w:ind w:firstLine="480"/>
            </w:pPr>
            <w:r>
              <w:t>经计算，整个钻孔其钻屑V产生量</w:t>
            </w:r>
            <w:r>
              <w:rPr>
                <w:rFonts w:hint="eastAsia"/>
              </w:rPr>
              <w:t>约</w:t>
            </w:r>
            <w:r>
              <w:t>为0.</w:t>
            </w:r>
            <w:r>
              <w:rPr>
                <w:rFonts w:hint="eastAsia"/>
                <w:lang w:val="en-US" w:eastAsia="zh-CN"/>
              </w:rPr>
              <w:t>269</w:t>
            </w:r>
            <w:r>
              <w:t>m³，</w:t>
            </w:r>
            <w:r>
              <w:rPr>
                <w:rFonts w:hint="eastAsia"/>
              </w:rPr>
              <w:t>本项目</w:t>
            </w:r>
            <w:r>
              <w:rPr>
                <w:rFonts w:hint="eastAsia"/>
                <w:lang w:val="en-US" w:eastAsia="zh-CN"/>
              </w:rPr>
              <w:t>12</w:t>
            </w:r>
            <w:r>
              <w:rPr>
                <w:rFonts w:hint="eastAsia"/>
              </w:rPr>
              <w:t>个钻孔的钻屑产生量为</w:t>
            </w:r>
            <w:r>
              <w:rPr>
                <w:rFonts w:hint="eastAsia"/>
                <w:lang w:val="en-US" w:eastAsia="zh-CN"/>
              </w:rPr>
              <w:t>3.228</w:t>
            </w:r>
            <w:r>
              <w:t>m³</w:t>
            </w:r>
            <w:r>
              <w:rPr>
                <w:rFonts w:hint="eastAsia"/>
              </w:rPr>
              <w:t>。</w:t>
            </w:r>
            <w:r>
              <w:t>每个钻孔完毕后，钻屑</w:t>
            </w:r>
            <w:r>
              <w:rPr>
                <w:rFonts w:hint="eastAsia"/>
              </w:rPr>
              <w:t>进行人工回填</w:t>
            </w:r>
            <w:r>
              <w:t>。</w:t>
            </w:r>
          </w:p>
          <w:p w14:paraId="07C6BC5C">
            <w:pPr>
              <w:ind w:firstLine="480"/>
              <w:rPr>
                <w:rFonts w:hint="eastAsia"/>
                <w:lang w:val="en-US" w:eastAsia="zh-CN"/>
              </w:rPr>
            </w:pPr>
            <w:r>
              <w:rPr>
                <w:rFonts w:hint="eastAsia"/>
                <w:lang w:val="en-US" w:eastAsia="zh-CN"/>
              </w:rPr>
              <w:t>④一体化污水处理装置产生的污泥</w:t>
            </w:r>
          </w:p>
          <w:p w14:paraId="64EAE513">
            <w:pPr>
              <w:ind w:firstLine="480"/>
            </w:pPr>
            <w:r>
              <w:rPr>
                <w:rFonts w:hint="eastAsia"/>
                <w:lang w:val="en-US" w:eastAsia="zh-CN"/>
              </w:rPr>
              <w:t>本项目生活污水采用一体化污水处理装置处理。污水处理过程中，微生物分解有机物，同时自身繁殖，形成生物膜或活性污泥。这些微生物在分解有机物的过程中会增殖，加上污水中的悬浮物被沉淀下来，自然就会形成污泥。本项目大约产生污泥10kg。产生的污泥在勘探结束后就地填埋。</w:t>
            </w:r>
          </w:p>
          <w:p w14:paraId="6223447E">
            <w:pPr>
              <w:ind w:firstLine="482"/>
              <w:rPr>
                <w:b/>
                <w:bCs/>
                <w:szCs w:val="32"/>
              </w:rPr>
            </w:pPr>
            <w:r>
              <w:rPr>
                <w:rFonts w:hint="eastAsia"/>
                <w:b/>
                <w:bCs/>
                <w:szCs w:val="32"/>
              </w:rPr>
              <w:t>4.2生活垃圾</w:t>
            </w:r>
          </w:p>
          <w:p w14:paraId="3D4EC3ED">
            <w:pPr>
              <w:ind w:firstLine="480"/>
              <w:rPr>
                <w:rFonts w:hint="eastAsia"/>
              </w:rPr>
            </w:pPr>
            <w:r>
              <w:rPr>
                <w:rFonts w:hint="eastAsia"/>
              </w:rPr>
              <w:t>生活垃圾来自探矿人员日常生活，以纸张、塑料瓶为主。本项目野外探矿作业人员为1</w:t>
            </w:r>
            <w:r>
              <w:rPr>
                <w:rFonts w:hint="eastAsia"/>
                <w:lang w:val="en-US" w:eastAsia="zh-CN"/>
              </w:rPr>
              <w:t>5</w:t>
            </w:r>
            <w:r>
              <w:rPr>
                <w:rFonts w:hint="eastAsia"/>
              </w:rPr>
              <w:t>人，按每人每天产生0.35kg生活垃圾计算，则生活垃圾产生量为</w:t>
            </w:r>
            <w:r>
              <w:rPr>
                <w:rFonts w:hint="eastAsia"/>
                <w:lang w:val="en-US" w:eastAsia="zh-CN"/>
              </w:rPr>
              <w:t>5.25</w:t>
            </w:r>
            <w:r>
              <w:rPr>
                <w:rFonts w:hint="eastAsia"/>
              </w:rPr>
              <w:t>kg/d，整个探矿期生活垃圾产生量约为0.</w:t>
            </w:r>
            <w:r>
              <w:rPr>
                <w:rFonts w:hint="eastAsia"/>
                <w:lang w:val="en-US" w:eastAsia="zh-CN"/>
              </w:rPr>
              <w:t>787</w:t>
            </w:r>
            <w:r>
              <w:rPr>
                <w:rFonts w:hint="eastAsia"/>
              </w:rPr>
              <w:t>t，生活垃圾</w:t>
            </w:r>
            <w:r>
              <w:rPr>
                <w:rFonts w:hint="eastAsia"/>
                <w:lang w:val="en-US" w:eastAsia="zh-CN"/>
              </w:rPr>
              <w:t>统一收集后送至和静县巴音布鲁克镇垃圾填埋场</w:t>
            </w:r>
            <w:r>
              <w:rPr>
                <w:rFonts w:hint="eastAsia"/>
              </w:rPr>
              <w:t>。工作人员严禁将生活垃圾遗弃在矿区内。</w:t>
            </w:r>
          </w:p>
          <w:p w14:paraId="679CF774">
            <w:pPr>
              <w:ind w:firstLine="482"/>
              <w:rPr>
                <w:rFonts w:hint="eastAsia" w:eastAsia="宋体"/>
                <w:b/>
                <w:bCs/>
                <w:szCs w:val="32"/>
                <w:lang w:eastAsia="zh-CN"/>
              </w:rPr>
            </w:pPr>
            <w:r>
              <w:rPr>
                <w:rFonts w:hint="eastAsia"/>
                <w:b/>
                <w:bCs/>
                <w:szCs w:val="32"/>
              </w:rPr>
              <w:t>4.</w:t>
            </w:r>
            <w:r>
              <w:rPr>
                <w:rFonts w:hint="eastAsia"/>
                <w:b/>
                <w:bCs/>
                <w:szCs w:val="32"/>
                <w:lang w:val="en-US" w:eastAsia="zh-CN"/>
              </w:rPr>
              <w:t>3危险废物</w:t>
            </w:r>
          </w:p>
          <w:p w14:paraId="3ECCD3FE">
            <w:pPr>
              <w:ind w:firstLine="480"/>
              <w:rPr>
                <w:rFonts w:hint="eastAsia"/>
                <w:lang w:val="en-US" w:eastAsia="zh-CN"/>
              </w:rPr>
            </w:pPr>
            <w:r>
              <w:rPr>
                <w:rFonts w:hint="eastAsia"/>
                <w:lang w:val="en-US" w:eastAsia="zh-CN"/>
              </w:rPr>
              <w:t>本项目地质勘探阶段，因勘探设备（如钻机、勘探车等）运行需使用柴油，过程中会产生废油桶（主要为柴油包装桶），使用柴油会产生废油桶约0.7t，探矿期产生的废油桶暂存在危废贮存点，集中收集交由有资质单位处理。</w:t>
            </w:r>
          </w:p>
          <w:p w14:paraId="292F15DA">
            <w:pPr>
              <w:pStyle w:val="20"/>
              <w:ind w:firstLine="482"/>
            </w:pPr>
            <w:r>
              <w:rPr>
                <w:rFonts w:hint="eastAsia"/>
              </w:rPr>
              <w:t>4</w:t>
            </w:r>
            <w:r>
              <w:t>.</w:t>
            </w:r>
            <w:r>
              <w:rPr>
                <w:rFonts w:hint="eastAsia"/>
              </w:rPr>
              <w:t>4环境管理要求</w:t>
            </w:r>
          </w:p>
          <w:p w14:paraId="03BFA969">
            <w:pPr>
              <w:ind w:firstLine="480"/>
            </w:pPr>
            <w:r>
              <w:rPr>
                <w:rFonts w:hint="eastAsia"/>
              </w:rPr>
              <w:t>（1）一般固体废物暂存间建设及管理要求：</w:t>
            </w:r>
          </w:p>
          <w:p w14:paraId="33B85DC6">
            <w:pPr>
              <w:ind w:firstLine="480"/>
            </w:pPr>
            <w:r>
              <w:t>1）一般固体废物暂存区按照</w:t>
            </w:r>
            <w:r>
              <w:rPr>
                <w:rFonts w:hint="eastAsia"/>
                <w:bCs/>
                <w:color w:val="000000"/>
                <w:kern w:val="0"/>
              </w:rPr>
              <w:t>《</w:t>
            </w:r>
            <w:r>
              <w:rPr>
                <w:rFonts w:hint="eastAsia"/>
                <w:color w:val="000000"/>
              </w:rPr>
              <w:t>一般工业固体废物贮存和填埋污染控制标准</w:t>
            </w:r>
            <w:r>
              <w:rPr>
                <w:rFonts w:hint="eastAsia"/>
                <w:bCs/>
                <w:color w:val="000000"/>
                <w:kern w:val="0"/>
              </w:rPr>
              <w:t>》（</w:t>
            </w:r>
            <w:r>
              <w:rPr>
                <w:bCs/>
                <w:color w:val="000000"/>
                <w:kern w:val="0"/>
              </w:rPr>
              <w:t>GB18599-2020</w:t>
            </w:r>
            <w:r>
              <w:rPr>
                <w:rFonts w:hint="eastAsia"/>
                <w:bCs/>
                <w:color w:val="000000"/>
                <w:kern w:val="0"/>
              </w:rPr>
              <w:t>）</w:t>
            </w:r>
            <w:r>
              <w:t>中标准要求进行管理；</w:t>
            </w:r>
          </w:p>
          <w:p w14:paraId="672B4547">
            <w:pPr>
              <w:ind w:firstLine="480"/>
            </w:pPr>
            <w:r>
              <w:rPr>
                <w:rFonts w:hint="eastAsia"/>
              </w:rPr>
              <w:t>2）</w:t>
            </w:r>
            <w:r>
              <w:t>对固体废物实行从产生、收集、运输、贮存直至最终处理实行全过程管理，按照有关法律法规的要求，对固体废物全过程管理应报当地生态环境行政主管部门等批准。</w:t>
            </w:r>
          </w:p>
          <w:p w14:paraId="3AD8B820">
            <w:pPr>
              <w:ind w:firstLine="480"/>
            </w:pPr>
            <w:r>
              <w:rPr>
                <w:rFonts w:hint="eastAsia"/>
              </w:rPr>
              <w:t>3）</w:t>
            </w:r>
            <w:r>
              <w:t>加强固体废物规范化管理，固体废物分类定点堆放，堆放场所远离办公区</w:t>
            </w:r>
            <w:r>
              <w:rPr>
                <w:rFonts w:hint="eastAsia"/>
              </w:rPr>
              <w:t>。</w:t>
            </w:r>
          </w:p>
          <w:p w14:paraId="2C82F326">
            <w:pPr>
              <w:ind w:firstLine="480"/>
            </w:pPr>
            <w:r>
              <w:rPr>
                <w:rFonts w:hint="eastAsia"/>
              </w:rPr>
              <w:t>4）</w:t>
            </w:r>
            <w:r>
              <w:t>固体废物要及时清运，避免产生二次污染。</w:t>
            </w:r>
          </w:p>
          <w:p w14:paraId="37C0AAAE">
            <w:pPr>
              <w:ind w:firstLine="480"/>
            </w:pPr>
            <w:r>
              <w:t>一般工业固体废物贮存、处置场，禁止危险废物和生活垃圾混入。贮存、处置场使用单位，应建立检查维护制度。发现有损坏可能或异常，应及时采取必要措施，以保障正常运行。贮存、处置场的使用单位，应建立档案制度。应将入场的一般工业固体废物的种类和数量以及下列资料，详细记录在案，长期保存，供随时查阅。贮存、处置场的环境保护图形标志，应按相关规定进行检查和维护。</w:t>
            </w:r>
          </w:p>
          <w:p w14:paraId="5F568CF1">
            <w:pPr>
              <w:ind w:firstLine="480"/>
            </w:pPr>
            <w:r>
              <w:rPr>
                <w:rFonts w:hint="eastAsia"/>
              </w:rPr>
              <w:t>（2）危险废物贮存点建设及管理要求：</w:t>
            </w:r>
          </w:p>
          <w:p w14:paraId="15139351">
            <w:pPr>
              <w:ind w:firstLine="480"/>
            </w:pPr>
            <w:r>
              <w:rPr>
                <w:rFonts w:hint="eastAsia"/>
              </w:rPr>
              <w:t>本项目主要风险物质为废</w:t>
            </w:r>
            <w:r>
              <w:rPr>
                <w:rFonts w:hint="eastAsia"/>
                <w:lang w:val="en-US" w:eastAsia="zh-CN"/>
              </w:rPr>
              <w:t>油桶</w:t>
            </w:r>
            <w:r>
              <w:rPr>
                <w:rFonts w:hint="eastAsia"/>
              </w:rPr>
              <w:t>，废</w:t>
            </w:r>
            <w:r>
              <w:rPr>
                <w:rFonts w:hint="eastAsia"/>
                <w:lang w:val="en-US" w:eastAsia="zh-CN"/>
              </w:rPr>
              <w:t>油桶</w:t>
            </w:r>
            <w:r>
              <w:rPr>
                <w:rFonts w:hint="eastAsia"/>
              </w:rPr>
              <w:t>集中收集后委托有资质的处理单位进行处理。本项目危险废物临时贮存场所的建设必须满足《危险废物贮存污染控制标准》（GB18597-2023）的相关要求。</w:t>
            </w:r>
          </w:p>
          <w:p w14:paraId="1919DBE3">
            <w:pPr>
              <w:ind w:firstLine="480"/>
            </w:pPr>
            <w:r>
              <w:rPr>
                <w:rFonts w:hint="eastAsia"/>
              </w:rPr>
              <w:t>1）危险废物的收集和临时贮存要求</w:t>
            </w:r>
          </w:p>
          <w:p w14:paraId="0DD0E222">
            <w:pPr>
              <w:ind w:firstLine="480"/>
            </w:pPr>
            <w:r>
              <w:rPr>
                <w:rFonts w:hint="eastAsia"/>
              </w:rPr>
              <w:t>本项目危险废物为废</w:t>
            </w:r>
            <w:r>
              <w:rPr>
                <w:rFonts w:hint="eastAsia"/>
                <w:lang w:val="en-US" w:eastAsia="zh-CN"/>
              </w:rPr>
              <w:t>油桶</w:t>
            </w:r>
            <w:r>
              <w:rPr>
                <w:rFonts w:hint="eastAsia"/>
              </w:rPr>
              <w:t>，废</w:t>
            </w:r>
            <w:r>
              <w:rPr>
                <w:rFonts w:hint="eastAsia"/>
                <w:lang w:val="en-US" w:eastAsia="zh-CN"/>
              </w:rPr>
              <w:t>油桶</w:t>
            </w:r>
            <w:r>
              <w:rPr>
                <w:rFonts w:hint="eastAsia"/>
              </w:rPr>
              <w:t>集中收集后委托有资质的处理单位进行处理</w:t>
            </w:r>
            <w:r>
              <w:t>。</w:t>
            </w:r>
            <w:r>
              <w:rPr>
                <w:rFonts w:hint="eastAsia"/>
              </w:rPr>
              <w:t>危险废物贮存点</w:t>
            </w:r>
            <w:r>
              <w:t>应按《危险废物贮存污染控制标准》</w:t>
            </w:r>
            <w:r>
              <w:rPr>
                <w:rFonts w:hint="eastAsia"/>
              </w:rPr>
              <w:t>（</w:t>
            </w:r>
            <w:r>
              <w:t>GB18597-2023</w:t>
            </w:r>
            <w:r>
              <w:rPr>
                <w:rFonts w:hint="eastAsia"/>
              </w:rPr>
              <w:t>）</w:t>
            </w:r>
            <w:r>
              <w:t>的要求设计建设。同时还需委托有资质的单位处置。根据《中华人民共和国固体废物污染环境防治法》《危险废物收集、贮存、运输技术规范》</w:t>
            </w:r>
            <w:r>
              <w:rPr>
                <w:rFonts w:hint="eastAsia"/>
              </w:rPr>
              <w:t>（</w:t>
            </w:r>
            <w:r>
              <w:t>HJ2025-2012</w:t>
            </w:r>
            <w:r>
              <w:rPr>
                <w:rFonts w:hint="eastAsia"/>
              </w:rPr>
              <w:t>）</w:t>
            </w:r>
            <w:r>
              <w:t>、《危险废物贮存污染控制标准》</w:t>
            </w:r>
            <w:r>
              <w:rPr>
                <w:rFonts w:hint="eastAsia"/>
              </w:rPr>
              <w:t>（GB</w:t>
            </w:r>
            <w:r>
              <w:t>18597-2023</w:t>
            </w:r>
            <w:r>
              <w:rPr>
                <w:rFonts w:hint="eastAsia"/>
              </w:rPr>
              <w:t>）</w:t>
            </w:r>
            <w:r>
              <w:t>，项目在运营过程中，按照以下要求管理危险废物：</w:t>
            </w:r>
          </w:p>
          <w:p w14:paraId="487F5DE3">
            <w:pPr>
              <w:ind w:firstLine="480"/>
            </w:pPr>
            <w:r>
              <w:t>a.应加强危险废物管理，制定危险废物管理计划，并报当地环保部门备案。对员工进行培训，提高全体人员对危险废物管理的认识。确保相关管理人员和从事危废收集、运送、</w:t>
            </w:r>
            <w:r>
              <w:rPr>
                <w:rFonts w:hint="eastAsia"/>
              </w:rPr>
              <w:t>贮存</w:t>
            </w:r>
            <w:r>
              <w:t>等工作的人员掌握国家相关法律法规、规章和有关规范性文件的规定，熟悉本单位制定的危险废物管理规章制度、工作流程等各项工作要求；掌握危险废物分类收集、运送、</w:t>
            </w:r>
            <w:r>
              <w:rPr>
                <w:rFonts w:hint="eastAsia"/>
              </w:rPr>
              <w:t>贮存</w:t>
            </w:r>
            <w:r>
              <w:t>的正确方法和操作程序，提高安全防护和应急处置能力。</w:t>
            </w:r>
          </w:p>
          <w:p w14:paraId="3968DA26">
            <w:pPr>
              <w:ind w:firstLine="480"/>
            </w:pPr>
            <w:r>
              <w:t>b.建设单位必须严格按照《危险废物收集贮存运输技术规范》的要求来进行危险废物的收集、贮存和运输。危险废物的收集、贮存，须按照其特性分类进行。禁止混合收集、贮存、运输、处置性质不相容而未经安全性处置的危废。装</w:t>
            </w:r>
            <w:r>
              <w:rPr>
                <w:rFonts w:hint="eastAsia"/>
              </w:rPr>
              <w:t>危险废物</w:t>
            </w:r>
            <w:r>
              <w:t>的容器和包装物，要确保无破损、泄漏和其他缺陷，并依据《危险废物贮存污染控制标准》</w:t>
            </w:r>
            <w:r>
              <w:rPr>
                <w:rFonts w:hint="eastAsia"/>
              </w:rPr>
              <w:t>（</w:t>
            </w:r>
            <w:r>
              <w:t>GB18597-2023</w:t>
            </w:r>
            <w:r>
              <w:rPr>
                <w:rFonts w:hint="eastAsia"/>
              </w:rPr>
              <w:t>）</w:t>
            </w:r>
            <w:r>
              <w:t>的规范建设</w:t>
            </w:r>
            <w:r>
              <w:rPr>
                <w:rFonts w:hint="eastAsia"/>
              </w:rPr>
              <w:t>危险废物</w:t>
            </w:r>
            <w:r>
              <w:t>贮存场所并设置</w:t>
            </w:r>
            <w:r>
              <w:rPr>
                <w:rFonts w:hint="eastAsia"/>
              </w:rPr>
              <w:t>危险废物</w:t>
            </w:r>
            <w:r>
              <w:t>标识。危险废物运输应由持有危险废物经营许可证的单位按照其许可证的经营范围组织实施，承担危险废物运输的单位应获得交通运输部门颁发的危险货物运输资质。</w:t>
            </w:r>
          </w:p>
          <w:p w14:paraId="08A596CD">
            <w:pPr>
              <w:ind w:firstLine="480"/>
            </w:pPr>
            <w:r>
              <w:t>c.危险废物临时贮存区应设置明显标志，并对地面进行硬化，并具有防雨淋、防日晒、防渗漏、密闭等措施，并建立健全危险废物管理台账、专人管理。贮存点实时贮存量不应超过3吨</w:t>
            </w:r>
            <w:r>
              <w:rPr>
                <w:rFonts w:hint="eastAsia"/>
                <w:lang w:eastAsia="zh-CN"/>
              </w:rPr>
              <w:t>。</w:t>
            </w:r>
            <w:r>
              <w:t>禁止将</w:t>
            </w:r>
            <w:r>
              <w:rPr>
                <w:rFonts w:hint="eastAsia"/>
              </w:rPr>
              <w:t>危险废物</w:t>
            </w:r>
            <w:r>
              <w:t>混入非危险废物中贮存。并且，贮存时间不得超过一年。</w:t>
            </w:r>
          </w:p>
          <w:p w14:paraId="7D6ABF5B">
            <w:pPr>
              <w:ind w:firstLine="480"/>
            </w:pPr>
            <w:r>
              <w:t>d.严格执行危险废物转移管理制度，禁止将危险废物提供或委托给无危险废物经营许可证的单位从事收集、贮存、利用、处置等经营活动。</w:t>
            </w:r>
          </w:p>
          <w:p w14:paraId="45BF3634">
            <w:pPr>
              <w:ind w:firstLine="480"/>
            </w:pPr>
            <w:r>
              <w:rPr>
                <w:rFonts w:hint="eastAsia"/>
              </w:rPr>
              <w:t>2）危险废物贮存点标识要求</w:t>
            </w:r>
          </w:p>
          <w:p w14:paraId="05003404">
            <w:pPr>
              <w:ind w:firstLine="480"/>
            </w:pPr>
            <w:r>
              <w:t>根据《危险废物贮存污染控制标准》(GB18597-2023)、《危险废物识别标志设置技术规范》(HJ1276-2022)、《危险废物识别标志设置技术规范》（HJ1276—2022）、《排污单位污染物排放口二维码标识技术规范》（HJ1297—2023）</w:t>
            </w:r>
            <w:r>
              <w:rPr>
                <w:rFonts w:hint="eastAsia"/>
              </w:rPr>
              <w:t>、《环境保护图形标志—固体废物贮存（处置）场》（GB15562.2-1995）修改单</w:t>
            </w:r>
            <w:r>
              <w:t>等相关规定要求</w:t>
            </w:r>
            <w:r>
              <w:rPr>
                <w:rFonts w:hint="eastAsia"/>
              </w:rPr>
              <w:t>危险废物贮存点</w:t>
            </w:r>
            <w:r>
              <w:t>及危险废物贮存相关标志设置</w:t>
            </w:r>
            <w:r>
              <w:rPr>
                <w:rFonts w:hint="eastAsia"/>
              </w:rPr>
              <w:t>。</w:t>
            </w:r>
          </w:p>
          <w:p w14:paraId="1C8CE90E">
            <w:pPr>
              <w:pStyle w:val="20"/>
              <w:ind w:firstLine="482"/>
            </w:pPr>
            <w:r>
              <w:rPr>
                <w:rFonts w:hint="eastAsia"/>
              </w:rPr>
              <w:t>5、施工期生态环境影响分析</w:t>
            </w:r>
          </w:p>
          <w:p w14:paraId="0213377A">
            <w:pPr>
              <w:pStyle w:val="20"/>
              <w:ind w:firstLine="482"/>
            </w:pPr>
            <w:r>
              <w:rPr>
                <w:rFonts w:hint="eastAsia"/>
              </w:rPr>
              <w:t>5.1</w:t>
            </w:r>
            <w:r>
              <w:t>对土壤及土地利用的影响</w:t>
            </w:r>
          </w:p>
          <w:p w14:paraId="186C26D1">
            <w:pPr>
              <w:ind w:firstLine="480"/>
            </w:pPr>
            <w:r>
              <w:rPr>
                <w:rFonts w:hint="eastAsia"/>
              </w:rPr>
              <w:t>本项目勘查面积为</w:t>
            </w:r>
            <w:r>
              <w:rPr>
                <w:rFonts w:hint="eastAsia"/>
                <w:lang w:val="en-US" w:eastAsia="zh-CN"/>
              </w:rPr>
              <w:t>36.8</w:t>
            </w:r>
            <w:r>
              <w:rPr>
                <w:rFonts w:hint="eastAsia"/>
              </w:rPr>
              <w:t>k</w:t>
            </w:r>
            <w:r>
              <w:t>m</w:t>
            </w:r>
            <w:r>
              <w:rPr>
                <w:vertAlign w:val="superscript"/>
              </w:rPr>
              <w:t>2</w:t>
            </w:r>
            <w:r>
              <w:rPr>
                <w:rFonts w:hint="eastAsia"/>
              </w:rPr>
              <w:t>，根据《</w:t>
            </w:r>
            <w:r>
              <w:t>GBT21010-2017</w:t>
            </w:r>
            <w:r>
              <w:rPr>
                <w:rFonts w:hint="eastAsia"/>
              </w:rPr>
              <w:t>土地利用现状分类》，项目区占地类型主要为天然牧草地，建设期工程对土壤的影响主要表现为对土壤理化性质、土壤肥力的影响和土壤污染三个方面。</w:t>
            </w:r>
          </w:p>
          <w:p w14:paraId="031DD81A">
            <w:pPr>
              <w:ind w:firstLine="480"/>
            </w:pPr>
            <w:r>
              <w:rPr>
                <w:rFonts w:hint="eastAsia"/>
              </w:rPr>
              <w:t>①土壤理化性质影响</w:t>
            </w:r>
          </w:p>
          <w:p w14:paraId="5ED9CB1D">
            <w:pPr>
              <w:ind w:firstLine="480"/>
            </w:pPr>
            <w:r>
              <w:rPr>
                <w:rFonts w:hint="eastAsia"/>
              </w:rPr>
              <w:t>施工过程中，土石方开挖、堆放、回填及材料堆放、人工践踏、机械设备碾压等活动对土壤理化性质影响较大。</w:t>
            </w:r>
          </w:p>
          <w:p w14:paraId="55E18261">
            <w:pPr>
              <w:ind w:firstLine="480"/>
            </w:pPr>
            <w:r>
              <w:rPr>
                <w:rFonts w:hint="eastAsia"/>
              </w:rPr>
              <w:t>A、扰乱土壤表层，破坏土壤结构</w:t>
            </w:r>
          </w:p>
          <w:p w14:paraId="5A94E3C0">
            <w:pPr>
              <w:ind w:firstLine="480"/>
            </w:pPr>
            <w:r>
              <w:rPr>
                <w:rFonts w:hint="eastAsia"/>
              </w:rPr>
              <w:t>土壤表层肥力集中、腐殖质含量高、水分相对优越，土壤表层土层松软，团粒结构发达。地表开挖必定扰乱和破坏土壤表层，除开挖处受到直接的破坏外，挖出土方的堆放将直接占压开挖处附近的土地，破坏土壤表层及其结构。由于表层的团粒结构是经过较长的历史时期形成的，一旦遭到破坏，短期内难以恢复。因此，施工过程中，对土壤表层的影响最为严重。</w:t>
            </w:r>
          </w:p>
          <w:p w14:paraId="3455F43E">
            <w:pPr>
              <w:ind w:firstLine="480"/>
            </w:pPr>
            <w:r>
              <w:rPr>
                <w:rFonts w:hint="eastAsia"/>
              </w:rPr>
              <w:t>B、混合土壤层次，改变土体构型</w:t>
            </w:r>
          </w:p>
          <w:p w14:paraId="1C46F2F7">
            <w:pPr>
              <w:ind w:firstLine="480"/>
            </w:pPr>
            <w:r>
              <w:rPr>
                <w:rFonts w:hint="eastAsia"/>
              </w:rPr>
              <w:t>施工期的土石方开挖与回填，使原土壤层次混合，原土体构型破坏。土体构型的破坏，将改变土体中物质和能量的运动变化规律，使表层通气透水性变差，使亚表层保水、保肥性能降低。</w:t>
            </w:r>
          </w:p>
          <w:p w14:paraId="6948411D">
            <w:pPr>
              <w:ind w:firstLine="480"/>
            </w:pPr>
            <w:r>
              <w:rPr>
                <w:rFonts w:hint="eastAsia"/>
              </w:rPr>
              <w:t>C、影响土壤紧实度</w:t>
            </w:r>
          </w:p>
          <w:p w14:paraId="1B10AFEA">
            <w:pPr>
              <w:ind w:firstLine="480"/>
            </w:pPr>
            <w:r>
              <w:rPr>
                <w:rFonts w:hint="eastAsia"/>
              </w:rPr>
              <w:t>施工机械碾压，尤其在坡度较大的地段，将大大改变土壤的紧实程度，与原有的上松下紧结构相比，极不利于土壤的通气、透水作用，甚至导致压实地段的地表寸草不生，形成局部人工荒漠化现象。</w:t>
            </w:r>
          </w:p>
          <w:p w14:paraId="002D5D40">
            <w:pPr>
              <w:ind w:firstLine="480"/>
            </w:pPr>
            <w:r>
              <w:rPr>
                <w:rFonts w:hint="eastAsia"/>
              </w:rPr>
              <w:t>②土壤肥力影响</w:t>
            </w:r>
          </w:p>
          <w:p w14:paraId="40B25DCB">
            <w:pPr>
              <w:ind w:firstLine="480"/>
            </w:pPr>
            <w:r>
              <w:rPr>
                <w:rFonts w:hint="eastAsia"/>
              </w:rPr>
              <w:t>土壤中的有机质、氮、磷、钾等养分含量，均表现为表土层远高于</w:t>
            </w:r>
            <w:r>
              <w:rPr>
                <w:rFonts w:hint="eastAsia"/>
                <w:lang w:val="en-US" w:eastAsia="zh-CN"/>
              </w:rPr>
              <w:t>新</w:t>
            </w:r>
            <w:r>
              <w:rPr>
                <w:rFonts w:hint="eastAsia"/>
              </w:rPr>
              <w:t>土层；施工期土石方的开挖与回填，将扰动甚至打乱原土体构型，使土壤肥力状况受到较大的影响。据资料统计，即使在实行分层堆放、分层回填措施下，土壤的有机质也将下降36.2～46.5%左右，氮下降27～50.6%，磷下降13.9～46.0%，钾下降9.1～32.5%。因此评价要求在土石方开挖、回填过程中，必须严格对表层土实行分层堆放和分层回填，最大限度的减小对土壤肥力的影响。</w:t>
            </w:r>
          </w:p>
          <w:p w14:paraId="333ADAAA">
            <w:pPr>
              <w:ind w:firstLine="480"/>
            </w:pPr>
            <w:r>
              <w:rPr>
                <w:rFonts w:hint="eastAsia"/>
              </w:rPr>
              <w:t>③土壤污染影响</w:t>
            </w:r>
          </w:p>
          <w:p w14:paraId="5DB2995A">
            <w:pPr>
              <w:ind w:firstLine="480"/>
            </w:pPr>
            <w:r>
              <w:rPr>
                <w:rFonts w:hint="eastAsia"/>
              </w:rPr>
              <w:t>施工过程中将产生建筑施工垃圾、生活垃圾和污水，若不集中收集妥善处置，难以生物降解的固体废物残留于土壤中，将污染土壤表层。评价要求施工时必须对固体废物实施管理措施，进行统一回收和处置。</w:t>
            </w:r>
          </w:p>
          <w:p w14:paraId="329FF3F0">
            <w:pPr>
              <w:ind w:firstLine="480"/>
            </w:pPr>
            <w:r>
              <w:t>总体而言，本工程所在区域土地开发强度较</w:t>
            </w:r>
            <w:r>
              <w:rPr>
                <w:rFonts w:hint="eastAsia"/>
              </w:rPr>
              <w:t>小</w:t>
            </w:r>
            <w:r>
              <w:t>，项目占用土地量相对</w:t>
            </w:r>
            <w:r>
              <w:rPr>
                <w:rFonts w:hint="eastAsia"/>
              </w:rPr>
              <w:t>较小</w:t>
            </w:r>
            <w:r>
              <w:t>，对</w:t>
            </w:r>
            <w:r>
              <w:rPr>
                <w:rFonts w:hint="eastAsia"/>
              </w:rPr>
              <w:t>和静县</w:t>
            </w:r>
            <w:r>
              <w:t>土地利用的影响较小。</w:t>
            </w:r>
          </w:p>
          <w:p w14:paraId="4E30A770">
            <w:pPr>
              <w:pStyle w:val="20"/>
              <w:ind w:firstLine="482"/>
              <w:rPr>
                <w:szCs w:val="24"/>
              </w:rPr>
            </w:pPr>
            <w:r>
              <w:rPr>
                <w:rFonts w:hint="eastAsia"/>
              </w:rPr>
              <w:t>5.2</w:t>
            </w:r>
            <w:r>
              <w:t>对植被与动物</w:t>
            </w:r>
            <w:r>
              <w:rPr>
                <w:szCs w:val="24"/>
              </w:rPr>
              <w:t>的影响</w:t>
            </w:r>
          </w:p>
          <w:p w14:paraId="51A3681B">
            <w:pPr>
              <w:ind w:firstLine="480"/>
            </w:pPr>
            <w:r>
              <w:rPr>
                <w:rFonts w:hint="eastAsia"/>
              </w:rPr>
              <w:t>项目所在区域为</w:t>
            </w:r>
            <w:r>
              <w:rPr>
                <w:rFonts w:hint="eastAsia"/>
                <w:color w:val="000000"/>
                <w:kern w:val="0"/>
                <w:lang w:eastAsia="zh-CN"/>
              </w:rPr>
              <w:t>高覆盖度草甸生态系统</w:t>
            </w:r>
            <w:r>
              <w:rPr>
                <w:rFonts w:hint="eastAsia"/>
              </w:rPr>
              <w:t>，无</w:t>
            </w:r>
            <w:r>
              <w:rPr>
                <w:snapToGrid w:val="0"/>
              </w:rPr>
              <w:t>珍稀濒危动植物存在</w:t>
            </w:r>
            <w:r>
              <w:rPr>
                <w:rFonts w:hint="eastAsia"/>
                <w:snapToGrid w:val="0"/>
              </w:rPr>
              <w:t>。</w:t>
            </w:r>
          </w:p>
          <w:p w14:paraId="21D8ACD7">
            <w:pPr>
              <w:ind w:firstLine="480"/>
            </w:pPr>
            <w:r>
              <w:rPr>
                <w:rFonts w:hint="eastAsia"/>
              </w:rPr>
              <w:t>①</w:t>
            </w:r>
            <w:r>
              <w:t>植被</w:t>
            </w:r>
          </w:p>
          <w:p w14:paraId="40B290ED">
            <w:pPr>
              <w:ind w:firstLine="480"/>
            </w:pPr>
            <w:r>
              <w:t>本项目建设过程中，进行</w:t>
            </w:r>
            <w:r>
              <w:rPr>
                <w:rFonts w:hint="eastAsia"/>
              </w:rPr>
              <w:t>钻孔以及</w:t>
            </w:r>
            <w:r>
              <w:t>填挖时将破坏原有的地形地貌</w:t>
            </w:r>
            <w:r>
              <w:rPr>
                <w:rFonts w:hint="eastAsia"/>
              </w:rPr>
              <w:t>，</w:t>
            </w:r>
            <w:r>
              <w:rPr>
                <w:rFonts w:ascii="Times New Roman" w:hAnsi="Times New Roman" w:eastAsia="宋体" w:cs="Times New Roman"/>
                <w:shd w:val="clear"/>
              </w:rPr>
              <w:t>表土剥离将破坏表层土壤结构及根系浅的草本植物导致局部植被覆盖率短期下降。若表土堆放不当（如未覆盖防尘网），可能因风力侵蚀导致土壤流失，影响后续生态恢复。施工结束后优先将表土回填至扰动区，加速植被自然恢复</w:t>
            </w:r>
            <w:r>
              <w:rPr>
                <w:rFonts w:hint="default" w:ascii="Times New Roman" w:hAnsi="Times New Roman" w:cs="Times New Roman"/>
                <w:shd w:val="clear"/>
              </w:rPr>
              <w:t>。随</w:t>
            </w:r>
            <w:r>
              <w:t>着施工期结束</w:t>
            </w:r>
            <w:r>
              <w:rPr>
                <w:rFonts w:hint="eastAsia"/>
              </w:rPr>
              <w:t>和</w:t>
            </w:r>
            <w:r>
              <w:t>人工恢复，</w:t>
            </w:r>
            <w:r>
              <w:rPr>
                <w:rFonts w:hint="eastAsia"/>
              </w:rPr>
              <w:t>本项目</w:t>
            </w:r>
            <w:r>
              <w:t>建设对其造成的影响将逐步减弱。</w:t>
            </w:r>
          </w:p>
          <w:p w14:paraId="09419B8A">
            <w:pPr>
              <w:ind w:firstLine="480"/>
            </w:pPr>
            <w:r>
              <w:rPr>
                <w:rFonts w:hint="eastAsia"/>
              </w:rPr>
              <w:t>本</w:t>
            </w:r>
            <w:r>
              <w:t>项目施工期间，由于开挖土石方及各种施工机械、运输车辆进入施工现场，以及在施工中产生的扬尘和运输车辆排放尾气对附近植被产生一定的影响，部分粉尘沉降在植物叶片表面，降低植物的光合与呼吸作用，进而对植物生长发育产生一定的影响，特别是植物的美观。</w:t>
            </w:r>
          </w:p>
          <w:p w14:paraId="1E3992A4">
            <w:pPr>
              <w:ind w:firstLine="480"/>
            </w:pPr>
            <w:r>
              <w:t>未回填的沟槽会阻断植物种子借助爬行类、啮齿类及昆虫迁移的路径，尤其影响繁殖期植物种子的扩散，导致局部植被更新受限；沟槽积水可能改变周边土壤水分分布，影响种子萌发和幼苗生长；长期暴露的沟槽迫使动物绕行，减少其对植物种子的携带传播，还会因地表连续性破坏影响植被自然恢复，故需及时回填以保障植被生存与更新</w:t>
            </w:r>
            <w:r>
              <w:rPr>
                <w:rFonts w:hint="eastAsia"/>
              </w:rPr>
              <w:t>。</w:t>
            </w:r>
          </w:p>
          <w:p w14:paraId="1AA46D76">
            <w:pPr>
              <w:ind w:firstLine="480"/>
            </w:pPr>
            <w:r>
              <w:t>本项目用地面积相对较小，对</w:t>
            </w:r>
            <w:r>
              <w:rPr>
                <w:rFonts w:hint="eastAsia"/>
              </w:rPr>
              <w:t>本项目周围</w:t>
            </w:r>
            <w:r>
              <w:t>的植被破坏</w:t>
            </w:r>
            <w:r>
              <w:rPr>
                <w:rFonts w:hint="eastAsia"/>
              </w:rPr>
              <w:t>较小</w:t>
            </w:r>
            <w:r>
              <w:t>。随着施工期结束及人工恢复，</w:t>
            </w:r>
            <w:r>
              <w:rPr>
                <w:rFonts w:hint="eastAsia"/>
              </w:rPr>
              <w:t>本项目</w:t>
            </w:r>
            <w:r>
              <w:t>建设对其造成的影响将逐步减弱。</w:t>
            </w:r>
          </w:p>
          <w:p w14:paraId="7537FEFB">
            <w:pPr>
              <w:ind w:firstLine="480"/>
            </w:pPr>
            <w:r>
              <w:rPr>
                <w:rFonts w:hint="eastAsia"/>
              </w:rPr>
              <w:t>②</w:t>
            </w:r>
            <w:r>
              <w:t>动物</w:t>
            </w:r>
          </w:p>
          <w:p w14:paraId="2F50AB59">
            <w:pPr>
              <w:ind w:firstLine="480"/>
            </w:pPr>
            <w:r>
              <w:rPr>
                <w:rFonts w:hint="eastAsia"/>
              </w:rPr>
              <w:t>工程占地和人类的活动将破坏野生动物赖以生存的环境。区域内各种野生动物经过长期的适应已形成较稳定的取食、饮水、栖息活动范围和分布，勘探过程中地面建设占地将使原有的野生动物的分布、栖息活动范围受到压缩。钻探过程中以及机械设备的轰鸣声会极大地改变野生动物的行为模式。许多动物对环境变化极为敏感，施工区域周边原本活动的野生动物，会因钻探作业产生的震动和噪声，而选择主动避开该区域。钻探作业导致的地表震动，会让它们误以为是天敌来袭，进而频繁更换栖息地，这可能导致其远离原本丰富的食物资源地，影响其正常的生存与繁衍。</w:t>
            </w:r>
          </w:p>
          <w:p w14:paraId="4371C624">
            <w:pPr>
              <w:ind w:firstLine="480"/>
            </w:pPr>
            <w:r>
              <w:rPr>
                <w:rFonts w:hint="eastAsia"/>
              </w:rPr>
              <w:t>人为活动的干扰使得开发区域上空活动的鸟类相对于人类未干扰区要少，而使得局部地段中的爬行类（啮齿类）和昆虫数量有所增加或活动频度增大。这些占地影响对地面活动的野生动物种类产生隔离作用，使原分布区内的种类向外扩，野生动物对新环境适应后其活动和分布范围亦将恢复。由于评价区域不是动物的栖息地，故该建设项目对动物区域性生境不会产生明显影响。</w:t>
            </w:r>
          </w:p>
          <w:p w14:paraId="53927E61">
            <w:pPr>
              <w:ind w:firstLine="480"/>
            </w:pPr>
            <w:r>
              <w:rPr>
                <w:rFonts w:hint="eastAsia"/>
              </w:rPr>
              <w:t>未回填的沟槽可能阻断局部地段中的爬行类（啮齿类）和昆虫的迁移路径，尤其对幼崽或繁殖期个体影响显著。沟槽积水（如遇降雨）可能吸引动物饮水，增加坠坑风险。长期暴露的沟槽会迫使野生动物绕行，扩大其活动范围，增加能量消耗。应在槽探完成后及时回填，恢复地表连续性。</w:t>
            </w:r>
          </w:p>
          <w:p w14:paraId="2429760B">
            <w:pPr>
              <w:pStyle w:val="20"/>
              <w:ind w:firstLine="482"/>
            </w:pPr>
            <w:r>
              <w:rPr>
                <w:rFonts w:hint="eastAsia"/>
              </w:rPr>
              <w:t>5.3</w:t>
            </w:r>
            <w:r>
              <w:t>对景观环境的影响</w:t>
            </w:r>
          </w:p>
          <w:p w14:paraId="4E362CE4">
            <w:pPr>
              <w:ind w:firstLine="480"/>
            </w:pPr>
            <w:r>
              <w:rPr>
                <w:rFonts w:hint="eastAsia"/>
              </w:rPr>
              <w:t>①</w:t>
            </w:r>
            <w:r>
              <w:t>主体工程施工对景观环境的影响</w:t>
            </w:r>
          </w:p>
          <w:p w14:paraId="0B37617D">
            <w:pPr>
              <w:ind w:firstLine="480"/>
            </w:pPr>
            <w:r>
              <w:t>由于工程施工对地表植被的破坏和工程区土壤的扰动，在雨季松散裸露的坡面易形成水土流失，导致区域土壤侵蚀模数增大，对区域城市景观环境质量产生影响。而在旱季，松散的地表在有风和车辆行驶时易形成扬尘，扬尘覆盖在施工场植被及附近建筑表面，使周围景观的美度降低。</w:t>
            </w:r>
          </w:p>
          <w:p w14:paraId="4CDD3D04">
            <w:pPr>
              <w:ind w:firstLine="480"/>
              <w:rPr>
                <w:bCs/>
              </w:rPr>
            </w:pPr>
            <w:r>
              <w:rPr>
                <w:rFonts w:hint="eastAsia"/>
                <w:bCs/>
              </w:rPr>
              <w:t>②</w:t>
            </w:r>
            <w:r>
              <w:rPr>
                <w:bCs/>
              </w:rPr>
              <w:t>临时工程设施对景观环境的影响</w:t>
            </w:r>
          </w:p>
          <w:p w14:paraId="00840D48">
            <w:pPr>
              <w:ind w:firstLine="480"/>
            </w:pPr>
            <w:r>
              <w:t>施工期临时工程设施主要包括</w:t>
            </w:r>
            <w:r>
              <w:rPr>
                <w:rFonts w:hint="eastAsia"/>
              </w:rPr>
              <w:t>施工场地</w:t>
            </w:r>
            <w:r>
              <w:t>等。根据环境现状调查结果，施工人员在</w:t>
            </w:r>
            <w:r>
              <w:rPr>
                <w:rFonts w:hint="eastAsia"/>
              </w:rPr>
              <w:t>项目用地</w:t>
            </w:r>
            <w:r>
              <w:t>红线范围内设置施工</w:t>
            </w:r>
            <w:r>
              <w:rPr>
                <w:rFonts w:hint="eastAsia"/>
              </w:rPr>
              <w:t>场地</w:t>
            </w:r>
            <w:r>
              <w:t>，并及时清理</w:t>
            </w:r>
            <w:r>
              <w:rPr>
                <w:rFonts w:hint="eastAsia"/>
              </w:rPr>
              <w:t>施工场地</w:t>
            </w:r>
            <w:r>
              <w:t>的污染物后，其对景观环境的影响较小。</w:t>
            </w:r>
          </w:p>
          <w:p w14:paraId="01484C08">
            <w:pPr>
              <w:ind w:firstLine="482"/>
              <w:rPr>
                <w:b/>
                <w:bCs/>
              </w:rPr>
            </w:pPr>
            <w:r>
              <w:rPr>
                <w:rFonts w:hint="eastAsia"/>
                <w:b/>
                <w:bCs/>
                <w:lang w:val="en-US" w:eastAsia="zh-CN"/>
              </w:rPr>
              <w:t>5.5</w:t>
            </w:r>
            <w:r>
              <w:rPr>
                <w:rFonts w:hint="eastAsia"/>
                <w:b/>
                <w:bCs/>
              </w:rPr>
              <w:t>生物量损失分析</w:t>
            </w:r>
          </w:p>
          <w:p w14:paraId="44AAB363">
            <w:pPr>
              <w:ind w:firstLine="480"/>
            </w:pPr>
            <w:r>
              <w:rPr>
                <w:rFonts w:hint="eastAsia"/>
              </w:rPr>
              <w:t>项目所在区域已经形成了比较良好的自然生态系统，由于矿山勘探、车辆运输等人为活动，会使地表自然植被遭到破坏，将在一定程度上对原有生态系统的生物量产生影响。从区域生态现状来看，矿山区域及周边均为</w:t>
            </w:r>
            <w:r>
              <w:rPr>
                <w:rFonts w:hint="eastAsia"/>
                <w:lang w:val="en-US" w:eastAsia="zh-CN"/>
              </w:rPr>
              <w:t>草地</w:t>
            </w:r>
            <w:r>
              <w:rPr>
                <w:rFonts w:hint="eastAsia"/>
              </w:rPr>
              <w:t>，</w:t>
            </w:r>
            <w:r>
              <w:rPr>
                <w:rFonts w:hint="eastAsia"/>
                <w:lang w:val="en-US" w:eastAsia="zh-CN"/>
              </w:rPr>
              <w:t>勘探</w:t>
            </w:r>
            <w:r>
              <w:rPr>
                <w:rFonts w:hint="eastAsia"/>
              </w:rPr>
              <w:t>对当地生态系统中生物物种的丰度不会产生影响，只是由于某一物种的数量减少导致各种间的相对密度变化而轻微地改变群落的异质性。区域生物量损失按每平方米损失230g进行计算，本项目探矿过程仅临时用地（</w:t>
            </w:r>
            <w:r>
              <w:rPr>
                <w:rFonts w:hint="eastAsia"/>
                <w:lang w:val="en-US" w:eastAsia="zh-CN"/>
              </w:rPr>
              <w:t>25</w:t>
            </w:r>
            <w:r>
              <w:rPr>
                <w:rFonts w:hint="eastAsia"/>
              </w:rPr>
              <w:t>80m</w:t>
            </w:r>
            <w:r>
              <w:rPr>
                <w:rFonts w:hint="eastAsia"/>
                <w:vertAlign w:val="superscript"/>
              </w:rPr>
              <w:t>2</w:t>
            </w:r>
            <w:r>
              <w:rPr>
                <w:rFonts w:hint="eastAsia"/>
              </w:rPr>
              <w:t>）会造成生</w:t>
            </w:r>
            <w:r>
              <w:rPr>
                <w:rFonts w:hint="eastAsia" w:ascii="宋体" w:hAnsi="宋体" w:cs="宋体"/>
                <w:color w:val="000000"/>
                <w:kern w:val="0"/>
                <w:lang w:bidi="ar"/>
              </w:rPr>
              <w:t>物量损失，生物损失量合计约</w:t>
            </w:r>
            <w:r>
              <w:rPr>
                <w:rFonts w:hint="eastAsia"/>
                <w:color w:val="000000"/>
                <w:kern w:val="0"/>
                <w:lang w:val="en-US" w:eastAsia="zh-CN" w:bidi="ar"/>
              </w:rPr>
              <w:t>593.4</w:t>
            </w:r>
            <w:r>
              <w:rPr>
                <w:color w:val="000000"/>
                <w:kern w:val="0"/>
                <w:lang w:bidi="ar"/>
              </w:rPr>
              <w:t>kg</w:t>
            </w:r>
            <w:r>
              <w:rPr>
                <w:rFonts w:hint="eastAsia" w:ascii="宋体" w:hAnsi="宋体" w:cs="宋体"/>
                <w:color w:val="000000"/>
                <w:kern w:val="0"/>
                <w:lang w:bidi="ar"/>
              </w:rPr>
              <w:t>，</w:t>
            </w:r>
            <w:r>
              <w:rPr>
                <w:rFonts w:hint="eastAsia"/>
              </w:rPr>
              <w:t>但随着矿山复垦工程的实施，可以在一定程度上补偿地表植被的损失。项目探矿期结束后，其所在区域的生态环境可以基本得到恢复，而且由于地方优势草类的共同生长，会发育形成良好的共栖共生环境而增加该地区的物种多样性。</w:t>
            </w:r>
          </w:p>
          <w:p w14:paraId="3873560F">
            <w:pPr>
              <w:pStyle w:val="20"/>
              <w:ind w:firstLine="482"/>
            </w:pPr>
            <w:r>
              <w:rPr>
                <w:rFonts w:hint="eastAsia"/>
              </w:rPr>
              <w:t>5.</w:t>
            </w:r>
            <w:r>
              <w:rPr>
                <w:rFonts w:hint="eastAsia"/>
                <w:lang w:val="en-US" w:eastAsia="zh-CN"/>
              </w:rPr>
              <w:t>6</w:t>
            </w:r>
            <w:r>
              <w:rPr>
                <w:rFonts w:hint="eastAsia"/>
              </w:rPr>
              <w:t>水土流失影响分析</w:t>
            </w:r>
          </w:p>
          <w:p w14:paraId="30C0BDBF">
            <w:pPr>
              <w:ind w:firstLine="480"/>
              <w:rPr>
                <w:rFonts w:hint="eastAsia"/>
              </w:rPr>
            </w:pPr>
            <w:r>
              <w:rPr>
                <w:rFonts w:hint="eastAsia"/>
              </w:rPr>
              <w:t>项目勘查过程中，钻探、槽探等勘查作业会产生大量的弃土弃渣，如果不妥善处理，随意堆放，不仅占用大量土地，还容易成为水土流失的物质源；本项目不涉及水利部办公厅关于印发《全国水土保持规划国家级水土流失重点预防区和重点治理区复核划分成果》的通知（办水保〔2013〕188号）中的重点预防区或重点治理区</w:t>
            </w:r>
            <w:r>
              <w:rPr>
                <w:rFonts w:hint="eastAsia"/>
                <w:lang w:eastAsia="zh-CN"/>
              </w:rPr>
              <w:t>。</w:t>
            </w:r>
            <w:r>
              <w:rPr>
                <w:rFonts w:hint="eastAsia"/>
              </w:rPr>
              <w:t>根据2019年1月21日新疆维吾尔自治区水利厅出具的《关于印发</w:t>
            </w:r>
            <w:bookmarkStart w:id="21" w:name="_GoBack"/>
            <w:r>
              <w:rPr>
                <w:rFonts w:hint="eastAsia"/>
              </w:rPr>
              <w:t>新疆自治区</w:t>
            </w:r>
            <w:bookmarkEnd w:id="21"/>
            <w:r>
              <w:rPr>
                <w:rFonts w:hint="eastAsia"/>
              </w:rPr>
              <w:t>级水土流失重点预防区和重点治理区复核划分成果的通知》（新水水保〔2019〕4号），项目区属于Ⅰ</w:t>
            </w:r>
            <w:r>
              <w:rPr>
                <w:rFonts w:hint="eastAsia"/>
                <w:vertAlign w:val="subscript"/>
              </w:rPr>
              <w:t>1</w:t>
            </w:r>
            <w:r>
              <w:rPr>
                <w:rFonts w:hint="eastAsia"/>
              </w:rPr>
              <w:t>天山山区重点预防区。施工期占地破坏地表植被，同时施工扰动将使施工区及周围的土壤结构和林地遭到破坏，降低水土保持功能，加剧水土流失。</w:t>
            </w:r>
          </w:p>
          <w:p w14:paraId="2F41E449">
            <w:pPr>
              <w:pStyle w:val="20"/>
              <w:ind w:firstLine="482"/>
              <w:rPr>
                <w:rFonts w:hint="eastAsia"/>
                <w:lang w:val="en-US" w:eastAsia="zh-CN"/>
              </w:rPr>
            </w:pPr>
            <w:r>
              <w:rPr>
                <w:rFonts w:hint="eastAsia"/>
              </w:rPr>
              <w:t>5.</w:t>
            </w:r>
            <w:r>
              <w:rPr>
                <w:rFonts w:hint="eastAsia"/>
                <w:lang w:val="en-US" w:eastAsia="zh-CN"/>
              </w:rPr>
              <w:t>7红线区专项保护措施</w:t>
            </w:r>
          </w:p>
          <w:p w14:paraId="1FC66445">
            <w:pPr>
              <w:rPr>
                <w:rFonts w:hint="default"/>
                <w:lang w:val="en-US" w:eastAsia="zh-CN"/>
              </w:rPr>
            </w:pPr>
            <w:r>
              <w:rPr>
                <w:rFonts w:hint="eastAsia"/>
                <w:color w:val="000000"/>
              </w:rPr>
              <w:t>天山水源涵养与生物多样性维护生态保护红线区</w:t>
            </w:r>
            <w:r>
              <w:rPr>
                <w:rFonts w:hint="eastAsia"/>
                <w:color w:val="000000"/>
                <w:lang w:val="en-US" w:eastAsia="zh-CN"/>
              </w:rPr>
              <w:t>紧邻</w:t>
            </w:r>
            <w:r>
              <w:rPr>
                <w:rFonts w:hint="eastAsia"/>
                <w:color w:val="000000"/>
              </w:rPr>
              <w:t>本项目，红线区管控级别</w:t>
            </w:r>
            <w:r>
              <w:rPr>
                <w:rFonts w:hint="eastAsia"/>
                <w:color w:val="000000"/>
                <w:lang w:val="en-US" w:eastAsia="zh-CN"/>
              </w:rPr>
              <w:t>为</w:t>
            </w:r>
            <w:r>
              <w:rPr>
                <w:rFonts w:ascii="Segoe UI" w:hAnsi="Segoe UI" w:eastAsia="Segoe UI" w:cs="Segoe UI"/>
                <w:i w:val="0"/>
                <w:iCs w:val="0"/>
                <w:caps w:val="0"/>
                <w:spacing w:val="0"/>
                <w:sz w:val="24"/>
                <w:szCs w:val="24"/>
                <w:shd w:val="clear" w:fill="FFFFFF"/>
              </w:rPr>
              <w:t>核心保护区</w:t>
            </w:r>
            <w:r>
              <w:rPr>
                <w:rFonts w:hint="eastAsia" w:ascii="Segoe UI" w:hAnsi="Segoe UI" w:eastAsia="宋体" w:cs="Segoe UI"/>
                <w:i w:val="0"/>
                <w:iCs w:val="0"/>
                <w:caps w:val="0"/>
                <w:spacing w:val="0"/>
                <w:sz w:val="24"/>
                <w:szCs w:val="24"/>
                <w:shd w:val="clear" w:fill="FFFFFF"/>
                <w:lang w:eastAsia="zh-CN"/>
              </w:rPr>
              <w:t>，且划定核心保护区外</w:t>
            </w:r>
            <w:r>
              <w:rPr>
                <w:rFonts w:hint="default" w:ascii="Times New Roman" w:hAnsi="Times New Roman" w:eastAsia="宋体" w:cs="Times New Roman"/>
                <w:i w:val="0"/>
                <w:iCs w:val="0"/>
                <w:caps w:val="0"/>
                <w:spacing w:val="0"/>
                <w:sz w:val="24"/>
                <w:szCs w:val="24"/>
                <w:shd w:val="clear" w:fill="FFFFFF"/>
                <w:lang w:eastAsia="zh-CN"/>
              </w:rPr>
              <w:t>500m范围作为生态缓冲区域，本项目施工区域严格设置于红线区核心保护区及500m</w:t>
            </w:r>
            <w:r>
              <w:rPr>
                <w:rFonts w:hint="eastAsia" w:ascii="Segoe UI" w:hAnsi="Segoe UI" w:eastAsia="宋体" w:cs="Segoe UI"/>
                <w:i w:val="0"/>
                <w:iCs w:val="0"/>
                <w:caps w:val="0"/>
                <w:spacing w:val="0"/>
                <w:sz w:val="24"/>
                <w:szCs w:val="24"/>
                <w:shd w:val="clear" w:fill="FFFFFF"/>
                <w:lang w:eastAsia="zh-CN"/>
              </w:rPr>
              <w:t>缓冲区之外</w:t>
            </w:r>
            <w:r>
              <w:rPr>
                <w:rFonts w:hint="eastAsia" w:ascii="Segoe UI" w:hAnsi="Segoe UI" w:cs="Segoe UI"/>
                <w:i w:val="0"/>
                <w:iCs w:val="0"/>
                <w:caps w:val="0"/>
                <w:spacing w:val="0"/>
                <w:sz w:val="24"/>
                <w:szCs w:val="24"/>
                <w:shd w:val="clear" w:fill="FFFFFF"/>
                <w:lang w:eastAsia="zh-CN"/>
              </w:rPr>
              <w:t>，</w:t>
            </w:r>
            <w:r>
              <w:rPr>
                <w:rFonts w:hint="eastAsia"/>
                <w:color w:val="000000"/>
              </w:rPr>
              <w:t>详见《附图7项目区与生态红线位置关系图》。根据《关于加强生态保护红线管理的通知（试行）》</w:t>
            </w:r>
            <w:r>
              <w:rPr>
                <w:rFonts w:hint="eastAsia"/>
                <w:color w:val="000000"/>
                <w:lang w:eastAsia="zh-CN"/>
              </w:rPr>
              <w:t>（</w:t>
            </w:r>
            <w:r>
              <w:rPr>
                <w:rFonts w:hint="eastAsia"/>
                <w:color w:val="000000"/>
              </w:rPr>
              <w:t>2022年</w:t>
            </w:r>
            <w:r>
              <w:rPr>
                <w:rFonts w:hint="eastAsia"/>
                <w:color w:val="000000"/>
                <w:lang w:eastAsia="zh-CN"/>
              </w:rPr>
              <w:t>）</w:t>
            </w:r>
            <w:r>
              <w:rPr>
                <w:rFonts w:hint="eastAsia"/>
                <w:color w:val="000000"/>
              </w:rPr>
              <w:t>要求，勘查开采活动需落实生态影响减缓措施，严格执行绿色勘查、绿色开采及矿山生态修复相关规定。本项目为地质勘探工程，生产活动规模较小，严格控制施工范围，将红线区核心保护区及外围500m缓冲区均划定为施工禁区，设置物理隔离设施（如围栏、警示标识），禁止施工机械、人员进入红线区</w:t>
            </w:r>
            <w:r>
              <w:rPr>
                <w:rFonts w:hint="eastAsia"/>
                <w:color w:val="000000"/>
                <w:lang w:eastAsia="zh-CN"/>
              </w:rPr>
              <w:t>；</w:t>
            </w:r>
            <w:r>
              <w:rPr>
                <w:rFonts w:ascii="Segoe UI" w:hAnsi="Segoe UI" w:eastAsia="Segoe UI" w:cs="Segoe UI"/>
                <w:i w:val="0"/>
                <w:iCs w:val="0"/>
                <w:caps w:val="0"/>
                <w:spacing w:val="0"/>
                <w:sz w:val="24"/>
                <w:szCs w:val="24"/>
                <w:shd w:val="clear" w:fill="FFFFFF"/>
              </w:rPr>
              <w:t>施工废水经沉淀处理后回用，严禁排入红线区及周边水体；施工渣土、</w:t>
            </w:r>
            <w:r>
              <w:rPr>
                <w:rFonts w:hint="eastAsia" w:ascii="Segoe UI" w:hAnsi="Segoe UI" w:eastAsia="宋体" w:cs="Segoe UI"/>
                <w:i w:val="0"/>
                <w:iCs w:val="0"/>
                <w:caps w:val="0"/>
                <w:spacing w:val="0"/>
                <w:sz w:val="24"/>
                <w:szCs w:val="24"/>
                <w:shd w:val="clear" w:fill="FFFFFF"/>
                <w:lang w:val="en-US" w:eastAsia="zh-CN"/>
              </w:rPr>
              <w:t>生活</w:t>
            </w:r>
            <w:r>
              <w:rPr>
                <w:rFonts w:ascii="Segoe UI" w:hAnsi="Segoe UI" w:eastAsia="Segoe UI" w:cs="Segoe UI"/>
                <w:i w:val="0"/>
                <w:iCs w:val="0"/>
                <w:caps w:val="0"/>
                <w:spacing w:val="0"/>
                <w:sz w:val="24"/>
                <w:szCs w:val="24"/>
                <w:shd w:val="clear" w:fill="FFFFFF"/>
              </w:rPr>
              <w:t>垃圾分类存放，及时清运至合规处置场所，严禁在红线区周边堆存；危险废物单独存储、委托专业单位处置，防止渗漏污染</w:t>
            </w:r>
            <w:r>
              <w:rPr>
                <w:rFonts w:hint="eastAsia" w:ascii="Segoe UI" w:hAnsi="Segoe UI" w:eastAsia="宋体" w:cs="Segoe UI"/>
                <w:i w:val="0"/>
                <w:iCs w:val="0"/>
                <w:caps w:val="0"/>
                <w:spacing w:val="0"/>
                <w:sz w:val="24"/>
                <w:szCs w:val="24"/>
                <w:shd w:val="clear" w:fill="FFFFFF"/>
                <w:lang w:eastAsia="zh-CN"/>
              </w:rPr>
              <w:t>；</w:t>
            </w:r>
            <w:r>
              <w:rPr>
                <w:rFonts w:ascii="Segoe UI" w:hAnsi="Segoe UI" w:eastAsia="Segoe UI" w:cs="Segoe UI"/>
                <w:i w:val="0"/>
                <w:iCs w:val="0"/>
                <w:caps w:val="0"/>
                <w:spacing w:val="0"/>
                <w:sz w:val="24"/>
                <w:szCs w:val="24"/>
                <w:shd w:val="clear" w:fill="FFFFFF"/>
              </w:rPr>
              <w:t>设置专人负责红线区保护措施的执行与监督；</w:t>
            </w:r>
            <w:r>
              <w:rPr>
                <w:rFonts w:hint="eastAsia"/>
                <w:color w:val="000000"/>
              </w:rPr>
              <w:t>在采取有效污染防治措施后，对天山水源涵养与生物多样性维护生态保护红线区基本无影响。</w:t>
            </w:r>
          </w:p>
          <w:p w14:paraId="36E1BD3A">
            <w:pPr>
              <w:pStyle w:val="20"/>
              <w:ind w:firstLine="482"/>
            </w:pPr>
            <w:r>
              <w:rPr>
                <w:rFonts w:hint="eastAsia"/>
              </w:rPr>
              <w:t>5.</w:t>
            </w:r>
            <w:r>
              <w:rPr>
                <w:rFonts w:hint="eastAsia"/>
                <w:lang w:val="en-US" w:eastAsia="zh-CN"/>
              </w:rPr>
              <w:t>8</w:t>
            </w:r>
            <w:r>
              <w:rPr>
                <w:rFonts w:hint="eastAsia"/>
              </w:rPr>
              <w:t>生态环境保护措施</w:t>
            </w:r>
          </w:p>
          <w:p w14:paraId="16F7233C">
            <w:pPr>
              <w:ind w:firstLine="480"/>
            </w:pPr>
            <w:r>
              <w:rPr>
                <w:rFonts w:hint="eastAsia"/>
              </w:rPr>
              <w:t>项目在施工期间，严格控制施工范围，不得随意增加临时施工占地，地表表土应妥善保存在表土临时堆场，用于后期复垦覆土，施工弃方均运至废石临时堆场进行存放，不得随意丢弃，施工期生活垃圾</w:t>
            </w:r>
            <w:r>
              <w:rPr>
                <w:rFonts w:hint="eastAsia"/>
                <w:lang w:val="en-US" w:eastAsia="zh-CN"/>
              </w:rPr>
              <w:t>统一收集后送至和静县巴音布鲁克镇垃圾填埋场</w:t>
            </w:r>
            <w:r>
              <w:rPr>
                <w:rFonts w:hint="eastAsia"/>
                <w:lang w:eastAsia="zh-CN"/>
              </w:rPr>
              <w:t>。</w:t>
            </w:r>
            <w:r>
              <w:rPr>
                <w:rFonts w:hint="eastAsia"/>
              </w:rPr>
              <w:t>防治蚊虫、老鼠滋生。</w:t>
            </w:r>
          </w:p>
          <w:p w14:paraId="0E8CA0CA">
            <w:pPr>
              <w:ind w:firstLine="480"/>
            </w:pPr>
            <w:r>
              <w:rPr>
                <w:rFonts w:hint="eastAsia"/>
              </w:rPr>
              <w:t>综上，本项目作为勘探工程，其施工量较小且工期较短，施工期对环境的污染影响主要是粉尘、噪声、施工废水、土石方弃渣以及对建设区的生态破坏等。施工过程中只要严格按照建筑施工规范要求，做到文明清洁施工，施工期产生的“三废”对环境污染影响不大。随着施工的结束，施工影响随着消除。</w:t>
            </w:r>
          </w:p>
        </w:tc>
      </w:tr>
      <w:tr w14:paraId="2C46B0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49" w:hRule="atLeast"/>
          <w:jc w:val="center"/>
        </w:trPr>
        <w:tc>
          <w:tcPr>
            <w:tcW w:w="441" w:type="dxa"/>
            <w:tcMar>
              <w:left w:w="28" w:type="dxa"/>
              <w:right w:w="28" w:type="dxa"/>
            </w:tcMar>
            <w:vAlign w:val="center"/>
          </w:tcPr>
          <w:p w14:paraId="4FEEFEB9">
            <w:pPr>
              <w:pStyle w:val="31"/>
              <w:rPr>
                <w:rFonts w:hint="eastAsia" w:ascii="宋体" w:hAnsi="宋体"/>
                <w:bCs/>
              </w:rPr>
            </w:pPr>
            <w:r>
              <w:rPr>
                <w:rFonts w:hint="eastAsia"/>
              </w:rPr>
              <w:t>运营期生态环境影响分析</w:t>
            </w:r>
          </w:p>
        </w:tc>
        <w:tc>
          <w:tcPr>
            <w:tcW w:w="8540" w:type="dxa"/>
            <w:vAlign w:val="center"/>
          </w:tcPr>
          <w:p w14:paraId="4D6477B8">
            <w:pPr>
              <w:ind w:firstLine="480"/>
            </w:pPr>
            <w:r>
              <w:rPr>
                <w:rFonts w:hint="eastAsia"/>
              </w:rPr>
              <w:t>本项目仅涉及勘探，所以没有运营期。</w:t>
            </w:r>
          </w:p>
        </w:tc>
      </w:tr>
      <w:tr w14:paraId="686C7B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70" w:hRule="atLeast"/>
          <w:jc w:val="center"/>
        </w:trPr>
        <w:tc>
          <w:tcPr>
            <w:tcW w:w="441" w:type="dxa"/>
            <w:tcMar>
              <w:left w:w="28" w:type="dxa"/>
              <w:right w:w="28" w:type="dxa"/>
            </w:tcMar>
            <w:vAlign w:val="center"/>
          </w:tcPr>
          <w:p w14:paraId="2275DF47">
            <w:pPr>
              <w:adjustRightInd w:val="0"/>
              <w:snapToGrid w:val="0"/>
              <w:ind w:left="0" w:leftChars="0" w:firstLine="0" w:firstLineChars="0"/>
              <w:jc w:val="both"/>
              <w:rPr>
                <w:rFonts w:cs="宋体"/>
                <w:szCs w:val="21"/>
              </w:rPr>
            </w:pPr>
            <w:r>
              <w:rPr>
                <w:rFonts w:hint="eastAsia" w:cs="宋体"/>
                <w:szCs w:val="21"/>
              </w:rPr>
              <w:t>选址环境合理性分析</w:t>
            </w:r>
          </w:p>
        </w:tc>
        <w:tc>
          <w:tcPr>
            <w:tcW w:w="8540" w:type="dxa"/>
            <w:vAlign w:val="center"/>
          </w:tcPr>
          <w:p w14:paraId="3B2A487F">
            <w:pPr>
              <w:pStyle w:val="20"/>
              <w:ind w:firstLine="482"/>
            </w:pPr>
            <w:r>
              <w:rPr>
                <w:rFonts w:hint="eastAsia"/>
              </w:rPr>
              <w:t>1、用地合理性</w:t>
            </w:r>
          </w:p>
          <w:p w14:paraId="27D3ACD5">
            <w:pPr>
              <w:keepNext/>
              <w:keepLines/>
              <w:ind w:firstLine="480"/>
              <w:textAlignment w:val="center"/>
              <w:outlineLvl w:val="1"/>
              <w:rPr>
                <w:color w:val="000000"/>
              </w:rPr>
            </w:pPr>
            <w:r>
              <w:rPr>
                <w:rFonts w:hint="eastAsia"/>
              </w:rPr>
              <w:t>项目区位于</w:t>
            </w:r>
            <w:r>
              <w:rPr>
                <w:rFonts w:hint="eastAsia"/>
                <w:lang w:eastAsia="zh-CN"/>
              </w:rPr>
              <w:t>和静县287°方向直线距离约130千米处</w:t>
            </w:r>
            <w:r>
              <w:rPr>
                <w:rFonts w:hint="eastAsia"/>
              </w:rPr>
              <w:t>，行政区划隶属巴音郭楞蒙古自治州和静县管辖。</w:t>
            </w:r>
            <w:r>
              <w:rPr>
                <w:rFonts w:hint="eastAsia"/>
                <w:color w:val="000000"/>
              </w:rPr>
              <w:t>项目区不涉及饮用水水源保护区、自然保护区、风景名胜区、地质公园、森林公园及人文古迹等环境敏感点，矿区范围内无村民居住，不涉及拆迁，因此，本项目用地合理。</w:t>
            </w:r>
          </w:p>
          <w:p w14:paraId="29E409D1">
            <w:pPr>
              <w:pStyle w:val="20"/>
              <w:ind w:firstLine="482"/>
            </w:pPr>
            <w:r>
              <w:rPr>
                <w:rFonts w:hint="eastAsia"/>
              </w:rPr>
              <w:t>2、临时道路选址合理性分析</w:t>
            </w:r>
          </w:p>
          <w:p w14:paraId="66DED5D0">
            <w:pPr>
              <w:ind w:firstLine="480"/>
              <w:rPr>
                <w:color w:val="000000"/>
              </w:rPr>
            </w:pPr>
            <w:r>
              <w:rPr>
                <w:rFonts w:hint="eastAsia"/>
              </w:rPr>
              <w:t>矿区内部存在一条路宽约为4米的简易道路，该道路为过去探矿遗留的旧路，保存较完整，平整路面，清理落石后可作为本项目的临时道路，道路沿线不涉及居民区及河流等环境敏感点，利用此道路车辆可到达本项目探矿点，大大节省了人力物力，道路使用过程控制车速并及时洒水降尘，不会对环境产生较大影响，因此，该临时道路选址合理。</w:t>
            </w:r>
          </w:p>
          <w:p w14:paraId="5A6FFE3C">
            <w:pPr>
              <w:pStyle w:val="20"/>
              <w:ind w:firstLine="482"/>
            </w:pPr>
            <w:r>
              <w:rPr>
                <w:rFonts w:hint="eastAsia"/>
              </w:rPr>
              <w:t>3、与周边环境相容性分析</w:t>
            </w:r>
          </w:p>
          <w:p w14:paraId="3F159BA0">
            <w:pPr>
              <w:keepNext/>
              <w:keepLines/>
              <w:ind w:firstLine="480"/>
              <w:textAlignment w:val="center"/>
              <w:outlineLvl w:val="1"/>
            </w:pPr>
            <w:r>
              <w:rPr>
                <w:rFonts w:hint="eastAsia"/>
              </w:rPr>
              <w:t>根据现场踏勘可知，周边环境</w:t>
            </w:r>
            <w:r>
              <w:t>基本为</w:t>
            </w:r>
            <w:r>
              <w:rPr>
                <w:rFonts w:hint="eastAsia"/>
                <w:color w:val="000000"/>
                <w:kern w:val="0"/>
                <w:lang w:eastAsia="zh-CN"/>
              </w:rPr>
              <w:t>高覆盖度草甸生态系统</w:t>
            </w:r>
            <w:r>
              <w:t>。植被覆盖度在</w:t>
            </w:r>
            <w:r>
              <w:rPr>
                <w:rFonts w:hint="eastAsia"/>
                <w:lang w:val="en-US" w:eastAsia="zh-CN"/>
              </w:rPr>
              <w:t>8</w:t>
            </w:r>
            <w:r>
              <w:rPr>
                <w:rFonts w:hint="eastAsia"/>
              </w:rPr>
              <w:t>0</w:t>
            </w:r>
            <w:r>
              <w:t>—</w:t>
            </w:r>
            <w:r>
              <w:rPr>
                <w:rFonts w:hint="eastAsia"/>
                <w:lang w:val="en-US" w:eastAsia="zh-CN"/>
              </w:rPr>
              <w:t>9</w:t>
            </w:r>
            <w:r>
              <w:t>0%之间</w:t>
            </w:r>
            <w:r>
              <w:rPr>
                <w:rFonts w:hint="eastAsia"/>
              </w:rPr>
              <w:t>，探矿区域周围5</w:t>
            </w:r>
            <w:r>
              <w:t>00m</w:t>
            </w:r>
            <w:r>
              <w:rPr>
                <w:rFonts w:hint="eastAsia"/>
              </w:rPr>
              <w:t>范围内无住户，项目周边不涉及重点生态功能区，生态敏感脆弱区，自然保护区，风景名胜区，国家级、省级禁止开发区域及其他应划入生态保护红线范围内的区域，外环境无重大环境制约因素。</w:t>
            </w:r>
            <w:r>
              <w:t>本项目的建设对外环境无特殊要求，</w:t>
            </w:r>
            <w:r>
              <w:rPr>
                <w:rFonts w:hint="eastAsia"/>
              </w:rPr>
              <w:t>本</w:t>
            </w:r>
            <w:r>
              <w:t>项目产生的废水、废气、噪声、固废等各项污染物通过采取相应措施后均可达标排放，通过项目的合理布局、严格管理、积极推进企业清洁生产</w:t>
            </w:r>
            <w:r>
              <w:rPr>
                <w:rFonts w:hint="eastAsia"/>
                <w:lang w:eastAsia="zh-CN"/>
              </w:rPr>
              <w:t>及其他有</w:t>
            </w:r>
            <w:r>
              <w:t>针对性的污染防治措施，可有效避免和减轻项目建设过程对周围环境的影响。因此，本项目选址合理，与周边外环境相容。</w:t>
            </w:r>
          </w:p>
          <w:p w14:paraId="1DE977CE">
            <w:pPr>
              <w:keepNext/>
              <w:keepLines/>
              <w:ind w:firstLine="480"/>
              <w:textAlignment w:val="center"/>
              <w:outlineLvl w:val="1"/>
            </w:pPr>
            <w:r>
              <w:rPr>
                <w:rFonts w:hint="eastAsia"/>
              </w:rPr>
              <w:t>矿区</w:t>
            </w:r>
            <w:r>
              <w:t>内多为基本为</w:t>
            </w:r>
            <w:r>
              <w:rPr>
                <w:rFonts w:hint="eastAsia"/>
                <w:color w:val="000000"/>
                <w:kern w:val="0"/>
                <w:lang w:eastAsia="zh-CN"/>
              </w:rPr>
              <w:t>高覆盖度草甸生态系统</w:t>
            </w:r>
            <w:r>
              <w:t>。</w:t>
            </w:r>
            <w:r>
              <w:rPr>
                <w:rFonts w:hint="eastAsia"/>
              </w:rPr>
              <w:t>探矿区范围内无珍稀保护植物、未发现珍稀保护动物。</w:t>
            </w:r>
          </w:p>
          <w:p w14:paraId="11C47920">
            <w:pPr>
              <w:keepNext/>
              <w:keepLines/>
              <w:ind w:firstLine="480"/>
              <w:textAlignment w:val="center"/>
              <w:outlineLvl w:val="1"/>
            </w:pPr>
            <w:r>
              <w:rPr>
                <w:rFonts w:hint="eastAsia"/>
              </w:rPr>
              <w:t>综上所述，本项目选址合理。</w:t>
            </w:r>
          </w:p>
        </w:tc>
      </w:tr>
      <w:bookmarkEnd w:id="7"/>
    </w:tbl>
    <w:p w14:paraId="3303D005">
      <w:pPr>
        <w:adjustRightInd w:val="0"/>
        <w:snapToGrid w:val="0"/>
        <w:ind w:firstLine="562"/>
        <w:rPr>
          <w:rFonts w:ascii="宋体" w:cs="宋体"/>
          <w:b/>
          <w:kern w:val="0"/>
          <w:sz w:val="28"/>
          <w:szCs w:val="28"/>
        </w:rPr>
        <w:sectPr>
          <w:pgSz w:w="11907" w:h="16840"/>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25AEBF8">
      <w:pPr>
        <w:pStyle w:val="4"/>
        <w:rPr>
          <w:snapToGrid w:val="0"/>
        </w:rPr>
      </w:pPr>
      <w:r>
        <w:rPr>
          <w:rFonts w:hint="eastAsia"/>
          <w:snapToGrid w:val="0"/>
        </w:rPr>
        <w:t>五、主要生态环境保护措施</w:t>
      </w:r>
    </w:p>
    <w:tbl>
      <w:tblPr>
        <w:tblStyle w:val="23"/>
        <w:tblpPr w:leftFromText="180" w:rightFromText="180" w:vertAnchor="text" w:tblpXSpec="center" w:tblpY="1"/>
        <w:tblOverlap w:val="never"/>
        <w:tblW w:w="89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525"/>
      </w:tblGrid>
      <w:tr w14:paraId="4F142A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4" w:type="dxa"/>
            <w:tcMar>
              <w:left w:w="28" w:type="dxa"/>
              <w:right w:w="28" w:type="dxa"/>
            </w:tcMar>
            <w:vAlign w:val="center"/>
          </w:tcPr>
          <w:p w14:paraId="34654AC9">
            <w:pPr>
              <w:pStyle w:val="31"/>
            </w:pPr>
            <w:r>
              <w:rPr>
                <w:rFonts w:hint="eastAsia"/>
              </w:rPr>
              <w:t>施工期生态环境保护措施</w:t>
            </w:r>
          </w:p>
        </w:tc>
        <w:tc>
          <w:tcPr>
            <w:tcW w:w="8154" w:type="dxa"/>
            <w:vAlign w:val="center"/>
          </w:tcPr>
          <w:p w14:paraId="6BF68E6E">
            <w:pPr>
              <w:ind w:firstLine="480"/>
            </w:pPr>
            <w:r>
              <w:rPr>
                <w:rFonts w:hint="eastAsia"/>
              </w:rPr>
              <w:t>本项目施工期工程量较小，主要为</w:t>
            </w:r>
            <w:r>
              <w:rPr>
                <w:rFonts w:hint="eastAsia"/>
                <w:lang w:val="en-US" w:eastAsia="zh-CN"/>
              </w:rPr>
              <w:t>勘查</w:t>
            </w:r>
            <w:r>
              <w:rPr>
                <w:rFonts w:hint="eastAsia"/>
              </w:rPr>
              <w:t>前场地平整、建设加工设施等，施工期环境保护措施情况如下：</w:t>
            </w:r>
          </w:p>
          <w:p w14:paraId="6A0A8F08">
            <w:pPr>
              <w:pStyle w:val="20"/>
              <w:ind w:firstLine="482"/>
            </w:pPr>
            <w:r>
              <w:rPr>
                <w:rFonts w:hint="eastAsia"/>
              </w:rPr>
              <w:t>1、废气防治措施分析</w:t>
            </w:r>
          </w:p>
          <w:p w14:paraId="10306111">
            <w:pPr>
              <w:ind w:firstLine="480"/>
            </w:pPr>
            <w:r>
              <w:rPr>
                <w:rFonts w:hint="eastAsia"/>
              </w:rPr>
              <w:t>本工程施工期对大气环境的影响主要表现为扬尘以及运输车辆、柴油发电机及施工机械等产生的燃油烟气。</w:t>
            </w:r>
          </w:p>
          <w:p w14:paraId="36943BC9">
            <w:pPr>
              <w:pStyle w:val="20"/>
              <w:ind w:firstLine="482"/>
            </w:pPr>
            <w:r>
              <w:rPr>
                <w:rFonts w:hint="eastAsia"/>
              </w:rPr>
              <w:t>1.1扬尘</w:t>
            </w:r>
          </w:p>
          <w:p w14:paraId="2E701944">
            <w:pPr>
              <w:ind w:firstLine="480"/>
            </w:pPr>
            <w:r>
              <w:rPr>
                <w:rFonts w:hint="eastAsia"/>
              </w:rPr>
              <w:t>针对本项目产生的扬尘，环评要求如下：</w:t>
            </w:r>
          </w:p>
          <w:p w14:paraId="17E57BE0">
            <w:pPr>
              <w:ind w:firstLine="480"/>
            </w:pPr>
            <w:r>
              <w:rPr>
                <w:rFonts w:hint="eastAsia"/>
              </w:rPr>
              <w:t>①对运输道路及作业点周围应采取地面洒水降尘等措施；</w:t>
            </w:r>
          </w:p>
          <w:p w14:paraId="0E247B11">
            <w:pPr>
              <w:ind w:firstLine="480"/>
            </w:pPr>
            <w:r>
              <w:rPr>
                <w:rFonts w:hint="eastAsia"/>
              </w:rPr>
              <w:t>②定时清理场地，不能及时清运的要求采取覆盖，洒水抑尘等措施；</w:t>
            </w:r>
          </w:p>
          <w:p w14:paraId="53E2A7D6">
            <w:pPr>
              <w:ind w:firstLine="480"/>
            </w:pPr>
            <w:r>
              <w:rPr>
                <w:rFonts w:hint="eastAsia"/>
              </w:rPr>
              <w:t>③在工作中建议施工人员戴口罩、防尘面罩等劳动防护装备，同时避开大风天气作业；</w:t>
            </w:r>
          </w:p>
          <w:p w14:paraId="38A4ED74">
            <w:pPr>
              <w:ind w:firstLine="480"/>
            </w:pPr>
            <w:r>
              <w:rPr>
                <w:rFonts w:hint="eastAsia"/>
              </w:rPr>
              <w:t>④尽量选用清洁能源，并做好维护工作，使用性能优良的施工车辆和机械，不使用超期服役的车辆、机械，使各类施工机械、车辆尾气排放尾气符合相关环保要求。</w:t>
            </w:r>
          </w:p>
          <w:p w14:paraId="055D38AA">
            <w:pPr>
              <w:pStyle w:val="20"/>
              <w:ind w:firstLine="482"/>
            </w:pPr>
            <w:r>
              <w:rPr>
                <w:rFonts w:hint="eastAsia"/>
              </w:rPr>
              <w:t>1.2燃油废气</w:t>
            </w:r>
          </w:p>
          <w:p w14:paraId="3B0140C1">
            <w:pPr>
              <w:ind w:firstLine="480"/>
            </w:pPr>
            <w:r>
              <w:rPr>
                <w:rFonts w:hint="eastAsia"/>
              </w:rPr>
              <w:t>对柴油发电机定期维护保养，提高其燃烧效率，减少尾气排放量，由于燃油废气排放总量较小，且排放点较为分散，属无组织排放。</w:t>
            </w:r>
          </w:p>
          <w:p w14:paraId="436DEA1F">
            <w:pPr>
              <w:ind w:firstLine="480"/>
            </w:pPr>
            <w:r>
              <w:rPr>
                <w:rFonts w:hint="eastAsia"/>
              </w:rPr>
              <w:t>综上所述，通过加强施工期间扬尘治理，柴油发电机定期维护保养，施工作业对周边环境的影响范围有限，且施工大气污染是短期的、局部的，施工结束后即会消失，故项目施工期间对大气环境的影响较小。</w:t>
            </w:r>
          </w:p>
          <w:p w14:paraId="4F6E3E87">
            <w:pPr>
              <w:ind w:firstLine="480"/>
            </w:pPr>
            <w:r>
              <w:rPr>
                <w:rFonts w:hint="eastAsia"/>
              </w:rPr>
              <w:t>通过采取上述措施即可减小施工期对区域大气环境的影响，且防治措施经济可行。</w:t>
            </w:r>
          </w:p>
          <w:p w14:paraId="2E0E4E6B">
            <w:pPr>
              <w:pStyle w:val="20"/>
              <w:ind w:firstLine="482"/>
            </w:pPr>
            <w:r>
              <w:rPr>
                <w:rFonts w:hint="eastAsia"/>
              </w:rPr>
              <w:t>2、废水防治措施分析</w:t>
            </w:r>
          </w:p>
          <w:p w14:paraId="3C747207">
            <w:pPr>
              <w:ind w:firstLine="480"/>
              <w:rPr>
                <w:rFonts w:hint="eastAsia"/>
              </w:rPr>
            </w:pPr>
            <w:r>
              <w:rPr>
                <w:rFonts w:hint="eastAsia"/>
              </w:rPr>
              <w:t>施工废水主要来自钻探废水和生活废水，钻探废水主要污染物为SS，经过钻孔附近的沉淀池收集沉淀后，大部分回用于钻探工序，部分用于施工场地洒水降尘，不外排。生活污水来源于施工人员及工地管理人员，其污染物较为简单，主要为SS、NH</w:t>
            </w:r>
            <w:r>
              <w:rPr>
                <w:rFonts w:hint="eastAsia"/>
                <w:vertAlign w:val="subscript"/>
              </w:rPr>
              <w:t>3</w:t>
            </w:r>
            <w:r>
              <w:rPr>
                <w:rFonts w:hint="eastAsia"/>
              </w:rPr>
              <w:t>-N、COD、BOD</w:t>
            </w:r>
            <w:r>
              <w:rPr>
                <w:rFonts w:hint="eastAsia"/>
                <w:vertAlign w:val="subscript"/>
              </w:rPr>
              <w:t>5</w:t>
            </w:r>
            <w:r>
              <w:rPr>
                <w:rFonts w:hint="eastAsia"/>
              </w:rPr>
              <w:t>等。</w:t>
            </w:r>
            <w:r>
              <w:rPr>
                <w:rFonts w:hint="eastAsia"/>
                <w:shd w:val="clear" w:color="auto" w:fill="auto"/>
                <w:lang w:val="en-US" w:eastAsia="zh-CN"/>
              </w:rPr>
              <w:t>生活污水排入一体化污水处理设施后，其出水标准可达到《农村生活污水处理排放标准》（DB654275-2019）表2中C级标准，用于洒水降尘和周边绿化，不外排</w:t>
            </w:r>
            <w:r>
              <w:rPr>
                <w:rFonts w:hint="eastAsia"/>
              </w:rPr>
              <w:t>。通过上述措施即可减小施工期对水环境的影响，且防治措施经济可行。</w:t>
            </w:r>
          </w:p>
          <w:p w14:paraId="725C0672">
            <w:pPr>
              <w:widowControl/>
              <w:spacing w:line="240" w:lineRule="auto"/>
              <w:ind w:firstLine="422"/>
              <w:jc w:val="center"/>
              <w:rPr>
                <w:rFonts w:hint="eastAsia"/>
                <w:b/>
                <w:kern w:val="0"/>
                <w:sz w:val="21"/>
                <w:szCs w:val="20"/>
                <w:lang w:val="en-US" w:eastAsia="zh-CN"/>
              </w:rPr>
            </w:pPr>
            <w:r>
              <w:rPr>
                <w:rFonts w:hint="eastAsia"/>
                <w:b/>
                <w:kern w:val="0"/>
                <w:sz w:val="21"/>
                <w:szCs w:val="20"/>
                <w:lang w:val="en-US" w:eastAsia="zh-CN"/>
              </w:rPr>
              <w:t>农村生活污水处理设施出水用于生态恢复的污染物排放限值（日均值）</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4218"/>
              <w:gridCol w:w="2767"/>
            </w:tblGrid>
            <w:tr w14:paraId="3F4C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Align w:val="center"/>
                </w:tcPr>
                <w:p w14:paraId="31663FFA">
                  <w:pPr>
                    <w:pStyle w:val="38"/>
                    <w:spacing w:line="240" w:lineRule="auto"/>
                    <w:rPr>
                      <w:rFonts w:hint="eastAsia"/>
                      <w:b/>
                      <w:bCs/>
                      <w:lang w:val="en-US" w:eastAsia="zh-CN"/>
                    </w:rPr>
                  </w:pPr>
                  <w:r>
                    <w:rPr>
                      <w:rFonts w:hint="default"/>
                      <w:b/>
                      <w:bCs/>
                      <w:lang w:val="en-US" w:eastAsia="zh-CN"/>
                    </w:rPr>
                    <w:t>序号</w:t>
                  </w:r>
                </w:p>
              </w:tc>
              <w:tc>
                <w:tcPr>
                  <w:tcW w:w="4218" w:type="dxa"/>
                  <w:vAlign w:val="center"/>
                </w:tcPr>
                <w:p w14:paraId="4EEB166E">
                  <w:pPr>
                    <w:pStyle w:val="38"/>
                    <w:spacing w:line="240" w:lineRule="auto"/>
                    <w:rPr>
                      <w:rFonts w:hint="eastAsia"/>
                      <w:b/>
                      <w:bCs/>
                      <w:lang w:val="en-US" w:eastAsia="zh-CN"/>
                    </w:rPr>
                  </w:pPr>
                  <w:r>
                    <w:rPr>
                      <w:rFonts w:hint="default"/>
                      <w:b/>
                      <w:bCs/>
                      <w:lang w:val="en-US" w:eastAsia="zh-CN"/>
                    </w:rPr>
                    <w:t>污染物或项目名称</w:t>
                  </w:r>
                </w:p>
              </w:tc>
              <w:tc>
                <w:tcPr>
                  <w:tcW w:w="2767" w:type="dxa"/>
                  <w:vAlign w:val="center"/>
                </w:tcPr>
                <w:p w14:paraId="343FF3A4">
                  <w:pPr>
                    <w:pStyle w:val="38"/>
                    <w:spacing w:line="240" w:lineRule="auto"/>
                    <w:rPr>
                      <w:rFonts w:hint="eastAsia"/>
                      <w:b/>
                      <w:bCs/>
                      <w:lang w:val="en-US" w:eastAsia="zh-CN"/>
                    </w:rPr>
                  </w:pPr>
                  <w:r>
                    <w:rPr>
                      <w:rFonts w:hint="eastAsia"/>
                      <w:b/>
                      <w:bCs/>
                      <w:lang w:val="en-US" w:eastAsia="zh-CN"/>
                    </w:rPr>
                    <w:t>C</w:t>
                  </w:r>
                  <w:r>
                    <w:rPr>
                      <w:rFonts w:hint="default"/>
                      <w:b/>
                      <w:bCs/>
                      <w:lang w:val="en-US" w:eastAsia="zh-CN"/>
                    </w:rPr>
                    <w:t>级</w:t>
                  </w:r>
                </w:p>
              </w:tc>
            </w:tr>
            <w:tr w14:paraId="266F9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Align w:val="center"/>
                </w:tcPr>
                <w:p w14:paraId="6F3641F8">
                  <w:pPr>
                    <w:pStyle w:val="38"/>
                    <w:spacing w:line="240" w:lineRule="auto"/>
                    <w:rPr>
                      <w:rFonts w:hint="eastAsia"/>
                      <w:lang w:val="en-US" w:eastAsia="zh-CN"/>
                    </w:rPr>
                  </w:pPr>
                  <w:r>
                    <w:rPr>
                      <w:rFonts w:hint="default"/>
                      <w:lang w:val="en-US" w:eastAsia="zh-CN"/>
                    </w:rPr>
                    <w:t>1</w:t>
                  </w:r>
                </w:p>
              </w:tc>
              <w:tc>
                <w:tcPr>
                  <w:tcW w:w="4218" w:type="dxa"/>
                  <w:vAlign w:val="center"/>
                </w:tcPr>
                <w:p w14:paraId="5F559AFA">
                  <w:pPr>
                    <w:pStyle w:val="38"/>
                    <w:spacing w:line="240" w:lineRule="auto"/>
                    <w:rPr>
                      <w:rFonts w:hint="eastAsia"/>
                      <w:lang w:val="en-US" w:eastAsia="zh-CN"/>
                    </w:rPr>
                  </w:pPr>
                  <w:r>
                    <w:rPr>
                      <w:rFonts w:hint="default"/>
                      <w:lang w:val="en-US" w:eastAsia="zh-CN"/>
                    </w:rPr>
                    <w:t>pH值</w:t>
                  </w:r>
                </w:p>
              </w:tc>
              <w:tc>
                <w:tcPr>
                  <w:tcW w:w="2767" w:type="dxa"/>
                  <w:vAlign w:val="center"/>
                </w:tcPr>
                <w:p w14:paraId="70C5EFB5">
                  <w:pPr>
                    <w:pStyle w:val="38"/>
                    <w:spacing w:line="240" w:lineRule="auto"/>
                    <w:rPr>
                      <w:rFonts w:hint="eastAsia"/>
                      <w:lang w:val="en-US" w:eastAsia="zh-CN"/>
                    </w:rPr>
                  </w:pPr>
                  <w:r>
                    <w:rPr>
                      <w:rFonts w:hint="default"/>
                      <w:lang w:val="en-US" w:eastAsia="zh-CN"/>
                    </w:rPr>
                    <w:t>-</w:t>
                  </w:r>
                </w:p>
              </w:tc>
            </w:tr>
            <w:tr w14:paraId="00BA5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Align w:val="center"/>
                </w:tcPr>
                <w:p w14:paraId="577E7FC0">
                  <w:pPr>
                    <w:pStyle w:val="38"/>
                    <w:spacing w:line="240" w:lineRule="auto"/>
                    <w:rPr>
                      <w:rFonts w:hint="eastAsia"/>
                      <w:lang w:val="en-US" w:eastAsia="zh-CN"/>
                    </w:rPr>
                  </w:pPr>
                  <w:r>
                    <w:rPr>
                      <w:rFonts w:hint="default"/>
                      <w:lang w:val="en-US" w:eastAsia="zh-CN"/>
                    </w:rPr>
                    <w:t>2</w:t>
                  </w:r>
                </w:p>
              </w:tc>
              <w:tc>
                <w:tcPr>
                  <w:tcW w:w="4218" w:type="dxa"/>
                  <w:vAlign w:val="center"/>
                </w:tcPr>
                <w:p w14:paraId="4C22B91D">
                  <w:pPr>
                    <w:pStyle w:val="38"/>
                    <w:spacing w:line="240" w:lineRule="auto"/>
                    <w:rPr>
                      <w:rFonts w:hint="eastAsia"/>
                      <w:lang w:val="en-US" w:eastAsia="zh-CN"/>
                    </w:rPr>
                  </w:pPr>
                  <w:r>
                    <w:rPr>
                      <w:rFonts w:hint="default"/>
                      <w:lang w:val="en-US" w:eastAsia="zh-CN"/>
                    </w:rPr>
                    <w:t>化学需氧量（COD₆₀），mg/L</w:t>
                  </w:r>
                </w:p>
              </w:tc>
              <w:tc>
                <w:tcPr>
                  <w:tcW w:w="2767" w:type="dxa"/>
                  <w:vAlign w:val="center"/>
                </w:tcPr>
                <w:p w14:paraId="45CD1B35">
                  <w:pPr>
                    <w:pStyle w:val="38"/>
                    <w:spacing w:line="240" w:lineRule="auto"/>
                    <w:rPr>
                      <w:rFonts w:hint="default"/>
                      <w:lang w:val="en-US" w:eastAsia="zh-CN"/>
                    </w:rPr>
                  </w:pPr>
                  <w:r>
                    <w:rPr>
                      <w:rFonts w:hint="eastAsia"/>
                      <w:lang w:val="en-US" w:eastAsia="zh-CN"/>
                    </w:rPr>
                    <w:t>200</w:t>
                  </w:r>
                </w:p>
              </w:tc>
            </w:tr>
            <w:tr w14:paraId="33FD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Align w:val="center"/>
                </w:tcPr>
                <w:p w14:paraId="5EBB2C22">
                  <w:pPr>
                    <w:pStyle w:val="38"/>
                    <w:spacing w:line="240" w:lineRule="auto"/>
                    <w:rPr>
                      <w:rFonts w:hint="eastAsia"/>
                      <w:lang w:val="en-US" w:eastAsia="zh-CN"/>
                    </w:rPr>
                  </w:pPr>
                  <w:r>
                    <w:rPr>
                      <w:rFonts w:hint="default"/>
                      <w:lang w:val="en-US" w:eastAsia="zh-CN"/>
                    </w:rPr>
                    <w:t>3</w:t>
                  </w:r>
                </w:p>
              </w:tc>
              <w:tc>
                <w:tcPr>
                  <w:tcW w:w="4218" w:type="dxa"/>
                  <w:vAlign w:val="center"/>
                </w:tcPr>
                <w:p w14:paraId="6AD73BFA">
                  <w:pPr>
                    <w:pStyle w:val="38"/>
                    <w:spacing w:line="240" w:lineRule="auto"/>
                    <w:rPr>
                      <w:rFonts w:hint="eastAsia"/>
                      <w:lang w:val="en-US" w:eastAsia="zh-CN"/>
                    </w:rPr>
                  </w:pPr>
                  <w:r>
                    <w:rPr>
                      <w:rFonts w:hint="default"/>
                      <w:lang w:val="en-US" w:eastAsia="zh-CN"/>
                    </w:rPr>
                    <w:t>悬浮物（SS），mg/L</w:t>
                  </w:r>
                </w:p>
              </w:tc>
              <w:tc>
                <w:tcPr>
                  <w:tcW w:w="2767" w:type="dxa"/>
                  <w:vAlign w:val="center"/>
                </w:tcPr>
                <w:p w14:paraId="7547CCE0">
                  <w:pPr>
                    <w:pStyle w:val="38"/>
                    <w:spacing w:line="240" w:lineRule="auto"/>
                    <w:rPr>
                      <w:rFonts w:hint="default"/>
                      <w:lang w:val="en-US" w:eastAsia="zh-CN"/>
                    </w:rPr>
                  </w:pPr>
                  <w:r>
                    <w:rPr>
                      <w:rFonts w:hint="eastAsia"/>
                      <w:lang w:val="en-US" w:eastAsia="zh-CN"/>
                    </w:rPr>
                    <w:t>100</w:t>
                  </w:r>
                </w:p>
              </w:tc>
            </w:tr>
            <w:tr w14:paraId="4AFFD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Align w:val="center"/>
                </w:tcPr>
                <w:p w14:paraId="4DD13E02">
                  <w:pPr>
                    <w:pStyle w:val="38"/>
                    <w:spacing w:line="240" w:lineRule="auto"/>
                    <w:rPr>
                      <w:rFonts w:hint="eastAsia"/>
                      <w:lang w:val="en-US" w:eastAsia="zh-CN"/>
                    </w:rPr>
                  </w:pPr>
                  <w:r>
                    <w:rPr>
                      <w:rFonts w:hint="default"/>
                      <w:lang w:val="en-US" w:eastAsia="zh-CN"/>
                    </w:rPr>
                    <w:t>4</w:t>
                  </w:r>
                </w:p>
              </w:tc>
              <w:tc>
                <w:tcPr>
                  <w:tcW w:w="4218" w:type="dxa"/>
                  <w:vAlign w:val="center"/>
                </w:tcPr>
                <w:p w14:paraId="313734B1">
                  <w:pPr>
                    <w:pStyle w:val="38"/>
                    <w:spacing w:line="240" w:lineRule="auto"/>
                    <w:rPr>
                      <w:rFonts w:hint="eastAsia"/>
                      <w:lang w:val="en-US" w:eastAsia="zh-CN"/>
                    </w:rPr>
                  </w:pPr>
                  <w:r>
                    <w:rPr>
                      <w:rFonts w:hint="default"/>
                      <w:lang w:val="en-US" w:eastAsia="zh-CN"/>
                    </w:rPr>
                    <w:t>粪大肠菌群，MPN/L</w:t>
                  </w:r>
                </w:p>
              </w:tc>
              <w:tc>
                <w:tcPr>
                  <w:tcW w:w="2767" w:type="dxa"/>
                  <w:vAlign w:val="center"/>
                </w:tcPr>
                <w:p w14:paraId="311692CE">
                  <w:pPr>
                    <w:pStyle w:val="38"/>
                    <w:spacing w:line="240" w:lineRule="auto"/>
                    <w:rPr>
                      <w:rFonts w:hint="eastAsia"/>
                      <w:lang w:val="en-US" w:eastAsia="zh-CN"/>
                    </w:rPr>
                  </w:pPr>
                  <w:r>
                    <w:rPr>
                      <w:rFonts w:hint="eastAsia"/>
                      <w:lang w:val="en-US" w:eastAsia="zh-CN"/>
                    </w:rPr>
                    <w:t>40</w:t>
                  </w:r>
                  <w:r>
                    <w:rPr>
                      <w:rFonts w:hint="default"/>
                      <w:lang w:val="en-US" w:eastAsia="zh-CN"/>
                    </w:rPr>
                    <w:t>000</w:t>
                  </w:r>
                </w:p>
              </w:tc>
            </w:tr>
            <w:tr w14:paraId="7ECAE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Align w:val="center"/>
                </w:tcPr>
                <w:p w14:paraId="0A108D96">
                  <w:pPr>
                    <w:pStyle w:val="38"/>
                    <w:spacing w:line="240" w:lineRule="auto"/>
                    <w:rPr>
                      <w:rFonts w:hint="eastAsia"/>
                      <w:lang w:val="en-US" w:eastAsia="zh-CN"/>
                    </w:rPr>
                  </w:pPr>
                  <w:r>
                    <w:rPr>
                      <w:rFonts w:hint="default"/>
                      <w:lang w:val="en-US" w:eastAsia="zh-CN"/>
                    </w:rPr>
                    <w:t>5</w:t>
                  </w:r>
                </w:p>
              </w:tc>
              <w:tc>
                <w:tcPr>
                  <w:tcW w:w="4218" w:type="dxa"/>
                  <w:vAlign w:val="center"/>
                </w:tcPr>
                <w:p w14:paraId="7C66A546">
                  <w:pPr>
                    <w:pStyle w:val="38"/>
                    <w:spacing w:line="240" w:lineRule="auto"/>
                    <w:rPr>
                      <w:rFonts w:hint="eastAsia"/>
                      <w:lang w:val="en-US" w:eastAsia="zh-CN"/>
                    </w:rPr>
                  </w:pPr>
                  <w:r>
                    <w:rPr>
                      <w:rFonts w:hint="default"/>
                      <w:lang w:val="en-US" w:eastAsia="zh-CN"/>
                    </w:rPr>
                    <w:t>蛔虫卵个数，个/L</w:t>
                  </w:r>
                </w:p>
              </w:tc>
              <w:tc>
                <w:tcPr>
                  <w:tcW w:w="2767" w:type="dxa"/>
                  <w:vAlign w:val="center"/>
                </w:tcPr>
                <w:p w14:paraId="6795A51F">
                  <w:pPr>
                    <w:pStyle w:val="38"/>
                    <w:spacing w:line="240" w:lineRule="auto"/>
                    <w:rPr>
                      <w:rFonts w:hint="eastAsia"/>
                      <w:lang w:val="en-US" w:eastAsia="zh-CN"/>
                    </w:rPr>
                  </w:pPr>
                  <w:r>
                    <w:rPr>
                      <w:rFonts w:hint="eastAsia"/>
                      <w:lang w:val="en-US" w:eastAsia="zh-CN"/>
                    </w:rPr>
                    <w:t>-</w:t>
                  </w:r>
                </w:p>
              </w:tc>
            </w:tr>
          </w:tbl>
          <w:p w14:paraId="4482E773">
            <w:pPr>
              <w:pStyle w:val="20"/>
              <w:ind w:firstLine="482"/>
            </w:pPr>
            <w:r>
              <w:rPr>
                <w:rFonts w:hint="eastAsia"/>
              </w:rPr>
              <w:t>3、噪声控制措施分析</w:t>
            </w:r>
          </w:p>
          <w:p w14:paraId="6FDBA967">
            <w:pPr>
              <w:ind w:firstLine="480"/>
            </w:pPr>
            <w:r>
              <w:rPr>
                <w:rFonts w:hint="eastAsia"/>
              </w:rPr>
              <w:t>根据工程特性及环境特征，环评要求采取的噪声治理措施如下：</w:t>
            </w:r>
          </w:p>
          <w:p w14:paraId="3A1C12C4">
            <w:pPr>
              <w:ind w:firstLine="480"/>
            </w:pPr>
            <w:r>
              <w:rPr>
                <w:rFonts w:hint="eastAsia"/>
              </w:rPr>
              <w:t>（1）尽量选用技术先进的低噪声设备，夜间、午间禁止施工。</w:t>
            </w:r>
          </w:p>
          <w:p w14:paraId="23D488F0">
            <w:pPr>
              <w:ind w:firstLine="480"/>
            </w:pPr>
            <w:r>
              <w:rPr>
                <w:rFonts w:hint="eastAsia"/>
              </w:rPr>
              <w:t>（2）运输车辆减速、禁止鸣笛等。</w:t>
            </w:r>
          </w:p>
          <w:p w14:paraId="511C0573">
            <w:pPr>
              <w:ind w:firstLine="480"/>
            </w:pPr>
            <w:r>
              <w:rPr>
                <w:rFonts w:hint="eastAsia"/>
              </w:rPr>
              <w:t>同时建设单位在工程建设时，应和周围群众通过友好协商，取得谅解，一旦发生噪声扰民，应重视群众的反映意见，与受扰群众协商和解措施。除采取以上防治措施外，本项目还应充分重视操作人员的劳动保护，为其发放耳塞、耳罩，避免操作人员长期处于高噪声环境中。</w:t>
            </w:r>
          </w:p>
          <w:p w14:paraId="3B31EBBF">
            <w:pPr>
              <w:ind w:firstLine="480"/>
            </w:pPr>
            <w:r>
              <w:rPr>
                <w:rFonts w:hint="eastAsia"/>
              </w:rPr>
              <w:t>经以上措施处理后，施工噪声对周边声环境影响不大，措施可行。</w:t>
            </w:r>
          </w:p>
          <w:p w14:paraId="3F6ED0E3">
            <w:pPr>
              <w:pStyle w:val="20"/>
              <w:ind w:firstLine="482"/>
            </w:pPr>
            <w:r>
              <w:rPr>
                <w:rFonts w:hint="eastAsia"/>
              </w:rPr>
              <w:t>4、固体废物处置措施分析</w:t>
            </w:r>
          </w:p>
          <w:p w14:paraId="504AFC60">
            <w:pPr>
              <w:ind w:firstLine="480"/>
            </w:pPr>
            <w:r>
              <w:rPr>
                <w:rFonts w:hint="eastAsia"/>
              </w:rPr>
              <w:t>施工期固废主要为土石方、钻探泥浆、钻屑、施工人员生活垃圾</w:t>
            </w:r>
            <w:r>
              <w:rPr>
                <w:rFonts w:hint="eastAsia"/>
                <w:lang w:eastAsia="zh-CN"/>
              </w:rPr>
              <w:t>、</w:t>
            </w:r>
            <w:r>
              <w:rPr>
                <w:rFonts w:hint="eastAsia"/>
                <w:lang w:val="en-US" w:eastAsia="zh-CN"/>
              </w:rPr>
              <w:t>废油桶</w:t>
            </w:r>
            <w:r>
              <w:rPr>
                <w:rFonts w:hint="eastAsia"/>
              </w:rPr>
              <w:t>等。</w:t>
            </w:r>
          </w:p>
          <w:p w14:paraId="6BF4517C">
            <w:pPr>
              <w:pStyle w:val="42"/>
              <w:keepNext w:val="0"/>
              <w:keepLines w:val="0"/>
              <w:pageBreakBefore w:val="0"/>
              <w:widowControl w:val="0"/>
              <w:kinsoku/>
              <w:overflowPunct/>
              <w:topLinePunct w:val="0"/>
              <w:autoSpaceDE/>
              <w:autoSpaceDN/>
              <w:bidi w:val="0"/>
              <w:adjustRightInd w:val="0"/>
              <w:snapToGrid w:val="0"/>
              <w:textAlignment w:val="auto"/>
              <w:rPr>
                <w:rFonts w:hint="eastAsia"/>
                <w:lang w:val="en-US" w:eastAsia="zh-CN"/>
              </w:rPr>
            </w:pPr>
            <w:r>
              <w:t>（1）</w:t>
            </w:r>
            <w:r>
              <w:rPr>
                <w:rFonts w:hint="eastAsia"/>
                <w:lang w:val="en-US" w:eastAsia="zh-CN"/>
              </w:rPr>
              <w:t>开挖临时堆土</w:t>
            </w:r>
          </w:p>
          <w:p w14:paraId="57B3FEBA">
            <w:pPr>
              <w:pStyle w:val="42"/>
              <w:keepNext w:val="0"/>
              <w:keepLines w:val="0"/>
              <w:pageBreakBefore w:val="0"/>
              <w:widowControl w:val="0"/>
              <w:kinsoku/>
              <w:overflowPunct/>
              <w:topLinePunct w:val="0"/>
              <w:autoSpaceDE/>
              <w:autoSpaceDN/>
              <w:bidi w:val="0"/>
              <w:adjustRightInd w:val="0"/>
              <w:snapToGrid w:val="0"/>
              <w:textAlignment w:val="auto"/>
              <w:rPr>
                <w:rFonts w:hint="eastAsia" w:ascii="Times New Roman" w:hAnsi="Times New Roman" w:eastAsia="宋体" w:cs="宋体"/>
              </w:rPr>
            </w:pPr>
            <w:r>
              <w:rPr>
                <w:rFonts w:hint="eastAsia"/>
              </w:rPr>
              <w:t>主要为槽探开挖产生</w:t>
            </w:r>
            <w:r>
              <w:rPr>
                <w:rFonts w:hint="eastAsia"/>
                <w:lang w:val="en-US" w:eastAsia="zh-CN"/>
              </w:rPr>
              <w:t>的</w:t>
            </w:r>
            <w:r>
              <w:rPr>
                <w:rFonts w:hint="eastAsia"/>
              </w:rPr>
              <w:t>土石方，属于一般固废。</w:t>
            </w:r>
            <w:r>
              <w:t>对临时堆土坡脚进行防护、表面夯实处理</w:t>
            </w:r>
            <w:r>
              <w:rPr>
                <w:rFonts w:hint="eastAsia"/>
              </w:rPr>
              <w:t>并设置相应的挡渣墙。勘探期内严禁将开挖土石方堆放在山间冲沟内，阻塞冲沟，确保冲沟的通畅性。开挖的土石方在勘探期结束后</w:t>
            </w:r>
            <w:r>
              <w:rPr>
                <w:rFonts w:hint="eastAsia" w:ascii="Times New Roman" w:hAnsi="Times New Roman" w:eastAsia="宋体" w:cs="宋体"/>
              </w:rPr>
              <w:t>全部回填至开挖迹地，开挖临时堆土的环境影响较小。</w:t>
            </w:r>
          </w:p>
          <w:p w14:paraId="6154E171">
            <w:pPr>
              <w:pStyle w:val="42"/>
              <w:keepNext w:val="0"/>
              <w:keepLines w:val="0"/>
              <w:pageBreakBefore w:val="0"/>
              <w:widowControl w:val="0"/>
              <w:kinsoku/>
              <w:overflowPunct/>
              <w:topLinePunct w:val="0"/>
              <w:autoSpaceDE/>
              <w:autoSpaceDN/>
              <w:bidi w:val="0"/>
              <w:adjustRightInd w:val="0"/>
              <w:snapToGrid w:val="0"/>
              <w:textAlignment w:val="auto"/>
              <w:rPr>
                <w:rFonts w:hint="default" w:ascii="Times New Roman" w:hAnsi="Times New Roman" w:eastAsia="宋体" w:cs="宋体"/>
                <w:lang w:val="en-US" w:eastAsia="zh-CN"/>
              </w:rPr>
            </w:pPr>
            <w:r>
              <w:rPr>
                <w:rFonts w:hint="eastAsia" w:ascii="Times New Roman" w:hAnsi="Times New Roman" w:eastAsia="宋体" w:cs="宋体"/>
                <w:lang w:val="en-US" w:eastAsia="zh-CN"/>
              </w:rPr>
              <w:t>（2）钻井泥浆、岩屑</w:t>
            </w:r>
            <w:r>
              <w:rPr>
                <w:rFonts w:hint="eastAsia" w:cs="宋体"/>
                <w:lang w:val="en-US" w:eastAsia="zh-CN"/>
              </w:rPr>
              <w:t>、沉淀池沉渣</w:t>
            </w:r>
          </w:p>
          <w:p w14:paraId="713A9D18">
            <w:pPr>
              <w:pStyle w:val="42"/>
              <w:keepNext w:val="0"/>
              <w:keepLines w:val="0"/>
              <w:pageBreakBefore w:val="0"/>
              <w:widowControl w:val="0"/>
              <w:kinsoku/>
              <w:overflowPunct/>
              <w:topLinePunct w:val="0"/>
              <w:autoSpaceDE/>
              <w:autoSpaceDN/>
              <w:bidi w:val="0"/>
              <w:adjustRightInd w:val="0"/>
              <w:snapToGrid w:val="0"/>
              <w:textAlignment w:val="auto"/>
              <w:rPr>
                <w:rFonts w:hint="eastAsia" w:ascii="Times New Roman" w:hAnsi="Times New Roman" w:eastAsia="宋体" w:cs="宋体"/>
              </w:rPr>
            </w:pPr>
            <w:r>
              <w:rPr>
                <w:rFonts w:hint="eastAsia" w:ascii="Times New Roman" w:hAnsi="Times New Roman" w:eastAsia="宋体" w:cs="宋体"/>
                <w:lang w:val="en-US" w:eastAsia="zh-CN"/>
              </w:rPr>
              <w:t>本项目使用的泥浆为水基钻井泥浆，以膨润土、辅料粘土作为基础配浆材料，加入各种有机和无机材料形成的多种成分和相态共存的悬浮液。本项目采用的泥浆材料及处理剂具备无毒无害、可自然降解性能，不含易燃、易爆、有毒物质，循环使用，固化后就地填埋。钻井设备清洗废水沉淀池沉渣在勘探结束后固化</w:t>
            </w:r>
            <w:r>
              <w:rPr>
                <w:rFonts w:hint="eastAsia" w:cs="宋体"/>
                <w:lang w:val="en-US" w:eastAsia="zh-CN"/>
              </w:rPr>
              <w:t>就地</w:t>
            </w:r>
            <w:r>
              <w:rPr>
                <w:rFonts w:hint="eastAsia" w:ascii="Times New Roman" w:hAnsi="Times New Roman" w:eastAsia="宋体" w:cs="宋体"/>
                <w:lang w:val="en-US" w:eastAsia="zh-CN"/>
              </w:rPr>
              <w:t>填埋。岩屑用于回填</w:t>
            </w:r>
            <w:r>
              <w:rPr>
                <w:rFonts w:hint="eastAsia" w:cs="宋体"/>
                <w:lang w:val="en-US" w:eastAsia="zh-CN"/>
              </w:rPr>
              <w:t>钻孔</w:t>
            </w:r>
            <w:r>
              <w:rPr>
                <w:rFonts w:hint="eastAsia" w:ascii="Times New Roman" w:hAnsi="Times New Roman" w:eastAsia="宋体" w:cs="宋体"/>
                <w:lang w:val="en-US" w:eastAsia="zh-CN"/>
              </w:rPr>
              <w:t>。废弃泥浆</w:t>
            </w:r>
            <w:r>
              <w:rPr>
                <w:rFonts w:hint="eastAsia" w:cs="宋体"/>
                <w:lang w:val="en-US" w:eastAsia="zh-CN"/>
              </w:rPr>
              <w:t>、沉渣</w:t>
            </w:r>
            <w:r>
              <w:rPr>
                <w:rFonts w:hint="eastAsia" w:ascii="Times New Roman" w:hAnsi="Times New Roman" w:eastAsia="宋体" w:cs="宋体"/>
                <w:lang w:val="en-US" w:eastAsia="zh-CN"/>
              </w:rPr>
              <w:t>及岩屑的处置满足《一般工业固体废物贮存和填埋污染控制标准》（GB18599-2020）的要求。</w:t>
            </w:r>
          </w:p>
          <w:p w14:paraId="1437EEA1">
            <w:pPr>
              <w:pStyle w:val="42"/>
              <w:keepNext w:val="0"/>
              <w:keepLines w:val="0"/>
              <w:pageBreakBefore w:val="0"/>
              <w:widowControl w:val="0"/>
              <w:kinsoku/>
              <w:overflowPunct/>
              <w:topLinePunct w:val="0"/>
              <w:autoSpaceDE/>
              <w:autoSpaceDN/>
              <w:bidi w:val="0"/>
              <w:adjustRightInd w:val="0"/>
              <w:snapToGrid w:val="0"/>
              <w:textAlignment w:val="auto"/>
              <w:rPr>
                <w:rFonts w:hint="default" w:ascii="Times New Roman" w:hAnsi="Times New Roman" w:eastAsia="宋体" w:cs="宋体"/>
                <w:lang w:val="en-US" w:eastAsia="zh-CN"/>
              </w:rPr>
            </w:pPr>
            <w:r>
              <w:rPr>
                <w:rFonts w:hint="eastAsia" w:ascii="Times New Roman" w:hAnsi="Times New Roman" w:eastAsia="宋体" w:cs="宋体"/>
                <w:lang w:val="en-US" w:eastAsia="zh-CN"/>
              </w:rPr>
              <w:t>（3）生活垃圾</w:t>
            </w:r>
          </w:p>
          <w:p w14:paraId="74760017">
            <w:pPr>
              <w:ind w:firstLine="480"/>
            </w:pPr>
            <w:r>
              <w:rPr>
                <w:rFonts w:hint="default" w:ascii="Times New Roman" w:hAnsi="Times New Roman" w:eastAsia="宋体" w:cs="宋体"/>
                <w:lang w:val="en-US" w:eastAsia="zh-CN"/>
              </w:rPr>
              <w:t>本项目</w:t>
            </w:r>
            <w:r>
              <w:rPr>
                <w:rFonts w:hint="eastAsia" w:ascii="Times New Roman" w:hAnsi="Times New Roman" w:eastAsia="宋体" w:cs="宋体"/>
                <w:lang w:val="en-US" w:eastAsia="zh-CN"/>
              </w:rPr>
              <w:t>勘探</w:t>
            </w:r>
            <w:r>
              <w:rPr>
                <w:rFonts w:hint="default" w:ascii="Times New Roman" w:hAnsi="Times New Roman" w:eastAsia="宋体" w:cs="宋体"/>
                <w:lang w:val="en-US" w:eastAsia="zh-CN"/>
              </w:rPr>
              <w:t>期间施工人员生活垃圾产生总量约</w:t>
            </w:r>
            <w:r>
              <w:rPr>
                <w:rFonts w:hint="default"/>
                <w:lang w:val="en-US" w:eastAsia="zh-CN"/>
              </w:rPr>
              <w:t>为</w:t>
            </w:r>
            <w:r>
              <w:rPr>
                <w:rFonts w:hint="eastAsia"/>
                <w:lang w:val="en-US" w:eastAsia="zh-CN"/>
              </w:rPr>
              <w:t>0.787</w:t>
            </w:r>
            <w:r>
              <w:rPr>
                <w:rFonts w:hint="default"/>
                <w:highlight w:val="none"/>
                <w:lang w:val="en-US" w:eastAsia="zh-CN"/>
              </w:rPr>
              <w:t>t</w:t>
            </w:r>
            <w:r>
              <w:rPr>
                <w:rFonts w:hint="default"/>
                <w:lang w:val="en-US" w:eastAsia="zh-CN"/>
              </w:rPr>
              <w:t>，生活垃圾统一收集后送至</w:t>
            </w:r>
            <w:r>
              <w:rPr>
                <w:rFonts w:hint="eastAsia"/>
                <w:lang w:val="en-US" w:eastAsia="zh-CN"/>
              </w:rPr>
              <w:t>和静县巴音布鲁克镇</w:t>
            </w:r>
            <w:r>
              <w:rPr>
                <w:rFonts w:hint="default"/>
                <w:lang w:val="en-US" w:eastAsia="zh-CN"/>
              </w:rPr>
              <w:t>垃圾填埋场。</w:t>
            </w:r>
          </w:p>
          <w:p w14:paraId="5671F0C4">
            <w:pPr>
              <w:pStyle w:val="42"/>
              <w:bidi w:val="0"/>
              <w:jc w:val="both"/>
              <w:rPr>
                <w:rFonts w:hint="eastAsia"/>
                <w:lang w:val="en-US" w:eastAsia="zh-CN"/>
              </w:rPr>
            </w:pPr>
            <w:r>
              <w:rPr>
                <w:rFonts w:hint="eastAsia"/>
                <w:lang w:val="en-US" w:eastAsia="zh-CN"/>
              </w:rPr>
              <w:t>（4）废油桶</w:t>
            </w:r>
          </w:p>
          <w:p w14:paraId="58C762DD">
            <w:pPr>
              <w:pStyle w:val="42"/>
              <w:keepNext w:val="0"/>
              <w:keepLines w:val="0"/>
              <w:pageBreakBefore w:val="0"/>
              <w:widowControl w:val="0"/>
              <w:kinsoku/>
              <w:overflowPunct/>
              <w:topLinePunct w:val="0"/>
              <w:autoSpaceDE/>
              <w:autoSpaceDN/>
              <w:bidi w:val="0"/>
              <w:adjustRightInd w:val="0"/>
              <w:snapToGrid w:val="0"/>
              <w:textAlignment w:val="auto"/>
              <w:rPr>
                <w:rFonts w:hint="eastAsia"/>
                <w:lang w:val="en-US" w:eastAsia="zh-CN"/>
              </w:rPr>
            </w:pPr>
            <w:r>
              <w:rPr>
                <w:rFonts w:hint="eastAsia"/>
                <w:lang w:val="en-US" w:eastAsia="zh-CN"/>
              </w:rPr>
              <w:t>本项目地质勘探阶段，因勘探设备（如钻机、勘探车等）运行需使用柴油，过程中会产生废油桶（主要为柴油包装桶），使用柴油会产生废油桶约0.7t，探矿期产生的废油桶暂存在危废贮存点，集中收集交由有资质单位处理。</w:t>
            </w:r>
          </w:p>
          <w:p w14:paraId="322747F5">
            <w:pPr>
              <w:pStyle w:val="42"/>
              <w:keepNext w:val="0"/>
              <w:keepLines w:val="0"/>
              <w:pageBreakBefore w:val="0"/>
              <w:widowControl w:val="0"/>
              <w:kinsoku/>
              <w:overflowPunct/>
              <w:topLinePunct w:val="0"/>
              <w:autoSpaceDE/>
              <w:autoSpaceDN/>
              <w:bidi w:val="0"/>
              <w:adjustRightInd w:val="0"/>
              <w:snapToGrid w:val="0"/>
              <w:textAlignment w:val="auto"/>
              <w:rPr>
                <w:rFonts w:hint="eastAsia"/>
                <w:lang w:val="en-US" w:eastAsia="zh-CN"/>
              </w:rPr>
            </w:pPr>
            <w:r>
              <w:rPr>
                <w:rFonts w:hint="default"/>
                <w:lang w:val="en-US" w:eastAsia="zh-CN"/>
              </w:rPr>
              <w:t>贮存点应</w:t>
            </w:r>
            <w:r>
              <w:rPr>
                <w:rFonts w:hint="eastAsia"/>
                <w:lang w:val="en-US" w:eastAsia="zh-CN"/>
              </w:rPr>
              <w:t>满足以下要求：</w:t>
            </w:r>
          </w:p>
          <w:p w14:paraId="582F5E52">
            <w:pPr>
              <w:pStyle w:val="42"/>
              <w:keepNext w:val="0"/>
              <w:keepLines w:val="0"/>
              <w:pageBreakBefore w:val="0"/>
              <w:widowControl w:val="0"/>
              <w:kinsoku/>
              <w:overflowPunct/>
              <w:topLinePunct w:val="0"/>
              <w:autoSpaceDE/>
              <w:autoSpaceDN/>
              <w:bidi w:val="0"/>
              <w:adjustRightInd w:val="0"/>
              <w:snapToGrid w:val="0"/>
              <w:textAlignment w:val="auto"/>
              <w:rPr>
                <w:rFonts w:hint="default"/>
                <w:lang w:val="en-US" w:eastAsia="zh-CN"/>
              </w:rPr>
            </w:pPr>
            <w:r>
              <w:rPr>
                <w:rFonts w:hint="eastAsia"/>
                <w:lang w:val="en-US" w:eastAsia="zh-CN"/>
              </w:rPr>
              <w:t>①贮存点应</w:t>
            </w:r>
            <w:r>
              <w:rPr>
                <w:rFonts w:hint="default"/>
                <w:lang w:val="en-US" w:eastAsia="zh-CN"/>
              </w:rPr>
              <w:t>具有固定的区域边界，并应采取与其他区域进行隔离的措施。</w:t>
            </w:r>
          </w:p>
          <w:p w14:paraId="1523B039">
            <w:pPr>
              <w:pStyle w:val="42"/>
              <w:keepNext w:val="0"/>
              <w:keepLines w:val="0"/>
              <w:pageBreakBefore w:val="0"/>
              <w:widowControl w:val="0"/>
              <w:kinsoku/>
              <w:overflowPunct/>
              <w:topLinePunct w:val="0"/>
              <w:autoSpaceDE/>
              <w:autoSpaceDN/>
              <w:bidi w:val="0"/>
              <w:adjustRightInd w:val="0"/>
              <w:snapToGrid w:val="0"/>
              <w:textAlignment w:val="auto"/>
              <w:rPr>
                <w:rFonts w:hint="default"/>
                <w:lang w:val="en-US" w:eastAsia="zh-CN"/>
              </w:rPr>
            </w:pPr>
            <w:r>
              <w:rPr>
                <w:rFonts w:hint="eastAsia"/>
                <w:lang w:val="en-US" w:eastAsia="zh-CN"/>
              </w:rPr>
              <w:t>②</w:t>
            </w:r>
            <w:r>
              <w:rPr>
                <w:rFonts w:hint="default"/>
                <w:lang w:val="en-US" w:eastAsia="zh-CN"/>
              </w:rPr>
              <w:t>贮存点应采取防风、防雨、防晒和防止危险废物流失、扬散等措施。</w:t>
            </w:r>
          </w:p>
          <w:p w14:paraId="6707E2AC">
            <w:pPr>
              <w:pStyle w:val="42"/>
              <w:keepNext w:val="0"/>
              <w:keepLines w:val="0"/>
              <w:pageBreakBefore w:val="0"/>
              <w:widowControl w:val="0"/>
              <w:kinsoku/>
              <w:overflowPunct/>
              <w:topLinePunct w:val="0"/>
              <w:autoSpaceDE/>
              <w:autoSpaceDN/>
              <w:bidi w:val="0"/>
              <w:adjustRightInd w:val="0"/>
              <w:snapToGrid w:val="0"/>
              <w:textAlignment w:val="auto"/>
              <w:rPr>
                <w:rFonts w:hint="default"/>
                <w:lang w:val="en-US" w:eastAsia="zh-CN"/>
              </w:rPr>
            </w:pPr>
            <w:r>
              <w:rPr>
                <w:rFonts w:hint="eastAsia"/>
                <w:lang w:val="en-US" w:eastAsia="zh-CN"/>
              </w:rPr>
              <w:t>③</w:t>
            </w:r>
            <w:r>
              <w:rPr>
                <w:rFonts w:hint="default"/>
                <w:lang w:val="en-US" w:eastAsia="zh-CN"/>
              </w:rPr>
              <w:t>贮存点贮存的危险废物应置于容器或包装物中，不应直接散堆。</w:t>
            </w:r>
          </w:p>
          <w:p w14:paraId="0C922CA6">
            <w:pPr>
              <w:pStyle w:val="42"/>
              <w:keepNext w:val="0"/>
              <w:keepLines w:val="0"/>
              <w:pageBreakBefore w:val="0"/>
              <w:widowControl w:val="0"/>
              <w:kinsoku/>
              <w:overflowPunct/>
              <w:topLinePunct w:val="0"/>
              <w:autoSpaceDE/>
              <w:autoSpaceDN/>
              <w:bidi w:val="0"/>
              <w:adjustRightInd w:val="0"/>
              <w:snapToGrid w:val="0"/>
              <w:textAlignment w:val="auto"/>
              <w:rPr>
                <w:rFonts w:hint="default"/>
                <w:lang w:val="en-US" w:eastAsia="zh-CN"/>
              </w:rPr>
            </w:pPr>
            <w:r>
              <w:rPr>
                <w:rFonts w:hint="eastAsia"/>
                <w:lang w:val="en-US" w:eastAsia="zh-CN"/>
              </w:rPr>
              <w:t>④</w:t>
            </w:r>
            <w:r>
              <w:rPr>
                <w:rFonts w:hint="default"/>
                <w:lang w:val="en-US" w:eastAsia="zh-CN"/>
              </w:rPr>
              <w:t>贮存点应根据危险废物的形态、物理化学性质、包装形式等，采取防渗、防漏等污染防治措施或采用具有相应功能的装置。</w:t>
            </w:r>
          </w:p>
          <w:p w14:paraId="413ACCB5">
            <w:pPr>
              <w:pStyle w:val="42"/>
              <w:keepNext w:val="0"/>
              <w:keepLines w:val="0"/>
              <w:pageBreakBefore w:val="0"/>
              <w:widowControl w:val="0"/>
              <w:kinsoku/>
              <w:overflowPunct/>
              <w:topLinePunct w:val="0"/>
              <w:autoSpaceDE/>
              <w:autoSpaceDN/>
              <w:bidi w:val="0"/>
              <w:adjustRightInd w:val="0"/>
              <w:snapToGrid w:val="0"/>
              <w:textAlignment w:val="auto"/>
              <w:rPr>
                <w:rFonts w:hint="default"/>
                <w:lang w:val="en-US" w:eastAsia="zh-CN"/>
              </w:rPr>
            </w:pPr>
            <w:r>
              <w:rPr>
                <w:rFonts w:hint="eastAsia"/>
                <w:lang w:val="en-US" w:eastAsia="zh-CN"/>
              </w:rPr>
              <w:t>⑤</w:t>
            </w:r>
            <w:r>
              <w:rPr>
                <w:rFonts w:hint="default"/>
                <w:lang w:val="en-US" w:eastAsia="zh-CN"/>
              </w:rPr>
              <w:t>贮存点应及时清运贮存的危险废物，实时贮存量不应超过3吨。</w:t>
            </w:r>
          </w:p>
          <w:p w14:paraId="6A57D060">
            <w:pPr>
              <w:pStyle w:val="42"/>
              <w:numPr>
                <w:ilvl w:val="0"/>
                <w:numId w:val="0"/>
              </w:numPr>
              <w:bidi w:val="0"/>
              <w:ind w:left="-60" w:leftChars="0" w:firstLine="480" w:firstLineChars="200"/>
              <w:rPr>
                <w:rFonts w:hint="eastAsia"/>
                <w:lang w:val="en-US" w:eastAsia="zh-CN"/>
              </w:rPr>
            </w:pPr>
            <w:r>
              <w:rPr>
                <w:rFonts w:hint="eastAsia"/>
                <w:lang w:val="en-US" w:eastAsia="zh-CN"/>
              </w:rPr>
              <w:t>（5）一体化污水处理装置产生的污泥</w:t>
            </w:r>
          </w:p>
          <w:p w14:paraId="471BC79F">
            <w:pPr>
              <w:pStyle w:val="42"/>
              <w:keepNext w:val="0"/>
              <w:keepLines w:val="0"/>
              <w:pageBreakBefore w:val="0"/>
              <w:widowControl w:val="0"/>
              <w:kinsoku/>
              <w:overflowPunct/>
              <w:topLinePunct w:val="0"/>
              <w:autoSpaceDE/>
              <w:autoSpaceDN/>
              <w:bidi w:val="0"/>
              <w:adjustRightInd w:val="0"/>
              <w:snapToGrid w:val="0"/>
              <w:textAlignment w:val="auto"/>
              <w:rPr>
                <w:rFonts w:hint="default"/>
                <w:lang w:val="en-US" w:eastAsia="zh-CN"/>
              </w:rPr>
            </w:pPr>
            <w:r>
              <w:rPr>
                <w:rFonts w:hint="eastAsia" w:ascii="Times New Roman" w:hAnsi="Times New Roman" w:eastAsia="宋体" w:cs="宋体"/>
                <w:lang w:val="en-US" w:eastAsia="zh-CN"/>
              </w:rPr>
              <w:t>本项目生活污水采用一体化污水处理装置处理。污水处理过程中，微生物分解有机物，同时自身繁殖，形成生物膜或活性污泥。这些微生物在分解有机物的过程中会增殖，加上污水中的悬浮物被沉淀下来，自然就会形成污泥。本项目大约产生污泥10kg。产生的污泥在勘探结束后就地填埋。</w:t>
            </w:r>
          </w:p>
          <w:p w14:paraId="58759A2A">
            <w:pPr>
              <w:pStyle w:val="42"/>
              <w:keepNext w:val="0"/>
              <w:keepLines w:val="0"/>
              <w:pageBreakBefore w:val="0"/>
              <w:widowControl w:val="0"/>
              <w:kinsoku/>
              <w:overflowPunct/>
              <w:topLinePunct w:val="0"/>
              <w:autoSpaceDE/>
              <w:autoSpaceDN/>
              <w:bidi w:val="0"/>
              <w:adjustRightInd w:val="0"/>
              <w:snapToGrid w:val="0"/>
              <w:textAlignment w:val="auto"/>
              <w:rPr>
                <w:rFonts w:hint="eastAsia"/>
                <w:lang w:val="en-US" w:eastAsia="zh-CN"/>
              </w:rPr>
            </w:pPr>
            <w:r>
              <w:t>采取以上防治措施后，探矿工作产生的固体废物对环境影响较小。</w:t>
            </w:r>
            <w:r>
              <w:rPr>
                <w:rFonts w:hint="eastAsia"/>
              </w:rPr>
              <w:t>固废</w:t>
            </w:r>
            <w:r>
              <w:t>产生明细</w:t>
            </w:r>
            <w:r>
              <w:rPr>
                <w:rFonts w:hint="eastAsia"/>
                <w:lang w:eastAsia="zh-CN"/>
              </w:rPr>
              <w:t>见表</w:t>
            </w:r>
            <w:r>
              <w:rPr>
                <w:rFonts w:hint="eastAsia"/>
                <w:lang w:val="en-US" w:eastAsia="zh-CN"/>
              </w:rPr>
              <w:t>5-1。</w:t>
            </w:r>
          </w:p>
          <w:p w14:paraId="779780C9">
            <w:pPr>
              <w:widowControl/>
              <w:spacing w:line="240" w:lineRule="auto"/>
              <w:ind w:firstLine="422"/>
              <w:jc w:val="center"/>
              <w:rPr>
                <w:rFonts w:hint="eastAsia"/>
                <w:b/>
                <w:kern w:val="0"/>
                <w:sz w:val="21"/>
                <w:szCs w:val="20"/>
              </w:rPr>
            </w:pPr>
            <w:r>
              <w:rPr>
                <w:rFonts w:hint="eastAsia"/>
                <w:b/>
                <w:kern w:val="0"/>
                <w:sz w:val="21"/>
                <w:szCs w:val="20"/>
                <w:lang w:val="en-US" w:eastAsia="zh-CN"/>
              </w:rPr>
              <w:t>表5-1项目固体废物产生情况明细</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957"/>
              <w:gridCol w:w="950"/>
              <w:gridCol w:w="1483"/>
              <w:gridCol w:w="1299"/>
              <w:gridCol w:w="1026"/>
              <w:gridCol w:w="1752"/>
            </w:tblGrid>
            <w:tr w14:paraId="71D45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noWrap w:val="0"/>
                  <w:vAlign w:val="center"/>
                </w:tcPr>
                <w:p w14:paraId="07DCAAE2">
                  <w:pPr>
                    <w:pStyle w:val="38"/>
                    <w:rPr>
                      <w:rFonts w:hint="default"/>
                      <w:lang w:val="en-US" w:eastAsia="zh-CN"/>
                    </w:rPr>
                  </w:pPr>
                  <w:r>
                    <w:rPr>
                      <w:rFonts w:hint="eastAsia"/>
                      <w:lang w:val="en-US" w:eastAsia="zh-CN"/>
                    </w:rPr>
                    <w:t>废物属性</w:t>
                  </w:r>
                </w:p>
              </w:tc>
              <w:tc>
                <w:tcPr>
                  <w:tcW w:w="576" w:type="pct"/>
                  <w:noWrap w:val="0"/>
                  <w:vAlign w:val="center"/>
                </w:tcPr>
                <w:p w14:paraId="260DFB0C">
                  <w:pPr>
                    <w:pStyle w:val="38"/>
                    <w:rPr>
                      <w:rFonts w:hint="default"/>
                      <w:lang w:val="en-US" w:eastAsia="zh-CN"/>
                    </w:rPr>
                  </w:pPr>
                  <w:r>
                    <w:rPr>
                      <w:rFonts w:hint="eastAsia"/>
                      <w:lang w:val="en-US" w:eastAsia="zh-CN"/>
                    </w:rPr>
                    <w:t>名称</w:t>
                  </w:r>
                </w:p>
              </w:tc>
              <w:tc>
                <w:tcPr>
                  <w:tcW w:w="572" w:type="pct"/>
                  <w:noWrap w:val="0"/>
                  <w:vAlign w:val="center"/>
                </w:tcPr>
                <w:p w14:paraId="47066123">
                  <w:pPr>
                    <w:pStyle w:val="38"/>
                    <w:rPr>
                      <w:rFonts w:hint="default"/>
                      <w:lang w:val="en-US" w:eastAsia="zh-CN"/>
                    </w:rPr>
                  </w:pPr>
                  <w:r>
                    <w:rPr>
                      <w:rFonts w:hint="eastAsia"/>
                      <w:lang w:val="en-US" w:eastAsia="zh-CN"/>
                    </w:rPr>
                    <w:t>废物类别</w:t>
                  </w:r>
                </w:p>
              </w:tc>
              <w:tc>
                <w:tcPr>
                  <w:tcW w:w="893" w:type="pct"/>
                  <w:noWrap w:val="0"/>
                  <w:vAlign w:val="center"/>
                </w:tcPr>
                <w:p w14:paraId="07371A5F">
                  <w:pPr>
                    <w:pStyle w:val="38"/>
                    <w:rPr>
                      <w:rFonts w:hint="default"/>
                      <w:lang w:val="en-US" w:eastAsia="zh-CN"/>
                    </w:rPr>
                  </w:pPr>
                  <w:r>
                    <w:rPr>
                      <w:rFonts w:hint="eastAsia"/>
                      <w:lang w:val="en-US" w:eastAsia="zh-CN"/>
                    </w:rPr>
                    <w:t>废物代码</w:t>
                  </w:r>
                </w:p>
              </w:tc>
              <w:tc>
                <w:tcPr>
                  <w:tcW w:w="782" w:type="pct"/>
                  <w:noWrap w:val="0"/>
                  <w:vAlign w:val="center"/>
                </w:tcPr>
                <w:p w14:paraId="68D9D940">
                  <w:pPr>
                    <w:pStyle w:val="38"/>
                    <w:rPr>
                      <w:rFonts w:hint="default"/>
                      <w:lang w:val="en-US" w:eastAsia="zh-CN"/>
                    </w:rPr>
                  </w:pPr>
                  <w:r>
                    <w:rPr>
                      <w:rFonts w:hint="eastAsia"/>
                      <w:lang w:val="en-US" w:eastAsia="zh-CN"/>
                    </w:rPr>
                    <w:t>产生量（探矿期）</w:t>
                  </w:r>
                </w:p>
              </w:tc>
              <w:tc>
                <w:tcPr>
                  <w:tcW w:w="618" w:type="pct"/>
                  <w:noWrap w:val="0"/>
                  <w:vAlign w:val="center"/>
                </w:tcPr>
                <w:p w14:paraId="136901CF">
                  <w:pPr>
                    <w:pStyle w:val="38"/>
                    <w:rPr>
                      <w:rFonts w:hint="eastAsia"/>
                      <w:lang w:val="en-US" w:eastAsia="zh-CN"/>
                    </w:rPr>
                  </w:pPr>
                  <w:r>
                    <w:rPr>
                      <w:rFonts w:hint="eastAsia"/>
                      <w:lang w:val="en-US" w:eastAsia="zh-CN"/>
                    </w:rPr>
                    <w:t>危险特性</w:t>
                  </w:r>
                </w:p>
              </w:tc>
              <w:tc>
                <w:tcPr>
                  <w:tcW w:w="1055" w:type="pct"/>
                  <w:noWrap w:val="0"/>
                  <w:vAlign w:val="center"/>
                </w:tcPr>
                <w:p w14:paraId="27DA757A">
                  <w:pPr>
                    <w:pStyle w:val="38"/>
                    <w:rPr>
                      <w:rFonts w:hint="default"/>
                      <w:lang w:val="en-US" w:eastAsia="zh-CN"/>
                    </w:rPr>
                  </w:pPr>
                  <w:r>
                    <w:rPr>
                      <w:rFonts w:hint="eastAsia"/>
                      <w:lang w:val="en-US" w:eastAsia="zh-CN"/>
                    </w:rPr>
                    <w:t>去向</w:t>
                  </w:r>
                </w:p>
              </w:tc>
            </w:tr>
            <w:tr w14:paraId="40CE5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Merge w:val="restart"/>
                  <w:noWrap w:val="0"/>
                  <w:vAlign w:val="center"/>
                </w:tcPr>
                <w:p w14:paraId="2AFF21BF">
                  <w:pPr>
                    <w:pStyle w:val="38"/>
                    <w:rPr>
                      <w:rFonts w:hint="default"/>
                      <w:lang w:val="en-US" w:eastAsia="zh-CN"/>
                    </w:rPr>
                  </w:pPr>
                  <w:r>
                    <w:rPr>
                      <w:rFonts w:hint="eastAsia"/>
                      <w:lang w:val="en-US" w:eastAsia="zh-CN"/>
                    </w:rPr>
                    <w:t>一般固废</w:t>
                  </w:r>
                </w:p>
              </w:tc>
              <w:tc>
                <w:tcPr>
                  <w:tcW w:w="576" w:type="pct"/>
                  <w:noWrap w:val="0"/>
                  <w:vAlign w:val="center"/>
                </w:tcPr>
                <w:p w14:paraId="74A1748C">
                  <w:pPr>
                    <w:pStyle w:val="38"/>
                    <w:rPr>
                      <w:rFonts w:hint="default"/>
                      <w:lang w:val="en-US" w:eastAsia="zh-CN"/>
                    </w:rPr>
                  </w:pPr>
                  <w:r>
                    <w:rPr>
                      <w:rFonts w:hint="eastAsia"/>
                      <w:lang w:val="en-US" w:eastAsia="zh-CN"/>
                    </w:rPr>
                    <w:t>开挖土石</w:t>
                  </w:r>
                </w:p>
              </w:tc>
              <w:tc>
                <w:tcPr>
                  <w:tcW w:w="572" w:type="pct"/>
                  <w:vMerge w:val="restart"/>
                  <w:noWrap w:val="0"/>
                  <w:vAlign w:val="center"/>
                </w:tcPr>
                <w:p w14:paraId="5538E7C9">
                  <w:pPr>
                    <w:pStyle w:val="38"/>
                    <w:rPr>
                      <w:rFonts w:hint="default"/>
                      <w:lang w:val="en-US" w:eastAsia="zh-CN"/>
                    </w:rPr>
                  </w:pPr>
                  <w:r>
                    <w:rPr>
                      <w:rFonts w:hint="eastAsia"/>
                      <w:lang w:val="en-US" w:eastAsia="zh-CN"/>
                    </w:rPr>
                    <w:t>/</w:t>
                  </w:r>
                </w:p>
              </w:tc>
              <w:tc>
                <w:tcPr>
                  <w:tcW w:w="893" w:type="pct"/>
                  <w:vMerge w:val="restart"/>
                  <w:noWrap w:val="0"/>
                  <w:vAlign w:val="center"/>
                </w:tcPr>
                <w:p w14:paraId="1D8EC317">
                  <w:pPr>
                    <w:pStyle w:val="38"/>
                    <w:rPr>
                      <w:rFonts w:hint="eastAsia"/>
                      <w:lang w:val="en-US" w:eastAsia="zh-CN"/>
                    </w:rPr>
                  </w:pPr>
                  <w:r>
                    <w:rPr>
                      <w:rFonts w:hint="eastAsia"/>
                      <w:lang w:val="en-US" w:eastAsia="zh-CN"/>
                    </w:rPr>
                    <w:t>/</w:t>
                  </w:r>
                </w:p>
              </w:tc>
              <w:tc>
                <w:tcPr>
                  <w:tcW w:w="782" w:type="pct"/>
                  <w:noWrap w:val="0"/>
                  <w:vAlign w:val="center"/>
                </w:tcPr>
                <w:p w14:paraId="22119A4F">
                  <w:pPr>
                    <w:pStyle w:val="38"/>
                    <w:rPr>
                      <w:rFonts w:hint="default"/>
                      <w:lang w:val="en-US" w:eastAsia="zh-CN"/>
                    </w:rPr>
                  </w:pPr>
                  <w:r>
                    <w:rPr>
                      <w:rFonts w:hint="default"/>
                      <w:lang w:val="en-US" w:eastAsia="zh-CN"/>
                    </w:rPr>
                    <w:t>5068.9</w:t>
                  </w:r>
                  <w:r>
                    <w:rPr>
                      <w:rFonts w:hint="default"/>
                      <w:lang w:eastAsia="zh-CN"/>
                    </w:rPr>
                    <w:t>m</w:t>
                  </w:r>
                  <w:r>
                    <w:rPr>
                      <w:rFonts w:hint="default"/>
                      <w:vertAlign w:val="superscript"/>
                      <w:lang w:eastAsia="zh-CN"/>
                    </w:rPr>
                    <w:t>3</w:t>
                  </w:r>
                </w:p>
              </w:tc>
              <w:tc>
                <w:tcPr>
                  <w:tcW w:w="618" w:type="pct"/>
                  <w:noWrap w:val="0"/>
                  <w:vAlign w:val="center"/>
                </w:tcPr>
                <w:p w14:paraId="3E70A321">
                  <w:pPr>
                    <w:pStyle w:val="38"/>
                    <w:rPr>
                      <w:rFonts w:hint="default"/>
                      <w:lang w:val="en-US" w:eastAsia="zh-CN"/>
                    </w:rPr>
                  </w:pPr>
                  <w:r>
                    <w:rPr>
                      <w:rFonts w:hint="default"/>
                      <w:lang w:val="en-US" w:eastAsia="zh-CN"/>
                    </w:rPr>
                    <w:t>/</w:t>
                  </w:r>
                </w:p>
              </w:tc>
              <w:tc>
                <w:tcPr>
                  <w:tcW w:w="1055" w:type="pct"/>
                  <w:noWrap w:val="0"/>
                  <w:vAlign w:val="center"/>
                </w:tcPr>
                <w:p w14:paraId="7E198CA7">
                  <w:pPr>
                    <w:pStyle w:val="38"/>
                    <w:rPr>
                      <w:rFonts w:hint="default"/>
                      <w:lang w:val="en-US" w:eastAsia="zh-CN"/>
                    </w:rPr>
                  </w:pPr>
                  <w:r>
                    <w:rPr>
                      <w:rFonts w:hint="default"/>
                      <w:lang w:val="en-US" w:eastAsia="zh-CN"/>
                    </w:rPr>
                    <w:t>勘探期结束后全部回填至开挖迹地</w:t>
                  </w:r>
                </w:p>
              </w:tc>
            </w:tr>
            <w:tr w14:paraId="55C8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Merge w:val="continue"/>
                  <w:noWrap w:val="0"/>
                  <w:vAlign w:val="center"/>
                </w:tcPr>
                <w:p w14:paraId="0D629B22">
                  <w:pPr>
                    <w:pStyle w:val="38"/>
                    <w:keepNext w:val="0"/>
                    <w:keepLines w:val="0"/>
                    <w:pageBreakBefore w:val="0"/>
                    <w:widowControl w:val="0"/>
                    <w:kinsoku/>
                    <w:overflowPunct/>
                    <w:topLinePunct w:val="0"/>
                    <w:autoSpaceDE/>
                    <w:autoSpaceDN/>
                    <w:bidi w:val="0"/>
                    <w:adjustRightInd w:val="0"/>
                    <w:snapToGrid w:val="0"/>
                    <w:textAlignment w:val="auto"/>
                    <w:rPr>
                      <w:rFonts w:hint="eastAsia"/>
                      <w:lang w:val="en-US" w:eastAsia="zh-CN"/>
                    </w:rPr>
                  </w:pPr>
                </w:p>
              </w:tc>
              <w:tc>
                <w:tcPr>
                  <w:tcW w:w="576" w:type="pct"/>
                  <w:shd w:val="clear" w:color="auto" w:fill="auto"/>
                  <w:noWrap w:val="0"/>
                  <w:vAlign w:val="center"/>
                </w:tcPr>
                <w:p w14:paraId="2ED0C344">
                  <w:pPr>
                    <w:pStyle w:val="38"/>
                    <w:keepNext w:val="0"/>
                    <w:keepLines w:val="0"/>
                    <w:pageBreakBefore w:val="0"/>
                    <w:widowControl w:val="0"/>
                    <w:kinsoku/>
                    <w:overflowPunct/>
                    <w:topLinePunct w:val="0"/>
                    <w:autoSpaceDE/>
                    <w:autoSpaceDN/>
                    <w:bidi w:val="0"/>
                    <w:adjustRightInd w:val="0"/>
                    <w:snapToGrid w:val="0"/>
                    <w:ind w:firstLine="0" w:firstLineChars="0"/>
                    <w:textAlignment w:val="auto"/>
                    <w:rPr>
                      <w:rFonts w:hint="eastAsia" w:ascii="Times New Roman" w:hAnsi="Times New Roman" w:eastAsia="宋体" w:cs="Times New Roman"/>
                      <w:kern w:val="0"/>
                      <w:sz w:val="21"/>
                      <w:szCs w:val="20"/>
                      <w:lang w:val="en-US" w:eastAsia="zh-CN" w:bidi="ar-SA"/>
                    </w:rPr>
                  </w:pPr>
                  <w:r>
                    <w:rPr>
                      <w:rFonts w:hint="eastAsia"/>
                      <w:lang w:val="en-US" w:eastAsia="zh-CN"/>
                    </w:rPr>
                    <w:t>钻探岩屑</w:t>
                  </w:r>
                </w:p>
              </w:tc>
              <w:tc>
                <w:tcPr>
                  <w:tcW w:w="572" w:type="pct"/>
                  <w:vMerge w:val="continue"/>
                  <w:shd w:val="clear" w:color="auto" w:fill="auto"/>
                  <w:noWrap w:val="0"/>
                  <w:vAlign w:val="center"/>
                </w:tcPr>
                <w:p w14:paraId="1FEE50EB">
                  <w:pPr>
                    <w:pStyle w:val="38"/>
                    <w:bidi w:val="0"/>
                    <w:ind w:firstLine="0" w:firstLineChars="0"/>
                    <w:rPr>
                      <w:rFonts w:hint="default" w:ascii="Times New Roman" w:hAnsi="Times New Roman" w:eastAsia="宋体" w:cs="Times New Roman"/>
                      <w:kern w:val="0"/>
                      <w:sz w:val="21"/>
                      <w:szCs w:val="20"/>
                      <w:lang w:val="en-US" w:eastAsia="zh-CN" w:bidi="ar-SA"/>
                    </w:rPr>
                  </w:pPr>
                </w:p>
              </w:tc>
              <w:tc>
                <w:tcPr>
                  <w:tcW w:w="893" w:type="pct"/>
                  <w:vMerge w:val="continue"/>
                  <w:shd w:val="clear" w:color="auto" w:fill="auto"/>
                  <w:noWrap w:val="0"/>
                  <w:vAlign w:val="center"/>
                </w:tcPr>
                <w:p w14:paraId="57A3AF00">
                  <w:pPr>
                    <w:pStyle w:val="38"/>
                    <w:bidi w:val="0"/>
                    <w:ind w:firstLine="0" w:firstLineChars="0"/>
                    <w:rPr>
                      <w:rFonts w:hint="default" w:ascii="Times New Roman" w:hAnsi="Times New Roman" w:eastAsia="宋体" w:cs="Times New Roman"/>
                      <w:kern w:val="0"/>
                      <w:sz w:val="21"/>
                      <w:szCs w:val="20"/>
                      <w:lang w:val="en-US" w:eastAsia="zh-CN" w:bidi="ar-SA"/>
                    </w:rPr>
                  </w:pPr>
                </w:p>
              </w:tc>
              <w:tc>
                <w:tcPr>
                  <w:tcW w:w="782" w:type="pct"/>
                  <w:shd w:val="clear" w:color="auto" w:fill="auto"/>
                  <w:noWrap w:val="0"/>
                  <w:vAlign w:val="center"/>
                </w:tcPr>
                <w:p w14:paraId="5811E70A">
                  <w:pPr>
                    <w:pStyle w:val="38"/>
                    <w:keepNext w:val="0"/>
                    <w:keepLines w:val="0"/>
                    <w:pageBreakBefore w:val="0"/>
                    <w:widowControl w:val="0"/>
                    <w:kinsoku/>
                    <w:overflowPunct/>
                    <w:topLinePunct w:val="0"/>
                    <w:autoSpaceDE/>
                    <w:autoSpaceDN/>
                    <w:bidi w:val="0"/>
                    <w:adjustRightInd w:val="0"/>
                    <w:snapToGrid w:val="0"/>
                    <w:ind w:firstLine="0" w:firstLineChars="0"/>
                    <w:textAlignment w:val="auto"/>
                    <w:rPr>
                      <w:rFonts w:hint="default" w:ascii="Times New Roman" w:hAnsi="Times New Roman" w:eastAsia="宋体" w:cs="Times New Roman"/>
                      <w:kern w:val="0"/>
                      <w:sz w:val="21"/>
                      <w:szCs w:val="20"/>
                      <w:lang w:val="en-US" w:eastAsia="zh-CN" w:bidi="ar-SA"/>
                    </w:rPr>
                  </w:pPr>
                  <w:r>
                    <w:rPr>
                      <w:rFonts w:hint="eastAsia"/>
                      <w:lang w:val="en-US" w:eastAsia="zh-CN"/>
                    </w:rPr>
                    <w:t>3.228m</w:t>
                  </w:r>
                  <w:r>
                    <w:rPr>
                      <w:rFonts w:hint="eastAsia"/>
                      <w:vertAlign w:val="superscript"/>
                      <w:lang w:val="en-US" w:eastAsia="zh-CN"/>
                    </w:rPr>
                    <w:t>3</w:t>
                  </w:r>
                </w:p>
              </w:tc>
              <w:tc>
                <w:tcPr>
                  <w:tcW w:w="618" w:type="pct"/>
                  <w:shd w:val="clear" w:color="auto" w:fill="auto"/>
                  <w:noWrap w:val="0"/>
                  <w:vAlign w:val="center"/>
                </w:tcPr>
                <w:p w14:paraId="24D12FA1">
                  <w:pPr>
                    <w:pStyle w:val="38"/>
                    <w:keepNext w:val="0"/>
                    <w:keepLines w:val="0"/>
                    <w:pageBreakBefore w:val="0"/>
                    <w:widowControl w:val="0"/>
                    <w:kinsoku/>
                    <w:overflowPunct/>
                    <w:topLinePunct w:val="0"/>
                    <w:autoSpaceDE/>
                    <w:autoSpaceDN/>
                    <w:bidi w:val="0"/>
                    <w:adjustRightInd w:val="0"/>
                    <w:snapToGrid w:val="0"/>
                    <w:ind w:firstLine="0" w:firstLineChars="0"/>
                    <w:textAlignment w:val="auto"/>
                    <w:rPr>
                      <w:rFonts w:hint="default" w:ascii="Times New Roman" w:hAnsi="Times New Roman" w:eastAsia="宋体" w:cs="Times New Roman"/>
                      <w:kern w:val="0"/>
                      <w:sz w:val="21"/>
                      <w:szCs w:val="20"/>
                      <w:lang w:val="en-US" w:eastAsia="zh-CN" w:bidi="ar-SA"/>
                    </w:rPr>
                  </w:pPr>
                  <w:r>
                    <w:rPr>
                      <w:rFonts w:hint="eastAsia"/>
                      <w:lang w:val="en-US" w:eastAsia="zh-CN"/>
                    </w:rPr>
                    <w:t>/</w:t>
                  </w:r>
                </w:p>
              </w:tc>
              <w:tc>
                <w:tcPr>
                  <w:tcW w:w="1055" w:type="pct"/>
                  <w:shd w:val="clear" w:color="auto" w:fill="auto"/>
                  <w:noWrap w:val="0"/>
                  <w:vAlign w:val="center"/>
                </w:tcPr>
                <w:p w14:paraId="1FEACA24">
                  <w:pPr>
                    <w:pStyle w:val="38"/>
                    <w:keepNext w:val="0"/>
                    <w:keepLines w:val="0"/>
                    <w:pageBreakBefore w:val="0"/>
                    <w:widowControl w:val="0"/>
                    <w:kinsoku/>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kern w:val="0"/>
                      <w:sz w:val="21"/>
                      <w:szCs w:val="20"/>
                      <w:lang w:val="en-US" w:eastAsia="zh-CN" w:bidi="ar-SA"/>
                    </w:rPr>
                  </w:pPr>
                  <w:r>
                    <w:rPr>
                      <w:rFonts w:hint="eastAsia"/>
                      <w:lang w:val="en-US" w:eastAsia="zh-CN"/>
                    </w:rPr>
                    <w:t>钻孔回填钻孔</w:t>
                  </w:r>
                </w:p>
              </w:tc>
            </w:tr>
            <w:tr w14:paraId="77037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Merge w:val="continue"/>
                  <w:noWrap w:val="0"/>
                  <w:vAlign w:val="center"/>
                </w:tcPr>
                <w:p w14:paraId="73865AE3">
                  <w:pPr>
                    <w:pStyle w:val="38"/>
                    <w:keepNext w:val="0"/>
                    <w:keepLines w:val="0"/>
                    <w:pageBreakBefore w:val="0"/>
                    <w:widowControl w:val="0"/>
                    <w:kinsoku/>
                    <w:overflowPunct/>
                    <w:topLinePunct w:val="0"/>
                    <w:autoSpaceDE/>
                    <w:autoSpaceDN/>
                    <w:bidi w:val="0"/>
                    <w:adjustRightInd w:val="0"/>
                    <w:snapToGrid w:val="0"/>
                    <w:textAlignment w:val="auto"/>
                    <w:rPr>
                      <w:rFonts w:hint="eastAsia"/>
                      <w:lang w:val="en-US" w:eastAsia="zh-CN"/>
                    </w:rPr>
                  </w:pPr>
                </w:p>
              </w:tc>
              <w:tc>
                <w:tcPr>
                  <w:tcW w:w="576" w:type="pct"/>
                  <w:shd w:val="clear" w:color="auto" w:fill="auto"/>
                  <w:noWrap w:val="0"/>
                  <w:vAlign w:val="center"/>
                </w:tcPr>
                <w:p w14:paraId="1FCBDD84">
                  <w:pPr>
                    <w:pStyle w:val="38"/>
                    <w:keepNext w:val="0"/>
                    <w:keepLines w:val="0"/>
                    <w:pageBreakBefore w:val="0"/>
                    <w:widowControl w:val="0"/>
                    <w:kinsoku/>
                    <w:overflowPunct/>
                    <w:topLinePunct w:val="0"/>
                    <w:autoSpaceDE/>
                    <w:autoSpaceDN/>
                    <w:bidi w:val="0"/>
                    <w:adjustRightInd w:val="0"/>
                    <w:snapToGrid w:val="0"/>
                    <w:ind w:firstLine="0" w:firstLineChars="0"/>
                    <w:textAlignment w:val="auto"/>
                    <w:rPr>
                      <w:rFonts w:hint="default" w:ascii="Times New Roman" w:hAnsi="Times New Roman" w:eastAsia="宋体" w:cs="Times New Roman"/>
                      <w:kern w:val="0"/>
                      <w:sz w:val="21"/>
                      <w:szCs w:val="20"/>
                      <w:lang w:val="en-US" w:eastAsia="zh-CN" w:bidi="ar-SA"/>
                    </w:rPr>
                  </w:pPr>
                  <w:r>
                    <w:rPr>
                      <w:rFonts w:hint="eastAsia"/>
                      <w:lang w:val="en-US" w:eastAsia="zh-CN"/>
                    </w:rPr>
                    <w:t>钻井泥浆</w:t>
                  </w:r>
                </w:p>
              </w:tc>
              <w:tc>
                <w:tcPr>
                  <w:tcW w:w="572" w:type="pct"/>
                  <w:vMerge w:val="continue"/>
                  <w:shd w:val="clear" w:color="auto" w:fill="auto"/>
                  <w:noWrap w:val="0"/>
                  <w:vAlign w:val="center"/>
                </w:tcPr>
                <w:p w14:paraId="1F5E70B3">
                  <w:pPr>
                    <w:pStyle w:val="38"/>
                    <w:keepNext w:val="0"/>
                    <w:keepLines w:val="0"/>
                    <w:pageBreakBefore w:val="0"/>
                    <w:widowControl w:val="0"/>
                    <w:kinsoku/>
                    <w:overflowPunct/>
                    <w:topLinePunct w:val="0"/>
                    <w:autoSpaceDE/>
                    <w:autoSpaceDN/>
                    <w:bidi w:val="0"/>
                    <w:adjustRightInd w:val="0"/>
                    <w:snapToGrid w:val="0"/>
                    <w:ind w:firstLine="0" w:firstLineChars="0"/>
                    <w:textAlignment w:val="auto"/>
                    <w:rPr>
                      <w:rFonts w:hint="default" w:ascii="Times New Roman" w:hAnsi="Times New Roman" w:eastAsia="宋体" w:cs="Times New Roman"/>
                      <w:kern w:val="0"/>
                      <w:sz w:val="21"/>
                      <w:szCs w:val="20"/>
                      <w:lang w:val="en-US" w:eastAsia="zh-CN" w:bidi="ar-SA"/>
                    </w:rPr>
                  </w:pPr>
                </w:p>
              </w:tc>
              <w:tc>
                <w:tcPr>
                  <w:tcW w:w="893" w:type="pct"/>
                  <w:vMerge w:val="continue"/>
                  <w:shd w:val="clear" w:color="auto" w:fill="auto"/>
                  <w:noWrap w:val="0"/>
                  <w:vAlign w:val="center"/>
                </w:tcPr>
                <w:p w14:paraId="08BC6829">
                  <w:pPr>
                    <w:pStyle w:val="38"/>
                    <w:keepNext w:val="0"/>
                    <w:keepLines w:val="0"/>
                    <w:pageBreakBefore w:val="0"/>
                    <w:widowControl w:val="0"/>
                    <w:kinsoku/>
                    <w:overflowPunct/>
                    <w:topLinePunct w:val="0"/>
                    <w:autoSpaceDE/>
                    <w:autoSpaceDN/>
                    <w:bidi w:val="0"/>
                    <w:adjustRightInd w:val="0"/>
                    <w:snapToGrid w:val="0"/>
                    <w:ind w:firstLine="0" w:firstLineChars="0"/>
                    <w:textAlignment w:val="auto"/>
                    <w:rPr>
                      <w:rFonts w:hint="default" w:ascii="Times New Roman" w:hAnsi="Times New Roman" w:eastAsia="宋体" w:cs="Times New Roman"/>
                      <w:kern w:val="0"/>
                      <w:sz w:val="21"/>
                      <w:szCs w:val="20"/>
                      <w:lang w:val="en-US" w:eastAsia="zh-CN" w:bidi="ar-SA"/>
                    </w:rPr>
                  </w:pPr>
                </w:p>
              </w:tc>
              <w:tc>
                <w:tcPr>
                  <w:tcW w:w="782" w:type="pct"/>
                  <w:shd w:val="clear" w:color="auto" w:fill="auto"/>
                  <w:noWrap w:val="0"/>
                  <w:vAlign w:val="center"/>
                </w:tcPr>
                <w:p w14:paraId="266784C1">
                  <w:pPr>
                    <w:pStyle w:val="38"/>
                    <w:keepNext w:val="0"/>
                    <w:keepLines w:val="0"/>
                    <w:pageBreakBefore w:val="0"/>
                    <w:widowControl w:val="0"/>
                    <w:kinsoku/>
                    <w:overflowPunct/>
                    <w:topLinePunct w:val="0"/>
                    <w:autoSpaceDE/>
                    <w:autoSpaceDN/>
                    <w:bidi w:val="0"/>
                    <w:adjustRightInd w:val="0"/>
                    <w:snapToGrid w:val="0"/>
                    <w:ind w:firstLine="0" w:firstLineChars="0"/>
                    <w:textAlignment w:val="auto"/>
                    <w:rPr>
                      <w:rFonts w:hint="default" w:ascii="Times New Roman" w:hAnsi="Times New Roman" w:eastAsia="宋体" w:cs="Times New Roman"/>
                      <w:kern w:val="0"/>
                      <w:sz w:val="21"/>
                      <w:szCs w:val="20"/>
                      <w:lang w:val="en-US" w:eastAsia="zh-CN" w:bidi="ar-SA"/>
                    </w:rPr>
                  </w:pPr>
                  <w:r>
                    <w:rPr>
                      <w:rFonts w:hint="eastAsia"/>
                      <w:lang w:val="en-US" w:eastAsia="zh-CN"/>
                    </w:rPr>
                    <w:t>25t</w:t>
                  </w:r>
                </w:p>
              </w:tc>
              <w:tc>
                <w:tcPr>
                  <w:tcW w:w="618" w:type="pct"/>
                  <w:shd w:val="clear" w:color="auto" w:fill="auto"/>
                  <w:noWrap w:val="0"/>
                  <w:vAlign w:val="center"/>
                </w:tcPr>
                <w:p w14:paraId="23C4D682">
                  <w:pPr>
                    <w:pStyle w:val="38"/>
                    <w:keepNext w:val="0"/>
                    <w:keepLines w:val="0"/>
                    <w:pageBreakBefore w:val="0"/>
                    <w:widowControl w:val="0"/>
                    <w:kinsoku/>
                    <w:overflowPunct/>
                    <w:topLinePunct w:val="0"/>
                    <w:autoSpaceDE/>
                    <w:autoSpaceDN/>
                    <w:bidi w:val="0"/>
                    <w:adjustRightInd w:val="0"/>
                    <w:snapToGrid w:val="0"/>
                    <w:ind w:firstLine="0" w:firstLineChars="0"/>
                    <w:textAlignment w:val="auto"/>
                    <w:rPr>
                      <w:rFonts w:hint="default" w:ascii="Times New Roman" w:hAnsi="Times New Roman" w:eastAsia="宋体" w:cs="Times New Roman"/>
                      <w:kern w:val="0"/>
                      <w:sz w:val="21"/>
                      <w:szCs w:val="20"/>
                      <w:lang w:val="en-US" w:eastAsia="zh-CN" w:bidi="ar-SA"/>
                    </w:rPr>
                  </w:pPr>
                  <w:r>
                    <w:rPr>
                      <w:rFonts w:hint="eastAsia"/>
                      <w:lang w:val="en-US" w:eastAsia="zh-CN"/>
                    </w:rPr>
                    <w:t>/</w:t>
                  </w:r>
                </w:p>
              </w:tc>
              <w:tc>
                <w:tcPr>
                  <w:tcW w:w="1055" w:type="pct"/>
                  <w:shd w:val="clear" w:color="auto" w:fill="auto"/>
                  <w:noWrap w:val="0"/>
                  <w:vAlign w:val="center"/>
                </w:tcPr>
                <w:p w14:paraId="1FE67795">
                  <w:pPr>
                    <w:pStyle w:val="38"/>
                    <w:keepNext w:val="0"/>
                    <w:keepLines w:val="0"/>
                    <w:pageBreakBefore w:val="0"/>
                    <w:widowControl w:val="0"/>
                    <w:kinsoku/>
                    <w:overflowPunct/>
                    <w:topLinePunct w:val="0"/>
                    <w:autoSpaceDE/>
                    <w:autoSpaceDN/>
                    <w:bidi w:val="0"/>
                    <w:adjustRightInd w:val="0"/>
                    <w:snapToGrid w:val="0"/>
                    <w:ind w:firstLine="0" w:firstLineChars="0"/>
                    <w:textAlignment w:val="auto"/>
                    <w:rPr>
                      <w:rFonts w:hint="default" w:ascii="Times New Roman" w:hAnsi="Times New Roman" w:eastAsia="宋体" w:cs="Times New Roman"/>
                      <w:kern w:val="0"/>
                      <w:sz w:val="21"/>
                      <w:szCs w:val="20"/>
                      <w:lang w:val="en-US" w:eastAsia="zh-CN" w:bidi="ar-SA"/>
                    </w:rPr>
                  </w:pPr>
                  <w:r>
                    <w:rPr>
                      <w:rFonts w:hint="eastAsia"/>
                      <w:lang w:val="en-US" w:eastAsia="zh-CN"/>
                    </w:rPr>
                    <w:t>钻井泥浆固化后就地填埋</w:t>
                  </w:r>
                </w:p>
              </w:tc>
            </w:tr>
            <w:tr w14:paraId="07DC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Merge w:val="continue"/>
                  <w:noWrap w:val="0"/>
                  <w:vAlign w:val="center"/>
                </w:tcPr>
                <w:p w14:paraId="469A61B8">
                  <w:pPr>
                    <w:pStyle w:val="38"/>
                    <w:keepNext w:val="0"/>
                    <w:keepLines w:val="0"/>
                    <w:pageBreakBefore w:val="0"/>
                    <w:widowControl w:val="0"/>
                    <w:kinsoku/>
                    <w:overflowPunct/>
                    <w:topLinePunct w:val="0"/>
                    <w:autoSpaceDE/>
                    <w:autoSpaceDN/>
                    <w:bidi w:val="0"/>
                    <w:adjustRightInd w:val="0"/>
                    <w:snapToGrid w:val="0"/>
                    <w:textAlignment w:val="auto"/>
                    <w:rPr>
                      <w:rFonts w:hint="eastAsia"/>
                      <w:lang w:val="en-US" w:eastAsia="zh-CN"/>
                    </w:rPr>
                  </w:pPr>
                </w:p>
              </w:tc>
              <w:tc>
                <w:tcPr>
                  <w:tcW w:w="576" w:type="pct"/>
                  <w:noWrap w:val="0"/>
                  <w:vAlign w:val="center"/>
                </w:tcPr>
                <w:p w14:paraId="0DC7F8F1">
                  <w:pPr>
                    <w:pStyle w:val="38"/>
                    <w:keepNext w:val="0"/>
                    <w:keepLines w:val="0"/>
                    <w:pageBreakBefore w:val="0"/>
                    <w:widowControl w:val="0"/>
                    <w:kinsoku/>
                    <w:overflowPunct/>
                    <w:topLinePunct w:val="0"/>
                    <w:autoSpaceDE/>
                    <w:autoSpaceDN/>
                    <w:bidi w:val="0"/>
                    <w:adjustRightInd w:val="0"/>
                    <w:snapToGrid w:val="0"/>
                    <w:textAlignment w:val="auto"/>
                    <w:rPr>
                      <w:rFonts w:hint="eastAsia"/>
                      <w:lang w:val="en-US" w:eastAsia="zh-CN"/>
                    </w:rPr>
                  </w:pPr>
                  <w:r>
                    <w:rPr>
                      <w:rFonts w:hint="eastAsia" w:ascii="Times New Roman" w:hAnsi="Times New Roman" w:eastAsia="宋体" w:cs="Times New Roman"/>
                      <w:lang w:val="en-US" w:eastAsia="zh-CN"/>
                    </w:rPr>
                    <w:t>一体化污水处理装置污泥</w:t>
                  </w:r>
                </w:p>
              </w:tc>
              <w:tc>
                <w:tcPr>
                  <w:tcW w:w="572" w:type="pct"/>
                  <w:vMerge w:val="continue"/>
                  <w:shd w:val="clear" w:color="auto" w:fill="auto"/>
                  <w:noWrap w:val="0"/>
                  <w:vAlign w:val="center"/>
                </w:tcPr>
                <w:p w14:paraId="32313135">
                  <w:pPr>
                    <w:pStyle w:val="38"/>
                    <w:keepNext w:val="0"/>
                    <w:keepLines w:val="0"/>
                    <w:pageBreakBefore w:val="0"/>
                    <w:widowControl w:val="0"/>
                    <w:kinsoku/>
                    <w:overflowPunct/>
                    <w:topLinePunct w:val="0"/>
                    <w:autoSpaceDE/>
                    <w:autoSpaceDN/>
                    <w:bidi w:val="0"/>
                    <w:adjustRightInd w:val="0"/>
                    <w:snapToGrid w:val="0"/>
                    <w:textAlignment w:val="auto"/>
                    <w:rPr>
                      <w:rFonts w:hint="eastAsia"/>
                      <w:lang w:val="en-US" w:eastAsia="zh-CN"/>
                    </w:rPr>
                  </w:pPr>
                </w:p>
              </w:tc>
              <w:tc>
                <w:tcPr>
                  <w:tcW w:w="893" w:type="pct"/>
                  <w:vMerge w:val="continue"/>
                  <w:shd w:val="clear" w:color="auto" w:fill="auto"/>
                  <w:noWrap w:val="0"/>
                  <w:vAlign w:val="center"/>
                </w:tcPr>
                <w:p w14:paraId="4DD6F678">
                  <w:pPr>
                    <w:pStyle w:val="38"/>
                    <w:keepNext w:val="0"/>
                    <w:keepLines w:val="0"/>
                    <w:pageBreakBefore w:val="0"/>
                    <w:widowControl w:val="0"/>
                    <w:kinsoku/>
                    <w:overflowPunct/>
                    <w:topLinePunct w:val="0"/>
                    <w:autoSpaceDE/>
                    <w:autoSpaceDN/>
                    <w:bidi w:val="0"/>
                    <w:adjustRightInd w:val="0"/>
                    <w:snapToGrid w:val="0"/>
                    <w:textAlignment w:val="auto"/>
                    <w:rPr>
                      <w:rFonts w:hint="eastAsia"/>
                      <w:lang w:val="en-US" w:eastAsia="zh-CN"/>
                    </w:rPr>
                  </w:pPr>
                </w:p>
              </w:tc>
              <w:tc>
                <w:tcPr>
                  <w:tcW w:w="782" w:type="pct"/>
                  <w:noWrap w:val="0"/>
                  <w:vAlign w:val="center"/>
                </w:tcPr>
                <w:p w14:paraId="56FCFBEF">
                  <w:pPr>
                    <w:pStyle w:val="38"/>
                    <w:keepNext w:val="0"/>
                    <w:keepLines w:val="0"/>
                    <w:pageBreakBefore w:val="0"/>
                    <w:widowControl w:val="0"/>
                    <w:kinsoku/>
                    <w:overflowPunct/>
                    <w:topLinePunct w:val="0"/>
                    <w:autoSpaceDE/>
                    <w:autoSpaceDN/>
                    <w:bidi w:val="0"/>
                    <w:adjustRightInd w:val="0"/>
                    <w:snapToGrid w:val="0"/>
                    <w:textAlignment w:val="auto"/>
                    <w:rPr>
                      <w:rFonts w:hint="default"/>
                      <w:lang w:val="en-US" w:eastAsia="zh-CN"/>
                    </w:rPr>
                  </w:pPr>
                  <w:r>
                    <w:rPr>
                      <w:rFonts w:hint="eastAsia"/>
                      <w:lang w:val="en-US" w:eastAsia="zh-CN"/>
                    </w:rPr>
                    <w:t>10kg</w:t>
                  </w:r>
                </w:p>
              </w:tc>
              <w:tc>
                <w:tcPr>
                  <w:tcW w:w="618" w:type="pct"/>
                  <w:noWrap w:val="0"/>
                  <w:vAlign w:val="center"/>
                </w:tcPr>
                <w:p w14:paraId="2A2AF2EE">
                  <w:pPr>
                    <w:pStyle w:val="38"/>
                    <w:keepNext w:val="0"/>
                    <w:keepLines w:val="0"/>
                    <w:pageBreakBefore w:val="0"/>
                    <w:widowControl w:val="0"/>
                    <w:kinsoku/>
                    <w:overflowPunct/>
                    <w:topLinePunct w:val="0"/>
                    <w:autoSpaceDE/>
                    <w:autoSpaceDN/>
                    <w:bidi w:val="0"/>
                    <w:adjustRightInd w:val="0"/>
                    <w:snapToGrid w:val="0"/>
                    <w:textAlignment w:val="auto"/>
                    <w:rPr>
                      <w:rFonts w:hint="default"/>
                      <w:lang w:val="en-US" w:eastAsia="zh-CN"/>
                    </w:rPr>
                  </w:pPr>
                  <w:r>
                    <w:rPr>
                      <w:rFonts w:hint="eastAsia"/>
                      <w:lang w:val="en-US" w:eastAsia="zh-CN"/>
                    </w:rPr>
                    <w:t>/</w:t>
                  </w:r>
                </w:p>
              </w:tc>
              <w:tc>
                <w:tcPr>
                  <w:tcW w:w="1055" w:type="pct"/>
                  <w:noWrap w:val="0"/>
                  <w:vAlign w:val="center"/>
                </w:tcPr>
                <w:p w14:paraId="23965166">
                  <w:pPr>
                    <w:pStyle w:val="38"/>
                    <w:keepNext w:val="0"/>
                    <w:keepLines w:val="0"/>
                    <w:pageBreakBefore w:val="0"/>
                    <w:widowControl w:val="0"/>
                    <w:kinsoku/>
                    <w:overflowPunct/>
                    <w:topLinePunct w:val="0"/>
                    <w:autoSpaceDE/>
                    <w:autoSpaceDN/>
                    <w:bidi w:val="0"/>
                    <w:adjustRightInd w:val="0"/>
                    <w:snapToGrid w:val="0"/>
                    <w:textAlignment w:val="auto"/>
                    <w:rPr>
                      <w:rFonts w:hint="eastAsia"/>
                      <w:lang w:val="en-US" w:eastAsia="zh-CN"/>
                    </w:rPr>
                  </w:pPr>
                  <w:r>
                    <w:rPr>
                      <w:rFonts w:hint="default"/>
                      <w:lang w:val="en-US" w:eastAsia="zh-CN"/>
                    </w:rPr>
                    <w:t>勘探期结束后</w:t>
                  </w:r>
                  <w:r>
                    <w:rPr>
                      <w:rFonts w:hint="eastAsia"/>
                      <w:lang w:val="en-US" w:eastAsia="zh-CN"/>
                    </w:rPr>
                    <w:t>就地填埋</w:t>
                  </w:r>
                </w:p>
              </w:tc>
            </w:tr>
            <w:tr w14:paraId="67255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noWrap w:val="0"/>
                  <w:vAlign w:val="center"/>
                </w:tcPr>
                <w:p w14:paraId="0D701965">
                  <w:pPr>
                    <w:pStyle w:val="38"/>
                    <w:rPr>
                      <w:rFonts w:hint="default"/>
                      <w:lang w:val="en-US" w:eastAsia="zh-CN"/>
                    </w:rPr>
                  </w:pPr>
                  <w:r>
                    <w:rPr>
                      <w:rFonts w:hint="eastAsia"/>
                      <w:lang w:val="en-US" w:eastAsia="zh-CN"/>
                    </w:rPr>
                    <w:t>生活垃圾</w:t>
                  </w:r>
                </w:p>
              </w:tc>
              <w:tc>
                <w:tcPr>
                  <w:tcW w:w="576" w:type="pct"/>
                  <w:noWrap w:val="0"/>
                  <w:vAlign w:val="center"/>
                </w:tcPr>
                <w:p w14:paraId="5AB8E76F">
                  <w:pPr>
                    <w:pStyle w:val="38"/>
                    <w:rPr>
                      <w:rFonts w:hint="default"/>
                      <w:lang w:val="en-US" w:eastAsia="zh-CN"/>
                    </w:rPr>
                  </w:pPr>
                  <w:r>
                    <w:rPr>
                      <w:rFonts w:hint="eastAsia"/>
                      <w:lang w:val="en-US" w:eastAsia="zh-CN"/>
                    </w:rPr>
                    <w:t>生活垃圾</w:t>
                  </w:r>
                </w:p>
              </w:tc>
              <w:tc>
                <w:tcPr>
                  <w:tcW w:w="572" w:type="pct"/>
                  <w:noWrap w:val="0"/>
                  <w:vAlign w:val="center"/>
                </w:tcPr>
                <w:p w14:paraId="0F163C12">
                  <w:pPr>
                    <w:pStyle w:val="38"/>
                    <w:rPr>
                      <w:rFonts w:hint="eastAsia"/>
                      <w:lang w:val="en-US" w:eastAsia="zh-CN"/>
                    </w:rPr>
                  </w:pPr>
                  <w:r>
                    <w:rPr>
                      <w:rFonts w:hint="eastAsia"/>
                      <w:lang w:val="en-US" w:eastAsia="zh-CN"/>
                    </w:rPr>
                    <w:t>/</w:t>
                  </w:r>
                </w:p>
              </w:tc>
              <w:tc>
                <w:tcPr>
                  <w:tcW w:w="893" w:type="pct"/>
                  <w:noWrap w:val="0"/>
                  <w:vAlign w:val="center"/>
                </w:tcPr>
                <w:p w14:paraId="56E6A7B0">
                  <w:pPr>
                    <w:pStyle w:val="38"/>
                    <w:rPr>
                      <w:rFonts w:hint="eastAsia"/>
                      <w:lang w:val="en-US" w:eastAsia="zh-CN"/>
                    </w:rPr>
                  </w:pPr>
                  <w:r>
                    <w:rPr>
                      <w:rFonts w:hint="eastAsia"/>
                      <w:lang w:val="en-US" w:eastAsia="zh-CN"/>
                    </w:rPr>
                    <w:t>/</w:t>
                  </w:r>
                </w:p>
              </w:tc>
              <w:tc>
                <w:tcPr>
                  <w:tcW w:w="782" w:type="pct"/>
                  <w:noWrap w:val="0"/>
                  <w:vAlign w:val="center"/>
                </w:tcPr>
                <w:p w14:paraId="15915487">
                  <w:pPr>
                    <w:pStyle w:val="38"/>
                    <w:rPr>
                      <w:rFonts w:hint="default"/>
                      <w:lang w:val="en-US" w:eastAsia="zh-CN"/>
                    </w:rPr>
                  </w:pPr>
                  <w:r>
                    <w:rPr>
                      <w:rFonts w:hint="eastAsia"/>
                      <w:lang w:val="en-US" w:eastAsia="zh-CN"/>
                    </w:rPr>
                    <w:t>0.787t</w:t>
                  </w:r>
                </w:p>
              </w:tc>
              <w:tc>
                <w:tcPr>
                  <w:tcW w:w="618" w:type="pct"/>
                  <w:noWrap w:val="0"/>
                  <w:vAlign w:val="center"/>
                </w:tcPr>
                <w:p w14:paraId="3DFC7466">
                  <w:pPr>
                    <w:pStyle w:val="38"/>
                    <w:rPr>
                      <w:rFonts w:hint="default"/>
                      <w:lang w:val="en-US" w:eastAsia="zh-CN"/>
                    </w:rPr>
                  </w:pPr>
                  <w:r>
                    <w:rPr>
                      <w:rFonts w:hint="default"/>
                      <w:lang w:val="en-US" w:eastAsia="zh-CN"/>
                    </w:rPr>
                    <w:t>/</w:t>
                  </w:r>
                </w:p>
              </w:tc>
              <w:tc>
                <w:tcPr>
                  <w:tcW w:w="1055" w:type="pct"/>
                  <w:noWrap w:val="0"/>
                  <w:vAlign w:val="center"/>
                </w:tcPr>
                <w:p w14:paraId="72B014CF">
                  <w:pPr>
                    <w:pStyle w:val="38"/>
                    <w:rPr>
                      <w:rFonts w:hint="eastAsia"/>
                      <w:lang w:val="en-US" w:eastAsia="zh-CN"/>
                    </w:rPr>
                  </w:pPr>
                  <w:r>
                    <w:rPr>
                      <w:rFonts w:hint="eastAsia"/>
                      <w:lang w:val="en-US" w:eastAsia="zh-CN"/>
                    </w:rPr>
                    <w:t>统一收集后送至和静县巴音布鲁克镇垃圾填埋场</w:t>
                  </w:r>
                </w:p>
              </w:tc>
            </w:tr>
            <w:tr w14:paraId="47582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noWrap w:val="0"/>
                  <w:vAlign w:val="center"/>
                </w:tcPr>
                <w:p w14:paraId="54B530FB">
                  <w:pPr>
                    <w:pStyle w:val="38"/>
                    <w:rPr>
                      <w:rFonts w:hint="eastAsia"/>
                      <w:lang w:val="en-US" w:eastAsia="zh-CN"/>
                    </w:rPr>
                  </w:pPr>
                  <w:r>
                    <w:rPr>
                      <w:rFonts w:hint="eastAsia"/>
                      <w:lang w:val="en-US" w:eastAsia="zh-CN"/>
                    </w:rPr>
                    <w:t>危险废物</w:t>
                  </w:r>
                </w:p>
              </w:tc>
              <w:tc>
                <w:tcPr>
                  <w:tcW w:w="576" w:type="pct"/>
                  <w:noWrap w:val="0"/>
                  <w:vAlign w:val="center"/>
                </w:tcPr>
                <w:p w14:paraId="7E02D9AD">
                  <w:pPr>
                    <w:pStyle w:val="38"/>
                    <w:rPr>
                      <w:rFonts w:hint="eastAsia"/>
                      <w:lang w:val="en-US" w:eastAsia="zh-CN"/>
                    </w:rPr>
                  </w:pPr>
                  <w:r>
                    <w:rPr>
                      <w:rFonts w:hint="eastAsia"/>
                      <w:lang w:val="en-US" w:eastAsia="zh-CN"/>
                    </w:rPr>
                    <w:t>废油桶</w:t>
                  </w:r>
                </w:p>
              </w:tc>
              <w:tc>
                <w:tcPr>
                  <w:tcW w:w="572" w:type="pct"/>
                  <w:noWrap w:val="0"/>
                  <w:vAlign w:val="center"/>
                </w:tcPr>
                <w:p w14:paraId="730DE70B">
                  <w:pPr>
                    <w:pStyle w:val="38"/>
                    <w:rPr>
                      <w:rFonts w:hint="eastAsia"/>
                      <w:lang w:val="en-US" w:eastAsia="zh-CN"/>
                    </w:rPr>
                  </w:pPr>
                  <w:r>
                    <w:rPr>
                      <w:rFonts w:hint="eastAsia"/>
                      <w:lang w:val="en-US" w:eastAsia="zh-CN"/>
                    </w:rPr>
                    <w:t>HW08</w:t>
                  </w:r>
                </w:p>
              </w:tc>
              <w:tc>
                <w:tcPr>
                  <w:tcW w:w="893" w:type="pct"/>
                  <w:noWrap w:val="0"/>
                  <w:vAlign w:val="center"/>
                </w:tcPr>
                <w:p w14:paraId="438A5A70">
                  <w:pPr>
                    <w:pStyle w:val="38"/>
                    <w:rPr>
                      <w:rFonts w:hint="eastAsia"/>
                      <w:lang w:val="en-US" w:eastAsia="zh-CN"/>
                    </w:rPr>
                  </w:pPr>
                  <w:r>
                    <w:rPr>
                      <w:rFonts w:hint="eastAsia"/>
                      <w:lang w:val="en-US" w:eastAsia="zh-CN"/>
                    </w:rPr>
                    <w:t>900-249-08</w:t>
                  </w:r>
                </w:p>
              </w:tc>
              <w:tc>
                <w:tcPr>
                  <w:tcW w:w="782" w:type="pct"/>
                  <w:noWrap w:val="0"/>
                  <w:vAlign w:val="center"/>
                </w:tcPr>
                <w:p w14:paraId="483FC3BB">
                  <w:pPr>
                    <w:pStyle w:val="38"/>
                    <w:rPr>
                      <w:rFonts w:hint="eastAsia"/>
                      <w:lang w:val="en-US" w:eastAsia="zh-CN"/>
                    </w:rPr>
                  </w:pPr>
                  <w:r>
                    <w:rPr>
                      <w:rFonts w:hint="eastAsia"/>
                      <w:lang w:val="en-US" w:eastAsia="zh-CN"/>
                    </w:rPr>
                    <w:t>0.7t</w:t>
                  </w:r>
                </w:p>
              </w:tc>
              <w:tc>
                <w:tcPr>
                  <w:tcW w:w="618" w:type="pct"/>
                  <w:noWrap w:val="0"/>
                  <w:vAlign w:val="center"/>
                </w:tcPr>
                <w:p w14:paraId="1A60C199">
                  <w:pPr>
                    <w:pStyle w:val="38"/>
                    <w:rPr>
                      <w:rFonts w:hint="default"/>
                      <w:lang w:val="en-US" w:eastAsia="zh-CN"/>
                    </w:rPr>
                  </w:pPr>
                  <w:r>
                    <w:rPr>
                      <w:rFonts w:hint="eastAsia"/>
                      <w:lang w:val="en-US" w:eastAsia="zh-CN"/>
                    </w:rPr>
                    <w:t>毒性、易燃性</w:t>
                  </w:r>
                </w:p>
              </w:tc>
              <w:tc>
                <w:tcPr>
                  <w:tcW w:w="1055" w:type="pct"/>
                  <w:noWrap w:val="0"/>
                  <w:vAlign w:val="center"/>
                </w:tcPr>
                <w:p w14:paraId="41B5ED01">
                  <w:pPr>
                    <w:pStyle w:val="38"/>
                    <w:rPr>
                      <w:rFonts w:hint="eastAsia"/>
                      <w:lang w:val="en-US" w:eastAsia="zh-CN"/>
                    </w:rPr>
                  </w:pPr>
                  <w:r>
                    <w:rPr>
                      <w:rFonts w:hint="eastAsia"/>
                      <w:lang w:val="en-US" w:eastAsia="zh-CN"/>
                    </w:rPr>
                    <w:t>集中收集交由资质单位处理</w:t>
                  </w:r>
                </w:p>
              </w:tc>
            </w:tr>
          </w:tbl>
          <w:p w14:paraId="2A044830">
            <w:pPr>
              <w:ind w:firstLine="480"/>
            </w:pPr>
            <w:r>
              <w:t>工程施工需进行土石方开挖，此过程会产生一定量的土石方及弃土弃渣，在设计过程中充分利用</w:t>
            </w:r>
            <w:r>
              <w:rPr>
                <w:rFonts w:hint="eastAsia"/>
              </w:rPr>
              <w:t>了</w:t>
            </w:r>
            <w:r>
              <w:t>矿区的地形地貌，其基础挖填量较小，基本能够做到土石方的挖填平衡，剥离的表土堆放在弃土场，待探矿完成后，剥离的表土全部用于矿区的复垦覆土，不外排；钻探泥浆填入沉淀池内，并固化填埋；</w:t>
            </w:r>
            <w:r>
              <w:rPr>
                <w:rFonts w:hint="eastAsia"/>
              </w:rPr>
              <w:t>钻孔岩屑用于封孔，对钻孔进行密封；生活垃圾</w:t>
            </w:r>
            <w:r>
              <w:rPr>
                <w:rFonts w:hint="eastAsia"/>
                <w:lang w:val="en-US" w:eastAsia="zh-CN"/>
              </w:rPr>
              <w:t>统一收集后送至和静县巴音布鲁克镇垃圾填埋场</w:t>
            </w:r>
            <w:r>
              <w:rPr>
                <w:rFonts w:hint="eastAsia"/>
                <w:lang w:eastAsia="zh-CN"/>
              </w:rPr>
              <w:t>。</w:t>
            </w:r>
          </w:p>
          <w:p w14:paraId="064A69DF">
            <w:pPr>
              <w:pStyle w:val="20"/>
              <w:ind w:firstLine="480"/>
              <w:rPr>
                <w:b w:val="0"/>
                <w:bCs w:val="0"/>
              </w:rPr>
            </w:pPr>
            <w:r>
              <w:rPr>
                <w:rFonts w:hint="eastAsia"/>
                <w:b w:val="0"/>
                <w:bCs w:val="0"/>
              </w:rPr>
              <w:t>4.1</w:t>
            </w:r>
            <w:r>
              <w:rPr>
                <w:b w:val="0"/>
                <w:bCs w:val="0"/>
              </w:rPr>
              <w:t>、暂存及转运管理要求</w:t>
            </w:r>
          </w:p>
          <w:p w14:paraId="3C08131B">
            <w:pPr>
              <w:ind w:firstLine="480"/>
            </w:pPr>
            <w:r>
              <w:rPr>
                <w:rFonts w:hint="eastAsia" w:ascii="宋体" w:hAnsi="宋体" w:cs="宋体"/>
              </w:rPr>
              <w:t>①采用泥浆不落地技术在现场对固废进行随钻治理，将泥浆排入沉淀池。沉淀池在建设过程中应严格按照相关要求进行防腐、防渗漏等处理。</w:t>
            </w:r>
          </w:p>
          <w:p w14:paraId="6B622255">
            <w:pPr>
              <w:ind w:firstLine="480"/>
            </w:pPr>
            <w:r>
              <w:rPr>
                <w:rFonts w:hint="eastAsia" w:ascii="宋体" w:hAnsi="宋体" w:cs="宋体"/>
              </w:rPr>
              <w:t>②</w:t>
            </w:r>
            <w:r>
              <w:t>钻井过程产生的固体废物要进行分类收集，确保固体废物的收集率为100%；严禁将固体废物乱倒乱放。</w:t>
            </w:r>
          </w:p>
          <w:p w14:paraId="1296F531">
            <w:pPr>
              <w:pStyle w:val="20"/>
              <w:ind w:firstLine="482"/>
            </w:pPr>
            <w:r>
              <w:rPr>
                <w:rFonts w:hint="eastAsia"/>
              </w:rPr>
              <w:t>5、生态环境保护与植被恢复措施分析</w:t>
            </w:r>
          </w:p>
          <w:p w14:paraId="6945EE0C">
            <w:pPr>
              <w:ind w:firstLine="480"/>
            </w:pPr>
            <w:r>
              <w:rPr>
                <w:rFonts w:hint="eastAsia"/>
              </w:rPr>
              <w:t>本环评要求施工期生态保护与植被恢复措施如下：</w:t>
            </w:r>
          </w:p>
          <w:p w14:paraId="20FA237E">
            <w:pPr>
              <w:pStyle w:val="20"/>
              <w:ind w:firstLine="482"/>
            </w:pPr>
            <w:r>
              <w:rPr>
                <w:rFonts w:hint="eastAsia"/>
              </w:rPr>
              <w:t>5.1土壤与植被的保护措施</w:t>
            </w:r>
          </w:p>
          <w:p w14:paraId="5912B67E">
            <w:pPr>
              <w:ind w:firstLine="480"/>
            </w:pPr>
            <w:r>
              <w:rPr>
                <w:rFonts w:hint="eastAsia"/>
              </w:rPr>
              <w:t>（</w:t>
            </w:r>
            <w:r>
              <w:t>1</w:t>
            </w:r>
            <w:r>
              <w:rPr>
                <w:rFonts w:hint="eastAsia"/>
              </w:rPr>
              <w:t>）表层土壤的保护和利用。保护利用好表层的土壤，在施工前，首先要把剥离土集中堆放，施工结束后再进行回填，以利后期植被恢复，严格执行分层开挖、分层堆放、分层回填的土方施工作业制度。</w:t>
            </w:r>
          </w:p>
          <w:p w14:paraId="6BFBF8B2">
            <w:pPr>
              <w:ind w:firstLine="480"/>
            </w:pPr>
            <w:r>
              <w:rPr>
                <w:rFonts w:hint="eastAsia"/>
              </w:rPr>
              <w:t>（</w:t>
            </w:r>
            <w:r>
              <w:t>2</w:t>
            </w:r>
            <w:r>
              <w:rPr>
                <w:rFonts w:hint="eastAsia"/>
              </w:rPr>
              <w:t>）合理组织土方调配及时填平压实。工程施工</w:t>
            </w:r>
            <w:r>
              <w:rPr>
                <w:rFonts w:hint="eastAsia"/>
                <w:lang w:eastAsia="zh-CN"/>
              </w:rPr>
              <w:t>期间</w:t>
            </w:r>
            <w:r>
              <w:rPr>
                <w:rFonts w:hint="eastAsia"/>
              </w:rPr>
              <w:t>应首先计划安排好挖方量和填方量，及时进行回填，铺平压实，以免发生风蚀、水蚀。</w:t>
            </w:r>
          </w:p>
          <w:p w14:paraId="2BA7191A">
            <w:pPr>
              <w:ind w:firstLine="480"/>
            </w:pPr>
            <w:r>
              <w:rPr>
                <w:rFonts w:hint="eastAsia"/>
              </w:rPr>
              <w:t>（</w:t>
            </w:r>
            <w:r>
              <w:t>3</w:t>
            </w:r>
            <w:r>
              <w:rPr>
                <w:rFonts w:hint="eastAsia"/>
              </w:rPr>
              <w:t>）临时占地施工结束后，应按相关规定恢复植被。</w:t>
            </w:r>
          </w:p>
          <w:p w14:paraId="593CD881">
            <w:pPr>
              <w:ind w:firstLine="480"/>
            </w:pPr>
            <w:r>
              <w:rPr>
                <w:rFonts w:hint="eastAsia"/>
              </w:rPr>
              <w:t>（</w:t>
            </w:r>
            <w:r>
              <w:t>4</w:t>
            </w:r>
            <w:r>
              <w:rPr>
                <w:rFonts w:hint="eastAsia"/>
              </w:rPr>
              <w:t>）充分利用原有道路，同时减少土石方工程量并缩小生态影响范围，减少了对周边土壤和植被的破坏。</w:t>
            </w:r>
          </w:p>
          <w:p w14:paraId="2BAABD05">
            <w:pPr>
              <w:ind w:firstLine="480"/>
            </w:pPr>
            <w:r>
              <w:rPr>
                <w:rFonts w:hint="eastAsia"/>
              </w:rPr>
              <w:t>（</w:t>
            </w:r>
            <w:r>
              <w:t>5</w:t>
            </w:r>
            <w:r>
              <w:rPr>
                <w:rFonts w:hint="eastAsia"/>
              </w:rPr>
              <w:t>）规范施工人员的行为，爱护草木，严禁砍伐、破坏施工区以外的作物和植被；施工结束后，应进行生态重建，同时收集、处理施工场地及周围因施工而产生的垃圾与各种废弃物。</w:t>
            </w:r>
          </w:p>
          <w:p w14:paraId="1D841AB9">
            <w:pPr>
              <w:adjustRightInd w:val="0"/>
              <w:snapToGrid w:val="0"/>
              <w:ind w:firstLine="480"/>
            </w:pPr>
            <w:r>
              <w:rPr>
                <w:rFonts w:hint="eastAsia"/>
              </w:rPr>
              <w:t>（</w:t>
            </w:r>
            <w:r>
              <w:t>6</w:t>
            </w:r>
            <w:r>
              <w:rPr>
                <w:rFonts w:hint="eastAsia"/>
              </w:rPr>
              <w:t>）采取分段施工，提高工程施工效率，缩短施工工期。</w:t>
            </w:r>
          </w:p>
          <w:p w14:paraId="2E6960A4">
            <w:pPr>
              <w:adjustRightInd w:val="0"/>
              <w:snapToGrid w:val="0"/>
              <w:ind w:firstLine="482"/>
              <w:rPr>
                <w:b/>
                <w:bCs/>
              </w:rPr>
            </w:pPr>
            <w:r>
              <w:rPr>
                <w:rStyle w:val="37"/>
                <w:rFonts w:hint="eastAsia"/>
              </w:rPr>
              <w:t>5</w:t>
            </w:r>
            <w:r>
              <w:rPr>
                <w:rStyle w:val="37"/>
              </w:rPr>
              <w:t>.2</w:t>
            </w:r>
            <w:r>
              <w:rPr>
                <w:rFonts w:hint="eastAsia"/>
                <w:b/>
                <w:bCs/>
              </w:rPr>
              <w:t>水土流失防治措施</w:t>
            </w:r>
          </w:p>
          <w:p w14:paraId="408DA107">
            <w:pPr>
              <w:adjustRightInd w:val="0"/>
              <w:snapToGrid w:val="0"/>
              <w:ind w:firstLine="480"/>
            </w:pPr>
            <w:r>
              <w:rPr>
                <w:rFonts w:hint="eastAsia"/>
              </w:rPr>
              <w:t>本项目在探矿施工过程中，应控制地表破坏程度，尽量保护原有地表植被，要严格按照施工规划尽可能少占地。工程施工时注意合理分配施工时段，避开大风天气，严禁在大风和降雨天气下进行</w:t>
            </w:r>
            <w:r>
              <w:rPr>
                <w:rFonts w:hint="eastAsia"/>
                <w:lang w:val="en-US" w:eastAsia="zh-CN"/>
              </w:rPr>
              <w:t>施工</w:t>
            </w:r>
            <w:r>
              <w:rPr>
                <w:rFonts w:hint="eastAsia"/>
              </w:rPr>
              <w:t>，合理布设开探矿施工场地，及时处理开挖弃土，对施工中所产生的弃土应尽可能地加以利用回填；对开挖的土石方、开挖裸露面做好防风措施，尽量缩短暴露时间，本着谁开发，谁保护，谁造成水土流失谁负责治理的原则，在防治责任范围内，水土流失防治责任由企业单位负责承担。</w:t>
            </w:r>
          </w:p>
          <w:p w14:paraId="12876769">
            <w:pPr>
              <w:adjustRightInd w:val="0"/>
              <w:snapToGrid w:val="0"/>
              <w:ind w:firstLine="480"/>
            </w:pPr>
            <w:r>
              <w:rPr>
                <w:rFonts w:hint="eastAsia"/>
              </w:rPr>
              <w:t>（</w:t>
            </w:r>
            <w:r>
              <w:t>1</w:t>
            </w:r>
            <w:r>
              <w:rPr>
                <w:rFonts w:hint="eastAsia"/>
              </w:rPr>
              <w:t>）对探矿施工过程中，必须做好水土流失的预防工作，认真贯彻</w:t>
            </w:r>
            <w:r>
              <w:t>“</w:t>
            </w:r>
            <w:r>
              <w:rPr>
                <w:rFonts w:hint="eastAsia"/>
              </w:rPr>
              <w:t>谁造成水土流失，谁投资治理，谁造成新的危害，谁负责赔偿”和“治理与生产建设相结合”的原则。</w:t>
            </w:r>
          </w:p>
          <w:p w14:paraId="4ED451AC">
            <w:pPr>
              <w:adjustRightInd w:val="0"/>
              <w:snapToGrid w:val="0"/>
              <w:ind w:firstLine="480"/>
            </w:pPr>
            <w:r>
              <w:rPr>
                <w:rFonts w:hint="eastAsia"/>
              </w:rPr>
              <w:t>（2）加强水土保护法的宣传，有关部门应积极主动，加强水土保持执法管理，将其纳入依法办事的轨道上来，对施工人员进行培训和教育，自觉保持水土，宣传保护生态环境的重要性。</w:t>
            </w:r>
          </w:p>
          <w:p w14:paraId="2334F8D4">
            <w:pPr>
              <w:adjustRightInd w:val="0"/>
              <w:snapToGrid w:val="0"/>
              <w:ind w:firstLine="480"/>
            </w:pPr>
            <w:r>
              <w:rPr>
                <w:rFonts w:hint="eastAsia"/>
              </w:rPr>
              <w:t>（3）探矿施工时应充分考虑施工计划的合理性，合理安排工期和工程顺序，减少土壤损失和地表破坏面积。</w:t>
            </w:r>
          </w:p>
          <w:p w14:paraId="557CA4CA">
            <w:pPr>
              <w:adjustRightInd w:val="0"/>
              <w:snapToGrid w:val="0"/>
              <w:ind w:firstLine="480"/>
            </w:pPr>
            <w:r>
              <w:rPr>
                <w:rFonts w:hint="eastAsia"/>
              </w:rPr>
              <w:t>（4）探矿施工期间应划定施工活动范围，严格控制和管理施工活动范围，不得离开施工区域，由专人负责，以防破坏土壤和植被，引发土壤流失。</w:t>
            </w:r>
          </w:p>
          <w:p w14:paraId="09933A5C">
            <w:pPr>
              <w:adjustRightInd w:val="0"/>
              <w:snapToGrid w:val="0"/>
              <w:ind w:firstLine="480"/>
            </w:pPr>
            <w:r>
              <w:rPr>
                <w:rFonts w:hint="eastAsia"/>
              </w:rPr>
              <w:t>（5）严禁在大风天气施工，并对相关工作人员进行宣传教育。</w:t>
            </w:r>
          </w:p>
          <w:p w14:paraId="19CDC5C5">
            <w:pPr>
              <w:adjustRightInd w:val="0"/>
              <w:snapToGrid w:val="0"/>
              <w:ind w:firstLine="480"/>
            </w:pPr>
            <w:r>
              <w:rPr>
                <w:rFonts w:hint="eastAsia"/>
              </w:rPr>
              <w:t>（6）减少非生产生活车辆，施工中严格按照规划、设计施工占地要求，尽量减少地表形态破坏。建设单位在探矿期间应按照工程需要，分清轻重缓急，合理安排生态保护工程的建设时间，探矿工程结束后逐步落实生态恢复和补偿的工作，边探矿施工边恢复，通过采取废土回填等措施，可加快生态系统恢复和正向演替的过程，对探矿施工造成的生态破坏进行有效的补偿。</w:t>
            </w:r>
          </w:p>
          <w:p w14:paraId="0813BD9C">
            <w:pPr>
              <w:adjustRightInd w:val="0"/>
              <w:snapToGrid w:val="0"/>
              <w:ind w:firstLine="482"/>
              <w:rPr>
                <w:b/>
                <w:bCs/>
              </w:rPr>
            </w:pPr>
            <w:r>
              <w:rPr>
                <w:rFonts w:hint="eastAsia"/>
                <w:b/>
                <w:bCs/>
              </w:rPr>
              <w:t>5.</w:t>
            </w:r>
            <w:r>
              <w:rPr>
                <w:b/>
                <w:bCs/>
              </w:rPr>
              <w:t>3</w:t>
            </w:r>
            <w:r>
              <w:rPr>
                <w:rFonts w:hint="eastAsia"/>
                <w:b/>
                <w:bCs/>
              </w:rPr>
              <w:t>动物保护措施</w:t>
            </w:r>
          </w:p>
          <w:p w14:paraId="655C01B1">
            <w:pPr>
              <w:ind w:firstLine="480"/>
            </w:pPr>
            <w:r>
              <w:rPr>
                <w:rFonts w:hint="eastAsia"/>
              </w:rPr>
              <w:t>项目区地处中山区，由于受到人类活动对此区域内动物种群的影响，在评价范围内常见的野生动物有蜥蜴及少数昆虫等，项目区内无珍稀及受保护的野生动物分布。</w:t>
            </w:r>
          </w:p>
          <w:p w14:paraId="288F38C2">
            <w:pPr>
              <w:ind w:firstLine="480"/>
            </w:pPr>
            <w:r>
              <w:rPr>
                <w:rFonts w:hint="eastAsia"/>
              </w:rPr>
              <w:t>项目探矿施工噪声对矿区附近野生动物的交配、产卵、孵化、妊娠或产仔等产生干扰作用。根据活动规律，不同类群的脊椎动物对外部环境因子的敏感性反应顺序为：大中型兽类﹥鸟类﹥小型兽类﹥爬行类﹥两栖类。</w:t>
            </w:r>
          </w:p>
          <w:p w14:paraId="4ED54717">
            <w:pPr>
              <w:ind w:firstLine="480"/>
            </w:pPr>
            <w:r>
              <w:rPr>
                <w:rFonts w:hint="eastAsia"/>
              </w:rPr>
              <w:t>项目区及周边地区由于人类活动，野生动物稀少，场址所在区域植物种类较少，动物食源少，因此该区动物组成较为单一，野生动物的分布种类和种群数量也较少，已无大型哺乳动物活动，仅有一些常见的鸟类和鼠类，无国家及自治区级保护野生动物。根据《国家重点保护野生动物名录（2021年版）》《新疆国家重点保护野生动物名录》（2021年7月28日发布），评价区没有保护野生动物分布。</w:t>
            </w:r>
          </w:p>
          <w:p w14:paraId="3EE0FB8C">
            <w:pPr>
              <w:ind w:firstLine="480"/>
              <w:rPr>
                <w:bCs/>
              </w:rPr>
            </w:pPr>
            <w:r>
              <w:rPr>
                <w:rFonts w:hint="eastAsia"/>
              </w:rPr>
              <w:t>根据本项目的特点，采取以下措施后，能够减小对野生动物的影响：</w:t>
            </w:r>
          </w:p>
          <w:p w14:paraId="47DD6F9A">
            <w:pPr>
              <w:ind w:firstLine="480"/>
              <w:rPr>
                <w:bCs/>
              </w:rPr>
            </w:pPr>
            <w:r>
              <w:rPr>
                <w:rFonts w:hint="eastAsia"/>
                <w:bCs/>
              </w:rPr>
              <w:t>（</w:t>
            </w:r>
            <w:r>
              <w:rPr>
                <w:bCs/>
              </w:rPr>
              <w:t>1</w:t>
            </w:r>
            <w:r>
              <w:rPr>
                <w:rFonts w:hint="eastAsia"/>
                <w:bCs/>
              </w:rPr>
              <w:t>）加强宣传教育工作，制定严格的管理制度和奖惩制度，严禁猎杀野生动物。</w:t>
            </w:r>
          </w:p>
          <w:p w14:paraId="01C72529">
            <w:pPr>
              <w:ind w:firstLine="480"/>
              <w:rPr>
                <w:bCs/>
              </w:rPr>
            </w:pPr>
            <w:r>
              <w:rPr>
                <w:rFonts w:hint="eastAsia"/>
                <w:bCs/>
              </w:rPr>
              <w:t>（</w:t>
            </w:r>
            <w:r>
              <w:rPr>
                <w:bCs/>
              </w:rPr>
              <w:t>2</w:t>
            </w:r>
            <w:r>
              <w:rPr>
                <w:rFonts w:hint="eastAsia"/>
                <w:bCs/>
              </w:rPr>
              <w:t>）施工单位应制定严格的环境保护规章制度和切实可行的措施，文明施工，生产废水和生活污水应严格进行处理，严禁直接排入外环境。</w:t>
            </w:r>
          </w:p>
          <w:p w14:paraId="47F353B9">
            <w:pPr>
              <w:tabs>
                <w:tab w:val="left" w:pos="3255"/>
              </w:tabs>
              <w:ind w:firstLine="482"/>
              <w:rPr>
                <w:rFonts w:hint="eastAsia"/>
                <w:b/>
                <w:bCs/>
                <w:lang w:val="en-US" w:eastAsia="zh-CN"/>
              </w:rPr>
            </w:pPr>
            <w:r>
              <w:rPr>
                <w:rFonts w:hint="eastAsia"/>
                <w:b/>
                <w:bCs/>
                <w:lang w:val="en-US" w:eastAsia="zh-CN"/>
              </w:rPr>
              <w:t>5.4地表水保护措施</w:t>
            </w:r>
          </w:p>
          <w:p w14:paraId="01EC3ED2">
            <w:pPr>
              <w:numPr>
                <w:ilvl w:val="0"/>
                <w:numId w:val="0"/>
              </w:numPr>
              <w:bidi w:val="0"/>
              <w:ind w:firstLine="480" w:firstLineChars="200"/>
              <w:rPr>
                <w:rFonts w:hint="eastAsia" w:ascii="Times New Roman" w:hAnsi="Times New Roman" w:eastAsia="宋体" w:cs="Times New Roman"/>
              </w:rPr>
            </w:pPr>
            <w:r>
              <w:rPr>
                <w:rFonts w:hint="eastAsia"/>
                <w:color w:val="000000"/>
              </w:rPr>
              <w:t>距离本项目最近水体为</w:t>
            </w:r>
            <w:r>
              <w:rPr>
                <w:rFonts w:hint="eastAsia"/>
                <w:lang w:eastAsia="zh-CN"/>
              </w:rPr>
              <w:t>萨很托亥河，</w:t>
            </w:r>
            <w:r>
              <w:rPr>
                <w:rFonts w:hint="eastAsia"/>
                <w:lang w:val="en-US" w:eastAsia="zh-CN"/>
              </w:rPr>
              <w:t>穿越工作区</w:t>
            </w:r>
            <w:r>
              <w:rPr>
                <w:rFonts w:hint="eastAsia"/>
                <w:bCs/>
                <w:color w:val="000000"/>
                <w:kern w:val="0"/>
              </w:rPr>
              <w:t>。</w:t>
            </w:r>
            <w:r>
              <w:rPr>
                <w:rFonts w:hint="eastAsia"/>
              </w:rPr>
              <w:t>《新疆水环境功能区划》，</w:t>
            </w:r>
            <w:r>
              <w:rPr>
                <w:rFonts w:hint="eastAsia"/>
                <w:lang w:eastAsia="zh-CN"/>
              </w:rPr>
              <w:t>萨很托亥</w:t>
            </w:r>
            <w:r>
              <w:t>为Ⅰ类水</w:t>
            </w:r>
            <w:r>
              <w:rPr>
                <w:rFonts w:hint="eastAsia"/>
              </w:rPr>
              <w:t>体</w:t>
            </w:r>
            <w:r>
              <w:rPr>
                <w:rFonts w:ascii="Segoe UI" w:hAnsi="Segoe UI" w:eastAsia="Segoe UI" w:cs="Segoe UI"/>
                <w:i w:val="0"/>
                <w:iCs w:val="0"/>
                <w:caps w:val="0"/>
                <w:spacing w:val="0"/>
                <w:sz w:val="24"/>
                <w:szCs w:val="24"/>
                <w:shd w:val="clear" w:fill="FFFFFF"/>
              </w:rPr>
              <w:t>，保护目标为维持水体现状功能类别及水质稳定。</w:t>
            </w:r>
            <w:r>
              <w:rPr>
                <w:rFonts w:hint="eastAsia"/>
              </w:rPr>
              <w:t>项目区地</w:t>
            </w:r>
            <w:r>
              <w:rPr>
                <w:rFonts w:hint="eastAsia" w:ascii="Times New Roman" w:hAnsi="Times New Roman" w:eastAsia="宋体" w:cs="Times New Roman"/>
              </w:rPr>
              <w:t>面高程高于河床</w:t>
            </w:r>
            <w:r>
              <w:rPr>
                <w:rFonts w:hint="eastAsia" w:ascii="Times New Roman" w:hAnsi="Times New Roman" w:eastAsia="宋体" w:cs="Times New Roman"/>
                <w:lang w:eastAsia="zh-CN"/>
              </w:rPr>
              <w:t>，</w:t>
            </w:r>
            <w:r>
              <w:rPr>
                <w:rFonts w:hint="eastAsia" w:ascii="Times New Roman" w:hAnsi="Times New Roman" w:eastAsia="宋体" w:cs="Times New Roman"/>
              </w:rPr>
              <w:t>施工期间将采取以下措施：</w:t>
            </w:r>
          </w:p>
          <w:p w14:paraId="103202C7">
            <w:pPr>
              <w:numPr>
                <w:ilvl w:val="0"/>
                <w:numId w:val="0"/>
              </w:num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kern w:val="2"/>
                <w:sz w:val="24"/>
                <w:szCs w:val="24"/>
                <w:lang w:val="en-US" w:eastAsia="zh-CN" w:bidi="ar-SA"/>
              </w:rPr>
              <w:t>1、</w:t>
            </w:r>
            <w:r>
              <w:rPr>
                <w:rFonts w:hint="eastAsia" w:ascii="Times New Roman" w:hAnsi="Times New Roman" w:eastAsia="宋体" w:cs="Times New Roman"/>
                <w:lang w:val="en-US" w:eastAsia="zh-CN"/>
              </w:rPr>
              <w:t>明确施工区域边界与距离管控，</w:t>
            </w:r>
            <w:r>
              <w:rPr>
                <w:rFonts w:hint="eastAsia" w:ascii="Times New Roman" w:hAnsi="Times New Roman" w:eastAsia="宋体" w:cs="Times New Roman"/>
              </w:rPr>
              <w:t>施工区域布置严格远离</w:t>
            </w:r>
            <w:r>
              <w:rPr>
                <w:rFonts w:hint="eastAsia" w:ascii="Times New Roman" w:hAnsi="Times New Roman" w:eastAsia="宋体" w:cs="Times New Roman"/>
                <w:lang w:val="en-US" w:eastAsia="zh-CN"/>
              </w:rPr>
              <w:t>地表水，</w:t>
            </w:r>
            <w:r>
              <w:rPr>
                <w:rFonts w:hint="eastAsia" w:ascii="Times New Roman" w:hAnsi="Times New Roman" w:eastAsia="宋体" w:cs="Times New Roman"/>
              </w:rPr>
              <w:t>均设置在距河岸</w:t>
            </w:r>
            <w:r>
              <w:rPr>
                <w:rFonts w:hint="eastAsia" w:ascii="Times New Roman" w:hAnsi="Times New Roman" w:eastAsia="宋体" w:cs="Times New Roman"/>
                <w:lang w:val="en-US" w:eastAsia="zh-CN"/>
              </w:rPr>
              <w:t>5</w:t>
            </w:r>
            <w:r>
              <w:rPr>
                <w:rFonts w:hint="eastAsia" w:ascii="Times New Roman" w:hAnsi="Times New Roman" w:eastAsia="宋体" w:cs="Times New Roman"/>
              </w:rPr>
              <w:t>00m范围之外</w:t>
            </w:r>
            <w:r>
              <w:rPr>
                <w:rFonts w:hint="eastAsia" w:ascii="Times New Roman" w:hAnsi="Times New Roman" w:eastAsia="宋体" w:cs="Times New Roman"/>
                <w:lang w:eastAsia="zh-CN"/>
              </w:rPr>
              <w:t>。</w:t>
            </w:r>
          </w:p>
          <w:p w14:paraId="4BDCC880">
            <w:pPr>
              <w:numPr>
                <w:ilvl w:val="0"/>
                <w:numId w:val="0"/>
              </w:numPr>
              <w:bidi w:val="0"/>
              <w:ind w:firstLine="480" w:firstLineChars="200"/>
              <w:rPr>
                <w:rFonts w:hint="eastAsia" w:ascii="宋体" w:hAnsi="宋体" w:cs="宋体"/>
                <w:color w:val="000000"/>
                <w:kern w:val="0"/>
                <w:lang w:bidi="ar"/>
              </w:rPr>
            </w:pPr>
            <w:r>
              <w:rPr>
                <w:rFonts w:hint="eastAsia" w:ascii="Times New Roman" w:hAnsi="Times New Roman" w:eastAsia="宋体" w:cs="Times New Roman"/>
                <w:kern w:val="2"/>
                <w:sz w:val="24"/>
                <w:szCs w:val="24"/>
                <w:lang w:val="en-US" w:eastAsia="zh-CN" w:bidi="ar-SA"/>
              </w:rPr>
              <w:t>2、</w:t>
            </w:r>
            <w:r>
              <w:rPr>
                <w:rFonts w:ascii="Segoe UI" w:hAnsi="Segoe UI" w:eastAsia="Segoe UI" w:cs="Segoe UI"/>
                <w:i w:val="0"/>
                <w:iCs w:val="0"/>
                <w:caps w:val="0"/>
                <w:spacing w:val="0"/>
                <w:sz w:val="24"/>
                <w:szCs w:val="24"/>
                <w:shd w:val="clear" w:fill="FFFFFF"/>
              </w:rPr>
              <w:t>施工场地沿地势修筑截排水沟，同时在场地周边设置环形排水沟，</w:t>
            </w:r>
            <w:r>
              <w:rPr>
                <w:rFonts w:hint="eastAsia"/>
              </w:rPr>
              <w:t>接入沉淀池（防泥浆外溢）。</w:t>
            </w:r>
          </w:p>
          <w:p w14:paraId="6E006E70">
            <w:pPr>
              <w:numPr>
                <w:ilvl w:val="0"/>
                <w:numId w:val="0"/>
              </w:numPr>
              <w:bidi w:val="0"/>
              <w:ind w:firstLine="480" w:firstLineChars="200"/>
              <w:rPr>
                <w:rFonts w:hint="eastAsia" w:ascii="Times New Roman" w:hAnsi="Times New Roman" w:eastAsia="宋体" w:cs="Times New Roman"/>
                <w:lang w:val="en-US" w:eastAsia="zh-CN"/>
              </w:rPr>
            </w:pPr>
            <w:r>
              <w:rPr>
                <w:rFonts w:hint="eastAsia" w:ascii="宋体" w:hAnsi="宋体" w:eastAsia="宋体" w:cs="宋体"/>
                <w:color w:val="000000"/>
                <w:kern w:val="0"/>
                <w:sz w:val="24"/>
                <w:szCs w:val="24"/>
                <w:lang w:val="en-US" w:eastAsia="zh-CN" w:bidi="ar"/>
              </w:rPr>
              <w:t>3、距河岸</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00m</w:t>
            </w:r>
            <w:r>
              <w:rPr>
                <w:rFonts w:hint="eastAsia" w:ascii="宋体" w:hAnsi="宋体" w:eastAsia="宋体" w:cs="宋体"/>
                <w:color w:val="000000"/>
                <w:kern w:val="0"/>
                <w:sz w:val="24"/>
                <w:szCs w:val="24"/>
                <w:lang w:val="en-US" w:eastAsia="zh-CN" w:bidi="ar"/>
              </w:rPr>
              <w:t>范围内，全面禁止设置沉淀池、柴油储存区、危险废物贮存点、施工营地等可能产生污染的设施；该范围内仅允许开展无土扰动的临时巡查、防护设施维护作业。</w:t>
            </w:r>
          </w:p>
          <w:p w14:paraId="0721B7FF">
            <w:pPr>
              <w:numPr>
                <w:ilvl w:val="0"/>
                <w:numId w:val="0"/>
              </w:numPr>
              <w:bidi w:val="0"/>
              <w:ind w:firstLine="480" w:firstLineChars="200"/>
              <w:rPr>
                <w:rFonts w:hint="eastAsia" w:ascii="Times New Roman" w:hAnsi="Times New Roman" w:eastAsia="宋体" w:cs="Times New Roman"/>
              </w:rPr>
            </w:pPr>
            <w:r>
              <w:rPr>
                <w:rFonts w:hint="eastAsia" w:ascii="Times New Roman" w:hAnsi="Times New Roman" w:eastAsia="宋体" w:cs="Times New Roman"/>
                <w:lang w:val="en-US" w:eastAsia="zh-CN"/>
              </w:rPr>
              <w:t>4、安排专人每日巡查距河岸500m范围内及项目区内的施工活动及防护设施，重点检查截排水沟、沉淀池的完整性与防渗效果；</w:t>
            </w:r>
          </w:p>
          <w:p w14:paraId="3AEA5B5B">
            <w:pPr>
              <w:tabs>
                <w:tab w:val="left" w:pos="3255"/>
              </w:tabs>
              <w:ind w:firstLine="482"/>
              <w:rPr>
                <w:rFonts w:hint="eastAsia" w:ascii="宋体" w:hAnsi="宋体" w:cs="宋体"/>
                <w:color w:val="000000"/>
                <w:kern w:val="0"/>
                <w:lang w:bidi="ar"/>
              </w:rPr>
            </w:pPr>
            <w:r>
              <w:rPr>
                <w:rFonts w:hint="eastAsia" w:ascii="宋体" w:hAnsi="宋体" w:cs="宋体"/>
                <w:color w:val="000000"/>
                <w:kern w:val="0"/>
                <w:lang w:bidi="ar"/>
              </w:rPr>
              <w:t>通过“远离敏感区域+系统防护+严格管控”的组合措施，可有效拦截施工期可能产生的废水、泥沙，避免污染物进入</w:t>
            </w:r>
            <w:r>
              <w:rPr>
                <w:rFonts w:hint="eastAsia"/>
                <w:lang w:eastAsia="zh-CN"/>
              </w:rPr>
              <w:t>萨很托亥</w:t>
            </w:r>
            <w:r>
              <w:t>河</w:t>
            </w:r>
            <w:r>
              <w:rPr>
                <w:rFonts w:hint="eastAsia" w:ascii="宋体" w:hAnsi="宋体" w:cs="宋体"/>
                <w:color w:val="000000"/>
                <w:kern w:val="0"/>
                <w:lang w:bidi="ar"/>
              </w:rPr>
              <w:t>，同时依托项目区高于河床的地形优势，进一步降低地表径流污染风险，本项目施工期不会对地表水环境产生影响。</w:t>
            </w:r>
          </w:p>
          <w:p w14:paraId="2DA83D60">
            <w:pPr>
              <w:ind w:firstLine="480"/>
              <w:outlineLvl w:val="1"/>
              <w:rPr>
                <w:rFonts w:hint="eastAsia"/>
                <w:color w:val="000000"/>
                <w:lang w:val="en-US" w:eastAsia="zh-CN"/>
              </w:rPr>
            </w:pPr>
            <w:r>
              <w:rPr>
                <w:rFonts w:hint="eastAsia"/>
                <w:b/>
                <w:bCs/>
              </w:rPr>
              <w:t>5.</w:t>
            </w:r>
            <w:r>
              <w:rPr>
                <w:rFonts w:hint="eastAsia"/>
                <w:b/>
                <w:bCs/>
                <w:lang w:val="en-US" w:eastAsia="zh-CN"/>
              </w:rPr>
              <w:t>5</w:t>
            </w:r>
            <w:r>
              <w:rPr>
                <w:rFonts w:hint="eastAsia" w:ascii="Times New Roman" w:hAnsi="Times New Roman" w:eastAsia="宋体" w:cs="Times New Roman"/>
                <w:b/>
                <w:lang w:val="en-US" w:eastAsia="zh-CN"/>
              </w:rPr>
              <w:t>紧邻生态保护红线时防施工人员误入措施</w:t>
            </w:r>
          </w:p>
          <w:p w14:paraId="4A4726B5">
            <w:pPr>
              <w:ind w:firstLine="480"/>
              <w:outlineLvl w:val="1"/>
              <w:rPr>
                <w:rFonts w:hint="eastAsia"/>
                <w:color w:val="000000"/>
                <w:lang w:val="en-US" w:eastAsia="zh-CN"/>
              </w:rPr>
            </w:pPr>
            <w:r>
              <w:rPr>
                <w:rFonts w:hint="eastAsia"/>
                <w:color w:val="000000"/>
                <w:lang w:val="en-US" w:eastAsia="zh-CN"/>
              </w:rPr>
              <w:t>1.精准划界与物理隔离</w:t>
            </w:r>
          </w:p>
          <w:p w14:paraId="2B3B17F7">
            <w:pPr>
              <w:ind w:firstLine="480"/>
              <w:outlineLvl w:val="1"/>
              <w:rPr>
                <w:rFonts w:hint="eastAsia"/>
                <w:color w:val="000000"/>
                <w:lang w:val="en-US" w:eastAsia="zh-CN"/>
              </w:rPr>
            </w:pPr>
            <w:r>
              <w:rPr>
                <w:rFonts w:hint="eastAsia"/>
                <w:color w:val="000000"/>
                <w:lang w:val="en-US" w:eastAsia="zh-CN"/>
              </w:rPr>
              <w:t>委托专业机构测绘红线边界，设置连续的警示带、界桩（标注“生态保护红线禁止进入”）及警示牌（明确法律责任），形成可视化隔离带。划定红线外500米的“缓冲警戒区”，严禁非必要进入，仅允许生态巡查人员进入。</w:t>
            </w:r>
          </w:p>
          <w:p w14:paraId="33920D22">
            <w:pPr>
              <w:ind w:firstLine="480"/>
              <w:outlineLvl w:val="1"/>
              <w:rPr>
                <w:rFonts w:hint="eastAsia"/>
                <w:color w:val="000000"/>
                <w:lang w:val="en-US" w:eastAsia="zh-CN"/>
              </w:rPr>
            </w:pPr>
            <w:r>
              <w:rPr>
                <w:rFonts w:hint="eastAsia"/>
                <w:color w:val="000000"/>
                <w:lang w:val="en-US" w:eastAsia="zh-CN"/>
              </w:rPr>
              <w:t>2.人员管控与技术预警</w:t>
            </w:r>
          </w:p>
          <w:p w14:paraId="6C63987F">
            <w:pPr>
              <w:ind w:firstLine="480"/>
              <w:outlineLvl w:val="1"/>
              <w:rPr>
                <w:rFonts w:hint="eastAsia"/>
                <w:color w:val="000000"/>
                <w:lang w:val="en-US" w:eastAsia="zh-CN"/>
              </w:rPr>
            </w:pPr>
            <w:r>
              <w:rPr>
                <w:rFonts w:hint="eastAsia"/>
                <w:color w:val="000000"/>
                <w:lang w:val="en-US" w:eastAsia="zh-CN"/>
              </w:rPr>
              <w:t>岗前培训：明确红线范围、法规后果，通过现场指认、案例警示强化认知。</w:t>
            </w:r>
          </w:p>
          <w:p w14:paraId="09DEF23F">
            <w:pPr>
              <w:ind w:firstLine="480"/>
              <w:outlineLvl w:val="1"/>
              <w:rPr>
                <w:rFonts w:hint="eastAsia"/>
                <w:color w:val="000000"/>
                <w:lang w:val="en-US" w:eastAsia="zh-CN"/>
              </w:rPr>
            </w:pPr>
            <w:r>
              <w:rPr>
                <w:rFonts w:hint="eastAsia"/>
                <w:color w:val="000000"/>
                <w:lang w:val="en-US" w:eastAsia="zh-CN"/>
              </w:rPr>
              <w:t>实时监控：为施工人员配备GPS定位设备。</w:t>
            </w:r>
          </w:p>
          <w:p w14:paraId="25270EC4">
            <w:pPr>
              <w:ind w:firstLine="480"/>
              <w:outlineLvl w:val="1"/>
              <w:rPr>
                <w:rFonts w:hint="eastAsia"/>
                <w:color w:val="000000"/>
                <w:lang w:val="en-US" w:eastAsia="zh-CN"/>
              </w:rPr>
            </w:pPr>
            <w:r>
              <w:rPr>
                <w:rFonts w:hint="eastAsia"/>
                <w:color w:val="000000"/>
                <w:lang w:val="en-US" w:eastAsia="zh-CN"/>
              </w:rPr>
              <w:t>3.流程与巡查机制</w:t>
            </w:r>
          </w:p>
          <w:p w14:paraId="12C76CDC">
            <w:pPr>
              <w:tabs>
                <w:tab w:val="left" w:pos="3255"/>
              </w:tabs>
              <w:ind w:firstLine="482"/>
              <w:rPr>
                <w:rFonts w:hint="eastAsia" w:ascii="宋体" w:hAnsi="宋体" w:cs="宋体"/>
                <w:color w:val="000000"/>
                <w:kern w:val="0"/>
                <w:lang w:bidi="ar"/>
              </w:rPr>
            </w:pPr>
            <w:r>
              <w:rPr>
                <w:rFonts w:hint="eastAsia"/>
                <w:color w:val="000000"/>
                <w:lang w:val="en-US" w:eastAsia="zh-CN"/>
              </w:rPr>
              <w:t>勘探路线、作业点提前报备，避开红线及缓冲警戒区。安排专人每2小时巡查边界，核对标识完整性，制止违规行为并记录。</w:t>
            </w:r>
          </w:p>
          <w:p w14:paraId="7EE9A971">
            <w:pPr>
              <w:tabs>
                <w:tab w:val="left" w:pos="3255"/>
              </w:tabs>
              <w:ind w:firstLine="482"/>
              <w:rPr>
                <w:b/>
                <w:bCs/>
              </w:rPr>
            </w:pPr>
            <w:r>
              <w:rPr>
                <w:rFonts w:hint="eastAsia"/>
                <w:b/>
                <w:bCs/>
              </w:rPr>
              <w:t>5.</w:t>
            </w:r>
            <w:r>
              <w:rPr>
                <w:rFonts w:hint="eastAsia"/>
                <w:b/>
                <w:bCs/>
                <w:lang w:val="en-US" w:eastAsia="zh-CN"/>
              </w:rPr>
              <w:t>6</w:t>
            </w:r>
            <w:r>
              <w:rPr>
                <w:rFonts w:hint="eastAsia"/>
                <w:b/>
              </w:rPr>
              <w:t>探矿结束后的环境恢复和治理措施</w:t>
            </w:r>
          </w:p>
          <w:p w14:paraId="5C81088D">
            <w:pPr>
              <w:ind w:firstLine="480"/>
            </w:pPr>
            <w:r>
              <w:rPr>
                <w:rFonts w:hint="eastAsia"/>
              </w:rPr>
              <w:t>探矿结束后需严格遵循“谁破坏、谁修复”原则，结合区域生态敏感特性，实施针对性恢复治理，具体措施如下：</w:t>
            </w:r>
          </w:p>
          <w:p w14:paraId="2FAF3805">
            <w:pPr>
              <w:ind w:firstLine="480"/>
            </w:pPr>
            <w:r>
              <w:rPr>
                <w:rFonts w:hint="eastAsia"/>
              </w:rPr>
              <w:t>（</w:t>
            </w:r>
            <w:r>
              <w:t>1</w:t>
            </w:r>
            <w:r>
              <w:rPr>
                <w:rFonts w:hint="eastAsia"/>
              </w:rPr>
              <w:t>）</w:t>
            </w:r>
            <w:r>
              <w:rPr>
                <w:rFonts w:ascii="宋体" w:hAnsi="宋体" w:cs="宋体"/>
              </w:rPr>
              <w:t>完井后须对临时占地范围进行平整，工程量即为项目所有临时占地，完井后施工设备及时撤离，</w:t>
            </w:r>
            <w:r>
              <w:rPr>
                <w:rFonts w:hint="eastAsia"/>
              </w:rPr>
              <w:t>固体废物全部妥善处置，现场禁止遗留，占地应清理平整</w:t>
            </w:r>
            <w:r>
              <w:rPr>
                <w:rFonts w:ascii="宋体" w:hAnsi="宋体" w:cs="宋体"/>
              </w:rPr>
              <w:t>，尽量利用临时道路施工时产生的表层弃土对临时占地进行覆盖，然后开展植被恢复工作。恢复植被物种选择以工程占地周边植物物种为主，不得随意引入外来植物物种</w:t>
            </w:r>
            <w:r>
              <w:rPr>
                <w:rFonts w:hint="eastAsia"/>
              </w:rPr>
              <w:t>。</w:t>
            </w:r>
          </w:p>
          <w:p w14:paraId="355A0D71">
            <w:pPr>
              <w:ind w:firstLine="480"/>
            </w:pPr>
            <w:r>
              <w:rPr>
                <w:rFonts w:hint="eastAsia"/>
              </w:rPr>
              <w:t>（</w:t>
            </w:r>
            <w:r>
              <w:t>2</w:t>
            </w:r>
            <w:r>
              <w:rPr>
                <w:rFonts w:hint="eastAsia"/>
              </w:rPr>
              <w:t>）对区内各勘查施工器材统一收集、处理、不得遗留在区内。</w:t>
            </w:r>
          </w:p>
          <w:p w14:paraId="4BE7D26D">
            <w:pPr>
              <w:ind w:firstLine="480"/>
            </w:pPr>
            <w:r>
              <w:rPr>
                <w:rFonts w:hint="eastAsia"/>
              </w:rPr>
              <w:t>（</w:t>
            </w:r>
            <w:r>
              <w:t>3</w:t>
            </w:r>
            <w:r>
              <w:rPr>
                <w:rFonts w:hint="eastAsia"/>
              </w:rPr>
              <w:t>）根据环评要求，将人为活动限制在最小范围内，不因地质工作深化而显著增加对区域生态环境的影响范围和程度。</w:t>
            </w:r>
          </w:p>
          <w:p w14:paraId="097072D0">
            <w:pPr>
              <w:ind w:firstLine="480"/>
            </w:pPr>
            <w:r>
              <w:rPr>
                <w:rFonts w:hint="eastAsia"/>
              </w:rPr>
              <w:t>（</w:t>
            </w:r>
            <w:r>
              <w:t>4</w:t>
            </w:r>
            <w:r>
              <w:rPr>
                <w:rFonts w:hint="eastAsia"/>
              </w:rPr>
              <w:t>）勘探期结束后，应立即停止探矿采样活动，严禁</w:t>
            </w:r>
            <w:r>
              <w:t>“</w:t>
            </w:r>
            <w:r>
              <w:rPr>
                <w:rFonts w:hint="eastAsia"/>
              </w:rPr>
              <w:t>以探代采</w:t>
            </w:r>
            <w:r>
              <w:t>”</w:t>
            </w:r>
            <w:r>
              <w:rPr>
                <w:rFonts w:hint="eastAsia"/>
              </w:rPr>
              <w:t>。</w:t>
            </w:r>
          </w:p>
          <w:p w14:paraId="3C685845">
            <w:pPr>
              <w:ind w:firstLine="480"/>
            </w:pPr>
            <w:r>
              <w:rPr>
                <w:rFonts w:hint="eastAsia"/>
              </w:rPr>
              <w:t>（</w:t>
            </w:r>
            <w:r>
              <w:t>5</w:t>
            </w:r>
            <w:r>
              <w:rPr>
                <w:rFonts w:hint="eastAsia"/>
              </w:rPr>
              <w:t>）项目勘查工作结束或阶段工作结束，应针对勘查活动造成的环境影响，根据国家法律法规、强制性标准和恢复治理设计要求，结合地方社会经济发展需求，及时开展环境恢复治理，消除勘查活动对生态环境造成的负面影响。</w:t>
            </w:r>
          </w:p>
          <w:p w14:paraId="6EE3B819">
            <w:pPr>
              <w:ind w:firstLine="480"/>
            </w:pPr>
            <w:r>
              <w:rPr>
                <w:rFonts w:hint="eastAsia"/>
              </w:rPr>
              <w:t>（</w:t>
            </w:r>
            <w:r>
              <w:t>6</w:t>
            </w:r>
            <w:r>
              <w:rPr>
                <w:rFonts w:hint="eastAsia"/>
              </w:rPr>
              <w:t>）封闭探井，将泥渣等回填探井内部，然后封闭，并设置警示标识。</w:t>
            </w:r>
          </w:p>
          <w:p w14:paraId="0DF50568">
            <w:pPr>
              <w:tabs>
                <w:tab w:val="left" w:pos="3255"/>
              </w:tabs>
              <w:ind w:firstLine="480"/>
              <w:rPr>
                <w:rFonts w:hint="eastAsia"/>
              </w:rPr>
            </w:pPr>
            <w:r>
              <w:rPr>
                <w:rFonts w:hint="eastAsia"/>
              </w:rPr>
              <w:t>（</w:t>
            </w:r>
            <w:r>
              <w:t>7</w:t>
            </w:r>
            <w:r>
              <w:rPr>
                <w:rFonts w:hint="eastAsia"/>
              </w:rPr>
              <w:t>）对原工作区内的生活营地、临时道路、钻井、槽探作业区进行生态恢复，主要包括土地平整、选择适应当地气候和土壤条件的本土植物，如耐旱、耐贫瘠的植物。经采取以上措施，项目施工期对生态环境的影响可以降至最低。</w:t>
            </w:r>
          </w:p>
          <w:p w14:paraId="46D9ACD7">
            <w:pPr>
              <w:tabs>
                <w:tab w:val="left" w:pos="3255"/>
              </w:tabs>
              <w:ind w:firstLine="480"/>
              <w:rPr>
                <w:rFonts w:hint="eastAsia"/>
              </w:rPr>
            </w:pPr>
            <w:r>
              <w:rPr>
                <w:rFonts w:hint="eastAsia"/>
              </w:rPr>
              <w:t>（</w:t>
            </w:r>
            <w:r>
              <w:t>8</w:t>
            </w:r>
            <w:r>
              <w:rPr>
                <w:rFonts w:hint="eastAsia"/>
              </w:rPr>
              <w:t>）项目勘查工作结束或阶段工作结束，应针对勘查活动造成的环境影响，根据国家法律法规、强制性标准和恢复治理设计要求，结合地方社会经济发展需求，及时开展环境恢复治理，消除勘查活动对生态环境造成的负面影响。</w:t>
            </w:r>
          </w:p>
          <w:p w14:paraId="67964563">
            <w:pPr>
              <w:pStyle w:val="20"/>
              <w:ind w:firstLine="482"/>
            </w:pPr>
            <w:r>
              <w:rPr>
                <w:rFonts w:hint="eastAsia"/>
              </w:rPr>
              <w:t>6、环境风险评价</w:t>
            </w:r>
          </w:p>
          <w:p w14:paraId="2CA0EBA5">
            <w:pPr>
              <w:ind w:firstLine="480"/>
            </w:pPr>
            <w:r>
              <w:rPr>
                <w:rFonts w:hint="eastAsia"/>
              </w:rPr>
              <w:t>环境风险评价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28AB8686">
            <w:pPr>
              <w:ind w:firstLine="480"/>
            </w:pPr>
            <w:r>
              <w:rPr>
                <w:rFonts w:hint="eastAsia"/>
              </w:rPr>
              <w:t>通过对项目在生产过程中使用的物质、各工艺系统的危险性进行识别，分析周边环境的敏感性，对项目的风险潜势进行初判，确定评价等级。</w:t>
            </w:r>
          </w:p>
          <w:p w14:paraId="5F23541A">
            <w:pPr>
              <w:pStyle w:val="20"/>
              <w:ind w:firstLine="482"/>
            </w:pPr>
            <w:r>
              <w:rPr>
                <w:rFonts w:hint="eastAsia"/>
              </w:rPr>
              <w:t>6.1</w:t>
            </w:r>
            <w:r>
              <w:t>评价依据</w:t>
            </w:r>
          </w:p>
          <w:p w14:paraId="7EFF44E1">
            <w:pPr>
              <w:ind w:firstLine="480"/>
            </w:pPr>
            <w:r>
              <w:rPr>
                <w:rFonts w:hint="eastAsia"/>
              </w:rPr>
              <w:t>（</w:t>
            </w:r>
            <w:r>
              <w:t>1</w:t>
            </w:r>
            <w:r>
              <w:rPr>
                <w:rFonts w:hint="eastAsia"/>
              </w:rPr>
              <w:t>）风险调查</w:t>
            </w:r>
          </w:p>
          <w:p w14:paraId="75E67830">
            <w:pPr>
              <w:ind w:firstLine="480"/>
            </w:pPr>
            <w:r>
              <w:rPr>
                <w:rFonts w:hint="eastAsia"/>
              </w:rPr>
              <w:t>①柴油</w:t>
            </w:r>
          </w:p>
          <w:p w14:paraId="658C2900">
            <w:pPr>
              <w:ind w:firstLine="480"/>
            </w:pPr>
            <w:r>
              <w:rPr>
                <w:rFonts w:hint="eastAsia"/>
              </w:rPr>
              <w:t>本项目轻质柴油分期从</w:t>
            </w:r>
            <w:r>
              <w:rPr>
                <w:rFonts w:hint="eastAsia"/>
                <w:lang w:eastAsia="zh-CN"/>
              </w:rPr>
              <w:t>和静县巴音布鲁克镇</w:t>
            </w:r>
            <w:r>
              <w:rPr>
                <w:rFonts w:hint="eastAsia"/>
              </w:rPr>
              <w:t>购买，柴油储存区铺设双层防渗土工布铺垫对储存区域进行防渗处理。柴油储罐应确保防日晒、防雨、防渗漏三重防护。本项目风险物质为柴油。</w:t>
            </w:r>
          </w:p>
          <w:p w14:paraId="7ECA539E">
            <w:pPr>
              <w:ind w:firstLine="480"/>
            </w:pPr>
            <w:r>
              <w:rPr>
                <w:rFonts w:hint="eastAsia"/>
              </w:rPr>
              <w:t>（2）风险潜势初判</w:t>
            </w:r>
          </w:p>
          <w:p w14:paraId="74FBDF2E">
            <w:pPr>
              <w:ind w:firstLine="480"/>
            </w:pPr>
            <w:r>
              <w:t>根据《建设项目环境风险评价技术导则》（HJ169-2018），当存在</w:t>
            </w:r>
            <w:r>
              <w:rPr>
                <w:rFonts w:hint="eastAsia"/>
              </w:rPr>
              <w:t>多种</w:t>
            </w:r>
            <w:r>
              <w:t>危险物质时，按下式计算物质总量与临界量比值。</w:t>
            </w:r>
          </w:p>
          <w:p w14:paraId="2F76E971">
            <w:pPr>
              <w:adjustRightInd w:val="0"/>
              <w:snapToGrid w:val="0"/>
              <w:ind w:firstLine="480"/>
              <w:jc w:val="center"/>
              <w:rPr>
                <w:b/>
              </w:rPr>
            </w:pPr>
            <w:r>
              <w:drawing>
                <wp:inline distT="0" distB="0" distL="114300" distR="114300">
                  <wp:extent cx="1785620" cy="539115"/>
                  <wp:effectExtent l="0" t="0" r="5080" b="13335"/>
                  <wp:docPr id="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
                          <pic:cNvPicPr>
                            <a:picLocks noChangeAspect="1"/>
                          </pic:cNvPicPr>
                        </pic:nvPicPr>
                        <pic:blipFill>
                          <a:blip r:embed="rId17"/>
                          <a:stretch>
                            <a:fillRect/>
                          </a:stretch>
                        </pic:blipFill>
                        <pic:spPr>
                          <a:xfrm>
                            <a:off x="0" y="0"/>
                            <a:ext cx="1785620" cy="539115"/>
                          </a:xfrm>
                          <a:prstGeom prst="rect">
                            <a:avLst/>
                          </a:prstGeom>
                          <a:noFill/>
                          <a:ln>
                            <a:noFill/>
                          </a:ln>
                        </pic:spPr>
                      </pic:pic>
                    </a:graphicData>
                  </a:graphic>
                </wp:inline>
              </w:drawing>
            </w:r>
          </w:p>
          <w:p w14:paraId="31C08942">
            <w:pPr>
              <w:ind w:firstLine="480"/>
            </w:pPr>
            <w:r>
              <w:t>式中：q</w:t>
            </w:r>
            <w:r>
              <w:rPr>
                <w:vertAlign w:val="subscript"/>
              </w:rPr>
              <w:t>1</w:t>
            </w:r>
            <w:r>
              <w:t>，q</w:t>
            </w:r>
            <w:r>
              <w:rPr>
                <w:vertAlign w:val="subscript"/>
              </w:rPr>
              <w:t>2</w:t>
            </w:r>
            <w:r>
              <w:t>…..q</w:t>
            </w:r>
            <w:r>
              <w:rPr>
                <w:vertAlign w:val="subscript"/>
              </w:rPr>
              <w:t>n</w:t>
            </w:r>
            <w:r>
              <w:t>——每种危险物质的最大存在总量，t；</w:t>
            </w:r>
          </w:p>
          <w:p w14:paraId="6743C27D">
            <w:pPr>
              <w:ind w:firstLine="1200" w:firstLineChars="500"/>
            </w:pPr>
            <w:r>
              <w:t>Q</w:t>
            </w:r>
            <w:r>
              <w:rPr>
                <w:vertAlign w:val="subscript"/>
              </w:rPr>
              <w:t>1</w:t>
            </w:r>
            <w:r>
              <w:t>，Q</w:t>
            </w:r>
            <w:r>
              <w:rPr>
                <w:vertAlign w:val="subscript"/>
              </w:rPr>
              <w:t>2</w:t>
            </w:r>
            <w:r>
              <w:t>，…..Q</w:t>
            </w:r>
            <w:r>
              <w:rPr>
                <w:vertAlign w:val="subscript"/>
              </w:rPr>
              <w:t>n</w:t>
            </w:r>
            <w:r>
              <w:t>——每种危险物质的临界量，t；</w:t>
            </w:r>
          </w:p>
          <w:p w14:paraId="3F39C558">
            <w:pPr>
              <w:ind w:firstLine="480"/>
            </w:pPr>
            <w:r>
              <w:t>当Q&lt;1时，该项目环境风险潜势为</w:t>
            </w:r>
            <w:r>
              <w:fldChar w:fldCharType="begin"/>
            </w:r>
            <w:r>
              <w:instrText xml:space="preserve">= 1 \* ROMAN</w:instrText>
            </w:r>
            <w:r>
              <w:fldChar w:fldCharType="separate"/>
            </w:r>
            <w:r>
              <w:t>I</w:t>
            </w:r>
            <w:r>
              <w:fldChar w:fldCharType="end"/>
            </w:r>
            <w:r>
              <w:t>。</w:t>
            </w:r>
          </w:p>
          <w:p w14:paraId="4D952ADB">
            <w:pPr>
              <w:ind w:firstLine="480"/>
            </w:pPr>
            <w:r>
              <w:t>当Q≥1时，将Q值划分为：（1）1≤Q＜10；（2）10≤Q＜100；（3）Q≥100。</w:t>
            </w:r>
          </w:p>
          <w:p w14:paraId="3E048C37">
            <w:pPr>
              <w:widowControl/>
              <w:spacing w:line="240" w:lineRule="auto"/>
              <w:ind w:firstLine="422"/>
              <w:jc w:val="center"/>
              <w:rPr>
                <w:b/>
                <w:kern w:val="0"/>
                <w:sz w:val="21"/>
                <w:szCs w:val="20"/>
              </w:rPr>
            </w:pPr>
            <w:r>
              <w:rPr>
                <w:rFonts w:hint="eastAsia"/>
                <w:b/>
                <w:kern w:val="0"/>
                <w:sz w:val="21"/>
                <w:szCs w:val="20"/>
              </w:rPr>
              <w:t>表</w:t>
            </w:r>
            <w:r>
              <w:rPr>
                <w:b/>
                <w:kern w:val="0"/>
                <w:sz w:val="21"/>
                <w:szCs w:val="20"/>
              </w:rPr>
              <w:t>5-</w:t>
            </w:r>
            <w:r>
              <w:rPr>
                <w:rFonts w:hint="eastAsia"/>
                <w:b/>
                <w:kern w:val="0"/>
                <w:sz w:val="21"/>
                <w:szCs w:val="20"/>
                <w:lang w:val="en-US" w:eastAsia="zh-CN"/>
              </w:rPr>
              <w:t>2</w:t>
            </w:r>
            <w:r>
              <w:rPr>
                <w:rFonts w:hint="eastAsia"/>
                <w:b/>
                <w:kern w:val="0"/>
                <w:sz w:val="21"/>
                <w:szCs w:val="20"/>
              </w:rPr>
              <w:t>本项目涉及的风险源分布情况表</w:t>
            </w:r>
          </w:p>
          <w:tbl>
            <w:tblPr>
              <w:tblStyle w:val="24"/>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79"/>
              <w:gridCol w:w="1379"/>
              <w:gridCol w:w="1379"/>
              <w:gridCol w:w="1379"/>
              <w:gridCol w:w="1379"/>
              <w:gridCol w:w="1379"/>
            </w:tblGrid>
            <w:tr w14:paraId="343387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3" w:type="pct"/>
                  <w:tcBorders>
                    <w:tl2br w:val="nil"/>
                    <w:tr2bl w:val="nil"/>
                  </w:tcBorders>
                </w:tcPr>
                <w:p w14:paraId="2858C1E1">
                  <w:pPr>
                    <w:pStyle w:val="31"/>
                  </w:pPr>
                  <w:r>
                    <w:rPr>
                      <w:rFonts w:hint="eastAsia"/>
                    </w:rPr>
                    <w:t>名称</w:t>
                  </w:r>
                </w:p>
              </w:tc>
              <w:tc>
                <w:tcPr>
                  <w:tcW w:w="833" w:type="pct"/>
                  <w:tcBorders>
                    <w:tl2br w:val="nil"/>
                    <w:tr2bl w:val="nil"/>
                  </w:tcBorders>
                </w:tcPr>
                <w:p w14:paraId="67B34463">
                  <w:pPr>
                    <w:pStyle w:val="31"/>
                  </w:pPr>
                  <w:r>
                    <w:rPr>
                      <w:rFonts w:hint="eastAsia"/>
                    </w:rPr>
                    <w:t>CAS号</w:t>
                  </w:r>
                </w:p>
              </w:tc>
              <w:tc>
                <w:tcPr>
                  <w:tcW w:w="833" w:type="pct"/>
                  <w:tcBorders>
                    <w:tl2br w:val="nil"/>
                    <w:tr2bl w:val="nil"/>
                  </w:tcBorders>
                </w:tcPr>
                <w:p w14:paraId="45ADE0FB">
                  <w:pPr>
                    <w:pStyle w:val="31"/>
                  </w:pPr>
                  <w:r>
                    <w:rPr>
                      <w:rFonts w:hint="eastAsia"/>
                    </w:rPr>
                    <w:t>最大储存量（t）</w:t>
                  </w:r>
                </w:p>
              </w:tc>
              <w:tc>
                <w:tcPr>
                  <w:tcW w:w="833" w:type="pct"/>
                  <w:tcBorders>
                    <w:tl2br w:val="nil"/>
                    <w:tr2bl w:val="nil"/>
                  </w:tcBorders>
                </w:tcPr>
                <w:p w14:paraId="44D543CF">
                  <w:pPr>
                    <w:pStyle w:val="31"/>
                  </w:pPr>
                  <w:r>
                    <w:rPr>
                      <w:rFonts w:hint="eastAsia"/>
                    </w:rPr>
                    <w:t>临界量（t）</w:t>
                  </w:r>
                </w:p>
              </w:tc>
              <w:tc>
                <w:tcPr>
                  <w:tcW w:w="833" w:type="pct"/>
                  <w:tcBorders>
                    <w:tl2br w:val="nil"/>
                    <w:tr2bl w:val="nil"/>
                  </w:tcBorders>
                </w:tcPr>
                <w:p w14:paraId="309023B8">
                  <w:pPr>
                    <w:pStyle w:val="31"/>
                  </w:pPr>
                  <w:r>
                    <w:rPr>
                      <w:rFonts w:hint="eastAsia"/>
                    </w:rPr>
                    <w:t>储存方式</w:t>
                  </w:r>
                </w:p>
              </w:tc>
              <w:tc>
                <w:tcPr>
                  <w:tcW w:w="833" w:type="pct"/>
                  <w:tcBorders>
                    <w:tl2br w:val="nil"/>
                    <w:tr2bl w:val="nil"/>
                  </w:tcBorders>
                </w:tcPr>
                <w:p w14:paraId="00BAF6F1">
                  <w:pPr>
                    <w:pStyle w:val="31"/>
                  </w:pPr>
                  <w:r>
                    <w:rPr>
                      <w:rFonts w:hint="eastAsia"/>
                    </w:rPr>
                    <w:t>分布区域</w:t>
                  </w:r>
                </w:p>
              </w:tc>
            </w:tr>
            <w:tr w14:paraId="4A734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3" w:type="pct"/>
                  <w:tcBorders>
                    <w:tl2br w:val="nil"/>
                    <w:tr2bl w:val="nil"/>
                  </w:tcBorders>
                </w:tcPr>
                <w:p w14:paraId="2FABA90A">
                  <w:pPr>
                    <w:pStyle w:val="31"/>
                  </w:pPr>
                  <w:r>
                    <w:rPr>
                      <w:rFonts w:hint="eastAsia"/>
                    </w:rPr>
                    <w:t>柴油</w:t>
                  </w:r>
                </w:p>
              </w:tc>
              <w:tc>
                <w:tcPr>
                  <w:tcW w:w="833" w:type="pct"/>
                  <w:tcBorders>
                    <w:tl2br w:val="nil"/>
                    <w:tr2bl w:val="nil"/>
                  </w:tcBorders>
                </w:tcPr>
                <w:p w14:paraId="7171CE13">
                  <w:pPr>
                    <w:pStyle w:val="31"/>
                  </w:pPr>
                  <w:r>
                    <w:rPr>
                      <w:rFonts w:hint="eastAsia"/>
                    </w:rPr>
                    <w:t>68334-30-5</w:t>
                  </w:r>
                </w:p>
              </w:tc>
              <w:tc>
                <w:tcPr>
                  <w:tcW w:w="833" w:type="pct"/>
                  <w:tcBorders>
                    <w:tl2br w:val="nil"/>
                    <w:tr2bl w:val="nil"/>
                  </w:tcBorders>
                </w:tcPr>
                <w:p w14:paraId="5691EB3F">
                  <w:pPr>
                    <w:pStyle w:val="31"/>
                  </w:pPr>
                  <w:r>
                    <w:rPr>
                      <w:rFonts w:hint="eastAsia"/>
                    </w:rPr>
                    <w:t>0.82</w:t>
                  </w:r>
                </w:p>
              </w:tc>
              <w:tc>
                <w:tcPr>
                  <w:tcW w:w="833" w:type="pct"/>
                  <w:tcBorders>
                    <w:tl2br w:val="nil"/>
                    <w:tr2bl w:val="nil"/>
                  </w:tcBorders>
                </w:tcPr>
                <w:p w14:paraId="7F9E9191">
                  <w:pPr>
                    <w:pStyle w:val="31"/>
                  </w:pPr>
                  <w:r>
                    <w:rPr>
                      <w:rFonts w:hint="eastAsia"/>
                    </w:rPr>
                    <w:t>2500</w:t>
                  </w:r>
                </w:p>
              </w:tc>
              <w:tc>
                <w:tcPr>
                  <w:tcW w:w="833" w:type="pct"/>
                  <w:tcBorders>
                    <w:tl2br w:val="nil"/>
                    <w:tr2bl w:val="nil"/>
                  </w:tcBorders>
                </w:tcPr>
                <w:p w14:paraId="696CDBEF">
                  <w:pPr>
                    <w:pStyle w:val="31"/>
                  </w:pPr>
                  <w:r>
                    <w:rPr>
                      <w:rFonts w:hint="eastAsia"/>
                    </w:rPr>
                    <w:t>桶装</w:t>
                  </w:r>
                </w:p>
              </w:tc>
              <w:tc>
                <w:tcPr>
                  <w:tcW w:w="833" w:type="pct"/>
                  <w:tcBorders>
                    <w:tl2br w:val="nil"/>
                    <w:tr2bl w:val="nil"/>
                  </w:tcBorders>
                </w:tcPr>
                <w:p w14:paraId="7288A3B8">
                  <w:pPr>
                    <w:pStyle w:val="31"/>
                  </w:pPr>
                  <w:r>
                    <w:rPr>
                      <w:rFonts w:hint="eastAsia"/>
                    </w:rPr>
                    <w:t>柴油储存区</w:t>
                  </w:r>
                </w:p>
              </w:tc>
            </w:tr>
          </w:tbl>
          <w:p w14:paraId="5F65ABB3">
            <w:pPr>
              <w:ind w:firstLine="480"/>
            </w:pPr>
            <w:r>
              <w:t>通过计算，本项目Q&lt;1，所以本项目环境风险潜势为</w:t>
            </w:r>
            <w:r>
              <w:fldChar w:fldCharType="begin"/>
            </w:r>
            <w:r>
              <w:instrText xml:space="preserve">= 1 \* ROMAN</w:instrText>
            </w:r>
            <w:r>
              <w:fldChar w:fldCharType="separate"/>
            </w:r>
            <w:r>
              <w:t>I</w:t>
            </w:r>
            <w:r>
              <w:fldChar w:fldCharType="end"/>
            </w:r>
            <w:r>
              <w:t>。</w:t>
            </w:r>
          </w:p>
          <w:p w14:paraId="37DD11E1">
            <w:pPr>
              <w:ind w:firstLine="480"/>
            </w:pPr>
            <w:r>
              <w:t>（3）评价等级</w:t>
            </w:r>
          </w:p>
          <w:p w14:paraId="1F741C69">
            <w:pPr>
              <w:ind w:firstLine="480"/>
            </w:pPr>
            <w:r>
              <w:t>根据《建设项目环境风险评价技术导则》（HJ169-2018），环境风险评价工作等级划分见下表所示。</w:t>
            </w:r>
          </w:p>
          <w:p w14:paraId="1561728C">
            <w:pPr>
              <w:pStyle w:val="33"/>
              <w:spacing w:before="156"/>
            </w:pPr>
            <w:r>
              <w:t>表</w:t>
            </w:r>
            <w:r>
              <w:rPr>
                <w:rFonts w:hint="eastAsia"/>
              </w:rPr>
              <w:t>5-</w:t>
            </w:r>
            <w:r>
              <w:rPr>
                <w:rFonts w:hint="eastAsia"/>
                <w:lang w:val="en-US" w:eastAsia="zh-CN"/>
              </w:rPr>
              <w:t>3</w:t>
            </w:r>
            <w:r>
              <w:t>评价工作等级划分表</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618"/>
              <w:gridCol w:w="1755"/>
              <w:gridCol w:w="895"/>
              <w:gridCol w:w="896"/>
              <w:gridCol w:w="2115"/>
            </w:tblGrid>
            <w:tr w14:paraId="35D4C3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2861" w:type="dxa"/>
                  <w:vAlign w:val="center"/>
                </w:tcPr>
                <w:p w14:paraId="02636A5A">
                  <w:pPr>
                    <w:pStyle w:val="31"/>
                  </w:pPr>
                  <w:r>
                    <w:t>环境风险潜势</w:t>
                  </w:r>
                </w:p>
              </w:tc>
              <w:tc>
                <w:tcPr>
                  <w:tcW w:w="1901" w:type="dxa"/>
                  <w:vAlign w:val="center"/>
                </w:tcPr>
                <w:p w14:paraId="7BF1B280">
                  <w:pPr>
                    <w:pStyle w:val="31"/>
                    <w:rPr>
                      <w:vertAlign w:val="superscript"/>
                    </w:rPr>
                  </w:pPr>
                  <w:r>
                    <w:fldChar w:fldCharType="begin"/>
                  </w:r>
                  <w:r>
                    <w:instrText xml:space="preserve">= 4 \* ROMAN</w:instrText>
                  </w:r>
                  <w:r>
                    <w:fldChar w:fldCharType="separate"/>
                  </w:r>
                  <w:r>
                    <w:t>IV</w:t>
                  </w:r>
                  <w:r>
                    <w:fldChar w:fldCharType="end"/>
                  </w:r>
                  <w:r>
                    <w:t>、</w:t>
                  </w:r>
                  <w:r>
                    <w:fldChar w:fldCharType="begin"/>
                  </w:r>
                  <w:r>
                    <w:instrText xml:space="preserve">= 4 \* ROMAN</w:instrText>
                  </w:r>
                  <w:r>
                    <w:fldChar w:fldCharType="separate"/>
                  </w:r>
                  <w:r>
                    <w:t>IV</w:t>
                  </w:r>
                  <w:r>
                    <w:fldChar w:fldCharType="end"/>
                  </w:r>
                  <w:r>
                    <w:rPr>
                      <w:vertAlign w:val="superscript"/>
                    </w:rPr>
                    <w:t>+</w:t>
                  </w:r>
                </w:p>
              </w:tc>
              <w:tc>
                <w:tcPr>
                  <w:tcW w:w="947" w:type="dxa"/>
                  <w:vAlign w:val="center"/>
                </w:tcPr>
                <w:p w14:paraId="19B6DA8E">
                  <w:pPr>
                    <w:pStyle w:val="31"/>
                  </w:pPr>
                  <w:r>
                    <w:fldChar w:fldCharType="begin"/>
                  </w:r>
                  <w:r>
                    <w:instrText xml:space="preserve">= 3 \* ROMAN</w:instrText>
                  </w:r>
                  <w:r>
                    <w:fldChar w:fldCharType="separate"/>
                  </w:r>
                  <w:r>
                    <w:t>III</w:t>
                  </w:r>
                  <w:r>
                    <w:fldChar w:fldCharType="end"/>
                  </w:r>
                </w:p>
              </w:tc>
              <w:tc>
                <w:tcPr>
                  <w:tcW w:w="948" w:type="dxa"/>
                  <w:vAlign w:val="center"/>
                </w:tcPr>
                <w:p w14:paraId="70E13FE7">
                  <w:pPr>
                    <w:pStyle w:val="31"/>
                  </w:pPr>
                  <w:r>
                    <w:fldChar w:fldCharType="begin"/>
                  </w:r>
                  <w:r>
                    <w:instrText xml:space="preserve">= 2 \* ROMAN</w:instrText>
                  </w:r>
                  <w:r>
                    <w:fldChar w:fldCharType="separate"/>
                  </w:r>
                  <w:r>
                    <w:t>II</w:t>
                  </w:r>
                  <w:r>
                    <w:fldChar w:fldCharType="end"/>
                  </w:r>
                </w:p>
              </w:tc>
              <w:tc>
                <w:tcPr>
                  <w:tcW w:w="2302" w:type="dxa"/>
                  <w:vAlign w:val="center"/>
                </w:tcPr>
                <w:p w14:paraId="7788EDA6">
                  <w:pPr>
                    <w:pStyle w:val="31"/>
                  </w:pPr>
                  <w:r>
                    <w:fldChar w:fldCharType="begin"/>
                  </w:r>
                  <w:r>
                    <w:instrText xml:space="preserve">= 1 \* ROMAN</w:instrText>
                  </w:r>
                  <w:r>
                    <w:fldChar w:fldCharType="separate"/>
                  </w:r>
                  <w:r>
                    <w:t>I</w:t>
                  </w:r>
                  <w:r>
                    <w:fldChar w:fldCharType="end"/>
                  </w:r>
                </w:p>
              </w:tc>
            </w:tr>
            <w:tr w14:paraId="52FEFE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2861" w:type="dxa"/>
                  <w:vAlign w:val="center"/>
                </w:tcPr>
                <w:p w14:paraId="2A403FFD">
                  <w:pPr>
                    <w:pStyle w:val="31"/>
                    <w:rPr>
                      <w:szCs w:val="21"/>
                    </w:rPr>
                  </w:pPr>
                  <w:r>
                    <w:rPr>
                      <w:szCs w:val="21"/>
                    </w:rPr>
                    <w:t>评价工作等级</w:t>
                  </w:r>
                </w:p>
              </w:tc>
              <w:tc>
                <w:tcPr>
                  <w:tcW w:w="1901" w:type="dxa"/>
                  <w:vAlign w:val="center"/>
                </w:tcPr>
                <w:p w14:paraId="0AFDFB8E">
                  <w:pPr>
                    <w:pStyle w:val="31"/>
                  </w:pPr>
                  <w:r>
                    <w:t>一</w:t>
                  </w:r>
                </w:p>
              </w:tc>
              <w:tc>
                <w:tcPr>
                  <w:tcW w:w="947" w:type="dxa"/>
                  <w:vAlign w:val="center"/>
                </w:tcPr>
                <w:p w14:paraId="2F75302E">
                  <w:pPr>
                    <w:pStyle w:val="31"/>
                  </w:pPr>
                  <w:r>
                    <w:t>二</w:t>
                  </w:r>
                </w:p>
              </w:tc>
              <w:tc>
                <w:tcPr>
                  <w:tcW w:w="948" w:type="dxa"/>
                  <w:vAlign w:val="center"/>
                </w:tcPr>
                <w:p w14:paraId="37A77A04">
                  <w:pPr>
                    <w:pStyle w:val="31"/>
                  </w:pPr>
                  <w:r>
                    <w:t>三</w:t>
                  </w:r>
                </w:p>
              </w:tc>
              <w:tc>
                <w:tcPr>
                  <w:tcW w:w="2302" w:type="dxa"/>
                  <w:vAlign w:val="center"/>
                </w:tcPr>
                <w:p w14:paraId="58A85D1C">
                  <w:pPr>
                    <w:pStyle w:val="31"/>
                    <w:rPr>
                      <w:vertAlign w:val="superscript"/>
                    </w:rPr>
                  </w:pPr>
                  <w:r>
                    <w:t>简单分析</w:t>
                  </w:r>
                  <w:r>
                    <w:rPr>
                      <w:vertAlign w:val="superscript"/>
                    </w:rPr>
                    <w:t>a</w:t>
                  </w:r>
                </w:p>
              </w:tc>
            </w:tr>
            <w:tr w14:paraId="2A80CF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1" w:hRule="atLeast"/>
                <w:jc w:val="center"/>
              </w:trPr>
              <w:tc>
                <w:tcPr>
                  <w:tcW w:w="8959" w:type="dxa"/>
                  <w:gridSpan w:val="5"/>
                  <w:vAlign w:val="center"/>
                </w:tcPr>
                <w:p w14:paraId="4A077093">
                  <w:pPr>
                    <w:pStyle w:val="31"/>
                    <w:jc w:val="both"/>
                  </w:pPr>
                  <w:r>
                    <w:rPr>
                      <w:vertAlign w:val="superscript"/>
                    </w:rPr>
                    <w:t>a</w:t>
                  </w:r>
                  <w:r>
                    <w:t>：是相对于详细评价工作内容而言，在描述危险物质、环境影响途径、环境危害后果、风险防范措施等方面给出定下的说明。详见</w:t>
                  </w:r>
                  <w:r>
                    <w:rPr>
                      <w:rFonts w:hint="eastAsia"/>
                    </w:rPr>
                    <w:t>导则</w:t>
                  </w:r>
                  <w:r>
                    <w:t>附录A。</w:t>
                  </w:r>
                </w:p>
              </w:tc>
            </w:tr>
          </w:tbl>
          <w:p w14:paraId="2D117888">
            <w:pPr>
              <w:ind w:firstLine="480"/>
            </w:pPr>
            <w:r>
              <w:rPr>
                <w:rFonts w:hint="eastAsia"/>
              </w:rPr>
              <w:t>本项目环境风险潜势为I，根据上表，本项目风险评价工作等级为简单分析。</w:t>
            </w:r>
          </w:p>
          <w:p w14:paraId="0B868CE4">
            <w:pPr>
              <w:pStyle w:val="20"/>
              <w:ind w:firstLine="482"/>
            </w:pPr>
            <w:bookmarkStart w:id="8" w:name="_Toc2247557"/>
            <w:bookmarkStart w:id="9" w:name="_Toc30952"/>
            <w:r>
              <w:rPr>
                <w:rFonts w:hint="eastAsia"/>
              </w:rPr>
              <w:t>6.2环境敏感目标概况</w:t>
            </w:r>
            <w:bookmarkEnd w:id="8"/>
            <w:bookmarkEnd w:id="9"/>
          </w:p>
          <w:p w14:paraId="3E6FC120">
            <w:pPr>
              <w:ind w:firstLine="480"/>
            </w:pPr>
            <w:bookmarkStart w:id="10" w:name="_Toc420"/>
            <w:bookmarkStart w:id="11" w:name="_Toc2247558"/>
            <w:r>
              <w:rPr>
                <w:rFonts w:hint="eastAsia"/>
              </w:rPr>
              <w:t>（</w:t>
            </w:r>
            <w:r>
              <w:t>1</w:t>
            </w:r>
            <w:r>
              <w:rPr>
                <w:rFonts w:hint="eastAsia"/>
              </w:rPr>
              <w:t>）大气环境敏感目标调查</w:t>
            </w:r>
          </w:p>
          <w:p w14:paraId="3E342DB4">
            <w:pPr>
              <w:ind w:firstLine="480"/>
            </w:pPr>
            <w:r>
              <w:rPr>
                <w:rFonts w:hint="eastAsia"/>
              </w:rPr>
              <w:t>项目区的主要大气污染物是粉尘，在采取洒水降尘措施后粉尘的排放量能够大幅度的降低；其颗粒大，沉降性好，在洒水降尘措施严格落实情况下，临时堆场粉尘的</w:t>
            </w:r>
            <w:r>
              <w:rPr>
                <w:rFonts w:hint="eastAsia" w:ascii="宋体" w:hAnsi="宋体" w:cs="宋体"/>
                <w:color w:val="000000"/>
                <w:kern w:val="0"/>
                <w:lang w:bidi="ar"/>
              </w:rPr>
              <w:t>排放对项目区大气环境影响不大。</w:t>
            </w:r>
          </w:p>
          <w:p w14:paraId="45C620C1">
            <w:pPr>
              <w:ind w:firstLine="480"/>
            </w:pPr>
            <w:r>
              <w:rPr>
                <w:rFonts w:hint="eastAsia"/>
              </w:rPr>
              <w:t>（2）地表水环境敏感目标调查</w:t>
            </w:r>
          </w:p>
          <w:p w14:paraId="57A1B16D">
            <w:pPr>
              <w:widowControl/>
              <w:ind w:firstLine="480"/>
              <w:jc w:val="left"/>
            </w:pPr>
            <w:r>
              <w:rPr>
                <w:rFonts w:hint="eastAsia" w:ascii="宋体" w:hAnsi="宋体" w:cs="宋体"/>
                <w:color w:val="000000"/>
                <w:kern w:val="0"/>
                <w:lang w:bidi="ar"/>
              </w:rPr>
              <w:t>项目工人在矿区搭设临时帐篷。</w:t>
            </w:r>
          </w:p>
          <w:p w14:paraId="53947C68">
            <w:pPr>
              <w:ind w:firstLine="480"/>
            </w:pPr>
            <w:r>
              <w:rPr>
                <w:rFonts w:hint="eastAsia"/>
              </w:rPr>
              <w:t>每个钻孔采用防渗膜塑料布及支架组装成简易沉淀池，每个规模为5</w:t>
            </w:r>
            <w:r>
              <w:t>m</w:t>
            </w:r>
            <w:r>
              <w:rPr>
                <w:vertAlign w:val="superscript"/>
              </w:rPr>
              <w:t>3</w:t>
            </w:r>
            <w:r>
              <w:rPr>
                <w:rFonts w:hint="eastAsia"/>
              </w:rPr>
              <w:t>，沉淀池采用防渗膜塑料布及支架组装成。生产废水经沉淀后</w:t>
            </w:r>
            <w:r>
              <w:t>循环</w:t>
            </w:r>
            <w:r>
              <w:rPr>
                <w:rFonts w:hint="eastAsia"/>
              </w:rPr>
              <w:t>使用；</w:t>
            </w:r>
            <w:r>
              <w:rPr>
                <w:rFonts w:hint="eastAsia"/>
                <w:lang w:val="en-US" w:eastAsia="zh-CN"/>
              </w:rPr>
              <w:t>生活污水排入一体化污水处理设施后，用于洒水降尘和周边绿化，不外排</w:t>
            </w:r>
            <w:r>
              <w:rPr>
                <w:rFonts w:hint="eastAsia"/>
              </w:rPr>
              <w:t>。项目废水不会对地表水体产生影响。因此，项目不设地表水环境敏感目标。</w:t>
            </w:r>
          </w:p>
          <w:p w14:paraId="1CF2D875">
            <w:pPr>
              <w:ind w:firstLine="480"/>
            </w:pPr>
            <w:r>
              <w:rPr>
                <w:rFonts w:hint="eastAsia"/>
              </w:rPr>
              <w:t>（3）地下水环境敏感目标调查</w:t>
            </w:r>
          </w:p>
          <w:p w14:paraId="10548FF7">
            <w:pPr>
              <w:ind w:firstLine="480"/>
            </w:pPr>
            <w:r>
              <w:rPr>
                <w:rFonts w:hint="eastAsia"/>
              </w:rPr>
              <w:t>根据现场调查，项目周边均为山体，地势较高，且周边无居民饮用水水源，因此</w:t>
            </w:r>
            <w:r>
              <w:t>项目</w:t>
            </w:r>
            <w:r>
              <w:rPr>
                <w:rFonts w:hint="eastAsia"/>
              </w:rPr>
              <w:t>无</w:t>
            </w:r>
            <w:r>
              <w:t>地下水</w:t>
            </w:r>
            <w:r>
              <w:rPr>
                <w:rFonts w:hint="eastAsia"/>
              </w:rPr>
              <w:t>环境敏感目标</w:t>
            </w:r>
            <w:r>
              <w:t>。</w:t>
            </w:r>
            <w:bookmarkEnd w:id="10"/>
            <w:bookmarkEnd w:id="11"/>
          </w:p>
          <w:p w14:paraId="0130FE62">
            <w:pPr>
              <w:pStyle w:val="20"/>
              <w:ind w:firstLine="482"/>
            </w:pPr>
            <w:bookmarkStart w:id="12" w:name="_Toc2247561"/>
            <w:bookmarkStart w:id="13" w:name="_Toc12060"/>
            <w:r>
              <w:rPr>
                <w:rFonts w:hint="eastAsia"/>
              </w:rPr>
              <w:t>6.3环境风险识别</w:t>
            </w:r>
            <w:bookmarkEnd w:id="12"/>
            <w:bookmarkEnd w:id="13"/>
          </w:p>
          <w:p w14:paraId="3E79A9BA">
            <w:pPr>
              <w:ind w:firstLine="480"/>
            </w:pPr>
            <w:r>
              <w:t>项目的风险识别主要从生产设施风险识别和生产过程所涉及的物质风险识别两方面着手。其中生产设施风险识别包括主要生产装置、贮运系统、公用工程系统、工程环保设施及辅助生产设施等；物质风险性识别包括生产中的原辅材料、中间产品以及生产过程中排放的</w:t>
            </w:r>
            <w:r>
              <w:rPr>
                <w:rFonts w:hint="eastAsia"/>
              </w:rPr>
              <w:t>“</w:t>
            </w:r>
            <w:r>
              <w:t>三废</w:t>
            </w:r>
            <w:r>
              <w:rPr>
                <w:rFonts w:hint="eastAsia"/>
              </w:rPr>
              <w:t>”</w:t>
            </w:r>
            <w:r>
              <w:t>污染物等。</w:t>
            </w:r>
          </w:p>
          <w:p w14:paraId="68003165">
            <w:pPr>
              <w:ind w:firstLine="480"/>
            </w:pPr>
            <w:bookmarkStart w:id="14" w:name="_Toc2247562"/>
            <w:r>
              <w:rPr>
                <w:rFonts w:hint="eastAsia"/>
              </w:rPr>
              <w:t>（1）风险物质识别</w:t>
            </w:r>
            <w:bookmarkEnd w:id="14"/>
          </w:p>
          <w:p w14:paraId="7BEB5DA8">
            <w:pPr>
              <w:ind w:firstLine="480"/>
            </w:pPr>
            <w:r>
              <w:rPr>
                <w:rFonts w:hint="eastAsia"/>
              </w:rPr>
              <w:t>根据对项目的原辅材料、中间产物和产品等进行分析，项目涉及的风险物质主要为柴油。</w:t>
            </w:r>
          </w:p>
          <w:p w14:paraId="19D05A89">
            <w:pPr>
              <w:ind w:firstLine="480"/>
            </w:pPr>
            <w:r>
              <w:t>柴油的物化特性见表</w:t>
            </w:r>
            <w:r>
              <w:rPr>
                <w:rFonts w:hint="eastAsia"/>
              </w:rPr>
              <w:t>5-</w:t>
            </w:r>
            <w:r>
              <w:rPr>
                <w:rFonts w:hint="eastAsia"/>
                <w:lang w:val="en-US" w:eastAsia="zh-CN"/>
              </w:rPr>
              <w:t>4</w:t>
            </w:r>
            <w:r>
              <w:t>所示。</w:t>
            </w:r>
          </w:p>
          <w:p w14:paraId="2DA80D40">
            <w:pPr>
              <w:pStyle w:val="33"/>
              <w:spacing w:before="156"/>
            </w:pPr>
            <w:r>
              <w:t>表</w:t>
            </w:r>
            <w:r>
              <w:rPr>
                <w:rFonts w:hint="eastAsia"/>
              </w:rPr>
              <w:t>5-</w:t>
            </w:r>
            <w:r>
              <w:rPr>
                <w:rFonts w:hint="eastAsia"/>
                <w:lang w:val="en-US" w:eastAsia="zh-CN"/>
              </w:rPr>
              <w:t>4</w:t>
            </w:r>
            <w:r>
              <w:t>柴油物理化学特性表</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67"/>
              <w:gridCol w:w="1196"/>
              <w:gridCol w:w="434"/>
              <w:gridCol w:w="449"/>
              <w:gridCol w:w="1457"/>
              <w:gridCol w:w="565"/>
              <w:gridCol w:w="875"/>
              <w:gridCol w:w="1079"/>
              <w:gridCol w:w="791"/>
              <w:gridCol w:w="466"/>
            </w:tblGrid>
            <w:tr w14:paraId="2E6E44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000" w:type="pct"/>
                  <w:gridSpan w:val="10"/>
                  <w:vAlign w:val="center"/>
                </w:tcPr>
                <w:p w14:paraId="298CB354">
                  <w:pPr>
                    <w:pStyle w:val="31"/>
                  </w:pPr>
                  <w:r>
                    <w:t>物料安全数据表</w:t>
                  </w:r>
                </w:p>
              </w:tc>
            </w:tr>
            <w:tr w14:paraId="06BC95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Align w:val="center"/>
                </w:tcPr>
                <w:p w14:paraId="099FCBE1">
                  <w:pPr>
                    <w:pStyle w:val="31"/>
                  </w:pPr>
                  <w:r>
                    <w:t>CAS</w:t>
                  </w:r>
                </w:p>
              </w:tc>
              <w:tc>
                <w:tcPr>
                  <w:tcW w:w="671" w:type="pct"/>
                  <w:vAlign w:val="center"/>
                </w:tcPr>
                <w:p w14:paraId="674FC7DD">
                  <w:pPr>
                    <w:pStyle w:val="31"/>
                  </w:pPr>
                  <w:r>
                    <w:t>86290-81-5</w:t>
                  </w:r>
                </w:p>
              </w:tc>
              <w:tc>
                <w:tcPr>
                  <w:tcW w:w="545" w:type="pct"/>
                  <w:gridSpan w:val="2"/>
                  <w:vAlign w:val="center"/>
                </w:tcPr>
                <w:p w14:paraId="1B0E2E1F">
                  <w:pPr>
                    <w:pStyle w:val="31"/>
                  </w:pPr>
                  <w:r>
                    <w:t>RTECS</w:t>
                  </w:r>
                </w:p>
              </w:tc>
              <w:tc>
                <w:tcPr>
                  <w:tcW w:w="886" w:type="pct"/>
                  <w:vAlign w:val="center"/>
                </w:tcPr>
                <w:p w14:paraId="5B708093">
                  <w:pPr>
                    <w:pStyle w:val="31"/>
                  </w:pPr>
                  <w:r>
                    <w:t>HZl770000</w:t>
                  </w:r>
                </w:p>
              </w:tc>
              <w:tc>
                <w:tcPr>
                  <w:tcW w:w="347" w:type="pct"/>
                  <w:vAlign w:val="center"/>
                </w:tcPr>
                <w:p w14:paraId="4749E104">
                  <w:pPr>
                    <w:pStyle w:val="31"/>
                  </w:pPr>
                  <w:r>
                    <w:t>UN</w:t>
                  </w:r>
                </w:p>
              </w:tc>
              <w:tc>
                <w:tcPr>
                  <w:tcW w:w="534" w:type="pct"/>
                  <w:vAlign w:val="center"/>
                </w:tcPr>
                <w:p w14:paraId="22BE2C5F">
                  <w:pPr>
                    <w:pStyle w:val="31"/>
                  </w:pPr>
                  <w:r>
                    <w:t>/</w:t>
                  </w:r>
                </w:p>
              </w:tc>
              <w:tc>
                <w:tcPr>
                  <w:tcW w:w="1140" w:type="pct"/>
                  <w:gridSpan w:val="2"/>
                  <w:vAlign w:val="center"/>
                </w:tcPr>
                <w:p w14:paraId="3EF971A8">
                  <w:pPr>
                    <w:pStyle w:val="31"/>
                  </w:pPr>
                  <w:r>
                    <w:t>危编号</w:t>
                  </w:r>
                </w:p>
              </w:tc>
              <w:tc>
                <w:tcPr>
                  <w:tcW w:w="286" w:type="pct"/>
                  <w:vAlign w:val="center"/>
                </w:tcPr>
                <w:p w14:paraId="41BD4B53">
                  <w:pPr>
                    <w:pStyle w:val="31"/>
                  </w:pPr>
                  <w:r>
                    <w:t>/</w:t>
                  </w:r>
                </w:p>
              </w:tc>
            </w:tr>
            <w:tr w14:paraId="1AED7C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Align w:val="center"/>
                </w:tcPr>
                <w:p w14:paraId="6AD60D00">
                  <w:pPr>
                    <w:pStyle w:val="31"/>
                  </w:pPr>
                  <w:r>
                    <w:t>中文名称</w:t>
                  </w:r>
                </w:p>
              </w:tc>
              <w:tc>
                <w:tcPr>
                  <w:tcW w:w="2102" w:type="pct"/>
                  <w:gridSpan w:val="4"/>
                  <w:vAlign w:val="center"/>
                </w:tcPr>
                <w:p w14:paraId="6BB5292E">
                  <w:pPr>
                    <w:pStyle w:val="31"/>
                  </w:pPr>
                  <w:r>
                    <w:t>柴油（0#普通柴油、车用柴油）</w:t>
                  </w:r>
                </w:p>
              </w:tc>
              <w:tc>
                <w:tcPr>
                  <w:tcW w:w="347" w:type="pct"/>
                  <w:vMerge w:val="restart"/>
                  <w:vAlign w:val="center"/>
                </w:tcPr>
                <w:p w14:paraId="73B17FF8">
                  <w:pPr>
                    <w:pStyle w:val="31"/>
                  </w:pPr>
                  <w:r>
                    <w:t>理化性质</w:t>
                  </w:r>
                </w:p>
              </w:tc>
              <w:tc>
                <w:tcPr>
                  <w:tcW w:w="1961" w:type="pct"/>
                  <w:gridSpan w:val="4"/>
                  <w:vAlign w:val="center"/>
                </w:tcPr>
                <w:p w14:paraId="121FC5DC">
                  <w:pPr>
                    <w:pStyle w:val="31"/>
                  </w:pPr>
                  <w:r>
                    <w:t>外观及性状</w:t>
                  </w:r>
                  <w:r>
                    <w:rPr>
                      <w:rFonts w:hint="eastAsia"/>
                    </w:rPr>
                    <w:t>：</w:t>
                  </w:r>
                  <w:r>
                    <w:t>稍有粘性的棕色液体。</w:t>
                  </w:r>
                </w:p>
              </w:tc>
            </w:tr>
            <w:tr w14:paraId="5B8C15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Align w:val="center"/>
                </w:tcPr>
                <w:p w14:paraId="31DC93D3">
                  <w:pPr>
                    <w:pStyle w:val="31"/>
                  </w:pPr>
                  <w:r>
                    <w:t>英文名称</w:t>
                  </w:r>
                </w:p>
              </w:tc>
              <w:tc>
                <w:tcPr>
                  <w:tcW w:w="2102" w:type="pct"/>
                  <w:gridSpan w:val="4"/>
                  <w:vAlign w:val="center"/>
                </w:tcPr>
                <w:p w14:paraId="119DE20E">
                  <w:pPr>
                    <w:pStyle w:val="31"/>
                  </w:pPr>
                  <w:r>
                    <w:t>Dieseloil；Dieselfuel</w:t>
                  </w:r>
                </w:p>
              </w:tc>
              <w:tc>
                <w:tcPr>
                  <w:tcW w:w="347" w:type="pct"/>
                  <w:vMerge w:val="continue"/>
                  <w:vAlign w:val="center"/>
                </w:tcPr>
                <w:p w14:paraId="01112D7F">
                  <w:pPr>
                    <w:pStyle w:val="31"/>
                  </w:pPr>
                </w:p>
              </w:tc>
              <w:tc>
                <w:tcPr>
                  <w:tcW w:w="534" w:type="pct"/>
                  <w:vMerge w:val="restart"/>
                  <w:vAlign w:val="center"/>
                </w:tcPr>
                <w:p w14:paraId="6720593F">
                  <w:pPr>
                    <w:pStyle w:val="31"/>
                  </w:pPr>
                  <w:r>
                    <w:t>溶解度：不溶</w:t>
                  </w:r>
                </w:p>
              </w:tc>
              <w:tc>
                <w:tcPr>
                  <w:tcW w:w="1426" w:type="pct"/>
                  <w:gridSpan w:val="3"/>
                  <w:vAlign w:val="center"/>
                </w:tcPr>
                <w:p w14:paraId="45018656">
                  <w:pPr>
                    <w:pStyle w:val="31"/>
                  </w:pPr>
                  <w:r>
                    <w:t>蒸气压</w:t>
                  </w:r>
                  <w:r>
                    <w:rPr>
                      <w:rFonts w:hint="eastAsia"/>
                    </w:rPr>
                    <w:t>：</w:t>
                  </w:r>
                  <w:r>
                    <w:t>无资料</w:t>
                  </w:r>
                </w:p>
              </w:tc>
            </w:tr>
            <w:tr w14:paraId="68E27A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Align w:val="center"/>
                </w:tcPr>
                <w:p w14:paraId="2E2B7339">
                  <w:pPr>
                    <w:pStyle w:val="31"/>
                  </w:pPr>
                  <w:r>
                    <w:t>分子式</w:t>
                  </w:r>
                </w:p>
              </w:tc>
              <w:tc>
                <w:tcPr>
                  <w:tcW w:w="2102" w:type="pct"/>
                  <w:gridSpan w:val="4"/>
                  <w:vAlign w:val="center"/>
                </w:tcPr>
                <w:p w14:paraId="10579A2F">
                  <w:pPr>
                    <w:pStyle w:val="31"/>
                  </w:pPr>
                  <w:r>
                    <w:t>C4</w:t>
                  </w:r>
                  <w:r>
                    <w:rPr>
                      <w:rFonts w:eastAsia="微软雅黑"/>
                    </w:rPr>
                    <w:t>−</w:t>
                  </w:r>
                  <w:r>
                    <w:t>C12(脂肪烃和环烃)</w:t>
                  </w:r>
                </w:p>
              </w:tc>
              <w:tc>
                <w:tcPr>
                  <w:tcW w:w="347" w:type="pct"/>
                  <w:vMerge w:val="continue"/>
                  <w:vAlign w:val="center"/>
                </w:tcPr>
                <w:p w14:paraId="69C0C631">
                  <w:pPr>
                    <w:pStyle w:val="31"/>
                  </w:pPr>
                </w:p>
              </w:tc>
              <w:tc>
                <w:tcPr>
                  <w:tcW w:w="534" w:type="pct"/>
                  <w:vMerge w:val="continue"/>
                  <w:vAlign w:val="center"/>
                </w:tcPr>
                <w:p w14:paraId="224896CB">
                  <w:pPr>
                    <w:pStyle w:val="31"/>
                  </w:pPr>
                </w:p>
              </w:tc>
              <w:tc>
                <w:tcPr>
                  <w:tcW w:w="657" w:type="pct"/>
                  <w:vMerge w:val="restart"/>
                  <w:vAlign w:val="center"/>
                </w:tcPr>
                <w:p w14:paraId="7FF15739">
                  <w:pPr>
                    <w:pStyle w:val="31"/>
                  </w:pPr>
                  <w:r>
                    <w:t>相对密度</w:t>
                  </w:r>
                </w:p>
              </w:tc>
              <w:tc>
                <w:tcPr>
                  <w:tcW w:w="769" w:type="pct"/>
                  <w:gridSpan w:val="2"/>
                  <w:vAlign w:val="center"/>
                </w:tcPr>
                <w:p w14:paraId="2594209D">
                  <w:pPr>
                    <w:pStyle w:val="31"/>
                  </w:pPr>
                  <w:r>
                    <w:t>空气：无资料</w:t>
                  </w:r>
                </w:p>
              </w:tc>
            </w:tr>
            <w:tr w14:paraId="6EC75F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restart"/>
                  <w:vAlign w:val="center"/>
                </w:tcPr>
                <w:p w14:paraId="0FEC3D8A">
                  <w:pPr>
                    <w:pStyle w:val="31"/>
                  </w:pPr>
                  <w:r>
                    <w:t>燃烧爆炸危险性</w:t>
                  </w:r>
                </w:p>
              </w:tc>
              <w:tc>
                <w:tcPr>
                  <w:tcW w:w="939" w:type="pct"/>
                  <w:gridSpan w:val="2"/>
                  <w:vAlign w:val="center"/>
                </w:tcPr>
                <w:p w14:paraId="3EE22CA6">
                  <w:pPr>
                    <w:pStyle w:val="31"/>
                  </w:pPr>
                  <w:r>
                    <w:t>闪点</w:t>
                  </w:r>
                  <w:r>
                    <w:rPr>
                      <w:rFonts w:hint="eastAsia"/>
                    </w:rPr>
                    <w:t>：</w:t>
                  </w:r>
                  <w:r>
                    <w:t>62～63℃</w:t>
                  </w:r>
                </w:p>
              </w:tc>
              <w:tc>
                <w:tcPr>
                  <w:tcW w:w="1163" w:type="pct"/>
                  <w:gridSpan w:val="2"/>
                  <w:vAlign w:val="center"/>
                </w:tcPr>
                <w:p w14:paraId="615413CB">
                  <w:pPr>
                    <w:pStyle w:val="31"/>
                  </w:pPr>
                  <w:r>
                    <w:t>引燃温度(℃)：257℃</w:t>
                  </w:r>
                </w:p>
              </w:tc>
              <w:tc>
                <w:tcPr>
                  <w:tcW w:w="347" w:type="pct"/>
                  <w:vMerge w:val="continue"/>
                  <w:vAlign w:val="center"/>
                </w:tcPr>
                <w:p w14:paraId="4B3617D7">
                  <w:pPr>
                    <w:pStyle w:val="31"/>
                  </w:pPr>
                </w:p>
              </w:tc>
              <w:tc>
                <w:tcPr>
                  <w:tcW w:w="534" w:type="pct"/>
                  <w:vMerge w:val="continue"/>
                  <w:vAlign w:val="center"/>
                </w:tcPr>
                <w:p w14:paraId="571FC6CA">
                  <w:pPr>
                    <w:pStyle w:val="31"/>
                  </w:pPr>
                </w:p>
              </w:tc>
              <w:tc>
                <w:tcPr>
                  <w:tcW w:w="657" w:type="pct"/>
                  <w:vMerge w:val="continue"/>
                  <w:vAlign w:val="center"/>
                </w:tcPr>
                <w:p w14:paraId="1C57A245">
                  <w:pPr>
                    <w:pStyle w:val="31"/>
                  </w:pPr>
                </w:p>
              </w:tc>
              <w:tc>
                <w:tcPr>
                  <w:tcW w:w="769" w:type="pct"/>
                  <w:gridSpan w:val="2"/>
                  <w:vAlign w:val="center"/>
                </w:tcPr>
                <w:p w14:paraId="4A4AF3B2">
                  <w:pPr>
                    <w:pStyle w:val="31"/>
                  </w:pPr>
                  <w:r>
                    <w:t>水：0.9</w:t>
                  </w:r>
                </w:p>
              </w:tc>
            </w:tr>
            <w:tr w14:paraId="7FC3DE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continue"/>
                  <w:vAlign w:val="center"/>
                </w:tcPr>
                <w:p w14:paraId="481189EA">
                  <w:pPr>
                    <w:pStyle w:val="31"/>
                  </w:pPr>
                </w:p>
              </w:tc>
              <w:tc>
                <w:tcPr>
                  <w:tcW w:w="939" w:type="pct"/>
                  <w:gridSpan w:val="2"/>
                  <w:vAlign w:val="center"/>
                </w:tcPr>
                <w:p w14:paraId="5F1F7C48">
                  <w:pPr>
                    <w:pStyle w:val="31"/>
                  </w:pPr>
                  <w:r>
                    <w:t>自燃点</w:t>
                  </w:r>
                  <w:r>
                    <w:rPr>
                      <w:rFonts w:hint="eastAsia"/>
                    </w:rPr>
                    <w:t>：</w:t>
                  </w:r>
                  <w:r>
                    <w:t>约250℃</w:t>
                  </w:r>
                </w:p>
              </w:tc>
              <w:tc>
                <w:tcPr>
                  <w:tcW w:w="1163" w:type="pct"/>
                  <w:gridSpan w:val="2"/>
                  <w:vAlign w:val="center"/>
                </w:tcPr>
                <w:p w14:paraId="2397DE70">
                  <w:pPr>
                    <w:pStyle w:val="31"/>
                  </w:pPr>
                  <w:r>
                    <w:t>火灾危险性分类</w:t>
                  </w:r>
                  <w:r>
                    <w:rPr>
                      <w:rFonts w:hint="eastAsia"/>
                    </w:rPr>
                    <w:t>：</w:t>
                  </w:r>
                  <w:r>
                    <w:t>乙B</w:t>
                  </w:r>
                </w:p>
              </w:tc>
              <w:tc>
                <w:tcPr>
                  <w:tcW w:w="347" w:type="pct"/>
                  <w:vMerge w:val="restart"/>
                  <w:vAlign w:val="center"/>
                </w:tcPr>
                <w:p w14:paraId="2D746B86">
                  <w:pPr>
                    <w:pStyle w:val="31"/>
                  </w:pPr>
                  <w:r>
                    <w:t>毒害性及健康危害</w:t>
                  </w:r>
                </w:p>
              </w:tc>
              <w:tc>
                <w:tcPr>
                  <w:tcW w:w="1961" w:type="pct"/>
                  <w:gridSpan w:val="4"/>
                  <w:vAlign w:val="center"/>
                </w:tcPr>
                <w:p w14:paraId="0A4FB7AB">
                  <w:pPr>
                    <w:pStyle w:val="31"/>
                  </w:pPr>
                  <w:r>
                    <w:t>职业性接触毒物危害程度分级</w:t>
                  </w:r>
                  <w:r>
                    <w:rPr>
                      <w:rFonts w:hint="eastAsia"/>
                    </w:rPr>
                    <w:t>：</w:t>
                  </w:r>
                  <w:r>
                    <w:t>无资料</w:t>
                  </w:r>
                </w:p>
              </w:tc>
            </w:tr>
            <w:tr w14:paraId="7E9447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continue"/>
                  <w:vAlign w:val="center"/>
                </w:tcPr>
                <w:p w14:paraId="1986FE70">
                  <w:pPr>
                    <w:pStyle w:val="31"/>
                  </w:pPr>
                </w:p>
              </w:tc>
              <w:tc>
                <w:tcPr>
                  <w:tcW w:w="2102" w:type="pct"/>
                  <w:gridSpan w:val="4"/>
                  <w:vMerge w:val="restart"/>
                  <w:vAlign w:val="center"/>
                </w:tcPr>
                <w:p w14:paraId="71E5AB02">
                  <w:pPr>
                    <w:pStyle w:val="31"/>
                  </w:pPr>
                  <w:r>
                    <w:t>危险特性</w:t>
                  </w:r>
                  <w:r>
                    <w:rPr>
                      <w:rFonts w:hint="eastAsia"/>
                    </w:rPr>
                    <w:t>：</w:t>
                  </w:r>
                  <w:r>
                    <w:t>遇明火、高热或与氧化剂接触，有引起燃烧爆炸的危险。若遇高热，容器内压增大，有开裂和爆炸的危险。</w:t>
                  </w:r>
                </w:p>
              </w:tc>
              <w:tc>
                <w:tcPr>
                  <w:tcW w:w="347" w:type="pct"/>
                  <w:vMerge w:val="continue"/>
                  <w:vAlign w:val="center"/>
                </w:tcPr>
                <w:p w14:paraId="1F57EC05">
                  <w:pPr>
                    <w:pStyle w:val="31"/>
                  </w:pPr>
                </w:p>
              </w:tc>
              <w:tc>
                <w:tcPr>
                  <w:tcW w:w="1961" w:type="pct"/>
                  <w:gridSpan w:val="4"/>
                  <w:vAlign w:val="center"/>
                </w:tcPr>
                <w:p w14:paraId="4A045455">
                  <w:pPr>
                    <w:pStyle w:val="31"/>
                  </w:pPr>
                  <w:r>
                    <w:t>毒性资料</w:t>
                  </w:r>
                  <w:r>
                    <w:rPr>
                      <w:rFonts w:hint="eastAsia"/>
                    </w:rPr>
                    <w:t>：</w:t>
                  </w:r>
                  <w:r>
                    <w:t>无资料</w:t>
                  </w:r>
                </w:p>
              </w:tc>
            </w:tr>
            <w:tr w14:paraId="4E5BB4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continue"/>
                  <w:vAlign w:val="center"/>
                </w:tcPr>
                <w:p w14:paraId="62A972A9">
                  <w:pPr>
                    <w:pStyle w:val="31"/>
                  </w:pPr>
                </w:p>
              </w:tc>
              <w:tc>
                <w:tcPr>
                  <w:tcW w:w="2102" w:type="pct"/>
                  <w:gridSpan w:val="4"/>
                  <w:vMerge w:val="continue"/>
                  <w:vAlign w:val="center"/>
                </w:tcPr>
                <w:p w14:paraId="22AE6113">
                  <w:pPr>
                    <w:pStyle w:val="31"/>
                  </w:pPr>
                </w:p>
              </w:tc>
              <w:tc>
                <w:tcPr>
                  <w:tcW w:w="347" w:type="pct"/>
                  <w:vMerge w:val="continue"/>
                  <w:vAlign w:val="center"/>
                </w:tcPr>
                <w:p w14:paraId="56E4B2F0">
                  <w:pPr>
                    <w:pStyle w:val="31"/>
                  </w:pPr>
                </w:p>
              </w:tc>
              <w:tc>
                <w:tcPr>
                  <w:tcW w:w="1961" w:type="pct"/>
                  <w:gridSpan w:val="4"/>
                  <w:vAlign w:val="center"/>
                </w:tcPr>
                <w:p w14:paraId="5597E0A0">
                  <w:pPr>
                    <w:pStyle w:val="31"/>
                  </w:pPr>
                  <w:r>
                    <w:t>职业接触限值</w:t>
                  </w:r>
                </w:p>
              </w:tc>
            </w:tr>
            <w:tr w14:paraId="54D651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continue"/>
                  <w:vAlign w:val="center"/>
                </w:tcPr>
                <w:p w14:paraId="48567E3F">
                  <w:pPr>
                    <w:pStyle w:val="31"/>
                  </w:pPr>
                </w:p>
              </w:tc>
              <w:tc>
                <w:tcPr>
                  <w:tcW w:w="2102" w:type="pct"/>
                  <w:gridSpan w:val="4"/>
                  <w:vMerge w:val="continue"/>
                  <w:vAlign w:val="center"/>
                </w:tcPr>
                <w:p w14:paraId="620E33FC">
                  <w:pPr>
                    <w:pStyle w:val="31"/>
                  </w:pPr>
                </w:p>
              </w:tc>
              <w:tc>
                <w:tcPr>
                  <w:tcW w:w="347" w:type="pct"/>
                  <w:vMerge w:val="continue"/>
                  <w:vAlign w:val="center"/>
                </w:tcPr>
                <w:p w14:paraId="4B37ECE3">
                  <w:pPr>
                    <w:pStyle w:val="31"/>
                  </w:pPr>
                </w:p>
              </w:tc>
              <w:tc>
                <w:tcPr>
                  <w:tcW w:w="1961" w:type="pct"/>
                  <w:gridSpan w:val="4"/>
                  <w:vAlign w:val="center"/>
                </w:tcPr>
                <w:p w14:paraId="5B6C34EA">
                  <w:pPr>
                    <w:pStyle w:val="31"/>
                  </w:pPr>
                  <w:r>
                    <w:t>MAC</w:t>
                  </w:r>
                  <w:r>
                    <w:rPr>
                      <w:rFonts w:hint="eastAsia"/>
                    </w:rPr>
                    <w:t>：</w:t>
                  </w:r>
                  <w:r>
                    <w:t>无资料</w:t>
                  </w:r>
                </w:p>
              </w:tc>
            </w:tr>
            <w:tr w14:paraId="0ABCB1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continue"/>
                  <w:vAlign w:val="center"/>
                </w:tcPr>
                <w:p w14:paraId="030D9EAB">
                  <w:pPr>
                    <w:pStyle w:val="31"/>
                  </w:pPr>
                </w:p>
              </w:tc>
              <w:tc>
                <w:tcPr>
                  <w:tcW w:w="2102" w:type="pct"/>
                  <w:gridSpan w:val="4"/>
                  <w:vAlign w:val="center"/>
                </w:tcPr>
                <w:p w14:paraId="2C7399C1">
                  <w:pPr>
                    <w:pStyle w:val="31"/>
                  </w:pPr>
                  <w:r>
                    <w:t>燃烧(分解)产物</w:t>
                  </w:r>
                  <w:r>
                    <w:rPr>
                      <w:rFonts w:hint="eastAsia"/>
                    </w:rPr>
                    <w:t>：</w:t>
                  </w:r>
                  <w:r>
                    <w:t>一氧化碳、二氧化碳。</w:t>
                  </w:r>
                </w:p>
              </w:tc>
              <w:tc>
                <w:tcPr>
                  <w:tcW w:w="347" w:type="pct"/>
                  <w:vMerge w:val="continue"/>
                  <w:vAlign w:val="center"/>
                </w:tcPr>
                <w:p w14:paraId="7098182F">
                  <w:pPr>
                    <w:pStyle w:val="31"/>
                  </w:pPr>
                </w:p>
              </w:tc>
              <w:tc>
                <w:tcPr>
                  <w:tcW w:w="1961" w:type="pct"/>
                  <w:gridSpan w:val="4"/>
                  <w:vAlign w:val="center"/>
                </w:tcPr>
                <w:p w14:paraId="425EAEE4">
                  <w:pPr>
                    <w:pStyle w:val="31"/>
                  </w:pPr>
                  <w:r>
                    <w:t>PC-TWA</w:t>
                  </w:r>
                  <w:r>
                    <w:rPr>
                      <w:rFonts w:hint="eastAsia"/>
                    </w:rPr>
                    <w:t>：</w:t>
                  </w:r>
                  <w:r>
                    <w:t>无资料</w:t>
                  </w:r>
                </w:p>
              </w:tc>
            </w:tr>
            <w:tr w14:paraId="5C5B4D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continue"/>
                  <w:vAlign w:val="center"/>
                </w:tcPr>
                <w:p w14:paraId="0DEC0016">
                  <w:pPr>
                    <w:pStyle w:val="31"/>
                  </w:pPr>
                </w:p>
              </w:tc>
              <w:tc>
                <w:tcPr>
                  <w:tcW w:w="2102" w:type="pct"/>
                  <w:gridSpan w:val="4"/>
                  <w:vAlign w:val="center"/>
                </w:tcPr>
                <w:p w14:paraId="181D7D25">
                  <w:pPr>
                    <w:pStyle w:val="31"/>
                  </w:pPr>
                  <w:r>
                    <w:t>禁忌物</w:t>
                  </w:r>
                  <w:r>
                    <w:rPr>
                      <w:rFonts w:hint="eastAsia"/>
                    </w:rPr>
                    <w:t>：</w:t>
                  </w:r>
                  <w:r>
                    <w:t>强氧化剂、卤素。</w:t>
                  </w:r>
                </w:p>
              </w:tc>
              <w:tc>
                <w:tcPr>
                  <w:tcW w:w="347" w:type="pct"/>
                  <w:vMerge w:val="continue"/>
                  <w:vAlign w:val="center"/>
                </w:tcPr>
                <w:p w14:paraId="198958CE">
                  <w:pPr>
                    <w:pStyle w:val="31"/>
                  </w:pPr>
                </w:p>
              </w:tc>
              <w:tc>
                <w:tcPr>
                  <w:tcW w:w="1961" w:type="pct"/>
                  <w:gridSpan w:val="4"/>
                  <w:vAlign w:val="center"/>
                </w:tcPr>
                <w:p w14:paraId="24829E37">
                  <w:pPr>
                    <w:pStyle w:val="31"/>
                  </w:pPr>
                  <w:r>
                    <w:t>PC-STEL</w:t>
                  </w:r>
                  <w:r>
                    <w:rPr>
                      <w:rFonts w:hint="eastAsia"/>
                    </w:rPr>
                    <w:t>：</w:t>
                  </w:r>
                  <w:r>
                    <w:t>无资料</w:t>
                  </w:r>
                </w:p>
              </w:tc>
            </w:tr>
            <w:tr w14:paraId="2C9CA1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continue"/>
                  <w:vAlign w:val="center"/>
                </w:tcPr>
                <w:p w14:paraId="1620B596">
                  <w:pPr>
                    <w:pStyle w:val="31"/>
                  </w:pPr>
                </w:p>
              </w:tc>
              <w:tc>
                <w:tcPr>
                  <w:tcW w:w="2102" w:type="pct"/>
                  <w:gridSpan w:val="4"/>
                  <w:vAlign w:val="center"/>
                </w:tcPr>
                <w:p w14:paraId="602B7316">
                  <w:pPr>
                    <w:pStyle w:val="31"/>
                  </w:pPr>
                  <w:r>
                    <w:t>避免接触的条件</w:t>
                  </w:r>
                  <w:r>
                    <w:rPr>
                      <w:rFonts w:hint="eastAsia"/>
                    </w:rPr>
                    <w:t>：</w:t>
                  </w:r>
                  <w:r>
                    <w:t>无资料</w:t>
                  </w:r>
                </w:p>
              </w:tc>
              <w:tc>
                <w:tcPr>
                  <w:tcW w:w="347" w:type="pct"/>
                  <w:vMerge w:val="continue"/>
                  <w:vAlign w:val="center"/>
                </w:tcPr>
                <w:p w14:paraId="68E8803A">
                  <w:pPr>
                    <w:pStyle w:val="31"/>
                  </w:pPr>
                </w:p>
              </w:tc>
              <w:tc>
                <w:tcPr>
                  <w:tcW w:w="1961" w:type="pct"/>
                  <w:gridSpan w:val="4"/>
                  <w:vAlign w:val="center"/>
                </w:tcPr>
                <w:p w14:paraId="07AB8527">
                  <w:pPr>
                    <w:pStyle w:val="31"/>
                  </w:pPr>
                  <w:r>
                    <w:t>侵入途径及健康危害</w:t>
                  </w:r>
                </w:p>
              </w:tc>
            </w:tr>
            <w:tr w14:paraId="5AFB3A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continue"/>
                  <w:vAlign w:val="center"/>
                </w:tcPr>
                <w:p w14:paraId="61E96F29">
                  <w:pPr>
                    <w:pStyle w:val="31"/>
                  </w:pPr>
                </w:p>
              </w:tc>
              <w:tc>
                <w:tcPr>
                  <w:tcW w:w="2102" w:type="pct"/>
                  <w:gridSpan w:val="4"/>
                  <w:vAlign w:val="center"/>
                </w:tcPr>
                <w:p w14:paraId="69A5F636">
                  <w:pPr>
                    <w:pStyle w:val="31"/>
                  </w:pPr>
                  <w:r>
                    <w:t>灭火剂</w:t>
                  </w:r>
                  <w:r>
                    <w:rPr>
                      <w:rFonts w:hint="eastAsia"/>
                    </w:rPr>
                    <w:t>：</w:t>
                  </w:r>
                  <w:r>
                    <w:t>泡沫、二氧化碳、干粉、1211灭火剂、砂土。</w:t>
                  </w:r>
                </w:p>
              </w:tc>
              <w:tc>
                <w:tcPr>
                  <w:tcW w:w="347" w:type="pct"/>
                  <w:vMerge w:val="continue"/>
                  <w:vAlign w:val="center"/>
                </w:tcPr>
                <w:p w14:paraId="712FD672">
                  <w:pPr>
                    <w:pStyle w:val="31"/>
                  </w:pPr>
                </w:p>
              </w:tc>
              <w:tc>
                <w:tcPr>
                  <w:tcW w:w="1961" w:type="pct"/>
                  <w:gridSpan w:val="4"/>
                  <w:vAlign w:val="center"/>
                </w:tcPr>
                <w:p w14:paraId="2D3EC6B6">
                  <w:pPr>
                    <w:pStyle w:val="31"/>
                  </w:pPr>
                  <w:r>
                    <w:t>侵入途径</w:t>
                  </w:r>
                  <w:r>
                    <w:rPr>
                      <w:rFonts w:hint="eastAsia"/>
                    </w:rPr>
                    <w:t>：</w:t>
                  </w:r>
                  <w:r>
                    <w:t>吸入</w:t>
                  </w:r>
                  <w:r>
                    <w:rPr>
                      <w:rFonts w:hint="eastAsia"/>
                    </w:rPr>
                    <w:t>、</w:t>
                  </w:r>
                  <w:r>
                    <w:t>食入</w:t>
                  </w:r>
                  <w:r>
                    <w:rPr>
                      <w:rFonts w:hint="eastAsia"/>
                    </w:rPr>
                    <w:t>、</w:t>
                  </w:r>
                  <w:r>
                    <w:t>经皮吸收</w:t>
                  </w:r>
                </w:p>
              </w:tc>
            </w:tr>
            <w:tr w14:paraId="650155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continue"/>
                  <w:vAlign w:val="center"/>
                </w:tcPr>
                <w:p w14:paraId="0B5F10FB">
                  <w:pPr>
                    <w:pStyle w:val="31"/>
                  </w:pPr>
                </w:p>
              </w:tc>
              <w:tc>
                <w:tcPr>
                  <w:tcW w:w="2102" w:type="pct"/>
                  <w:gridSpan w:val="4"/>
                  <w:vAlign w:val="center"/>
                </w:tcPr>
                <w:p w14:paraId="114E3FB0">
                  <w:pPr>
                    <w:pStyle w:val="31"/>
                  </w:pPr>
                  <w:r>
                    <w:t>禁用灭火剂</w:t>
                  </w:r>
                  <w:r>
                    <w:rPr>
                      <w:rFonts w:hint="eastAsia"/>
                    </w:rPr>
                    <w:t>：</w:t>
                  </w:r>
                  <w:r>
                    <w:t>水</w:t>
                  </w:r>
                </w:p>
              </w:tc>
              <w:tc>
                <w:tcPr>
                  <w:tcW w:w="347" w:type="pct"/>
                  <w:vMerge w:val="continue"/>
                  <w:vAlign w:val="center"/>
                </w:tcPr>
                <w:p w14:paraId="08CEC485">
                  <w:pPr>
                    <w:pStyle w:val="31"/>
                  </w:pPr>
                </w:p>
              </w:tc>
              <w:tc>
                <w:tcPr>
                  <w:tcW w:w="1961" w:type="pct"/>
                  <w:gridSpan w:val="4"/>
                  <w:vMerge w:val="restart"/>
                  <w:vAlign w:val="center"/>
                </w:tcPr>
                <w:p w14:paraId="50FBD804">
                  <w:pPr>
                    <w:pStyle w:val="31"/>
                  </w:pPr>
                  <w:r>
                    <w:t>健康危害</w:t>
                  </w:r>
                  <w:r>
                    <w:rPr>
                      <w:rFonts w:hint="eastAsia"/>
                    </w:rPr>
                    <w:t>：</w:t>
                  </w:r>
                  <w:r>
                    <w:t>皮肤接触柴油可引起接触性皮炎、油性痤疮，吸入可引起吸入性肺炎。能经胎盘进入胎儿血中。柴油废气可引起眼、鼻刺激症状，头晕及头痛。</w:t>
                  </w:r>
                </w:p>
              </w:tc>
            </w:tr>
            <w:tr w14:paraId="6B7905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restart"/>
                  <w:vAlign w:val="center"/>
                </w:tcPr>
                <w:p w14:paraId="0BEB2603">
                  <w:pPr>
                    <w:pStyle w:val="31"/>
                  </w:pPr>
                  <w:r>
                    <w:t>急救措施</w:t>
                  </w:r>
                </w:p>
              </w:tc>
              <w:tc>
                <w:tcPr>
                  <w:tcW w:w="2102" w:type="pct"/>
                  <w:gridSpan w:val="4"/>
                  <w:vAlign w:val="center"/>
                </w:tcPr>
                <w:p w14:paraId="18FDEDF4">
                  <w:pPr>
                    <w:pStyle w:val="31"/>
                  </w:pPr>
                  <w:r>
                    <w:t>皮肤接触</w:t>
                  </w:r>
                  <w:r>
                    <w:rPr>
                      <w:rFonts w:hint="eastAsia"/>
                    </w:rPr>
                    <w:t>：</w:t>
                  </w:r>
                  <w:r>
                    <w:t>脱去污染的衣着，用肥皂和大量清水清洗污染皮肤。</w:t>
                  </w:r>
                </w:p>
              </w:tc>
              <w:tc>
                <w:tcPr>
                  <w:tcW w:w="347" w:type="pct"/>
                  <w:vMerge w:val="continue"/>
                  <w:vAlign w:val="center"/>
                </w:tcPr>
                <w:p w14:paraId="3E861B8A">
                  <w:pPr>
                    <w:pStyle w:val="31"/>
                  </w:pPr>
                </w:p>
              </w:tc>
              <w:tc>
                <w:tcPr>
                  <w:tcW w:w="1961" w:type="pct"/>
                  <w:gridSpan w:val="4"/>
                  <w:vMerge w:val="continue"/>
                  <w:vAlign w:val="center"/>
                </w:tcPr>
                <w:p w14:paraId="3D613C12">
                  <w:pPr>
                    <w:pStyle w:val="31"/>
                  </w:pPr>
                </w:p>
              </w:tc>
            </w:tr>
            <w:tr w14:paraId="4C2D54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continue"/>
                  <w:vAlign w:val="center"/>
                </w:tcPr>
                <w:p w14:paraId="1F27B641">
                  <w:pPr>
                    <w:pStyle w:val="31"/>
                  </w:pPr>
                </w:p>
              </w:tc>
              <w:tc>
                <w:tcPr>
                  <w:tcW w:w="2102" w:type="pct"/>
                  <w:gridSpan w:val="4"/>
                  <w:vAlign w:val="center"/>
                </w:tcPr>
                <w:p w14:paraId="7258B506">
                  <w:pPr>
                    <w:pStyle w:val="31"/>
                  </w:pPr>
                  <w:r>
                    <w:t>眼睛接触：无资料</w:t>
                  </w:r>
                </w:p>
              </w:tc>
              <w:tc>
                <w:tcPr>
                  <w:tcW w:w="347" w:type="pct"/>
                  <w:vMerge w:val="continue"/>
                  <w:vAlign w:val="center"/>
                </w:tcPr>
                <w:p w14:paraId="771647F6">
                  <w:pPr>
                    <w:pStyle w:val="31"/>
                  </w:pPr>
                </w:p>
              </w:tc>
              <w:tc>
                <w:tcPr>
                  <w:tcW w:w="1961" w:type="pct"/>
                  <w:gridSpan w:val="4"/>
                  <w:vMerge w:val="continue"/>
                  <w:vAlign w:val="center"/>
                </w:tcPr>
                <w:p w14:paraId="3C2A77CB">
                  <w:pPr>
                    <w:pStyle w:val="31"/>
                  </w:pPr>
                </w:p>
              </w:tc>
            </w:tr>
            <w:tr w14:paraId="12DCE3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continue"/>
                  <w:vAlign w:val="center"/>
                </w:tcPr>
                <w:p w14:paraId="2706CA20">
                  <w:pPr>
                    <w:pStyle w:val="31"/>
                  </w:pPr>
                </w:p>
              </w:tc>
              <w:tc>
                <w:tcPr>
                  <w:tcW w:w="2102" w:type="pct"/>
                  <w:gridSpan w:val="4"/>
                  <w:vAlign w:val="center"/>
                </w:tcPr>
                <w:p w14:paraId="567E7BF1">
                  <w:pPr>
                    <w:pStyle w:val="31"/>
                  </w:pPr>
                  <w:r>
                    <w:t>吸入：无资料</w:t>
                  </w:r>
                </w:p>
              </w:tc>
              <w:tc>
                <w:tcPr>
                  <w:tcW w:w="347" w:type="pct"/>
                  <w:vMerge w:val="restart"/>
                  <w:vAlign w:val="center"/>
                </w:tcPr>
                <w:p w14:paraId="6EFFF395">
                  <w:pPr>
                    <w:pStyle w:val="31"/>
                  </w:pPr>
                  <w:r>
                    <w:t>泄漏处理</w:t>
                  </w:r>
                </w:p>
              </w:tc>
              <w:tc>
                <w:tcPr>
                  <w:tcW w:w="1961" w:type="pct"/>
                  <w:gridSpan w:val="4"/>
                  <w:vMerge w:val="restart"/>
                  <w:vAlign w:val="center"/>
                </w:tcPr>
                <w:p w14:paraId="5B258D95">
                  <w:pPr>
                    <w:pStyle w:val="31"/>
                  </w:pPr>
                  <w:r>
                    <w:t>切断火源。应急处理人员戴好防毒面具，穿化学防护服。在确保安全情况下堵漏。用活性炭或</w:t>
                  </w:r>
                  <w:r>
                    <w:rPr>
                      <w:rFonts w:hint="eastAsia"/>
                      <w:lang w:eastAsia="zh-CN"/>
                    </w:rPr>
                    <w:t>其他</w:t>
                  </w:r>
                  <w:r>
                    <w:t>惰性材料吸收，然后收集运到空旷处焚烧。如大量泄漏，利用围堤收容，然后收集、转移、回收或无害处理后废弃。</w:t>
                  </w:r>
                </w:p>
              </w:tc>
            </w:tr>
            <w:tr w14:paraId="7A96FD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continue"/>
                  <w:vAlign w:val="center"/>
                </w:tcPr>
                <w:p w14:paraId="26AC4EFC">
                  <w:pPr>
                    <w:pStyle w:val="31"/>
                  </w:pPr>
                </w:p>
              </w:tc>
              <w:tc>
                <w:tcPr>
                  <w:tcW w:w="2102" w:type="pct"/>
                  <w:gridSpan w:val="4"/>
                  <w:vAlign w:val="center"/>
                </w:tcPr>
                <w:p w14:paraId="39AF91AC">
                  <w:pPr>
                    <w:pStyle w:val="31"/>
                  </w:pPr>
                  <w:r>
                    <w:t>食入：无资料</w:t>
                  </w:r>
                </w:p>
              </w:tc>
              <w:tc>
                <w:tcPr>
                  <w:tcW w:w="347" w:type="pct"/>
                  <w:vMerge w:val="continue"/>
                  <w:vAlign w:val="center"/>
                </w:tcPr>
                <w:p w14:paraId="3D72522A">
                  <w:pPr>
                    <w:pStyle w:val="31"/>
                  </w:pPr>
                </w:p>
              </w:tc>
              <w:tc>
                <w:tcPr>
                  <w:tcW w:w="1961" w:type="pct"/>
                  <w:gridSpan w:val="4"/>
                  <w:vMerge w:val="continue"/>
                  <w:vAlign w:val="center"/>
                </w:tcPr>
                <w:p w14:paraId="034E6CD9">
                  <w:pPr>
                    <w:pStyle w:val="31"/>
                  </w:pPr>
                </w:p>
              </w:tc>
            </w:tr>
            <w:tr w14:paraId="18B6A8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restart"/>
                  <w:vAlign w:val="center"/>
                </w:tcPr>
                <w:p w14:paraId="65F61914">
                  <w:pPr>
                    <w:pStyle w:val="31"/>
                  </w:pPr>
                  <w:r>
                    <w:t>防护措施</w:t>
                  </w:r>
                </w:p>
              </w:tc>
              <w:tc>
                <w:tcPr>
                  <w:tcW w:w="2102" w:type="pct"/>
                  <w:gridSpan w:val="4"/>
                  <w:vAlign w:val="center"/>
                </w:tcPr>
                <w:p w14:paraId="707B4420">
                  <w:pPr>
                    <w:pStyle w:val="31"/>
                  </w:pPr>
                  <w:r>
                    <w:t>呼吸系统防护</w:t>
                  </w:r>
                  <w:r>
                    <w:rPr>
                      <w:rFonts w:hint="eastAsia"/>
                    </w:rPr>
                    <w:t>：</w:t>
                  </w:r>
                  <w:r>
                    <w:t>一般不需特殊防护，但建议特殊情况下，</w:t>
                  </w:r>
                  <w:r>
                    <w:rPr>
                      <w:rFonts w:hint="eastAsia"/>
                      <w:lang w:eastAsia="zh-CN"/>
                    </w:rPr>
                    <w:t>佩戴</w:t>
                  </w:r>
                  <w:r>
                    <w:t>供气式呼吸器。</w:t>
                  </w:r>
                </w:p>
              </w:tc>
              <w:tc>
                <w:tcPr>
                  <w:tcW w:w="347" w:type="pct"/>
                  <w:vMerge w:val="continue"/>
                  <w:vAlign w:val="center"/>
                </w:tcPr>
                <w:p w14:paraId="5BF869FB">
                  <w:pPr>
                    <w:pStyle w:val="31"/>
                  </w:pPr>
                </w:p>
              </w:tc>
              <w:tc>
                <w:tcPr>
                  <w:tcW w:w="1961" w:type="pct"/>
                  <w:gridSpan w:val="4"/>
                  <w:vMerge w:val="continue"/>
                  <w:vAlign w:val="center"/>
                </w:tcPr>
                <w:p w14:paraId="700A2F49">
                  <w:pPr>
                    <w:pStyle w:val="31"/>
                  </w:pPr>
                </w:p>
              </w:tc>
            </w:tr>
            <w:tr w14:paraId="3FAB8D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continue"/>
                  <w:vAlign w:val="center"/>
                </w:tcPr>
                <w:p w14:paraId="24A0740D">
                  <w:pPr>
                    <w:pStyle w:val="31"/>
                  </w:pPr>
                </w:p>
              </w:tc>
              <w:tc>
                <w:tcPr>
                  <w:tcW w:w="2102" w:type="pct"/>
                  <w:gridSpan w:val="4"/>
                  <w:vAlign w:val="center"/>
                </w:tcPr>
                <w:p w14:paraId="416570BC">
                  <w:pPr>
                    <w:pStyle w:val="31"/>
                  </w:pPr>
                  <w:r>
                    <w:t>眼睛防护</w:t>
                  </w:r>
                  <w:r>
                    <w:rPr>
                      <w:rFonts w:hint="eastAsia"/>
                    </w:rPr>
                    <w:t>：</w:t>
                  </w:r>
                  <w:r>
                    <w:t>必要时戴安全防护眼镜。</w:t>
                  </w:r>
                </w:p>
              </w:tc>
              <w:tc>
                <w:tcPr>
                  <w:tcW w:w="347" w:type="pct"/>
                  <w:vMerge w:val="continue"/>
                  <w:vAlign w:val="center"/>
                </w:tcPr>
                <w:p w14:paraId="7C8CC4AA">
                  <w:pPr>
                    <w:pStyle w:val="31"/>
                  </w:pPr>
                </w:p>
              </w:tc>
              <w:tc>
                <w:tcPr>
                  <w:tcW w:w="1961" w:type="pct"/>
                  <w:gridSpan w:val="4"/>
                  <w:vMerge w:val="continue"/>
                  <w:vAlign w:val="center"/>
                </w:tcPr>
                <w:p w14:paraId="6812286A">
                  <w:pPr>
                    <w:pStyle w:val="31"/>
                  </w:pPr>
                </w:p>
              </w:tc>
            </w:tr>
            <w:tr w14:paraId="682B32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continue"/>
                  <w:vAlign w:val="center"/>
                </w:tcPr>
                <w:p w14:paraId="1AC7DA62">
                  <w:pPr>
                    <w:pStyle w:val="31"/>
                  </w:pPr>
                </w:p>
              </w:tc>
              <w:tc>
                <w:tcPr>
                  <w:tcW w:w="2102" w:type="pct"/>
                  <w:gridSpan w:val="4"/>
                  <w:vAlign w:val="center"/>
                </w:tcPr>
                <w:p w14:paraId="3E2F8B99">
                  <w:pPr>
                    <w:pStyle w:val="31"/>
                  </w:pPr>
                  <w:r>
                    <w:t>手防护</w:t>
                  </w:r>
                  <w:r>
                    <w:rPr>
                      <w:rFonts w:hint="eastAsia"/>
                    </w:rPr>
                    <w:t>：</w:t>
                  </w:r>
                  <w:r>
                    <w:t>必要时戴防护手套。</w:t>
                  </w:r>
                </w:p>
              </w:tc>
              <w:tc>
                <w:tcPr>
                  <w:tcW w:w="347" w:type="pct"/>
                  <w:vMerge w:val="restart"/>
                  <w:vAlign w:val="center"/>
                </w:tcPr>
                <w:p w14:paraId="390D0D30">
                  <w:pPr>
                    <w:pStyle w:val="31"/>
                  </w:pPr>
                  <w:r>
                    <w:t>包装</w:t>
                  </w:r>
                </w:p>
              </w:tc>
              <w:tc>
                <w:tcPr>
                  <w:tcW w:w="1961" w:type="pct"/>
                  <w:gridSpan w:val="4"/>
                  <w:vAlign w:val="center"/>
                </w:tcPr>
                <w:p w14:paraId="7FD99431">
                  <w:pPr>
                    <w:pStyle w:val="31"/>
                  </w:pPr>
                  <w:r>
                    <w:t>危险性类别：第3.3类中闪点易燃液体</w:t>
                  </w:r>
                </w:p>
              </w:tc>
            </w:tr>
            <w:tr w14:paraId="3653A1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continue"/>
                  <w:vAlign w:val="center"/>
                </w:tcPr>
                <w:p w14:paraId="06BADDB3">
                  <w:pPr>
                    <w:pStyle w:val="31"/>
                  </w:pPr>
                </w:p>
              </w:tc>
              <w:tc>
                <w:tcPr>
                  <w:tcW w:w="2102" w:type="pct"/>
                  <w:gridSpan w:val="4"/>
                  <w:vAlign w:val="center"/>
                </w:tcPr>
                <w:p w14:paraId="6E712253">
                  <w:pPr>
                    <w:pStyle w:val="31"/>
                  </w:pPr>
                  <w:r>
                    <w:t>身体防护</w:t>
                  </w:r>
                  <w:r>
                    <w:rPr>
                      <w:rFonts w:hint="eastAsia"/>
                    </w:rPr>
                    <w:t>：</w:t>
                  </w:r>
                  <w:r>
                    <w:t>穿防静电工作服；必要时戴防护手套。</w:t>
                  </w:r>
                </w:p>
              </w:tc>
              <w:tc>
                <w:tcPr>
                  <w:tcW w:w="347" w:type="pct"/>
                  <w:vMerge w:val="continue"/>
                  <w:vAlign w:val="center"/>
                </w:tcPr>
                <w:p w14:paraId="2D9A0DCD">
                  <w:pPr>
                    <w:pStyle w:val="31"/>
                  </w:pPr>
                </w:p>
              </w:tc>
              <w:tc>
                <w:tcPr>
                  <w:tcW w:w="1961" w:type="pct"/>
                  <w:gridSpan w:val="4"/>
                  <w:vAlign w:val="center"/>
                </w:tcPr>
                <w:p w14:paraId="3304949B">
                  <w:pPr>
                    <w:pStyle w:val="31"/>
                  </w:pPr>
                  <w:r>
                    <w:t>危险货物包装标志：7</w:t>
                  </w:r>
                </w:p>
              </w:tc>
            </w:tr>
            <w:tr w14:paraId="53FF9B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Align w:val="center"/>
                </w:tcPr>
                <w:p w14:paraId="318F56B2">
                  <w:pPr>
                    <w:pStyle w:val="31"/>
                  </w:pPr>
                  <w:r>
                    <w:t>储存</w:t>
                  </w:r>
                </w:p>
              </w:tc>
              <w:tc>
                <w:tcPr>
                  <w:tcW w:w="4410" w:type="pct"/>
                  <w:gridSpan w:val="9"/>
                  <w:vAlign w:val="center"/>
                </w:tcPr>
                <w:p w14:paraId="5A5CE34A">
                  <w:pPr>
                    <w:pStyle w:val="31"/>
                  </w:pPr>
                  <w:r>
                    <w:t>储运注意事项：储存于阴凉、通风仓内。远离火种、热源。防止阳光直射。保持容器密封。应与氧化剂分开存放。桶装堆垛不可过大，应留墙距、顶距、柱距及必要的防火检查</w:t>
                  </w:r>
                  <w:r>
                    <w:rPr>
                      <w:rFonts w:hint="eastAsia"/>
                      <w:lang w:eastAsia="zh-CN"/>
                    </w:rPr>
                    <w:t>通道</w:t>
                  </w:r>
                  <w:r>
                    <w:t>。罐储时要有防火防爆技术措施。禁止使用易产生火花的机械设备和工具。充装要控制流速，注意防止静电积聚。搬运时要轻装轻卸，防止包装及容器损坏。</w:t>
                  </w:r>
                </w:p>
              </w:tc>
            </w:tr>
          </w:tbl>
          <w:p w14:paraId="2BE95375">
            <w:pPr>
              <w:ind w:firstLine="480"/>
            </w:pPr>
            <w:bookmarkStart w:id="15" w:name="_Toc2247563"/>
            <w:r>
              <w:rPr>
                <w:rFonts w:hint="eastAsia"/>
              </w:rPr>
              <w:t>（2）</w:t>
            </w:r>
            <w:r>
              <w:t>生产</w:t>
            </w:r>
            <w:r>
              <w:rPr>
                <w:rFonts w:hint="eastAsia"/>
              </w:rPr>
              <w:t>系统危险性识别</w:t>
            </w:r>
            <w:bookmarkEnd w:id="15"/>
          </w:p>
          <w:p w14:paraId="56707F67">
            <w:pPr>
              <w:ind w:firstLine="480"/>
            </w:pPr>
            <w:r>
              <w:rPr>
                <w:rFonts w:hint="eastAsia"/>
              </w:rPr>
              <w:t>项目生产系统危险因素见表5-</w:t>
            </w:r>
            <w:r>
              <w:rPr>
                <w:rFonts w:hint="eastAsia"/>
                <w:lang w:val="en-US" w:eastAsia="zh-CN"/>
              </w:rPr>
              <w:t>5</w:t>
            </w:r>
            <w:r>
              <w:rPr>
                <w:rFonts w:hint="eastAsia"/>
              </w:rPr>
              <w:t>。</w:t>
            </w:r>
          </w:p>
          <w:p w14:paraId="502FCE44">
            <w:pPr>
              <w:pStyle w:val="33"/>
              <w:spacing w:before="156"/>
            </w:pPr>
            <w:r>
              <w:t>表</w:t>
            </w:r>
            <w:r>
              <w:rPr>
                <w:rFonts w:hint="eastAsia"/>
              </w:rPr>
              <w:t>5-</w:t>
            </w:r>
            <w:r>
              <w:rPr>
                <w:rFonts w:hint="eastAsia"/>
                <w:lang w:val="en-US" w:eastAsia="zh-CN"/>
              </w:rPr>
              <w:t>5</w:t>
            </w:r>
            <w:r>
              <w:t>项目生产过程危害因素分析汇总一览表</w:t>
            </w:r>
          </w:p>
          <w:tbl>
            <w:tblPr>
              <w:tblStyle w:val="23"/>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0"/>
              <w:gridCol w:w="1309"/>
              <w:gridCol w:w="1047"/>
              <w:gridCol w:w="1047"/>
              <w:gridCol w:w="1441"/>
              <w:gridCol w:w="2752"/>
            </w:tblGrid>
            <w:tr w14:paraId="7C152D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411" w:type="pct"/>
                  <w:vAlign w:val="center"/>
                </w:tcPr>
                <w:p w14:paraId="7B81CA45">
                  <w:pPr>
                    <w:pStyle w:val="36"/>
                  </w:pPr>
                  <w:r>
                    <w:t>序号</w:t>
                  </w:r>
                </w:p>
              </w:tc>
              <w:tc>
                <w:tcPr>
                  <w:tcW w:w="790" w:type="pct"/>
                  <w:vAlign w:val="center"/>
                </w:tcPr>
                <w:p w14:paraId="00619D01">
                  <w:pPr>
                    <w:pStyle w:val="36"/>
                  </w:pPr>
                  <w:r>
                    <w:t>装置名称</w:t>
                  </w:r>
                </w:p>
              </w:tc>
              <w:tc>
                <w:tcPr>
                  <w:tcW w:w="632" w:type="pct"/>
                  <w:vAlign w:val="center"/>
                </w:tcPr>
                <w:p w14:paraId="70632986">
                  <w:pPr>
                    <w:pStyle w:val="36"/>
                  </w:pPr>
                  <w:r>
                    <w:t>作业特点</w:t>
                  </w:r>
                </w:p>
              </w:tc>
              <w:tc>
                <w:tcPr>
                  <w:tcW w:w="632" w:type="pct"/>
                  <w:vAlign w:val="center"/>
                </w:tcPr>
                <w:p w14:paraId="7FFE472E">
                  <w:pPr>
                    <w:pStyle w:val="36"/>
                  </w:pPr>
                  <w:r>
                    <w:t>物料名称</w:t>
                  </w:r>
                </w:p>
              </w:tc>
              <w:tc>
                <w:tcPr>
                  <w:tcW w:w="870" w:type="pct"/>
                  <w:vAlign w:val="center"/>
                </w:tcPr>
                <w:p w14:paraId="39E827B7">
                  <w:pPr>
                    <w:pStyle w:val="36"/>
                  </w:pPr>
                  <w:r>
                    <w:t>危险因素</w:t>
                  </w:r>
                </w:p>
              </w:tc>
              <w:tc>
                <w:tcPr>
                  <w:tcW w:w="1661" w:type="pct"/>
                  <w:vAlign w:val="center"/>
                </w:tcPr>
                <w:p w14:paraId="276B629E">
                  <w:pPr>
                    <w:pStyle w:val="36"/>
                  </w:pPr>
                  <w:r>
                    <w:t>后果</w:t>
                  </w:r>
                </w:p>
              </w:tc>
            </w:tr>
            <w:tr w14:paraId="179B69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1" w:type="pct"/>
                  <w:vAlign w:val="center"/>
                </w:tcPr>
                <w:p w14:paraId="54DC0A97">
                  <w:pPr>
                    <w:pStyle w:val="36"/>
                  </w:pPr>
                  <w:r>
                    <w:t>1</w:t>
                  </w:r>
                </w:p>
              </w:tc>
              <w:tc>
                <w:tcPr>
                  <w:tcW w:w="790" w:type="pct"/>
                  <w:vAlign w:val="center"/>
                </w:tcPr>
                <w:p w14:paraId="45F3EE49">
                  <w:pPr>
                    <w:pStyle w:val="36"/>
                  </w:pPr>
                  <w:r>
                    <w:rPr>
                      <w:rFonts w:hint="eastAsia"/>
                    </w:rPr>
                    <w:t>柴油车</w:t>
                  </w:r>
                </w:p>
              </w:tc>
              <w:tc>
                <w:tcPr>
                  <w:tcW w:w="632" w:type="pct"/>
                  <w:vAlign w:val="center"/>
                </w:tcPr>
                <w:p w14:paraId="46A75036">
                  <w:pPr>
                    <w:pStyle w:val="36"/>
                  </w:pPr>
                  <w:r>
                    <w:t>泄漏</w:t>
                  </w:r>
                </w:p>
              </w:tc>
              <w:tc>
                <w:tcPr>
                  <w:tcW w:w="632" w:type="pct"/>
                  <w:vAlign w:val="center"/>
                </w:tcPr>
                <w:p w14:paraId="51F58E30">
                  <w:pPr>
                    <w:pStyle w:val="36"/>
                  </w:pPr>
                  <w:r>
                    <w:rPr>
                      <w:rFonts w:hint="eastAsia"/>
                    </w:rPr>
                    <w:t>柴油</w:t>
                  </w:r>
                </w:p>
              </w:tc>
              <w:tc>
                <w:tcPr>
                  <w:tcW w:w="870" w:type="pct"/>
                  <w:vAlign w:val="center"/>
                </w:tcPr>
                <w:p w14:paraId="1C3B9610">
                  <w:pPr>
                    <w:pStyle w:val="36"/>
                  </w:pPr>
                  <w:r>
                    <w:t>火灾、爆炸、泄漏</w:t>
                  </w:r>
                </w:p>
              </w:tc>
              <w:tc>
                <w:tcPr>
                  <w:tcW w:w="1661" w:type="pct"/>
                  <w:vAlign w:val="center"/>
                </w:tcPr>
                <w:p w14:paraId="030C234B">
                  <w:pPr>
                    <w:pStyle w:val="36"/>
                  </w:pPr>
                  <w:r>
                    <w:t>泄漏、火灾、污染土壤</w:t>
                  </w:r>
                  <w:r>
                    <w:rPr>
                      <w:rFonts w:hint="eastAsia"/>
                    </w:rPr>
                    <w:t>、地下水</w:t>
                  </w:r>
                  <w:r>
                    <w:t>或大气</w:t>
                  </w:r>
                </w:p>
              </w:tc>
            </w:tr>
          </w:tbl>
          <w:p w14:paraId="692AFA35">
            <w:pPr>
              <w:ind w:firstLine="480"/>
            </w:pPr>
            <w:bookmarkStart w:id="16" w:name="_Toc22748"/>
            <w:bookmarkStart w:id="17" w:name="_Toc2247564"/>
            <w:r>
              <w:rPr>
                <w:rFonts w:hint="eastAsia"/>
              </w:rPr>
              <w:t>（3）环境风险类型及危害分析</w:t>
            </w:r>
            <w:bookmarkEnd w:id="16"/>
            <w:bookmarkEnd w:id="17"/>
          </w:p>
          <w:p w14:paraId="50CA4663">
            <w:pPr>
              <w:ind w:firstLine="480"/>
            </w:pPr>
            <w:r>
              <w:rPr>
                <w:rFonts w:hint="eastAsia"/>
              </w:rPr>
              <w:t>根据对项目的物质和生产系统危险性的识别，项目可能发生的突发环境风险事件类型及危害分析见表5-</w:t>
            </w:r>
            <w:r>
              <w:rPr>
                <w:rFonts w:hint="eastAsia"/>
                <w:lang w:val="en-US" w:eastAsia="zh-CN"/>
              </w:rPr>
              <w:t>6</w:t>
            </w:r>
            <w:r>
              <w:rPr>
                <w:rFonts w:hint="eastAsia"/>
              </w:rPr>
              <w:t>：</w:t>
            </w:r>
          </w:p>
          <w:p w14:paraId="0314D822">
            <w:pPr>
              <w:pStyle w:val="33"/>
              <w:spacing w:before="156"/>
            </w:pPr>
            <w:r>
              <w:t>表</w:t>
            </w:r>
            <w:r>
              <w:rPr>
                <w:rFonts w:hint="eastAsia"/>
              </w:rPr>
              <w:t>5-</w:t>
            </w:r>
            <w:r>
              <w:rPr>
                <w:rFonts w:hint="eastAsia"/>
                <w:lang w:val="en-US" w:eastAsia="zh-CN"/>
              </w:rPr>
              <w:t>6</w:t>
            </w:r>
            <w:r>
              <w:t>项目</w:t>
            </w:r>
            <w:r>
              <w:rPr>
                <w:rFonts w:hint="eastAsia"/>
              </w:rPr>
              <w:t>环境风险类型及危害分析</w:t>
            </w:r>
            <w:r>
              <w:t>一览表</w:t>
            </w:r>
          </w:p>
          <w:tbl>
            <w:tblPr>
              <w:tblStyle w:val="23"/>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98"/>
              <w:gridCol w:w="1198"/>
              <w:gridCol w:w="1198"/>
              <w:gridCol w:w="1198"/>
              <w:gridCol w:w="3487"/>
            </w:tblGrid>
            <w:tr w14:paraId="31F5E4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23" w:type="pct"/>
                  <w:vAlign w:val="center"/>
                </w:tcPr>
                <w:p w14:paraId="07290AEE">
                  <w:pPr>
                    <w:pStyle w:val="36"/>
                  </w:pPr>
                  <w:r>
                    <w:t>风险单元</w:t>
                  </w:r>
                </w:p>
              </w:tc>
              <w:tc>
                <w:tcPr>
                  <w:tcW w:w="723" w:type="pct"/>
                  <w:vAlign w:val="center"/>
                </w:tcPr>
                <w:p w14:paraId="680E27EA">
                  <w:pPr>
                    <w:pStyle w:val="36"/>
                  </w:pPr>
                  <w:r>
                    <w:t>危险设备</w:t>
                  </w:r>
                </w:p>
              </w:tc>
              <w:tc>
                <w:tcPr>
                  <w:tcW w:w="723" w:type="pct"/>
                  <w:vAlign w:val="center"/>
                </w:tcPr>
                <w:p w14:paraId="2E148F2C">
                  <w:pPr>
                    <w:pStyle w:val="36"/>
                  </w:pPr>
                  <w:r>
                    <w:t>事故种类</w:t>
                  </w:r>
                </w:p>
              </w:tc>
              <w:tc>
                <w:tcPr>
                  <w:tcW w:w="723" w:type="pct"/>
                  <w:vAlign w:val="center"/>
                </w:tcPr>
                <w:p w14:paraId="2AB16ECC">
                  <w:pPr>
                    <w:pStyle w:val="36"/>
                  </w:pPr>
                  <w:r>
                    <w:t>产生原因</w:t>
                  </w:r>
                </w:p>
              </w:tc>
              <w:tc>
                <w:tcPr>
                  <w:tcW w:w="2104" w:type="pct"/>
                  <w:vAlign w:val="center"/>
                </w:tcPr>
                <w:p w14:paraId="36BD3011">
                  <w:pPr>
                    <w:pStyle w:val="36"/>
                  </w:pPr>
                  <w:r>
                    <w:rPr>
                      <w:rFonts w:hint="eastAsia"/>
                    </w:rPr>
                    <w:t>危害后果分析</w:t>
                  </w:r>
                </w:p>
              </w:tc>
            </w:tr>
            <w:tr w14:paraId="4EF699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23" w:type="pct"/>
                  <w:vMerge w:val="restart"/>
                  <w:vAlign w:val="center"/>
                </w:tcPr>
                <w:p w14:paraId="50A5FF8E">
                  <w:pPr>
                    <w:pStyle w:val="36"/>
                  </w:pPr>
                  <w:r>
                    <w:rPr>
                      <w:rFonts w:hint="eastAsia"/>
                    </w:rPr>
                    <w:t>危险化学品</w:t>
                  </w:r>
                </w:p>
              </w:tc>
              <w:tc>
                <w:tcPr>
                  <w:tcW w:w="723" w:type="pct"/>
                  <w:vMerge w:val="restart"/>
                  <w:vAlign w:val="center"/>
                </w:tcPr>
                <w:p w14:paraId="267EDA9B">
                  <w:pPr>
                    <w:pStyle w:val="36"/>
                  </w:pPr>
                  <w:r>
                    <w:rPr>
                      <w:rFonts w:hint="eastAsia"/>
                    </w:rPr>
                    <w:t>柴油</w:t>
                  </w:r>
                </w:p>
              </w:tc>
              <w:tc>
                <w:tcPr>
                  <w:tcW w:w="723" w:type="pct"/>
                  <w:vMerge w:val="restart"/>
                  <w:vAlign w:val="center"/>
                </w:tcPr>
                <w:p w14:paraId="59EF6B49">
                  <w:pPr>
                    <w:pStyle w:val="36"/>
                  </w:pPr>
                  <w:r>
                    <w:t>泄漏</w:t>
                  </w:r>
                </w:p>
              </w:tc>
              <w:tc>
                <w:tcPr>
                  <w:tcW w:w="723" w:type="pct"/>
                  <w:vMerge w:val="restart"/>
                  <w:vAlign w:val="center"/>
                </w:tcPr>
                <w:p w14:paraId="6FBDF0DA">
                  <w:pPr>
                    <w:pStyle w:val="36"/>
                  </w:pPr>
                  <w:r>
                    <w:rPr>
                      <w:rFonts w:hint="eastAsia"/>
                    </w:rPr>
                    <w:t>容器破损</w:t>
                  </w:r>
                </w:p>
              </w:tc>
              <w:tc>
                <w:tcPr>
                  <w:tcW w:w="2104" w:type="pct"/>
                  <w:vAlign w:val="center"/>
                </w:tcPr>
                <w:p w14:paraId="1DE8B2B9">
                  <w:pPr>
                    <w:pStyle w:val="36"/>
                  </w:pPr>
                  <w:r>
                    <w:rPr>
                      <w:rFonts w:hint="eastAsia"/>
                    </w:rPr>
                    <w:t>化学品发生泄漏，有害气体对大气环境产生影响</w:t>
                  </w:r>
                </w:p>
              </w:tc>
            </w:tr>
            <w:tr w14:paraId="19D759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23" w:type="pct"/>
                  <w:vMerge w:val="continue"/>
                  <w:vAlign w:val="center"/>
                </w:tcPr>
                <w:p w14:paraId="24C76165">
                  <w:pPr>
                    <w:pStyle w:val="36"/>
                  </w:pPr>
                </w:p>
              </w:tc>
              <w:tc>
                <w:tcPr>
                  <w:tcW w:w="723" w:type="pct"/>
                  <w:vMerge w:val="continue"/>
                  <w:vAlign w:val="center"/>
                </w:tcPr>
                <w:p w14:paraId="7E1BE472">
                  <w:pPr>
                    <w:pStyle w:val="36"/>
                  </w:pPr>
                </w:p>
              </w:tc>
              <w:tc>
                <w:tcPr>
                  <w:tcW w:w="723" w:type="pct"/>
                  <w:vMerge w:val="continue"/>
                  <w:vAlign w:val="center"/>
                </w:tcPr>
                <w:p w14:paraId="04287878">
                  <w:pPr>
                    <w:pStyle w:val="36"/>
                  </w:pPr>
                </w:p>
              </w:tc>
              <w:tc>
                <w:tcPr>
                  <w:tcW w:w="723" w:type="pct"/>
                  <w:vMerge w:val="continue"/>
                  <w:vAlign w:val="center"/>
                </w:tcPr>
                <w:p w14:paraId="3DA20CC9">
                  <w:pPr>
                    <w:pStyle w:val="36"/>
                  </w:pPr>
                </w:p>
              </w:tc>
              <w:tc>
                <w:tcPr>
                  <w:tcW w:w="2104" w:type="pct"/>
                  <w:vAlign w:val="center"/>
                </w:tcPr>
                <w:p w14:paraId="381A546C">
                  <w:pPr>
                    <w:pStyle w:val="36"/>
                  </w:pPr>
                  <w:r>
                    <w:rPr>
                      <w:rFonts w:hint="eastAsia"/>
                    </w:rPr>
                    <w:t>泄漏的柴油渗入地下，对土壤、地下水环境产生影响</w:t>
                  </w:r>
                </w:p>
              </w:tc>
            </w:tr>
          </w:tbl>
          <w:p w14:paraId="6CFE90E8">
            <w:pPr>
              <w:pStyle w:val="20"/>
              <w:ind w:firstLine="482"/>
            </w:pPr>
            <w:bookmarkStart w:id="18" w:name="_Toc2247565"/>
            <w:bookmarkStart w:id="19" w:name="_Toc9935"/>
            <w:r>
              <w:rPr>
                <w:rFonts w:hint="eastAsia"/>
              </w:rPr>
              <w:t>6.4环境风险分析</w:t>
            </w:r>
            <w:bookmarkEnd w:id="18"/>
            <w:bookmarkEnd w:id="19"/>
          </w:p>
          <w:p w14:paraId="59443EA0">
            <w:pPr>
              <w:ind w:firstLine="480"/>
            </w:pPr>
            <w:r>
              <w:rPr>
                <w:rFonts w:hint="eastAsia"/>
              </w:rPr>
              <w:t>（1）泄漏事故对外环境的影响分析</w:t>
            </w:r>
          </w:p>
          <w:p w14:paraId="18AA5D0C">
            <w:pPr>
              <w:ind w:firstLine="480"/>
            </w:pPr>
            <w:r>
              <w:rPr>
                <w:rFonts w:hint="eastAsia"/>
              </w:rPr>
              <w:t>A、环境空气</w:t>
            </w:r>
          </w:p>
          <w:p w14:paraId="4704C48F">
            <w:pPr>
              <w:ind w:firstLine="480"/>
            </w:pPr>
            <w:r>
              <w:rPr>
                <w:rFonts w:hint="eastAsia"/>
              </w:rPr>
              <w:t>项目柴油泄漏后，会挥发油气，污染空气；遇到明火可能引起火灾，燃烧产物主要为CO</w:t>
            </w:r>
            <w:r>
              <w:rPr>
                <w:rFonts w:hint="eastAsia"/>
                <w:vertAlign w:val="subscript"/>
              </w:rPr>
              <w:t>2</w:t>
            </w:r>
            <w:r>
              <w:rPr>
                <w:rFonts w:hint="eastAsia"/>
              </w:rPr>
              <w:t>和水蒸气，但不完全燃烧的产物中会含有一氧化碳等气体，同时伴随浓烟，挥发至空气中，会造成大气污染，会对人的健康造成危害；局部的燃烧还会进一步引发爆炸，进而扩大事故的危害。由于CO有毒性，当达到一定的浓度时，会影响人的造血功能及神经系统功能。所以发生火灾时，要注意防范对人群的危害。</w:t>
            </w:r>
          </w:p>
          <w:p w14:paraId="44E06C88">
            <w:pPr>
              <w:ind w:firstLine="480"/>
            </w:pPr>
            <w:r>
              <w:rPr>
                <w:rFonts w:hint="eastAsia"/>
              </w:rPr>
              <w:t>项目为防止油品泄漏或溢出事故的发生，柴油车应安全停放。一般情况下，本项目柴油车不会发生泄漏风险事故。且柴油车位于矿山，周边居民较少，发生泄漏对周边环境产生影响较小。</w:t>
            </w:r>
          </w:p>
          <w:p w14:paraId="37262ECA">
            <w:pPr>
              <w:ind w:firstLine="480"/>
            </w:pPr>
            <w:r>
              <w:rPr>
                <w:rFonts w:hint="eastAsia"/>
              </w:rPr>
              <w:t>B、地表水</w:t>
            </w:r>
          </w:p>
          <w:p w14:paraId="6FB301A6">
            <w:pPr>
              <w:ind w:firstLine="480"/>
            </w:pPr>
            <w:r>
              <w:rPr>
                <w:rFonts w:hint="eastAsia"/>
              </w:rPr>
              <w:t>泄漏或渗漏的柴油一旦进入地表河流，将造成地表河流的污染，影响范围小到几公里大到几十公里。污染首先将造成地表河流的景观破坏，产生严重的刺鼻气味；其次，由于有机烃类物质难溶于水，大部分上浮在水层表面，形成一层油膜使空气与水隔离，造成水中溶解氧浓度降低，逐渐形成死水，致使水中生物死亡；再次，成品油的主要成分是C</w:t>
            </w:r>
            <w:r>
              <w:rPr>
                <w:rFonts w:hint="eastAsia"/>
                <w:vertAlign w:val="subscript"/>
              </w:rPr>
              <w:t>4</w:t>
            </w:r>
            <w:r>
              <w:rPr>
                <w:rFonts w:hint="eastAsia"/>
              </w:rPr>
              <w:t>～C</w:t>
            </w:r>
            <w:r>
              <w:rPr>
                <w:rFonts w:hint="eastAsia"/>
                <w:vertAlign w:val="subscript"/>
              </w:rPr>
              <w:t>9</w:t>
            </w:r>
            <w:r>
              <w:rPr>
                <w:rFonts w:hint="eastAsia"/>
              </w:rPr>
              <w:t>的烃类、芳烃类、醇酮类以及卤代烃类有机物，一旦进入水环境，由于可生化性较差，造成被污染水体长时间得不到净化，完全恢复则需十几年，甚至几十年的时间。</w:t>
            </w:r>
          </w:p>
          <w:p w14:paraId="7A4B5278">
            <w:pPr>
              <w:ind w:firstLine="480"/>
            </w:pPr>
            <w:r>
              <w:rPr>
                <w:rFonts w:hint="eastAsia"/>
              </w:rPr>
              <w:t>项目区河流为季节性河流。施工期间将采取以下措施：施工场地采取修筑截排水沟。设环形排水沟，接入沉淀池（防泥浆外溢）。严格管控敏感区域，距河岸100范围内禁止设置沉淀池、柴油储存区等污染风险设施。通过上述措施，</w:t>
            </w:r>
            <w:r>
              <w:rPr>
                <w:rFonts w:hint="eastAsia" w:ascii="宋体" w:hAnsi="宋体" w:cs="宋体"/>
                <w:color w:val="000000"/>
                <w:kern w:val="0"/>
                <w:lang w:bidi="ar"/>
              </w:rPr>
              <w:t>本项目不会对地表水环境产生影响。</w:t>
            </w:r>
          </w:p>
          <w:p w14:paraId="09991799">
            <w:pPr>
              <w:ind w:firstLine="480"/>
            </w:pPr>
            <w:r>
              <w:rPr>
                <w:rFonts w:hint="eastAsia"/>
              </w:rPr>
              <w:t>C、地下水和土壤</w:t>
            </w:r>
          </w:p>
          <w:p w14:paraId="25402469">
            <w:pPr>
              <w:ind w:firstLine="480"/>
            </w:pPr>
            <w:r>
              <w:rPr>
                <w:rFonts w:hint="eastAsia"/>
              </w:rPr>
              <w:t>泄漏柴油流入土壤孔隙，可降低土壤的通透性，抑制土壤中酶活性，使土壤生物减少。油品洒落地区形成土壤的局部污染，一般而言，油品集中于土壤表层0~20cm范围内，这便使得根系分布于此深度的植物不能生长。</w:t>
            </w:r>
          </w:p>
          <w:p w14:paraId="31748011">
            <w:pPr>
              <w:ind w:firstLine="480"/>
            </w:pPr>
            <w:r>
              <w:rPr>
                <w:rFonts w:hint="eastAsia"/>
              </w:rPr>
              <w:t>由于柴油泄漏，油品将通过包气带下渗进入基岩裂隙，可能会使地下水受到污染。在大量油品泄漏、短时间内未回收的情况下，含油污水方可通过在土壤中的渗透，污染地下水。因此需要加强生产管理和监督，采取有效的防范措施，防止和减轻柴油泄漏造成的污染。</w:t>
            </w:r>
          </w:p>
          <w:p w14:paraId="02FFFF0F">
            <w:pPr>
              <w:widowControl/>
              <w:ind w:firstLine="480"/>
              <w:jc w:val="left"/>
            </w:pPr>
            <w:r>
              <w:rPr>
                <w:rFonts w:hint="eastAsia" w:ascii="宋体" w:hAnsi="宋体" w:cs="宋体"/>
                <w:color w:val="000000"/>
                <w:kern w:val="0"/>
                <w:lang w:bidi="ar"/>
              </w:rPr>
              <w:t>综上所述，项目轻质柴油对大气、地表水、地下水环境影响较小。</w:t>
            </w:r>
          </w:p>
          <w:p w14:paraId="0E04DC67">
            <w:pPr>
              <w:ind w:firstLine="480"/>
            </w:pPr>
            <w:r>
              <w:rPr>
                <w:rFonts w:hint="eastAsia"/>
              </w:rPr>
              <w:t>（2）火灾爆炸对环境危害性分析</w:t>
            </w:r>
          </w:p>
          <w:p w14:paraId="6943DA50">
            <w:pPr>
              <w:widowControl/>
              <w:ind w:firstLine="480"/>
              <w:jc w:val="left"/>
            </w:pPr>
            <w:r>
              <w:rPr>
                <w:rFonts w:hint="eastAsia" w:ascii="宋体" w:hAnsi="宋体" w:cs="宋体"/>
                <w:color w:val="000000"/>
                <w:kern w:val="0"/>
                <w:lang w:bidi="ar"/>
              </w:rPr>
              <w:t>柴油桶若要发生火灾及爆炸，必须具备下列条件：</w:t>
            </w:r>
          </w:p>
          <w:p w14:paraId="4B2CC8D9">
            <w:pPr>
              <w:widowControl/>
              <w:ind w:firstLine="480"/>
              <w:jc w:val="left"/>
            </w:pPr>
            <w:r>
              <w:rPr>
                <w:color w:val="000000"/>
                <w:kern w:val="0"/>
                <w:lang w:bidi="ar"/>
              </w:rPr>
              <w:t>a</w:t>
            </w:r>
            <w:r>
              <w:rPr>
                <w:rFonts w:hint="eastAsia" w:ascii="宋体" w:hAnsi="宋体" w:cs="宋体"/>
                <w:color w:val="000000"/>
                <w:kern w:val="0"/>
                <w:lang w:bidi="ar"/>
              </w:rPr>
              <w:t>、油类泄漏或油气蒸发；</w:t>
            </w:r>
          </w:p>
          <w:p w14:paraId="7020DAB6">
            <w:pPr>
              <w:widowControl/>
              <w:ind w:firstLine="480"/>
              <w:jc w:val="left"/>
            </w:pPr>
            <w:r>
              <w:rPr>
                <w:color w:val="000000"/>
                <w:kern w:val="0"/>
                <w:lang w:bidi="ar"/>
              </w:rPr>
              <w:t>b</w:t>
            </w:r>
            <w:r>
              <w:rPr>
                <w:rFonts w:hint="eastAsia" w:ascii="宋体" w:hAnsi="宋体" w:cs="宋体"/>
                <w:color w:val="000000"/>
                <w:kern w:val="0"/>
                <w:lang w:bidi="ar"/>
              </w:rPr>
              <w:t>、有足够的空气助燃；</w:t>
            </w:r>
          </w:p>
          <w:p w14:paraId="4CF476F1">
            <w:pPr>
              <w:widowControl/>
              <w:ind w:firstLine="480"/>
              <w:jc w:val="left"/>
            </w:pPr>
            <w:r>
              <w:rPr>
                <w:color w:val="000000"/>
                <w:kern w:val="0"/>
                <w:lang w:bidi="ar"/>
              </w:rPr>
              <w:t>c</w:t>
            </w:r>
            <w:r>
              <w:rPr>
                <w:rFonts w:hint="eastAsia" w:ascii="宋体" w:hAnsi="宋体" w:cs="宋体"/>
                <w:color w:val="000000"/>
                <w:kern w:val="0"/>
                <w:lang w:bidi="ar"/>
              </w:rPr>
              <w:t>、油气必须与空气混合，并达到一定的浓度；</w:t>
            </w:r>
          </w:p>
          <w:p w14:paraId="3A78363D">
            <w:pPr>
              <w:widowControl/>
              <w:ind w:firstLine="480"/>
              <w:jc w:val="left"/>
            </w:pPr>
            <w:r>
              <w:rPr>
                <w:color w:val="000000"/>
                <w:kern w:val="0"/>
                <w:lang w:bidi="ar"/>
              </w:rPr>
              <w:t>d</w:t>
            </w:r>
            <w:r>
              <w:rPr>
                <w:rFonts w:hint="eastAsia" w:ascii="宋体" w:hAnsi="宋体" w:cs="宋体"/>
                <w:color w:val="000000"/>
                <w:kern w:val="0"/>
                <w:lang w:bidi="ar"/>
              </w:rPr>
              <w:t>、现场有明火。</w:t>
            </w:r>
          </w:p>
          <w:p w14:paraId="464FBFB8">
            <w:pPr>
              <w:ind w:firstLine="480"/>
            </w:pPr>
            <w:r>
              <w:rPr>
                <w:rFonts w:hint="eastAsia" w:ascii="宋体" w:hAnsi="宋体" w:cs="宋体"/>
                <w:color w:val="000000"/>
                <w:kern w:val="0"/>
                <w:lang w:bidi="ar"/>
              </w:rPr>
              <w:t>只有以上四个条件同时具备时，才可能发生火灾和爆炸。油桶的燃烧或爆炸造成的后果往往是灾难性的，不但会造成人员伤亡和财产损失，并且还会造成生态环境的破坏。</w:t>
            </w:r>
          </w:p>
          <w:p w14:paraId="649BBC75">
            <w:pPr>
              <w:pStyle w:val="20"/>
              <w:ind w:firstLine="482"/>
            </w:pPr>
            <w:r>
              <w:rPr>
                <w:rFonts w:hint="eastAsia"/>
              </w:rPr>
              <w:t>6.5风险防范措施</w:t>
            </w:r>
          </w:p>
          <w:p w14:paraId="05152065">
            <w:pPr>
              <w:ind w:firstLine="480"/>
            </w:pPr>
            <w:r>
              <w:rPr>
                <w:rFonts w:hint="eastAsia"/>
              </w:rPr>
              <w:t>本项目勘探区加强对柴油泄漏巡查，加强劳动安全管理，制定完备、有效的安全防范措施，尽可能降低项目环境风险事故发生的概率。</w:t>
            </w:r>
          </w:p>
          <w:p w14:paraId="3928AE6D">
            <w:pPr>
              <w:ind w:firstLine="480"/>
            </w:pPr>
            <w:r>
              <w:rPr>
                <w:rFonts w:hint="eastAsia"/>
              </w:rPr>
              <w:t>（</w:t>
            </w:r>
            <w:r>
              <w:t>1</w:t>
            </w:r>
            <w:r>
              <w:rPr>
                <w:rFonts w:hint="eastAsia"/>
              </w:rPr>
              <w:t>）临时堆存弃土溃坝风险防范措施</w:t>
            </w:r>
          </w:p>
          <w:p w14:paraId="1807C1F5">
            <w:pPr>
              <w:ind w:firstLine="480"/>
            </w:pPr>
            <w:r>
              <w:rPr>
                <w:rFonts w:hint="eastAsia"/>
              </w:rPr>
              <w:t>1）建设单位应减少表土和废石临时堆存时间，及时进行复垦；</w:t>
            </w:r>
          </w:p>
          <w:p w14:paraId="2C14E21F">
            <w:pPr>
              <w:ind w:firstLine="480"/>
            </w:pPr>
            <w:r>
              <w:rPr>
                <w:rFonts w:hint="eastAsia"/>
              </w:rPr>
              <w:t>2）建设单位在临时弃土堆存时应</w:t>
            </w:r>
            <w:r>
              <w:t>采用篷布</w:t>
            </w:r>
            <w:r>
              <w:rPr>
                <w:rFonts w:hint="eastAsia"/>
              </w:rPr>
              <w:t>覆盖，避免强暴雨季节雨水冲刷。</w:t>
            </w:r>
          </w:p>
          <w:p w14:paraId="330836D9">
            <w:pPr>
              <w:ind w:firstLine="480"/>
            </w:pPr>
            <w:r>
              <w:rPr>
                <w:rFonts w:hint="eastAsia"/>
              </w:rPr>
              <w:t>（2）防火灾措施</w:t>
            </w:r>
          </w:p>
          <w:p w14:paraId="49DF2C29">
            <w:pPr>
              <w:ind w:firstLine="480"/>
            </w:pPr>
            <w:r>
              <w:t>1</w:t>
            </w:r>
            <w:r>
              <w:rPr>
                <w:rFonts w:hint="eastAsia"/>
              </w:rPr>
              <w:t>）健全安全生产和管理检查制度，配备专职人员定期检查，确保易燃物质储存和使用的安全性，避免因管理和使用不当导致的火灾事故发生。</w:t>
            </w:r>
          </w:p>
          <w:p w14:paraId="5AC4926F">
            <w:pPr>
              <w:ind w:firstLine="480"/>
            </w:pPr>
            <w:r>
              <w:t>2</w:t>
            </w:r>
            <w:r>
              <w:rPr>
                <w:rFonts w:hint="eastAsia"/>
              </w:rPr>
              <w:t>）设立专门的安全和环境管理机构，制定日常管理措施和应急预案。</w:t>
            </w:r>
          </w:p>
          <w:p w14:paraId="0D1D5EF3">
            <w:pPr>
              <w:ind w:firstLine="480"/>
            </w:pPr>
            <w:r>
              <w:t>3</w:t>
            </w:r>
            <w:r>
              <w:rPr>
                <w:rFonts w:hint="eastAsia"/>
              </w:rPr>
              <w:t>）对工作人员进行火灾事态时的报警和消防培训，平时加强消防知识的宣传和教育。</w:t>
            </w:r>
          </w:p>
          <w:p w14:paraId="01268FE4">
            <w:pPr>
              <w:ind w:firstLine="480"/>
            </w:pPr>
            <w:r>
              <w:rPr>
                <w:rFonts w:hint="eastAsia"/>
              </w:rPr>
              <w:t>（</w:t>
            </w:r>
            <w:r>
              <w:t>3</w:t>
            </w:r>
            <w:r>
              <w:rPr>
                <w:rFonts w:hint="eastAsia"/>
              </w:rPr>
              <w:t>）防泄漏措施</w:t>
            </w:r>
          </w:p>
          <w:p w14:paraId="60CF9234">
            <w:pPr>
              <w:ind w:firstLine="480"/>
            </w:pPr>
            <w:r>
              <w:rPr>
                <w:rFonts w:hint="eastAsia"/>
              </w:rPr>
              <w:t>1）柴油储罐应严格落实本次评价提出的防渗措施，加强重点防渗措施。</w:t>
            </w:r>
          </w:p>
          <w:p w14:paraId="434CE167">
            <w:pPr>
              <w:ind w:firstLine="480"/>
            </w:pPr>
            <w:r>
              <w:t>2</w:t>
            </w:r>
            <w:r>
              <w:rPr>
                <w:rFonts w:hint="eastAsia"/>
              </w:rPr>
              <w:t>）存储容器密封性应良好，在不影响生产的情况下，尽可能减少储存量；在储存期内应定期检查，发现其品质变化、泄漏等情况，应及时清理处置。</w:t>
            </w:r>
          </w:p>
          <w:p w14:paraId="3B2ACF95">
            <w:pPr>
              <w:ind w:firstLine="480"/>
            </w:pPr>
            <w:r>
              <w:t>3</w:t>
            </w:r>
            <w:r>
              <w:rPr>
                <w:rFonts w:hint="eastAsia"/>
              </w:rPr>
              <w:t>）搬运、装卸时应按照有关规定进行，做到轻装、轻卸。严禁摔、碰、撞、击、拖拉、倾斜和滚动。</w:t>
            </w:r>
          </w:p>
          <w:p w14:paraId="0A0A1A18">
            <w:pPr>
              <w:ind w:firstLine="480"/>
            </w:pPr>
            <w:r>
              <w:t>4</w:t>
            </w:r>
            <w:r>
              <w:rPr>
                <w:rFonts w:hint="eastAsia"/>
              </w:rPr>
              <w:t>）定期检查，确保没有泄漏迹象。同时也要经常检查防漏设施的有效性。对员工进行环境保护意识的培训，教育他们如何正确操作设备，以及在发生泄漏时应采取的紧急措施。</w:t>
            </w:r>
          </w:p>
          <w:p w14:paraId="7A907E69">
            <w:pPr>
              <w:ind w:firstLine="480"/>
            </w:pPr>
            <w:r>
              <w:t>（4）钻孔涌水措施</w:t>
            </w:r>
          </w:p>
          <w:p w14:paraId="78F51B94">
            <w:pPr>
              <w:ind w:firstLine="480"/>
            </w:pPr>
            <w:r>
              <w:t>钻探施工中出现孔内浆液较严重漏失或涌水现象，必须及时采用环保堵漏材料或下入套管等方法进行封堵，防止钻井液对地下水环境造成污染。钻孔终孔后按照地质设计做好封孔工作，确保封孔质量。</w:t>
            </w:r>
          </w:p>
          <w:p w14:paraId="64273C4E">
            <w:pPr>
              <w:adjustRightInd w:val="0"/>
              <w:snapToGrid w:val="0"/>
              <w:ind w:firstLine="482"/>
              <w:rPr>
                <w:b/>
              </w:rPr>
            </w:pPr>
            <w:r>
              <w:rPr>
                <w:rFonts w:hint="eastAsia"/>
                <w:b/>
              </w:rPr>
              <w:t>6.6环境风险评价结论与建议</w:t>
            </w:r>
          </w:p>
          <w:p w14:paraId="1A1FFDE4">
            <w:pPr>
              <w:ind w:firstLine="480"/>
            </w:pPr>
            <w:r>
              <w:rPr>
                <w:rFonts w:hint="eastAsia"/>
              </w:rPr>
              <w:t>本项目的主要危险物质为轻质柴油，一旦发生事故，将对大气环境、土壤环境和地下水环境产生影响。项目位于和静县内，周边多以山体为主，每个钻孔采用防渗膜塑料布及支架组装成简易沉淀池，每个规模为5</w:t>
            </w:r>
            <w:r>
              <w:t>m</w:t>
            </w:r>
            <w:r>
              <w:rPr>
                <w:vertAlign w:val="superscript"/>
              </w:rPr>
              <w:t>3</w:t>
            </w:r>
            <w:r>
              <w:rPr>
                <w:rFonts w:hint="eastAsia"/>
              </w:rPr>
              <w:t>，生产废水经沉淀后</w:t>
            </w:r>
            <w:r>
              <w:t>循环</w:t>
            </w:r>
            <w:r>
              <w:rPr>
                <w:rFonts w:hint="eastAsia"/>
              </w:rPr>
              <w:t>使用；</w:t>
            </w:r>
            <w:r>
              <w:rPr>
                <w:rFonts w:hint="eastAsia"/>
                <w:lang w:val="en-US" w:eastAsia="zh-CN"/>
              </w:rPr>
              <w:t>生活污水排入一体化污水处理设施后，用于洒水降尘和周边绿化，不外排</w:t>
            </w:r>
            <w:r>
              <w:rPr>
                <w:rFonts w:hint="eastAsia"/>
              </w:rPr>
              <w:t>。在正常运行过程中，加强对风险物质的管理，规范员工的操作规程，对各项净化设施和风险防控措施进行管理和维护。</w:t>
            </w:r>
          </w:p>
          <w:p w14:paraId="0458092A">
            <w:pPr>
              <w:ind w:firstLine="480"/>
            </w:pPr>
            <w:r>
              <w:rPr>
                <w:rFonts w:hint="eastAsia"/>
              </w:rPr>
              <w:t>项目应落实本报告相关要求，制定一套完善的事故风险防范措施和应急预案，并上报环保行政主管部门备案。综上所述，本项目在认真落实环评提出的环境风险防范措施后，可以在最大程度上降低事故的发生率。项目的环境风险在可接受范围之内。</w:t>
            </w:r>
          </w:p>
        </w:tc>
      </w:tr>
      <w:tr w14:paraId="310CAF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67" w:hRule="atLeast"/>
          <w:jc w:val="center"/>
        </w:trPr>
        <w:tc>
          <w:tcPr>
            <w:tcW w:w="454" w:type="dxa"/>
            <w:tcMar>
              <w:left w:w="28" w:type="dxa"/>
              <w:right w:w="28" w:type="dxa"/>
            </w:tcMar>
            <w:vAlign w:val="center"/>
          </w:tcPr>
          <w:p w14:paraId="2AE4D267">
            <w:pPr>
              <w:adjustRightInd w:val="0"/>
              <w:snapToGrid w:val="0"/>
              <w:ind w:firstLine="0" w:firstLineChars="0"/>
              <w:rPr>
                <w:rFonts w:hint="eastAsia" w:ascii="宋体" w:hAnsi="宋体" w:cs="宋体"/>
                <w:bCs/>
                <w:szCs w:val="21"/>
              </w:rPr>
            </w:pPr>
            <w:r>
              <w:rPr>
                <w:rFonts w:hint="eastAsia" w:cs="宋体"/>
                <w:szCs w:val="21"/>
              </w:rPr>
              <w:t>运营期生态环境保护措施</w:t>
            </w:r>
          </w:p>
        </w:tc>
        <w:tc>
          <w:tcPr>
            <w:tcW w:w="8154" w:type="dxa"/>
            <w:vAlign w:val="center"/>
          </w:tcPr>
          <w:p w14:paraId="76D467D0">
            <w:pPr>
              <w:ind w:firstLine="480"/>
            </w:pPr>
            <w:r>
              <w:rPr>
                <w:rFonts w:hint="eastAsia"/>
              </w:rPr>
              <w:t>本项目仅涉及勘探，不涉及采矿，所以没有运营期。</w:t>
            </w:r>
          </w:p>
        </w:tc>
      </w:tr>
      <w:tr w14:paraId="28E1D8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53" w:hRule="atLeast"/>
          <w:jc w:val="center"/>
        </w:trPr>
        <w:tc>
          <w:tcPr>
            <w:tcW w:w="454" w:type="dxa"/>
            <w:tcMar>
              <w:left w:w="28" w:type="dxa"/>
              <w:right w:w="28" w:type="dxa"/>
            </w:tcMar>
            <w:vAlign w:val="center"/>
          </w:tcPr>
          <w:p w14:paraId="72EF0FA6">
            <w:pPr>
              <w:pStyle w:val="31"/>
            </w:pPr>
            <w:r>
              <w:rPr>
                <w:rFonts w:hint="eastAsia"/>
              </w:rPr>
              <w:t>其他</w:t>
            </w:r>
          </w:p>
        </w:tc>
        <w:tc>
          <w:tcPr>
            <w:tcW w:w="8154" w:type="dxa"/>
            <w:vAlign w:val="center"/>
          </w:tcPr>
          <w:p w14:paraId="011BCE1F">
            <w:pPr>
              <w:pStyle w:val="20"/>
              <w:ind w:firstLine="482"/>
            </w:pPr>
            <w:r>
              <w:rPr>
                <w:rFonts w:hint="eastAsia"/>
              </w:rPr>
              <w:t>6.9</w:t>
            </w:r>
            <w:r>
              <w:t>环境管理建议</w:t>
            </w:r>
          </w:p>
          <w:p w14:paraId="0D87ADBB">
            <w:pPr>
              <w:ind w:firstLine="480"/>
              <w:rPr>
                <w:b/>
                <w:bCs/>
              </w:rPr>
            </w:pPr>
            <w:r>
              <w:rPr>
                <w:rFonts w:hint="eastAsia"/>
                <w:b/>
                <w:bCs/>
                <w:lang w:val="en-US" w:eastAsia="zh-CN"/>
              </w:rPr>
              <w:t>6.9.1</w:t>
            </w:r>
            <w:r>
              <w:rPr>
                <w:rFonts w:hint="eastAsia"/>
                <w:b/>
                <w:bCs/>
              </w:rPr>
              <w:t>施工期环境保护管理计划</w:t>
            </w:r>
          </w:p>
          <w:p w14:paraId="628B7D0D">
            <w:pPr>
              <w:ind w:firstLine="480"/>
            </w:pPr>
            <w:r>
              <w:t>施工期环保管理的中心工作是：在抓好工程施工建设的同时，防止和控制施工活动对环境可能造成的污染或破坏，具体内容是：</w:t>
            </w:r>
          </w:p>
          <w:p w14:paraId="7739A996">
            <w:pPr>
              <w:ind w:firstLine="480"/>
            </w:pPr>
            <w:r>
              <w:rPr>
                <w:rFonts w:hint="eastAsia"/>
              </w:rPr>
              <w:t>1）</w:t>
            </w:r>
            <w:r>
              <w:t>制定工程建设过程中的污染防治措施、环保管理措施和实施办法，负责施工过程中的环保工作，督促和检查施工过程中环保措施的执行情况，发现问题，及时解决。</w:t>
            </w:r>
          </w:p>
          <w:p w14:paraId="0CBE156D">
            <w:pPr>
              <w:ind w:firstLine="480"/>
            </w:pPr>
            <w:r>
              <w:rPr>
                <w:rFonts w:hint="eastAsia"/>
              </w:rPr>
              <w:t>2）</w:t>
            </w:r>
            <w:r>
              <w:t>负责对施工过程中的污染源管理，合理安排施工机械的运行及施工作业时间，最大限度地减少施工作业产生的噪声、扬尘对环境的影响。</w:t>
            </w:r>
          </w:p>
          <w:p w14:paraId="5F822273">
            <w:pPr>
              <w:ind w:firstLine="480"/>
            </w:pPr>
            <w:r>
              <w:t>3</w:t>
            </w:r>
            <w:r>
              <w:rPr>
                <w:rFonts w:hint="eastAsia"/>
              </w:rPr>
              <w:t>）落实源头分类。产废单位应按固废类别进行分类贮存，禁止将一般工业固体废物投放到生活垃圾收集设施。对施工过程中产生的废料、生活垃圾及生活污水等进行集中统一处置，防止对环境造成不利影响。</w:t>
            </w:r>
          </w:p>
          <w:p w14:paraId="03A19754">
            <w:pPr>
              <w:ind w:firstLine="480"/>
            </w:pPr>
            <w:r>
              <w:t>4</w:t>
            </w:r>
            <w:r>
              <w:rPr>
                <w:rFonts w:hint="eastAsia"/>
              </w:rPr>
              <w:t>）参与施工作业管理及计划安排，防止施工造成长时间的交通中断、交通堵塞，以及公共服务设施如水、电、气、通讯等的中断。</w:t>
            </w:r>
          </w:p>
          <w:p w14:paraId="7360A3A8">
            <w:pPr>
              <w:ind w:firstLine="480"/>
            </w:pPr>
            <w:r>
              <w:rPr>
                <w:rFonts w:hint="eastAsia"/>
              </w:rPr>
              <w:t>5）根据《绿色勘察指南》（T/CMAS0001-2018）勘查责任主体应建立绿色勘查监管制度，由绿色勘查监督管理机构或责任部门，对涉及本标准内容的设计、施工和成果进行审查、检查监督及验收评价。勘查过程中，责任主体应及时对绿色勘查工作进行动态监管，督促勘查施工单位认真执行绿色勘查设计要求及规范标准。绿色勘查工作中，施工单位应及时做好相关施工技术及管理工作资料的记录、收集、整理及编制归档工作，并做到真实、齐全、规范。对阶段性工作及竣工成果，应按照规定做出检验评价。</w:t>
            </w:r>
          </w:p>
          <w:p w14:paraId="2AA6CA2A">
            <w:pPr>
              <w:ind w:firstLine="480"/>
            </w:pPr>
            <w:r>
              <w:rPr>
                <w:rFonts w:hint="eastAsia"/>
              </w:rPr>
              <w:t>（2）环境管理任务</w:t>
            </w:r>
          </w:p>
          <w:p w14:paraId="380364F2">
            <w:pPr>
              <w:ind w:firstLine="480"/>
            </w:pPr>
            <w:r>
              <w:rPr>
                <w:rFonts w:hint="eastAsia"/>
              </w:rPr>
              <w:t>因资金分阶段落实，项目环评工作将于2025年启动。为确保环保措施同步实施，已制定分阶段资金保障计划，确保环评通过前不开展实质性施工。</w:t>
            </w:r>
          </w:p>
          <w:p w14:paraId="49EE2B22">
            <w:pPr>
              <w:ind w:firstLine="480"/>
            </w:pPr>
            <w:r>
              <w:rPr>
                <w:rFonts w:hint="eastAsia"/>
              </w:rPr>
              <w:t>1）</w:t>
            </w:r>
            <w:r>
              <w:t>施工筹建期</w:t>
            </w:r>
          </w:p>
          <w:p w14:paraId="5264C0D4">
            <w:pPr>
              <w:ind w:firstLine="480"/>
            </w:pPr>
            <w:r>
              <w:rPr>
                <w:rFonts w:hint="eastAsia" w:ascii="宋体" w:hAnsi="宋体" w:cs="宋体"/>
              </w:rPr>
              <w:t>①</w:t>
            </w:r>
            <w:r>
              <w:t>审核工程环境影响评价成果，保证环境影响报告中有关环境保护的措施列入工程最终设计文件。</w:t>
            </w:r>
          </w:p>
          <w:p w14:paraId="74586076">
            <w:pPr>
              <w:ind w:firstLine="480"/>
            </w:pPr>
            <w:r>
              <w:rPr>
                <w:rFonts w:hint="eastAsia" w:ascii="宋体" w:hAnsi="宋体" w:cs="宋体"/>
              </w:rPr>
              <w:t>②</w:t>
            </w:r>
            <w:r>
              <w:t>根据环境影响报告和环境保护设计报告，负责工程招投标文件及合同文件中相关环境保护条款的编制。</w:t>
            </w:r>
          </w:p>
          <w:p w14:paraId="63761039">
            <w:pPr>
              <w:ind w:firstLine="480"/>
            </w:pPr>
            <w:r>
              <w:fldChar w:fldCharType="begin"/>
            </w:r>
            <w:r>
              <w:instrText xml:space="preserve"> = 3 \* GB3 \* MERGEFORMAT </w:instrText>
            </w:r>
            <w:r>
              <w:fldChar w:fldCharType="separate"/>
            </w:r>
            <w:r>
              <w:rPr>
                <w:rFonts w:hint="eastAsia" w:ascii="宋体" w:hAnsi="宋体" w:cs="宋体"/>
              </w:rPr>
              <w:t>③</w:t>
            </w:r>
            <w:r>
              <w:fldChar w:fldCharType="end"/>
            </w:r>
            <w:r>
              <w:t>筹建环境管理机构，进行环境管理人员培训。</w:t>
            </w:r>
          </w:p>
          <w:p w14:paraId="4C5B0D12">
            <w:pPr>
              <w:ind w:firstLine="480"/>
            </w:pPr>
            <w:r>
              <w:rPr>
                <w:rFonts w:hint="eastAsia"/>
              </w:rPr>
              <w:t>2）施工工区环境管理</w:t>
            </w:r>
          </w:p>
          <w:p w14:paraId="3D8A767C">
            <w:pPr>
              <w:ind w:firstLine="480"/>
            </w:pPr>
            <w:r>
              <w:rPr>
                <w:rFonts w:hint="eastAsia" w:ascii="宋体" w:hAnsi="宋体" w:cs="宋体"/>
              </w:rPr>
              <w:t>①</w:t>
            </w:r>
            <w:r>
              <w:t>贯彻执行国家有关环境保护方针、政策及法规条例，制订工程环境保护管理具体规定与管理办法。</w:t>
            </w:r>
          </w:p>
          <w:p w14:paraId="7C6E927A">
            <w:pPr>
              <w:ind w:firstLine="480"/>
            </w:pPr>
            <w:r>
              <w:rPr>
                <w:rFonts w:hint="eastAsia" w:ascii="宋体" w:hAnsi="宋体" w:cs="宋体"/>
              </w:rPr>
              <w:t>②</w:t>
            </w:r>
            <w:r>
              <w:t>按照国家有关环境保护法规和工程的环境保护规定，统一管理施工工区环境保护工作。</w:t>
            </w:r>
          </w:p>
          <w:p w14:paraId="01F771FC">
            <w:pPr>
              <w:ind w:firstLine="480"/>
            </w:pPr>
            <w:r>
              <w:fldChar w:fldCharType="begin"/>
            </w:r>
            <w:r>
              <w:instrText xml:space="preserve"> = 3 \* GB3 \* MERGEFORMAT </w:instrText>
            </w:r>
            <w:r>
              <w:fldChar w:fldCharType="separate"/>
            </w:r>
            <w:r>
              <w:rPr>
                <w:rFonts w:hint="eastAsia" w:ascii="宋体" w:hAnsi="宋体" w:cs="宋体"/>
              </w:rPr>
              <w:t>③</w:t>
            </w:r>
            <w:r>
              <w:fldChar w:fldCharType="end"/>
            </w:r>
            <w:r>
              <w:t>编制环境管理工作计划，整编监测资料，建立工程的生态与环境信息库，编制工程年度环</w:t>
            </w:r>
            <w:r>
              <w:rPr>
                <w:rFonts w:ascii="Times New Roman" w:hAnsi="Times New Roman" w:eastAsia="宋体" w:cs="Times New Roman"/>
              </w:rPr>
              <w:t>境质量报告，并报上级主管部门和地方</w:t>
            </w:r>
            <w:r>
              <w:rPr>
                <w:rFonts w:hint="default" w:ascii="Times New Roman" w:hAnsi="Times New Roman" w:eastAsia="宋体" w:cs="Times New Roman"/>
              </w:rPr>
              <w:t>生态环境</w:t>
            </w:r>
            <w:r>
              <w:rPr>
                <w:rFonts w:ascii="Times New Roman" w:hAnsi="Times New Roman" w:eastAsia="宋体" w:cs="Times New Roman"/>
              </w:rPr>
              <w:t>部门</w:t>
            </w:r>
            <w:r>
              <w:t>。</w:t>
            </w:r>
          </w:p>
          <w:p w14:paraId="0F07110C">
            <w:pPr>
              <w:ind w:firstLine="480"/>
            </w:pPr>
            <w:r>
              <w:fldChar w:fldCharType="begin"/>
            </w:r>
            <w:r>
              <w:instrText xml:space="preserve"> = 4 \* GB3 \* MERGEFORMAT </w:instrText>
            </w:r>
            <w:r>
              <w:fldChar w:fldCharType="separate"/>
            </w:r>
            <w:r>
              <w:rPr>
                <w:rFonts w:hint="eastAsia" w:ascii="宋体" w:hAnsi="宋体" w:cs="宋体"/>
              </w:rPr>
              <w:t>④</w:t>
            </w:r>
            <w:r>
              <w:fldChar w:fldCharType="end"/>
            </w:r>
            <w:r>
              <w:t>会同地方环保检查、监督工程承包商执行环境保护条款的情况。</w:t>
            </w:r>
          </w:p>
          <w:p w14:paraId="59BE3560">
            <w:pPr>
              <w:ind w:firstLine="480"/>
            </w:pPr>
            <w:r>
              <w:fldChar w:fldCharType="begin"/>
            </w:r>
            <w:r>
              <w:instrText xml:space="preserve"> = 5 \* GB3 \* MERGEFORMAT </w:instrText>
            </w:r>
            <w:r>
              <w:fldChar w:fldCharType="separate"/>
            </w:r>
            <w:r>
              <w:rPr>
                <w:rFonts w:hint="eastAsia" w:ascii="宋体" w:hAnsi="宋体" w:cs="宋体"/>
              </w:rPr>
              <w:t>⑤</w:t>
            </w:r>
            <w:r>
              <w:fldChar w:fldCharType="end"/>
            </w:r>
            <w:r>
              <w:t>负责协调处理工程引起的环境纠纷和环境污染事故。</w:t>
            </w:r>
          </w:p>
          <w:p w14:paraId="3DC0C47C">
            <w:pPr>
              <w:ind w:firstLine="480"/>
            </w:pPr>
            <w:r>
              <w:fldChar w:fldCharType="begin"/>
            </w:r>
            <w:r>
              <w:instrText xml:space="preserve"> = 6 \* GB3 \* MERGEFORMAT </w:instrText>
            </w:r>
            <w:r>
              <w:fldChar w:fldCharType="separate"/>
            </w:r>
            <w:r>
              <w:rPr>
                <w:rFonts w:hint="eastAsia" w:ascii="宋体" w:hAnsi="宋体" w:cs="宋体"/>
              </w:rPr>
              <w:t>⑥</w:t>
            </w:r>
            <w:r>
              <w:fldChar w:fldCharType="end"/>
            </w:r>
            <w:r>
              <w:t>加强环境保护的宣传教育，负责组织实施环境管理培训工作，提高工程环境管理人员的技术水平。</w:t>
            </w:r>
          </w:p>
          <w:p w14:paraId="4EE35AA4">
            <w:pPr>
              <w:ind w:firstLine="480"/>
            </w:pPr>
            <w:r>
              <w:rPr>
                <w:rFonts w:hint="eastAsia"/>
              </w:rPr>
              <w:t>3）勘探期结束后环境管理</w:t>
            </w:r>
          </w:p>
          <w:p w14:paraId="6972DCE8">
            <w:pPr>
              <w:ind w:firstLine="480"/>
            </w:pPr>
            <w:r>
              <w:rPr>
                <w:rFonts w:hint="eastAsia"/>
              </w:rPr>
              <w:t>勘探期结束后，各产污设备将停止运行，“三废”等排放也将停止，基本不存在“三废”等污染问题。主要环境问题为探矿造成的生态环境影响。</w:t>
            </w:r>
            <w:r>
              <w:t>服务期满后环境管理具体要求见表</w:t>
            </w:r>
            <w:r>
              <w:rPr>
                <w:rFonts w:hint="eastAsia"/>
              </w:rPr>
              <w:t>5-</w:t>
            </w:r>
            <w:r>
              <w:rPr>
                <w:rFonts w:hint="eastAsia"/>
                <w:lang w:val="en-US" w:eastAsia="zh-CN"/>
              </w:rPr>
              <w:t>7</w:t>
            </w:r>
            <w:r>
              <w:t>。</w:t>
            </w:r>
          </w:p>
          <w:p w14:paraId="0AE395DA">
            <w:pPr>
              <w:pStyle w:val="33"/>
              <w:spacing w:before="156"/>
              <w:rPr>
                <w:rFonts w:hint="default" w:ascii="Times New Roman" w:hAnsi="Times New Roman" w:cs="Times New Roman"/>
              </w:rPr>
            </w:pPr>
            <w:r>
              <w:rPr>
                <w:rFonts w:hint="eastAsia"/>
              </w:rPr>
              <w:t>表</w:t>
            </w:r>
            <w:r>
              <w:rPr>
                <w:rFonts w:hint="default" w:ascii="Times New Roman" w:hAnsi="Times New Roman" w:cs="Times New Roman"/>
              </w:rPr>
              <w:t>5-</w:t>
            </w:r>
            <w:r>
              <w:rPr>
                <w:rFonts w:hint="default" w:ascii="Times New Roman" w:hAnsi="Times New Roman" w:cs="Times New Roman"/>
                <w:b/>
                <w:bCs w:val="0"/>
                <w:lang w:val="en-US" w:eastAsia="zh-CN"/>
              </w:rPr>
              <w:t>7</w:t>
            </w:r>
            <w:r>
              <w:rPr>
                <w:rFonts w:hint="default" w:ascii="Times New Roman" w:hAnsi="Times New Roman" w:cs="Times New Roman"/>
                <w:b/>
                <w:bCs w:val="0"/>
              </w:rPr>
              <w:t>勘探期结束后环境管理</w:t>
            </w:r>
            <w:r>
              <w:rPr>
                <w:rFonts w:hint="default" w:ascii="Times New Roman" w:hAnsi="Times New Roman" w:cs="Times New Roman"/>
              </w:rPr>
              <w:t>要求</w:t>
            </w:r>
          </w:p>
          <w:tbl>
            <w:tblPr>
              <w:tblStyle w:val="23"/>
              <w:tblW w:w="5000" w:type="pct"/>
              <w:tblInd w:w="-1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2682"/>
              <w:gridCol w:w="5597"/>
            </w:tblGrid>
            <w:tr w14:paraId="73D33CE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890" w:type="dxa"/>
                  <w:tcBorders>
                    <w:tl2br w:val="nil"/>
                    <w:tr2bl w:val="nil"/>
                  </w:tcBorders>
                  <w:vAlign w:val="center"/>
                </w:tcPr>
                <w:p w14:paraId="3A5F453E">
                  <w:pPr>
                    <w:pStyle w:val="36"/>
                    <w:rPr>
                      <w:rFonts w:hint="default" w:ascii="Times New Roman" w:hAnsi="Times New Roman" w:cs="Times New Roman"/>
                    </w:rPr>
                  </w:pPr>
                  <w:r>
                    <w:rPr>
                      <w:rFonts w:hint="default" w:ascii="Times New Roman" w:hAnsi="Times New Roman" w:cs="Times New Roman"/>
                    </w:rPr>
                    <w:t>环境影响</w:t>
                  </w:r>
                </w:p>
              </w:tc>
              <w:tc>
                <w:tcPr>
                  <w:tcW w:w="6089" w:type="dxa"/>
                  <w:tcBorders>
                    <w:tl2br w:val="nil"/>
                    <w:tr2bl w:val="nil"/>
                  </w:tcBorders>
                  <w:vAlign w:val="center"/>
                </w:tcPr>
                <w:p w14:paraId="76BF87B9">
                  <w:pPr>
                    <w:pStyle w:val="36"/>
                    <w:rPr>
                      <w:rFonts w:hint="default" w:ascii="Times New Roman" w:hAnsi="Times New Roman" w:cs="Times New Roman"/>
                    </w:rPr>
                  </w:pPr>
                  <w:r>
                    <w:rPr>
                      <w:rFonts w:hint="default" w:ascii="Times New Roman" w:hAnsi="Times New Roman" w:cs="Times New Roman"/>
                    </w:rPr>
                    <w:t>环境管理具体要求</w:t>
                  </w:r>
                </w:p>
              </w:tc>
            </w:tr>
            <w:tr w14:paraId="772DCBA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890" w:type="dxa"/>
                  <w:tcBorders>
                    <w:tl2br w:val="nil"/>
                    <w:tr2bl w:val="nil"/>
                  </w:tcBorders>
                  <w:vAlign w:val="center"/>
                </w:tcPr>
                <w:p w14:paraId="15A03523">
                  <w:pPr>
                    <w:pStyle w:val="36"/>
                    <w:rPr>
                      <w:rFonts w:hint="default" w:ascii="Times New Roman" w:hAnsi="Times New Roman" w:cs="Times New Roman"/>
                    </w:rPr>
                  </w:pPr>
                  <w:r>
                    <w:rPr>
                      <w:rFonts w:hint="default" w:ascii="Times New Roman" w:hAnsi="Times New Roman" w:cs="Times New Roman"/>
                    </w:rPr>
                    <w:t>废水、废气、噪声、固废</w:t>
                  </w:r>
                </w:p>
              </w:tc>
              <w:tc>
                <w:tcPr>
                  <w:tcW w:w="6089" w:type="dxa"/>
                  <w:tcBorders>
                    <w:tl2br w:val="nil"/>
                    <w:tr2bl w:val="nil"/>
                  </w:tcBorders>
                  <w:vAlign w:val="center"/>
                </w:tcPr>
                <w:p w14:paraId="41A3C2BF">
                  <w:pPr>
                    <w:pStyle w:val="36"/>
                    <w:jc w:val="both"/>
                    <w:rPr>
                      <w:rFonts w:hint="default" w:ascii="Times New Roman" w:hAnsi="Times New Roman" w:cs="Times New Roman"/>
                    </w:rPr>
                  </w:pPr>
                  <w:r>
                    <w:rPr>
                      <w:rFonts w:hint="default" w:ascii="Times New Roman" w:hAnsi="Times New Roman" w:cs="Times New Roman"/>
                    </w:rPr>
                    <w:t>（1）对钻孔的封堵情况进行监督管理；</w:t>
                  </w:r>
                </w:p>
                <w:p w14:paraId="1A7E3EF0">
                  <w:pPr>
                    <w:pStyle w:val="36"/>
                    <w:jc w:val="both"/>
                    <w:rPr>
                      <w:rFonts w:hint="default" w:ascii="Times New Roman" w:hAnsi="Times New Roman" w:cs="Times New Roman"/>
                    </w:rPr>
                  </w:pPr>
                  <w:r>
                    <w:rPr>
                      <w:rFonts w:hint="default" w:ascii="Times New Roman" w:hAnsi="Times New Roman" w:cs="Times New Roman"/>
                    </w:rPr>
                    <w:t>（2）对场内临时工程的拆除及清理情况进行监督管理；</w:t>
                  </w:r>
                </w:p>
              </w:tc>
            </w:tr>
            <w:tr w14:paraId="552348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890" w:type="dxa"/>
                  <w:tcBorders>
                    <w:tl2br w:val="nil"/>
                    <w:tr2bl w:val="nil"/>
                  </w:tcBorders>
                  <w:vAlign w:val="center"/>
                </w:tcPr>
                <w:p w14:paraId="72D8DD7E">
                  <w:pPr>
                    <w:pStyle w:val="36"/>
                    <w:rPr>
                      <w:rFonts w:hint="default" w:ascii="Times New Roman" w:hAnsi="Times New Roman" w:cs="Times New Roman"/>
                    </w:rPr>
                  </w:pPr>
                  <w:r>
                    <w:rPr>
                      <w:rFonts w:hint="default" w:ascii="Times New Roman" w:hAnsi="Times New Roman" w:cs="Times New Roman"/>
                    </w:rPr>
                    <w:t>生态环境影响</w:t>
                  </w:r>
                </w:p>
              </w:tc>
              <w:tc>
                <w:tcPr>
                  <w:tcW w:w="6089" w:type="dxa"/>
                  <w:tcBorders>
                    <w:tl2br w:val="nil"/>
                    <w:tr2bl w:val="nil"/>
                  </w:tcBorders>
                  <w:vAlign w:val="center"/>
                </w:tcPr>
                <w:p w14:paraId="7A3970C5">
                  <w:pPr>
                    <w:pStyle w:val="36"/>
                    <w:jc w:val="both"/>
                    <w:rPr>
                      <w:rFonts w:hint="default" w:ascii="Times New Roman" w:hAnsi="Times New Roman" w:cs="Times New Roman"/>
                    </w:rPr>
                  </w:pPr>
                  <w:r>
                    <w:rPr>
                      <w:rFonts w:hint="default" w:ascii="Times New Roman" w:hAnsi="Times New Roman" w:cs="Times New Roman"/>
                    </w:rPr>
                    <w:t>（1）对场地生态恢复措施落实情况进行监督管理；</w:t>
                  </w:r>
                </w:p>
                <w:p w14:paraId="6144410E">
                  <w:pPr>
                    <w:pStyle w:val="36"/>
                    <w:jc w:val="both"/>
                    <w:rPr>
                      <w:rFonts w:hint="default" w:ascii="Times New Roman" w:hAnsi="Times New Roman" w:cs="Times New Roman"/>
                    </w:rPr>
                  </w:pPr>
                  <w:r>
                    <w:rPr>
                      <w:rFonts w:hint="default" w:ascii="Times New Roman" w:hAnsi="Times New Roman" w:cs="Times New Roman"/>
                    </w:rPr>
                    <w:t>（2）严格按照土地复垦要求，对探矿区复垦情况进行监督管理；</w:t>
                  </w:r>
                </w:p>
              </w:tc>
            </w:tr>
          </w:tbl>
          <w:p w14:paraId="45D0DEDB">
            <w:pPr>
              <w:ind w:firstLine="480"/>
              <w:rPr>
                <w:rFonts w:hint="default" w:ascii="Times New Roman" w:hAnsi="Times New Roman" w:cs="Times New Roman"/>
                <w:b/>
                <w:bCs/>
                <w:szCs w:val="32"/>
                <w:lang w:val="en-US" w:eastAsia="zh-CN"/>
              </w:rPr>
            </w:pPr>
            <w:r>
              <w:rPr>
                <w:rFonts w:hint="default" w:ascii="Times New Roman" w:hAnsi="Times New Roman" w:cs="Times New Roman"/>
                <w:b/>
                <w:bCs/>
                <w:szCs w:val="32"/>
                <w:lang w:val="en-US" w:eastAsia="zh-CN"/>
              </w:rPr>
              <w:t>6.9.2监测计划</w:t>
            </w:r>
          </w:p>
          <w:p w14:paraId="57013B0E">
            <w:pPr>
              <w:ind w:firstLine="480"/>
              <w:rPr>
                <w:rFonts w:hint="default" w:ascii="Times New Roman" w:hAnsi="Times New Roman" w:eastAsia="宋体" w:cs="Times New Roman"/>
                <w:szCs w:val="32"/>
                <w:lang w:val="en-US" w:eastAsia="zh-CN"/>
              </w:rPr>
            </w:pPr>
            <w:r>
              <w:rPr>
                <w:rFonts w:hint="default" w:ascii="Times New Roman" w:hAnsi="Times New Roman" w:cs="Times New Roman"/>
                <w:color w:val="000000"/>
              </w:rPr>
              <w:t>根据《排污单位自行监测技术指南总则》（HJ819-2017），</w:t>
            </w:r>
            <w:r>
              <w:rPr>
                <w:rFonts w:hint="eastAsia" w:ascii="Times New Roman" w:hAnsi="Times New Roman" w:eastAsia="宋体" w:cs="Times New Roman"/>
                <w:color w:val="auto"/>
                <w:highlight w:val="none"/>
                <w:lang w:eastAsia="zh-CN"/>
              </w:rPr>
              <w:t>制定</w:t>
            </w:r>
            <w:r>
              <w:rPr>
                <w:rFonts w:hint="default" w:ascii="Times New Roman" w:hAnsi="Times New Roman" w:eastAsia="宋体" w:cs="Times New Roman"/>
                <w:color w:val="auto"/>
                <w:highlight w:val="none"/>
              </w:rPr>
              <w:t>项目</w:t>
            </w:r>
            <w:r>
              <w:rPr>
                <w:rFonts w:hint="eastAsia" w:ascii="Times New Roman" w:hAnsi="Times New Roman" w:eastAsia="宋体" w:cs="Times New Roman"/>
                <w:color w:val="auto"/>
                <w:highlight w:val="none"/>
                <w:lang w:val="en-US" w:eastAsia="zh-CN"/>
              </w:rPr>
              <w:t>勘查</w:t>
            </w:r>
            <w:r>
              <w:rPr>
                <w:rFonts w:hint="default" w:ascii="Times New Roman" w:hAnsi="Times New Roman" w:eastAsia="宋体" w:cs="Times New Roman"/>
                <w:color w:val="auto"/>
                <w:highlight w:val="none"/>
              </w:rPr>
              <w:t>期污染物监测计划，</w:t>
            </w:r>
            <w:r>
              <w:rPr>
                <w:rFonts w:hint="default" w:ascii="Times New Roman" w:hAnsi="Times New Roman" w:cs="Times New Roman"/>
                <w:color w:val="000000"/>
              </w:rPr>
              <w:t>环境监测计划见表</w:t>
            </w:r>
            <w:r>
              <w:rPr>
                <w:rFonts w:hint="default" w:ascii="Times New Roman" w:hAnsi="Times New Roman" w:cs="Times New Roman"/>
                <w:color w:val="000000"/>
                <w:lang w:val="en-US" w:eastAsia="zh-CN"/>
              </w:rPr>
              <w:t>5-8。</w:t>
            </w:r>
          </w:p>
          <w:p w14:paraId="7B5964D4">
            <w:pPr>
              <w:pStyle w:val="33"/>
              <w:spacing w:before="156"/>
              <w:rPr>
                <w:rFonts w:hint="eastAsia" w:ascii="宋体" w:hAnsi="宋体" w:cs="Times New Roman"/>
                <w:b/>
                <w:bCs w:val="0"/>
                <w:lang w:val="zh-CN" w:eastAsia="zh-CN"/>
              </w:rPr>
            </w:pPr>
            <w:r>
              <w:rPr>
                <w:rFonts w:hint="default" w:ascii="Times New Roman" w:hAnsi="Times New Roman" w:cs="Times New Roman"/>
                <w:b/>
                <w:bCs w:val="0"/>
                <w:lang w:val="zh-CN" w:eastAsia="zh-CN"/>
              </w:rPr>
              <w:t>表</w:t>
            </w:r>
            <w:r>
              <w:rPr>
                <w:rFonts w:hint="eastAsia" w:ascii="Times New Roman" w:hAnsi="Times New Roman" w:cs="Times New Roman"/>
                <w:b/>
                <w:bCs w:val="0"/>
                <w:lang w:val="en-US" w:eastAsia="zh-CN"/>
              </w:rPr>
              <w:t>5-</w:t>
            </w:r>
            <w:r>
              <w:rPr>
                <w:rFonts w:hint="default" w:ascii="Times New Roman" w:hAnsi="Times New Roman" w:cs="Times New Roman"/>
                <w:b/>
                <w:bCs w:val="0"/>
                <w:lang w:val="en-US" w:eastAsia="zh-CN"/>
              </w:rPr>
              <w:t>8</w:t>
            </w:r>
            <w:r>
              <w:rPr>
                <w:rFonts w:hint="default" w:ascii="Times New Roman" w:hAnsi="Times New Roman" w:cs="Times New Roman"/>
                <w:b/>
                <w:bCs w:val="0"/>
                <w:lang w:val="zh-CN" w:eastAsia="zh-CN"/>
              </w:rPr>
              <w:t>环境质量监测方</w:t>
            </w:r>
            <w:r>
              <w:rPr>
                <w:rFonts w:hint="eastAsia" w:ascii="宋体" w:hAnsi="宋体" w:cs="Times New Roman"/>
                <w:b/>
                <w:bCs w:val="0"/>
                <w:lang w:val="zh-CN" w:eastAsia="zh-CN"/>
              </w:rPr>
              <w:t>案</w:t>
            </w:r>
          </w:p>
          <w:tbl>
            <w:tblPr>
              <w:tblStyle w:val="23"/>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1407"/>
              <w:gridCol w:w="5386"/>
              <w:gridCol w:w="950"/>
            </w:tblGrid>
            <w:tr w14:paraId="2C17BF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2" w:type="pct"/>
                  <w:tcBorders>
                    <w:tl2br w:val="nil"/>
                    <w:tr2bl w:val="nil"/>
                  </w:tcBorders>
                  <w:noWrap w:val="0"/>
                  <w:vAlign w:val="center"/>
                </w:tcPr>
                <w:p w14:paraId="3CD5476B">
                  <w:pPr>
                    <w:spacing w:line="240" w:lineRule="auto"/>
                    <w:ind w:firstLine="0" w:firstLineChars="0"/>
                    <w:jc w:val="center"/>
                    <w:rPr>
                      <w:rFonts w:ascii="Times New Roman" w:hAnsi="Times New Roman" w:eastAsia="宋体" w:cs="Times New Roman"/>
                      <w:bCs/>
                      <w:color w:val="auto"/>
                      <w:sz w:val="21"/>
                      <w:szCs w:val="21"/>
                      <w:highlight w:val="none"/>
                    </w:rPr>
                  </w:pPr>
                  <w:r>
                    <w:rPr>
                      <w:rFonts w:ascii="Times New Roman" w:hAnsi="Times New Roman" w:eastAsia="宋体" w:cs="Times New Roman"/>
                      <w:bCs/>
                      <w:color w:val="auto"/>
                      <w:sz w:val="21"/>
                      <w:szCs w:val="21"/>
                      <w:highlight w:val="none"/>
                    </w:rPr>
                    <w:t>序号</w:t>
                  </w:r>
                </w:p>
              </w:tc>
              <w:tc>
                <w:tcPr>
                  <w:tcW w:w="850" w:type="pct"/>
                  <w:tcBorders>
                    <w:tl2br w:val="nil"/>
                    <w:tr2bl w:val="nil"/>
                  </w:tcBorders>
                  <w:noWrap w:val="0"/>
                  <w:vAlign w:val="center"/>
                </w:tcPr>
                <w:p w14:paraId="05967941">
                  <w:pPr>
                    <w:spacing w:line="240" w:lineRule="auto"/>
                    <w:ind w:firstLine="0" w:firstLineChars="0"/>
                    <w:jc w:val="center"/>
                    <w:rPr>
                      <w:rFonts w:ascii="Times New Roman" w:hAnsi="Times New Roman" w:eastAsia="宋体" w:cs="Times New Roman"/>
                      <w:bCs/>
                      <w:color w:val="auto"/>
                      <w:sz w:val="21"/>
                      <w:szCs w:val="21"/>
                      <w:highlight w:val="none"/>
                    </w:rPr>
                  </w:pPr>
                  <w:r>
                    <w:rPr>
                      <w:rFonts w:ascii="Times New Roman" w:hAnsi="Times New Roman" w:eastAsia="宋体" w:cs="Times New Roman"/>
                      <w:bCs/>
                      <w:color w:val="auto"/>
                      <w:sz w:val="21"/>
                      <w:szCs w:val="21"/>
                      <w:highlight w:val="none"/>
                    </w:rPr>
                    <w:t>监测项目</w:t>
                  </w:r>
                </w:p>
              </w:tc>
              <w:tc>
                <w:tcPr>
                  <w:tcW w:w="3253" w:type="pct"/>
                  <w:tcBorders>
                    <w:tl2br w:val="nil"/>
                    <w:tr2bl w:val="nil"/>
                  </w:tcBorders>
                  <w:noWrap w:val="0"/>
                  <w:vAlign w:val="center"/>
                </w:tcPr>
                <w:p w14:paraId="621F5915">
                  <w:pPr>
                    <w:spacing w:line="240" w:lineRule="auto"/>
                    <w:ind w:firstLine="0" w:firstLineChars="0"/>
                    <w:jc w:val="center"/>
                    <w:rPr>
                      <w:rFonts w:ascii="Times New Roman" w:hAnsi="Times New Roman" w:eastAsia="宋体" w:cs="Times New Roman"/>
                      <w:bCs/>
                      <w:color w:val="auto"/>
                      <w:sz w:val="21"/>
                      <w:szCs w:val="21"/>
                      <w:highlight w:val="none"/>
                    </w:rPr>
                  </w:pPr>
                  <w:r>
                    <w:rPr>
                      <w:rFonts w:ascii="Times New Roman" w:hAnsi="Times New Roman" w:eastAsia="宋体" w:cs="Times New Roman"/>
                      <w:bCs/>
                      <w:color w:val="auto"/>
                      <w:sz w:val="21"/>
                      <w:szCs w:val="21"/>
                      <w:highlight w:val="none"/>
                    </w:rPr>
                    <w:t>主要技术要求</w:t>
                  </w:r>
                </w:p>
              </w:tc>
              <w:tc>
                <w:tcPr>
                  <w:tcW w:w="573" w:type="pct"/>
                  <w:tcBorders>
                    <w:tl2br w:val="nil"/>
                    <w:tr2bl w:val="nil"/>
                  </w:tcBorders>
                  <w:noWrap w:val="0"/>
                  <w:vAlign w:val="center"/>
                </w:tcPr>
                <w:p w14:paraId="247E358A">
                  <w:pPr>
                    <w:spacing w:line="240" w:lineRule="auto"/>
                    <w:ind w:firstLine="0" w:firstLineChars="0"/>
                    <w:jc w:val="center"/>
                    <w:rPr>
                      <w:rFonts w:ascii="Times New Roman" w:hAnsi="Times New Roman" w:eastAsia="宋体" w:cs="Times New Roman"/>
                      <w:bCs/>
                      <w:color w:val="auto"/>
                      <w:sz w:val="21"/>
                      <w:szCs w:val="21"/>
                      <w:highlight w:val="none"/>
                    </w:rPr>
                  </w:pPr>
                  <w:r>
                    <w:rPr>
                      <w:rFonts w:ascii="Times New Roman" w:hAnsi="Times New Roman" w:eastAsia="宋体" w:cs="Times New Roman"/>
                      <w:bCs/>
                      <w:color w:val="auto"/>
                      <w:sz w:val="21"/>
                      <w:szCs w:val="21"/>
                      <w:highlight w:val="none"/>
                    </w:rPr>
                    <w:t>监测单位</w:t>
                  </w:r>
                </w:p>
              </w:tc>
            </w:tr>
            <w:tr w14:paraId="7E4FBC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trPr>
              <w:tc>
                <w:tcPr>
                  <w:tcW w:w="322" w:type="pct"/>
                  <w:tcBorders>
                    <w:tl2br w:val="nil"/>
                    <w:tr2bl w:val="nil"/>
                  </w:tcBorders>
                  <w:noWrap w:val="0"/>
                  <w:vAlign w:val="center"/>
                </w:tcPr>
                <w:p w14:paraId="2C471F31">
                  <w:pPr>
                    <w:spacing w:line="240" w:lineRule="auto"/>
                    <w:ind w:firstLine="0" w:firstLineChars="0"/>
                    <w:jc w:val="center"/>
                    <w:rPr>
                      <w:rFonts w:ascii="Times New Roman" w:hAnsi="Times New Roman" w:eastAsia="宋体" w:cs="Times New Roman"/>
                      <w:bCs/>
                      <w:color w:val="auto"/>
                      <w:sz w:val="21"/>
                      <w:szCs w:val="21"/>
                      <w:highlight w:val="none"/>
                    </w:rPr>
                  </w:pPr>
                  <w:r>
                    <w:rPr>
                      <w:rFonts w:ascii="Times New Roman" w:hAnsi="Times New Roman" w:eastAsia="宋体" w:cs="Times New Roman"/>
                      <w:bCs/>
                      <w:color w:val="auto"/>
                      <w:sz w:val="21"/>
                      <w:szCs w:val="21"/>
                      <w:highlight w:val="none"/>
                    </w:rPr>
                    <w:t>1</w:t>
                  </w:r>
                </w:p>
              </w:tc>
              <w:tc>
                <w:tcPr>
                  <w:tcW w:w="850" w:type="pct"/>
                  <w:tcBorders>
                    <w:tl2br w:val="nil"/>
                    <w:tr2bl w:val="nil"/>
                  </w:tcBorders>
                  <w:noWrap w:val="0"/>
                  <w:vAlign w:val="center"/>
                </w:tcPr>
                <w:p w14:paraId="39C1C8D0">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萨很托亥河地表水</w:t>
                  </w:r>
                </w:p>
              </w:tc>
              <w:tc>
                <w:tcPr>
                  <w:tcW w:w="3253" w:type="pct"/>
                  <w:tcBorders>
                    <w:tl2br w:val="nil"/>
                    <w:tr2bl w:val="nil"/>
                  </w:tcBorders>
                  <w:noWrap w:val="0"/>
                  <w:vAlign w:val="center"/>
                </w:tcPr>
                <w:p w14:paraId="036EAE12">
                  <w:pPr>
                    <w:spacing w:line="240" w:lineRule="auto"/>
                    <w:ind w:firstLine="0" w:firstLineChars="0"/>
                    <w:jc w:val="center"/>
                    <w:rPr>
                      <w:rFonts w:ascii="Times New Roman" w:hAnsi="Times New Roman" w:eastAsia="宋体" w:cs="Times New Roman"/>
                      <w:bCs/>
                      <w:color w:val="auto"/>
                      <w:sz w:val="21"/>
                      <w:szCs w:val="21"/>
                      <w:highlight w:val="none"/>
                    </w:rPr>
                  </w:pPr>
                  <w:r>
                    <w:rPr>
                      <w:rFonts w:ascii="Times New Roman" w:hAnsi="Times New Roman" w:eastAsia="宋体" w:cs="Times New Roman"/>
                      <w:bCs/>
                      <w:color w:val="auto"/>
                      <w:sz w:val="21"/>
                      <w:szCs w:val="21"/>
                      <w:highlight w:val="none"/>
                    </w:rPr>
                    <w:t>（1）监测项目：</w:t>
                  </w:r>
                  <w:r>
                    <w:rPr>
                      <w:rFonts w:hint="default" w:ascii="Times New Roman" w:hAnsi="Times New Roman" w:eastAsia="宋体" w:cs="Times New Roman"/>
                      <w:color w:val="auto"/>
                      <w:kern w:val="2"/>
                      <w:sz w:val="21"/>
                      <w:szCs w:val="21"/>
                      <w:highlight w:val="none"/>
                      <w:lang w:val="en-US" w:eastAsia="zh-CN" w:bidi="ar-SA"/>
                    </w:rPr>
                    <w:t>pH、水温、溶解氧、化学需氧量、耗氧量、五日生化需氧量、氨氮、总磷、硫酸盐、氯化物、铜、锌、氟化物、硒、砷、汞、镉、六价铬、铅、挥发酚、石油类、阴离子表面活性剂、硝酸盐</w:t>
                  </w:r>
                  <w:r>
                    <w:rPr>
                      <w:rFonts w:hint="eastAsia" w:ascii="Times New Roman" w:hAnsi="Times New Roman" w:eastAsia="宋体" w:cs="Times New Roman"/>
                      <w:color w:val="auto"/>
                      <w:kern w:val="2"/>
                      <w:sz w:val="21"/>
                      <w:szCs w:val="21"/>
                      <w:highlight w:val="none"/>
                      <w:lang w:val="en-US" w:eastAsia="zh-CN" w:bidi="ar-SA"/>
                    </w:rPr>
                    <w:t>氮</w:t>
                  </w:r>
                  <w:r>
                    <w:rPr>
                      <w:rFonts w:ascii="Times New Roman" w:hAnsi="Times New Roman" w:eastAsia="宋体" w:cs="Times New Roman"/>
                      <w:bCs/>
                      <w:color w:val="auto"/>
                      <w:sz w:val="21"/>
                      <w:szCs w:val="21"/>
                      <w:highlight w:val="none"/>
                    </w:rPr>
                    <w:t>。</w:t>
                  </w:r>
                </w:p>
                <w:p w14:paraId="26092CBE">
                  <w:pPr>
                    <w:spacing w:line="240" w:lineRule="auto"/>
                    <w:ind w:firstLine="0" w:firstLineChars="0"/>
                    <w:jc w:val="center"/>
                    <w:rPr>
                      <w:rFonts w:ascii="Times New Roman" w:hAnsi="Times New Roman" w:eastAsia="宋体" w:cs="Times New Roman"/>
                      <w:bCs/>
                      <w:color w:val="auto"/>
                      <w:sz w:val="21"/>
                      <w:szCs w:val="21"/>
                      <w:highlight w:val="none"/>
                    </w:rPr>
                  </w:pPr>
                  <w:r>
                    <w:rPr>
                      <w:rFonts w:ascii="Times New Roman" w:hAnsi="Times New Roman" w:eastAsia="宋体" w:cs="Times New Roman"/>
                      <w:bCs/>
                      <w:color w:val="auto"/>
                      <w:sz w:val="21"/>
                      <w:szCs w:val="21"/>
                      <w:highlight w:val="none"/>
                    </w:rPr>
                    <w:t>（2）监测频率：</w:t>
                  </w:r>
                  <w:r>
                    <w:rPr>
                      <w:rFonts w:hint="eastAsia" w:ascii="Times New Roman" w:hAnsi="Times New Roman" w:eastAsia="宋体" w:cs="Times New Roman"/>
                      <w:bCs/>
                      <w:color w:val="auto"/>
                      <w:sz w:val="21"/>
                      <w:szCs w:val="21"/>
                      <w:highlight w:val="none"/>
                      <w:lang w:val="en-US" w:eastAsia="zh-CN"/>
                    </w:rPr>
                    <w:t>竣工环保验收</w:t>
                  </w:r>
                  <w:r>
                    <w:rPr>
                      <w:rFonts w:ascii="Times New Roman" w:hAnsi="Times New Roman" w:eastAsia="宋体" w:cs="Times New Roman"/>
                      <w:bCs/>
                      <w:color w:val="auto"/>
                      <w:sz w:val="21"/>
                      <w:szCs w:val="21"/>
                      <w:highlight w:val="none"/>
                    </w:rPr>
                    <w:t>1次。</w:t>
                  </w:r>
                </w:p>
                <w:p w14:paraId="68C0E2A8">
                  <w:pPr>
                    <w:spacing w:line="240" w:lineRule="auto"/>
                    <w:ind w:firstLine="0" w:firstLineChars="0"/>
                    <w:jc w:val="center"/>
                    <w:rPr>
                      <w:rFonts w:ascii="Times New Roman" w:hAnsi="Times New Roman" w:eastAsia="宋体" w:cs="Times New Roman"/>
                      <w:bCs/>
                      <w:color w:val="auto"/>
                      <w:sz w:val="21"/>
                      <w:szCs w:val="21"/>
                      <w:highlight w:val="none"/>
                    </w:rPr>
                  </w:pPr>
                  <w:r>
                    <w:rPr>
                      <w:rFonts w:ascii="Times New Roman" w:hAnsi="Times New Roman" w:eastAsia="宋体" w:cs="Times New Roman"/>
                      <w:bCs/>
                      <w:color w:val="auto"/>
                      <w:sz w:val="21"/>
                      <w:szCs w:val="21"/>
                      <w:highlight w:val="none"/>
                    </w:rPr>
                    <w:t>（3）监测点：</w:t>
                  </w:r>
                  <w:r>
                    <w:rPr>
                      <w:rFonts w:hint="eastAsia" w:ascii="Times New Roman" w:hAnsi="Times New Roman" w:eastAsia="宋体" w:cs="Times New Roman"/>
                      <w:bCs/>
                      <w:color w:val="auto"/>
                      <w:sz w:val="21"/>
                      <w:szCs w:val="21"/>
                      <w:highlight w:val="none"/>
                      <w:lang w:val="en-US" w:eastAsia="zh-CN"/>
                    </w:rPr>
                    <w:t>勘查区</w:t>
                  </w:r>
                  <w:r>
                    <w:rPr>
                      <w:rFonts w:hint="eastAsia" w:ascii="Times New Roman" w:hAnsi="Times New Roman" w:eastAsia="宋体" w:cs="Times New Roman"/>
                      <w:color w:val="auto"/>
                      <w:kern w:val="2"/>
                      <w:sz w:val="21"/>
                      <w:szCs w:val="21"/>
                      <w:highlight w:val="none"/>
                      <w:lang w:val="en-US" w:eastAsia="zh-CN" w:bidi="ar-SA"/>
                    </w:rPr>
                    <w:t>下游500m处</w:t>
                  </w:r>
                  <w:r>
                    <w:rPr>
                      <w:rFonts w:ascii="Times New Roman" w:hAnsi="Times New Roman" w:eastAsia="宋体" w:cs="Times New Roman"/>
                      <w:bCs/>
                      <w:color w:val="auto"/>
                      <w:sz w:val="21"/>
                      <w:szCs w:val="21"/>
                      <w:highlight w:val="none"/>
                    </w:rPr>
                    <w:t>。</w:t>
                  </w:r>
                </w:p>
              </w:tc>
              <w:tc>
                <w:tcPr>
                  <w:tcW w:w="573" w:type="pct"/>
                  <w:tcBorders>
                    <w:tl2br w:val="nil"/>
                    <w:tr2bl w:val="nil"/>
                  </w:tcBorders>
                  <w:noWrap w:val="0"/>
                  <w:vAlign w:val="center"/>
                </w:tcPr>
                <w:p w14:paraId="3FECACA3">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有资质监测公司</w:t>
                  </w:r>
                </w:p>
              </w:tc>
            </w:tr>
            <w:tr w14:paraId="7EECCE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2" w:type="pct"/>
                  <w:tcBorders>
                    <w:tl2br w:val="nil"/>
                    <w:tr2bl w:val="nil"/>
                  </w:tcBorders>
                  <w:noWrap w:val="0"/>
                  <w:vAlign w:val="center"/>
                </w:tcPr>
                <w:p w14:paraId="21C341D6">
                  <w:pPr>
                    <w:spacing w:line="240" w:lineRule="auto"/>
                    <w:ind w:firstLine="0" w:firstLine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w:t>
                  </w:r>
                </w:p>
              </w:tc>
              <w:tc>
                <w:tcPr>
                  <w:tcW w:w="850" w:type="pct"/>
                  <w:tcBorders>
                    <w:tl2br w:val="nil"/>
                    <w:tr2bl w:val="nil"/>
                  </w:tcBorders>
                  <w:noWrap w:val="0"/>
                  <w:vAlign w:val="center"/>
                </w:tcPr>
                <w:p w14:paraId="619C623E">
                  <w:pPr>
                    <w:spacing w:line="240" w:lineRule="auto"/>
                    <w:ind w:firstLine="0" w:firstLineChars="0"/>
                    <w:jc w:val="center"/>
                    <w:rPr>
                      <w:rFonts w:hint="eastAsia" w:ascii="Times New Roman" w:hAnsi="Times New Roman" w:eastAsia="宋体" w:cs="Times New Roman"/>
                      <w:bCs/>
                      <w:color w:val="auto"/>
                      <w:sz w:val="21"/>
                      <w:szCs w:val="21"/>
                      <w:highlight w:val="none"/>
                      <w:lang w:val="en-US" w:eastAsia="zh-CN"/>
                    </w:rPr>
                  </w:pPr>
                  <w:r>
                    <w:rPr>
                      <w:rFonts w:hint="eastAsia"/>
                      <w:color w:val="000000"/>
                      <w:sz w:val="21"/>
                    </w:rPr>
                    <w:t>生态监测</w:t>
                  </w:r>
                </w:p>
              </w:tc>
              <w:tc>
                <w:tcPr>
                  <w:tcW w:w="3253" w:type="pct"/>
                  <w:tcBorders>
                    <w:tl2br w:val="nil"/>
                    <w:tr2bl w:val="nil"/>
                  </w:tcBorders>
                  <w:noWrap w:val="0"/>
                  <w:vAlign w:val="center"/>
                </w:tcPr>
                <w:p w14:paraId="0E312A7D">
                  <w:pPr>
                    <w:numPr>
                      <w:ilvl w:val="0"/>
                      <w:numId w:val="0"/>
                    </w:numPr>
                    <w:spacing w:line="240" w:lineRule="auto"/>
                    <w:ind w:firstLine="0" w:firstLineChars="0"/>
                    <w:jc w:val="center"/>
                    <w:rPr>
                      <w:rFonts w:hint="eastAsia"/>
                      <w:color w:val="000000"/>
                      <w:sz w:val="21"/>
                    </w:rPr>
                  </w:pPr>
                  <w:r>
                    <w:rPr>
                      <w:rFonts w:hint="eastAsia" w:ascii="Times New Roman" w:hAnsi="Times New Roman" w:eastAsia="宋体" w:cs="Times New Roman"/>
                      <w:color w:val="000000"/>
                      <w:kern w:val="2"/>
                      <w:sz w:val="21"/>
                      <w:szCs w:val="24"/>
                      <w:lang w:val="en-US" w:eastAsia="zh-CN" w:bidi="ar-SA"/>
                    </w:rPr>
                    <w:t>（1）</w:t>
                  </w:r>
                  <w:r>
                    <w:rPr>
                      <w:rFonts w:ascii="Times New Roman" w:hAnsi="Times New Roman" w:eastAsia="宋体" w:cs="Times New Roman"/>
                      <w:bCs/>
                      <w:color w:val="auto"/>
                      <w:sz w:val="21"/>
                      <w:szCs w:val="21"/>
                      <w:highlight w:val="none"/>
                    </w:rPr>
                    <w:t>监测项目：</w:t>
                  </w:r>
                  <w:r>
                    <w:rPr>
                      <w:rFonts w:hint="eastAsia"/>
                      <w:color w:val="000000"/>
                      <w:sz w:val="21"/>
                    </w:rPr>
                    <w:t>地形地貌景观恢复、土壤环境恢复、植被类型、植物种类、高度、盖度、丰富度、土地利用情况变化</w:t>
                  </w:r>
                </w:p>
                <w:p w14:paraId="509A59B6">
                  <w:pPr>
                    <w:numPr>
                      <w:ilvl w:val="0"/>
                      <w:numId w:val="0"/>
                    </w:numPr>
                    <w:spacing w:line="240" w:lineRule="auto"/>
                    <w:ind w:left="0" w:leftChars="0" w:firstLine="0" w:firstLineChars="0"/>
                    <w:jc w:val="center"/>
                  </w:pPr>
                  <w:r>
                    <w:rPr>
                      <w:rFonts w:ascii="Times New Roman" w:hAnsi="Times New Roman" w:eastAsia="宋体" w:cs="Times New Roman"/>
                      <w:bCs/>
                      <w:color w:val="auto"/>
                      <w:sz w:val="21"/>
                      <w:szCs w:val="21"/>
                      <w:highlight w:val="none"/>
                    </w:rPr>
                    <w:t>（2）监测频率：</w:t>
                  </w:r>
                  <w:r>
                    <w:rPr>
                      <w:rFonts w:hint="eastAsia" w:ascii="Times New Roman" w:hAnsi="Times New Roman" w:eastAsia="宋体" w:cs="Times New Roman"/>
                      <w:bCs/>
                      <w:color w:val="auto"/>
                      <w:sz w:val="21"/>
                      <w:szCs w:val="21"/>
                      <w:highlight w:val="none"/>
                      <w:lang w:val="en-US" w:eastAsia="zh-CN"/>
                    </w:rPr>
                    <w:t>竣工环保验收</w:t>
                  </w:r>
                  <w:r>
                    <w:rPr>
                      <w:rFonts w:ascii="Times New Roman" w:hAnsi="Times New Roman" w:eastAsia="宋体" w:cs="Times New Roman"/>
                      <w:bCs/>
                      <w:color w:val="auto"/>
                      <w:sz w:val="21"/>
                      <w:szCs w:val="21"/>
                      <w:highlight w:val="none"/>
                    </w:rPr>
                    <w:t>1次。</w:t>
                  </w:r>
                </w:p>
                <w:p w14:paraId="24ED727C">
                  <w:pPr>
                    <w:numPr>
                      <w:ilvl w:val="0"/>
                      <w:numId w:val="0"/>
                    </w:numPr>
                    <w:spacing w:line="240" w:lineRule="auto"/>
                    <w:ind w:left="0" w:leftChars="0" w:firstLine="0" w:firstLineChars="0"/>
                    <w:jc w:val="center"/>
                  </w:pPr>
                  <w:r>
                    <w:rPr>
                      <w:rFonts w:ascii="Times New Roman" w:hAnsi="Times New Roman" w:eastAsia="宋体" w:cs="Times New Roman"/>
                      <w:bCs/>
                      <w:color w:val="auto"/>
                      <w:sz w:val="21"/>
                      <w:szCs w:val="21"/>
                      <w:highlight w:val="none"/>
                    </w:rPr>
                    <w:t>（3）监测点：</w:t>
                  </w:r>
                  <w:r>
                    <w:rPr>
                      <w:rFonts w:hint="eastAsia" w:ascii="Times New Roman" w:hAnsi="Times New Roman" w:eastAsia="宋体" w:cs="Times New Roman"/>
                      <w:bCs/>
                      <w:color w:val="auto"/>
                      <w:sz w:val="21"/>
                      <w:szCs w:val="21"/>
                      <w:highlight w:val="none"/>
                      <w:lang w:val="en-US" w:eastAsia="zh-CN"/>
                    </w:rPr>
                    <w:t>勘查区</w:t>
                  </w:r>
                  <w:r>
                    <w:rPr>
                      <w:rFonts w:ascii="Times New Roman" w:hAnsi="Times New Roman" w:eastAsia="宋体" w:cs="Times New Roman"/>
                      <w:bCs/>
                      <w:color w:val="auto"/>
                      <w:sz w:val="21"/>
                      <w:szCs w:val="21"/>
                      <w:highlight w:val="none"/>
                    </w:rPr>
                    <w:t>。</w:t>
                  </w:r>
                </w:p>
              </w:tc>
              <w:tc>
                <w:tcPr>
                  <w:tcW w:w="573" w:type="pct"/>
                  <w:tcBorders>
                    <w:tl2br w:val="nil"/>
                    <w:tr2bl w:val="nil"/>
                  </w:tcBorders>
                  <w:noWrap w:val="0"/>
                  <w:vAlign w:val="center"/>
                </w:tcPr>
                <w:p w14:paraId="1E507A7B">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r>
          </w:tbl>
          <w:p w14:paraId="4ECA5FAB">
            <w:pPr>
              <w:ind w:firstLine="480"/>
              <w:rPr>
                <w:szCs w:val="32"/>
              </w:rPr>
            </w:pPr>
          </w:p>
          <w:p w14:paraId="60F86481">
            <w:pPr>
              <w:ind w:firstLine="480"/>
              <w:rPr>
                <w:szCs w:val="32"/>
              </w:rPr>
            </w:pPr>
          </w:p>
          <w:p w14:paraId="712439B2">
            <w:pPr>
              <w:ind w:firstLine="0" w:firstLineChars="0"/>
              <w:rPr>
                <w:szCs w:val="32"/>
              </w:rPr>
            </w:pPr>
          </w:p>
        </w:tc>
      </w:tr>
      <w:tr w14:paraId="00EF2C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46" w:hRule="atLeast"/>
          <w:jc w:val="center"/>
        </w:trPr>
        <w:tc>
          <w:tcPr>
            <w:tcW w:w="454" w:type="dxa"/>
            <w:tcMar>
              <w:left w:w="28" w:type="dxa"/>
              <w:right w:w="28" w:type="dxa"/>
            </w:tcMar>
            <w:vAlign w:val="center"/>
          </w:tcPr>
          <w:p w14:paraId="40DE078D">
            <w:pPr>
              <w:pStyle w:val="31"/>
            </w:pPr>
            <w:r>
              <w:rPr>
                <w:rFonts w:hint="eastAsia"/>
              </w:rPr>
              <w:t>环保</w:t>
            </w:r>
          </w:p>
          <w:p w14:paraId="3CD98250">
            <w:pPr>
              <w:pStyle w:val="31"/>
            </w:pPr>
            <w:r>
              <w:rPr>
                <w:rFonts w:hint="eastAsia"/>
              </w:rPr>
              <w:t>投资</w:t>
            </w:r>
          </w:p>
        </w:tc>
        <w:tc>
          <w:tcPr>
            <w:tcW w:w="8154" w:type="dxa"/>
            <w:vAlign w:val="center"/>
          </w:tcPr>
          <w:p w14:paraId="540BAB60">
            <w:pPr>
              <w:ind w:firstLine="480"/>
              <w:rPr>
                <w:b/>
                <w:bCs/>
                <w:szCs w:val="32"/>
              </w:rPr>
            </w:pPr>
            <w:r>
              <w:t>项目环境保护投资总计</w:t>
            </w:r>
            <w:r>
              <w:rPr>
                <w:rFonts w:hint="eastAsia"/>
                <w:lang w:val="en-US" w:eastAsia="zh-CN"/>
              </w:rPr>
              <w:t>7</w:t>
            </w:r>
            <w:r>
              <w:rPr>
                <w:rFonts w:hint="eastAsia"/>
              </w:rPr>
              <w:t>3</w:t>
            </w:r>
            <w:r>
              <w:t>万元，占总投资</w:t>
            </w:r>
            <w:r>
              <w:rPr>
                <w:rFonts w:hint="eastAsia"/>
                <w:lang w:val="en-US" w:eastAsia="zh-CN"/>
              </w:rPr>
              <w:t>1535</w:t>
            </w:r>
            <w:r>
              <w:t>万元的</w:t>
            </w:r>
            <w:r>
              <w:rPr>
                <w:rFonts w:hint="eastAsia"/>
                <w:lang w:val="en-US" w:eastAsia="zh-CN"/>
              </w:rPr>
              <w:t>4.75</w:t>
            </w:r>
            <w:r>
              <w:t>%，项目环保措施及投资见</w:t>
            </w:r>
            <w:r>
              <w:rPr>
                <w:rFonts w:hint="eastAsia"/>
              </w:rPr>
              <w:t>下表。</w:t>
            </w:r>
          </w:p>
          <w:p w14:paraId="2D488FEC">
            <w:pPr>
              <w:pStyle w:val="33"/>
              <w:spacing w:before="156"/>
            </w:pPr>
            <w:r>
              <w:t>表</w:t>
            </w:r>
            <w:r>
              <w:rPr>
                <w:rFonts w:hint="default" w:ascii="Times New Roman" w:hAnsi="Times New Roman" w:cs="Times New Roman"/>
              </w:rPr>
              <w:t>5-</w:t>
            </w:r>
            <w:r>
              <w:rPr>
                <w:rFonts w:hint="default" w:ascii="Times New Roman" w:hAnsi="Times New Roman" w:cs="Times New Roman"/>
                <w:lang w:val="en-US" w:eastAsia="zh-CN"/>
              </w:rPr>
              <w:t>9</w:t>
            </w:r>
            <w:r>
              <w:t>环保</w:t>
            </w:r>
            <w:r>
              <w:rPr>
                <w:rFonts w:hint="eastAsia"/>
              </w:rPr>
              <w:t>措施及</w:t>
            </w:r>
            <w:r>
              <w:t>投资估算一览表</w:t>
            </w:r>
          </w:p>
          <w:tbl>
            <w:tblPr>
              <w:tblStyle w:val="23"/>
              <w:tblW w:w="82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57" w:type="dxa"/>
                <w:left w:w="28" w:type="dxa"/>
                <w:bottom w:w="57" w:type="dxa"/>
                <w:right w:w="28" w:type="dxa"/>
              </w:tblCellMar>
            </w:tblPr>
            <w:tblGrid>
              <w:gridCol w:w="536"/>
              <w:gridCol w:w="949"/>
              <w:gridCol w:w="5543"/>
              <w:gridCol w:w="1231"/>
            </w:tblGrid>
            <w:tr w14:paraId="715233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593" w:hRule="atLeast"/>
                <w:tblHeader/>
                <w:jc w:val="center"/>
              </w:trPr>
              <w:tc>
                <w:tcPr>
                  <w:tcW w:w="1485" w:type="dxa"/>
                  <w:gridSpan w:val="2"/>
                  <w:tcMar>
                    <w:top w:w="57" w:type="dxa"/>
                    <w:bottom w:w="57" w:type="dxa"/>
                  </w:tcMar>
                  <w:vAlign w:val="center"/>
                </w:tcPr>
                <w:p w14:paraId="79674891">
                  <w:pPr>
                    <w:pStyle w:val="36"/>
                  </w:pPr>
                  <w:r>
                    <w:t>项目</w:t>
                  </w:r>
                </w:p>
              </w:tc>
              <w:tc>
                <w:tcPr>
                  <w:tcW w:w="5543" w:type="dxa"/>
                  <w:tcMar>
                    <w:top w:w="57" w:type="dxa"/>
                    <w:bottom w:w="57" w:type="dxa"/>
                  </w:tcMar>
                  <w:vAlign w:val="center"/>
                </w:tcPr>
                <w:p w14:paraId="618D297D">
                  <w:pPr>
                    <w:pStyle w:val="36"/>
                  </w:pPr>
                  <w:r>
                    <w:t>环保措施</w:t>
                  </w:r>
                </w:p>
              </w:tc>
              <w:tc>
                <w:tcPr>
                  <w:tcW w:w="1231" w:type="dxa"/>
                  <w:tcMar>
                    <w:top w:w="57" w:type="dxa"/>
                    <w:bottom w:w="57" w:type="dxa"/>
                  </w:tcMar>
                  <w:vAlign w:val="center"/>
                </w:tcPr>
                <w:p w14:paraId="47002B73">
                  <w:pPr>
                    <w:pStyle w:val="36"/>
                  </w:pPr>
                  <w:r>
                    <w:t>环保费用</w:t>
                  </w:r>
                  <w:r>
                    <w:rPr>
                      <w:rFonts w:hint="eastAsia"/>
                    </w:rPr>
                    <w:t>（万元）</w:t>
                  </w:r>
                </w:p>
              </w:tc>
            </w:tr>
            <w:tr w14:paraId="61227D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cantSplit/>
                <w:trHeight w:val="90" w:hRule="atLeast"/>
                <w:jc w:val="center"/>
              </w:trPr>
              <w:tc>
                <w:tcPr>
                  <w:tcW w:w="536" w:type="dxa"/>
                  <w:tcMar>
                    <w:top w:w="57" w:type="dxa"/>
                    <w:bottom w:w="57" w:type="dxa"/>
                  </w:tcMar>
                  <w:vAlign w:val="center"/>
                </w:tcPr>
                <w:p w14:paraId="7AC26DBA">
                  <w:pPr>
                    <w:pStyle w:val="36"/>
                  </w:pPr>
                  <w:r>
                    <w:t>废气</w:t>
                  </w:r>
                </w:p>
              </w:tc>
              <w:tc>
                <w:tcPr>
                  <w:tcW w:w="949" w:type="dxa"/>
                  <w:vAlign w:val="center"/>
                </w:tcPr>
                <w:p w14:paraId="7D999E39">
                  <w:pPr>
                    <w:pStyle w:val="36"/>
                  </w:pPr>
                  <w:r>
                    <w:rPr>
                      <w:rFonts w:hint="eastAsia"/>
                    </w:rPr>
                    <w:t>扬尘</w:t>
                  </w:r>
                </w:p>
              </w:tc>
              <w:tc>
                <w:tcPr>
                  <w:tcW w:w="5543" w:type="dxa"/>
                  <w:tcMar>
                    <w:top w:w="57" w:type="dxa"/>
                    <w:bottom w:w="57" w:type="dxa"/>
                  </w:tcMar>
                  <w:vAlign w:val="center"/>
                </w:tcPr>
                <w:p w14:paraId="01C7F09F">
                  <w:pPr>
                    <w:pStyle w:val="36"/>
                  </w:pPr>
                  <w:r>
                    <w:t>对</w:t>
                  </w:r>
                  <w:r>
                    <w:rPr>
                      <w:rFonts w:hint="eastAsia"/>
                    </w:rPr>
                    <w:t>弃渣堆</w:t>
                  </w:r>
                  <w:r>
                    <w:t>表面</w:t>
                  </w:r>
                  <w:r>
                    <w:rPr>
                      <w:rFonts w:hint="eastAsia"/>
                    </w:rPr>
                    <w:t>压实</w:t>
                  </w:r>
                  <w:r>
                    <w:t>、覆盖</w:t>
                  </w:r>
                  <w:r>
                    <w:rPr>
                      <w:rFonts w:hint="eastAsia"/>
                    </w:rPr>
                    <w:t>、洒水降尘；矿区道路洒水降尘；钻探、槽探作业区设置围挡，洒水降尘</w:t>
                  </w:r>
                </w:p>
              </w:tc>
              <w:tc>
                <w:tcPr>
                  <w:tcW w:w="1231" w:type="dxa"/>
                  <w:tcMar>
                    <w:top w:w="57" w:type="dxa"/>
                    <w:bottom w:w="57" w:type="dxa"/>
                  </w:tcMar>
                  <w:vAlign w:val="center"/>
                </w:tcPr>
                <w:p w14:paraId="0761E921">
                  <w:pPr>
                    <w:pStyle w:val="36"/>
                    <w:rPr>
                      <w:rFonts w:hint="eastAsia" w:eastAsia="宋体"/>
                      <w:lang w:eastAsia="zh-CN"/>
                    </w:rPr>
                  </w:pPr>
                  <w:r>
                    <w:rPr>
                      <w:rFonts w:hint="eastAsia"/>
                    </w:rPr>
                    <w:t>1</w:t>
                  </w:r>
                  <w:r>
                    <w:rPr>
                      <w:rFonts w:hint="eastAsia"/>
                      <w:lang w:val="en-US" w:eastAsia="zh-CN"/>
                    </w:rPr>
                    <w:t>5</w:t>
                  </w:r>
                </w:p>
              </w:tc>
            </w:tr>
            <w:tr w14:paraId="075386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cantSplit/>
                <w:trHeight w:val="90" w:hRule="atLeast"/>
                <w:jc w:val="center"/>
              </w:trPr>
              <w:tc>
                <w:tcPr>
                  <w:tcW w:w="536" w:type="dxa"/>
                  <w:vMerge w:val="restart"/>
                  <w:tcMar>
                    <w:top w:w="57" w:type="dxa"/>
                    <w:bottom w:w="57" w:type="dxa"/>
                  </w:tcMar>
                  <w:vAlign w:val="center"/>
                </w:tcPr>
                <w:p w14:paraId="4AFB541D">
                  <w:pPr>
                    <w:pStyle w:val="36"/>
                  </w:pPr>
                  <w:r>
                    <w:t>废水</w:t>
                  </w:r>
                </w:p>
              </w:tc>
              <w:tc>
                <w:tcPr>
                  <w:tcW w:w="949" w:type="dxa"/>
                  <w:vAlign w:val="center"/>
                </w:tcPr>
                <w:p w14:paraId="17E1B905">
                  <w:pPr>
                    <w:pStyle w:val="36"/>
                  </w:pPr>
                  <w:r>
                    <w:rPr>
                      <w:rFonts w:hint="eastAsia"/>
                    </w:rPr>
                    <w:t>钻探废水</w:t>
                  </w:r>
                </w:p>
              </w:tc>
              <w:tc>
                <w:tcPr>
                  <w:tcW w:w="5543" w:type="dxa"/>
                  <w:tcMar>
                    <w:top w:w="57" w:type="dxa"/>
                    <w:bottom w:w="57" w:type="dxa"/>
                  </w:tcMar>
                  <w:vAlign w:val="center"/>
                </w:tcPr>
                <w:p w14:paraId="6A6CDCD5">
                  <w:pPr>
                    <w:pStyle w:val="36"/>
                  </w:pPr>
                  <w:r>
                    <w:t>每个钻孔设置一座循环沉淀池（5m</w:t>
                  </w:r>
                  <w:r>
                    <w:rPr>
                      <w:vertAlign w:val="superscript"/>
                    </w:rPr>
                    <w:t>3</w:t>
                  </w:r>
                  <w:r>
                    <w:t>），采用防渗膜塑料布及支架组装，</w:t>
                  </w:r>
                  <w:r>
                    <w:rPr>
                      <w:rFonts w:hint="eastAsia"/>
                    </w:rPr>
                    <w:t>废水</w:t>
                  </w:r>
                  <w:r>
                    <w:t>循环使用</w:t>
                  </w:r>
                  <w:r>
                    <w:rPr>
                      <w:rFonts w:hint="eastAsia"/>
                    </w:rPr>
                    <w:t>。</w:t>
                  </w:r>
                </w:p>
              </w:tc>
              <w:tc>
                <w:tcPr>
                  <w:tcW w:w="1231" w:type="dxa"/>
                  <w:tcMar>
                    <w:top w:w="57" w:type="dxa"/>
                    <w:bottom w:w="57" w:type="dxa"/>
                  </w:tcMar>
                  <w:vAlign w:val="center"/>
                </w:tcPr>
                <w:p w14:paraId="0A6FB64E">
                  <w:pPr>
                    <w:pStyle w:val="36"/>
                    <w:rPr>
                      <w:rFonts w:hint="default" w:eastAsia="宋体"/>
                      <w:lang w:val="en-US" w:eastAsia="zh-CN"/>
                    </w:rPr>
                  </w:pPr>
                  <w:r>
                    <w:rPr>
                      <w:rFonts w:hint="eastAsia"/>
                      <w:lang w:val="en-US" w:eastAsia="zh-CN"/>
                    </w:rPr>
                    <w:t>21</w:t>
                  </w:r>
                </w:p>
              </w:tc>
            </w:tr>
            <w:tr w14:paraId="36EBE8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cantSplit/>
                <w:trHeight w:val="90" w:hRule="atLeast"/>
                <w:jc w:val="center"/>
              </w:trPr>
              <w:tc>
                <w:tcPr>
                  <w:tcW w:w="536" w:type="dxa"/>
                  <w:vMerge w:val="continue"/>
                  <w:tcMar>
                    <w:top w:w="57" w:type="dxa"/>
                    <w:bottom w:w="57" w:type="dxa"/>
                  </w:tcMar>
                  <w:vAlign w:val="center"/>
                </w:tcPr>
                <w:p w14:paraId="5254B393">
                  <w:pPr>
                    <w:pStyle w:val="36"/>
                  </w:pPr>
                </w:p>
              </w:tc>
              <w:tc>
                <w:tcPr>
                  <w:tcW w:w="949" w:type="dxa"/>
                  <w:vAlign w:val="center"/>
                </w:tcPr>
                <w:p w14:paraId="64F0C922">
                  <w:pPr>
                    <w:pStyle w:val="36"/>
                  </w:pPr>
                  <w:r>
                    <w:rPr>
                      <w:rFonts w:hint="eastAsia"/>
                    </w:rPr>
                    <w:t>生活废水</w:t>
                  </w:r>
                </w:p>
              </w:tc>
              <w:tc>
                <w:tcPr>
                  <w:tcW w:w="5543" w:type="dxa"/>
                  <w:tcMar>
                    <w:top w:w="57" w:type="dxa"/>
                    <w:bottom w:w="57" w:type="dxa"/>
                  </w:tcMar>
                  <w:vAlign w:val="center"/>
                </w:tcPr>
                <w:p w14:paraId="306C5BDA">
                  <w:pPr>
                    <w:pStyle w:val="36"/>
                  </w:pPr>
                  <w:r>
                    <w:rPr>
                      <w:rFonts w:hint="eastAsia"/>
                      <w:lang w:val="en-US" w:eastAsia="zh-CN"/>
                    </w:rPr>
                    <w:t>生活污水排入一体化污水处理设施后，用于洒水降尘和周边绿化</w:t>
                  </w:r>
                  <w:r>
                    <w:rPr>
                      <w:rFonts w:hint="eastAsia"/>
                    </w:rPr>
                    <w:t>。</w:t>
                  </w:r>
                </w:p>
              </w:tc>
              <w:tc>
                <w:tcPr>
                  <w:tcW w:w="1231" w:type="dxa"/>
                  <w:tcMar>
                    <w:top w:w="57" w:type="dxa"/>
                    <w:bottom w:w="57" w:type="dxa"/>
                  </w:tcMar>
                  <w:vAlign w:val="center"/>
                </w:tcPr>
                <w:p w14:paraId="28658F2B">
                  <w:pPr>
                    <w:pStyle w:val="36"/>
                    <w:rPr>
                      <w:rFonts w:hint="default" w:eastAsia="宋体"/>
                      <w:lang w:val="en-US" w:eastAsia="zh-CN"/>
                    </w:rPr>
                  </w:pPr>
                  <w:r>
                    <w:rPr>
                      <w:rFonts w:hint="eastAsia"/>
                      <w:lang w:val="en-US" w:eastAsia="zh-CN"/>
                    </w:rPr>
                    <w:t>10</w:t>
                  </w:r>
                </w:p>
              </w:tc>
            </w:tr>
            <w:tr w14:paraId="2BB57D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cantSplit/>
                <w:trHeight w:val="90" w:hRule="atLeast"/>
                <w:jc w:val="center"/>
              </w:trPr>
              <w:tc>
                <w:tcPr>
                  <w:tcW w:w="536" w:type="dxa"/>
                  <w:tcMar>
                    <w:top w:w="57" w:type="dxa"/>
                    <w:bottom w:w="57" w:type="dxa"/>
                  </w:tcMar>
                  <w:vAlign w:val="center"/>
                </w:tcPr>
                <w:p w14:paraId="0C62289D">
                  <w:pPr>
                    <w:pStyle w:val="36"/>
                  </w:pPr>
                  <w:r>
                    <w:t>噪声</w:t>
                  </w:r>
                </w:p>
              </w:tc>
              <w:tc>
                <w:tcPr>
                  <w:tcW w:w="949" w:type="dxa"/>
                  <w:vAlign w:val="center"/>
                </w:tcPr>
                <w:p w14:paraId="6FEE4336">
                  <w:pPr>
                    <w:pStyle w:val="36"/>
                  </w:pPr>
                  <w:r>
                    <w:rPr>
                      <w:rFonts w:hint="eastAsia"/>
                    </w:rPr>
                    <w:t>机械噪声</w:t>
                  </w:r>
                </w:p>
              </w:tc>
              <w:tc>
                <w:tcPr>
                  <w:tcW w:w="5543" w:type="dxa"/>
                  <w:tcMar>
                    <w:top w:w="57" w:type="dxa"/>
                    <w:bottom w:w="57" w:type="dxa"/>
                  </w:tcMar>
                  <w:vAlign w:val="center"/>
                </w:tcPr>
                <w:p w14:paraId="45436390">
                  <w:pPr>
                    <w:pStyle w:val="36"/>
                  </w:pPr>
                  <w:r>
                    <w:t>对连续接触高噪声源的操作人员，采取相应防护措施</w:t>
                  </w:r>
                </w:p>
              </w:tc>
              <w:tc>
                <w:tcPr>
                  <w:tcW w:w="1231" w:type="dxa"/>
                  <w:tcMar>
                    <w:top w:w="57" w:type="dxa"/>
                    <w:bottom w:w="57" w:type="dxa"/>
                  </w:tcMar>
                  <w:vAlign w:val="center"/>
                </w:tcPr>
                <w:p w14:paraId="0BEE018B">
                  <w:pPr>
                    <w:pStyle w:val="36"/>
                    <w:rPr>
                      <w:rFonts w:hint="eastAsia" w:eastAsia="宋体"/>
                      <w:lang w:eastAsia="zh-CN"/>
                    </w:rPr>
                  </w:pPr>
                  <w:r>
                    <w:rPr>
                      <w:rFonts w:hint="eastAsia"/>
                      <w:lang w:val="en-US" w:eastAsia="zh-CN"/>
                    </w:rPr>
                    <w:t>2</w:t>
                  </w:r>
                </w:p>
              </w:tc>
            </w:tr>
            <w:tr w14:paraId="494C1D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cantSplit/>
                <w:trHeight w:val="90" w:hRule="atLeast"/>
                <w:jc w:val="center"/>
              </w:trPr>
              <w:tc>
                <w:tcPr>
                  <w:tcW w:w="536" w:type="dxa"/>
                  <w:vMerge w:val="restart"/>
                  <w:tcMar>
                    <w:top w:w="57" w:type="dxa"/>
                    <w:bottom w:w="57" w:type="dxa"/>
                  </w:tcMar>
                  <w:vAlign w:val="center"/>
                </w:tcPr>
                <w:p w14:paraId="71EE2939">
                  <w:pPr>
                    <w:pStyle w:val="36"/>
                  </w:pPr>
                  <w:r>
                    <w:t>固体</w:t>
                  </w:r>
                </w:p>
                <w:p w14:paraId="30EB40F8">
                  <w:pPr>
                    <w:pStyle w:val="36"/>
                  </w:pPr>
                  <w:r>
                    <w:t>废物</w:t>
                  </w:r>
                </w:p>
              </w:tc>
              <w:tc>
                <w:tcPr>
                  <w:tcW w:w="949" w:type="dxa"/>
                  <w:vAlign w:val="center"/>
                </w:tcPr>
                <w:p w14:paraId="599A306D">
                  <w:pPr>
                    <w:pStyle w:val="36"/>
                  </w:pPr>
                  <w:r>
                    <w:rPr>
                      <w:rFonts w:hint="eastAsia"/>
                    </w:rPr>
                    <w:t>临时弃土</w:t>
                  </w:r>
                </w:p>
              </w:tc>
              <w:tc>
                <w:tcPr>
                  <w:tcW w:w="5543" w:type="dxa"/>
                  <w:tcMar>
                    <w:top w:w="57" w:type="dxa"/>
                    <w:bottom w:w="57" w:type="dxa"/>
                  </w:tcMar>
                  <w:vAlign w:val="center"/>
                </w:tcPr>
                <w:p w14:paraId="5517E546">
                  <w:pPr>
                    <w:pStyle w:val="36"/>
                  </w:pPr>
                  <w:r>
                    <w:t>钻探产生的临时弃土，采用篷布覆盖暂存，然后用于植被恢复</w:t>
                  </w:r>
                </w:p>
              </w:tc>
              <w:tc>
                <w:tcPr>
                  <w:tcW w:w="1231" w:type="dxa"/>
                  <w:tcMar>
                    <w:top w:w="57" w:type="dxa"/>
                    <w:bottom w:w="57" w:type="dxa"/>
                  </w:tcMar>
                  <w:vAlign w:val="center"/>
                </w:tcPr>
                <w:p w14:paraId="090F32F8">
                  <w:pPr>
                    <w:pStyle w:val="36"/>
                  </w:pPr>
                  <w:r>
                    <w:t>/</w:t>
                  </w:r>
                </w:p>
              </w:tc>
            </w:tr>
            <w:tr w14:paraId="43E6EE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cantSplit/>
                <w:trHeight w:val="90" w:hRule="atLeast"/>
                <w:jc w:val="center"/>
              </w:trPr>
              <w:tc>
                <w:tcPr>
                  <w:tcW w:w="536" w:type="dxa"/>
                  <w:vMerge w:val="continue"/>
                  <w:tcMar>
                    <w:top w:w="57" w:type="dxa"/>
                    <w:bottom w:w="57" w:type="dxa"/>
                  </w:tcMar>
                  <w:vAlign w:val="center"/>
                </w:tcPr>
                <w:p w14:paraId="4CBBD870">
                  <w:pPr>
                    <w:pStyle w:val="36"/>
                  </w:pPr>
                </w:p>
              </w:tc>
              <w:tc>
                <w:tcPr>
                  <w:tcW w:w="949" w:type="dxa"/>
                  <w:vAlign w:val="center"/>
                </w:tcPr>
                <w:p w14:paraId="0DB4DEF9">
                  <w:pPr>
                    <w:pStyle w:val="36"/>
                  </w:pPr>
                  <w:r>
                    <w:rPr>
                      <w:rFonts w:hint="eastAsia"/>
                    </w:rPr>
                    <w:t>钻探泥浆</w:t>
                  </w:r>
                </w:p>
              </w:tc>
              <w:tc>
                <w:tcPr>
                  <w:tcW w:w="5543" w:type="dxa"/>
                  <w:tcMar>
                    <w:top w:w="57" w:type="dxa"/>
                    <w:bottom w:w="57" w:type="dxa"/>
                  </w:tcMar>
                  <w:vAlign w:val="center"/>
                </w:tcPr>
                <w:p w14:paraId="31D69399">
                  <w:pPr>
                    <w:pStyle w:val="36"/>
                  </w:pPr>
                  <w:r>
                    <w:t>产生的钻探泥浆待完工后，沉淀池固化填埋</w:t>
                  </w:r>
                </w:p>
              </w:tc>
              <w:tc>
                <w:tcPr>
                  <w:tcW w:w="1231" w:type="dxa"/>
                  <w:tcMar>
                    <w:top w:w="57" w:type="dxa"/>
                    <w:bottom w:w="57" w:type="dxa"/>
                  </w:tcMar>
                  <w:vAlign w:val="center"/>
                </w:tcPr>
                <w:p w14:paraId="48A6392F">
                  <w:pPr>
                    <w:pStyle w:val="36"/>
                    <w:rPr>
                      <w:rFonts w:hint="default" w:eastAsia="宋体"/>
                      <w:lang w:val="en-US" w:eastAsia="zh-CN"/>
                    </w:rPr>
                  </w:pPr>
                  <w:r>
                    <w:rPr>
                      <w:rFonts w:hint="eastAsia"/>
                      <w:lang w:val="en-US" w:eastAsia="zh-CN"/>
                    </w:rPr>
                    <w:t>10</w:t>
                  </w:r>
                </w:p>
              </w:tc>
            </w:tr>
            <w:tr w14:paraId="344041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cantSplit/>
                <w:trHeight w:val="90" w:hRule="atLeast"/>
                <w:jc w:val="center"/>
              </w:trPr>
              <w:tc>
                <w:tcPr>
                  <w:tcW w:w="536" w:type="dxa"/>
                  <w:vMerge w:val="continue"/>
                  <w:tcMar>
                    <w:top w:w="57" w:type="dxa"/>
                    <w:bottom w:w="57" w:type="dxa"/>
                  </w:tcMar>
                  <w:vAlign w:val="center"/>
                </w:tcPr>
                <w:p w14:paraId="1FC25F4A">
                  <w:pPr>
                    <w:pStyle w:val="36"/>
                  </w:pPr>
                </w:p>
              </w:tc>
              <w:tc>
                <w:tcPr>
                  <w:tcW w:w="949" w:type="dxa"/>
                  <w:vAlign w:val="center"/>
                </w:tcPr>
                <w:p w14:paraId="605542CC">
                  <w:pPr>
                    <w:pStyle w:val="36"/>
                  </w:pPr>
                  <w:r>
                    <w:rPr>
                      <w:rFonts w:hint="eastAsia"/>
                    </w:rPr>
                    <w:t>生活垃圾</w:t>
                  </w:r>
                </w:p>
              </w:tc>
              <w:tc>
                <w:tcPr>
                  <w:tcW w:w="5543" w:type="dxa"/>
                  <w:tcMar>
                    <w:top w:w="57" w:type="dxa"/>
                    <w:bottom w:w="57" w:type="dxa"/>
                  </w:tcMar>
                  <w:vAlign w:val="center"/>
                </w:tcPr>
                <w:p w14:paraId="4A42E5FB">
                  <w:pPr>
                    <w:pStyle w:val="36"/>
                  </w:pPr>
                  <w:r>
                    <w:rPr>
                      <w:rFonts w:hint="eastAsia"/>
                    </w:rPr>
                    <w:t>生活垃圾</w:t>
                  </w:r>
                  <w:r>
                    <w:rPr>
                      <w:rFonts w:hint="eastAsia"/>
                      <w:lang w:val="en-US" w:eastAsia="zh-CN"/>
                    </w:rPr>
                    <w:t>统一收集后送至和静县巴音布鲁克镇垃圾填埋场</w:t>
                  </w:r>
                </w:p>
              </w:tc>
              <w:tc>
                <w:tcPr>
                  <w:tcW w:w="1231" w:type="dxa"/>
                  <w:tcMar>
                    <w:top w:w="57" w:type="dxa"/>
                    <w:bottom w:w="57" w:type="dxa"/>
                  </w:tcMar>
                  <w:vAlign w:val="center"/>
                </w:tcPr>
                <w:p w14:paraId="6916F808">
                  <w:pPr>
                    <w:pStyle w:val="36"/>
                    <w:rPr>
                      <w:rFonts w:hint="eastAsia" w:eastAsia="宋体"/>
                      <w:lang w:eastAsia="zh-CN"/>
                    </w:rPr>
                  </w:pPr>
                  <w:r>
                    <w:rPr>
                      <w:rFonts w:hint="eastAsia"/>
                      <w:lang w:val="en-US" w:eastAsia="zh-CN"/>
                    </w:rPr>
                    <w:t>3</w:t>
                  </w:r>
                </w:p>
              </w:tc>
            </w:tr>
            <w:tr w14:paraId="07AC71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cantSplit/>
                <w:trHeight w:val="90" w:hRule="atLeast"/>
                <w:jc w:val="center"/>
              </w:trPr>
              <w:tc>
                <w:tcPr>
                  <w:tcW w:w="536" w:type="dxa"/>
                  <w:vMerge w:val="continue"/>
                  <w:tcMar>
                    <w:top w:w="57" w:type="dxa"/>
                    <w:bottom w:w="57" w:type="dxa"/>
                  </w:tcMar>
                  <w:vAlign w:val="center"/>
                </w:tcPr>
                <w:p w14:paraId="558836CA">
                  <w:pPr>
                    <w:pStyle w:val="36"/>
                  </w:pPr>
                </w:p>
              </w:tc>
              <w:tc>
                <w:tcPr>
                  <w:tcW w:w="949" w:type="dxa"/>
                  <w:vAlign w:val="center"/>
                </w:tcPr>
                <w:p w14:paraId="31A2C218">
                  <w:pPr>
                    <w:pStyle w:val="36"/>
                    <w:rPr>
                      <w:rFonts w:hint="eastAsia" w:eastAsia="宋体"/>
                      <w:lang w:val="en-US" w:eastAsia="zh-CN"/>
                    </w:rPr>
                  </w:pPr>
                  <w:r>
                    <w:rPr>
                      <w:rFonts w:hint="eastAsia"/>
                      <w:lang w:val="en-US" w:eastAsia="zh-CN"/>
                    </w:rPr>
                    <w:t>危险废物</w:t>
                  </w:r>
                </w:p>
              </w:tc>
              <w:tc>
                <w:tcPr>
                  <w:tcW w:w="5543" w:type="dxa"/>
                  <w:tcMar>
                    <w:top w:w="57" w:type="dxa"/>
                    <w:bottom w:w="57" w:type="dxa"/>
                  </w:tcMar>
                  <w:vAlign w:val="center"/>
                </w:tcPr>
                <w:p w14:paraId="2B0BDBF0">
                  <w:pPr>
                    <w:pStyle w:val="36"/>
                  </w:pPr>
                  <w:r>
                    <w:rPr>
                      <w:rFonts w:hint="eastAsia"/>
                      <w:lang w:val="en-US" w:eastAsia="zh-CN"/>
                    </w:rPr>
                    <w:t>集中收集交有资质单位处理</w:t>
                  </w:r>
                </w:p>
              </w:tc>
              <w:tc>
                <w:tcPr>
                  <w:tcW w:w="1231" w:type="dxa"/>
                  <w:tcMar>
                    <w:top w:w="57" w:type="dxa"/>
                    <w:bottom w:w="57" w:type="dxa"/>
                  </w:tcMar>
                  <w:vAlign w:val="center"/>
                </w:tcPr>
                <w:p w14:paraId="4A2D32A5">
                  <w:pPr>
                    <w:pStyle w:val="36"/>
                    <w:rPr>
                      <w:rFonts w:hint="eastAsia" w:eastAsia="宋体"/>
                      <w:lang w:val="en-US" w:eastAsia="zh-CN"/>
                    </w:rPr>
                  </w:pPr>
                  <w:r>
                    <w:rPr>
                      <w:rFonts w:hint="eastAsia"/>
                      <w:lang w:val="en-US" w:eastAsia="zh-CN"/>
                    </w:rPr>
                    <w:t>3</w:t>
                  </w:r>
                </w:p>
              </w:tc>
            </w:tr>
            <w:tr w14:paraId="77B646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cantSplit/>
                <w:trHeight w:val="563" w:hRule="atLeast"/>
                <w:jc w:val="center"/>
              </w:trPr>
              <w:tc>
                <w:tcPr>
                  <w:tcW w:w="1485" w:type="dxa"/>
                  <w:gridSpan w:val="2"/>
                  <w:tcMar>
                    <w:top w:w="57" w:type="dxa"/>
                    <w:bottom w:w="57" w:type="dxa"/>
                  </w:tcMar>
                  <w:vAlign w:val="center"/>
                </w:tcPr>
                <w:p w14:paraId="40CB35B5">
                  <w:pPr>
                    <w:pStyle w:val="36"/>
                  </w:pPr>
                  <w:r>
                    <w:rPr>
                      <w:rFonts w:hint="eastAsia"/>
                    </w:rPr>
                    <w:t>地下水</w:t>
                  </w:r>
                </w:p>
              </w:tc>
              <w:tc>
                <w:tcPr>
                  <w:tcW w:w="5543" w:type="dxa"/>
                  <w:tcMar>
                    <w:top w:w="57" w:type="dxa"/>
                    <w:bottom w:w="57" w:type="dxa"/>
                  </w:tcMar>
                  <w:vAlign w:val="center"/>
                </w:tcPr>
                <w:p w14:paraId="221CA129">
                  <w:pPr>
                    <w:pStyle w:val="36"/>
                  </w:pPr>
                  <w:r>
                    <w:rPr>
                      <w:rFonts w:hint="eastAsia"/>
                    </w:rPr>
                    <w:t>沉淀池采用防渗膜塑料布及支架组装成，满足一般防渗要求。柴油储存区铺设双层防渗土工布铺垫对储存区域进行防渗处理。</w:t>
                  </w:r>
                </w:p>
              </w:tc>
              <w:tc>
                <w:tcPr>
                  <w:tcW w:w="1231" w:type="dxa"/>
                  <w:tcMar>
                    <w:top w:w="57" w:type="dxa"/>
                    <w:bottom w:w="57" w:type="dxa"/>
                  </w:tcMar>
                  <w:vAlign w:val="center"/>
                </w:tcPr>
                <w:p w14:paraId="2047257C">
                  <w:pPr>
                    <w:pStyle w:val="36"/>
                    <w:rPr>
                      <w:rFonts w:hint="eastAsia" w:eastAsia="宋体"/>
                      <w:lang w:eastAsia="zh-CN"/>
                    </w:rPr>
                  </w:pPr>
                  <w:r>
                    <w:rPr>
                      <w:rFonts w:hint="eastAsia"/>
                      <w:lang w:val="en-US" w:eastAsia="zh-CN"/>
                    </w:rPr>
                    <w:t>7</w:t>
                  </w:r>
                </w:p>
              </w:tc>
            </w:tr>
            <w:tr w14:paraId="4800B3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cantSplit/>
                <w:trHeight w:val="563" w:hRule="atLeast"/>
                <w:jc w:val="center"/>
              </w:trPr>
              <w:tc>
                <w:tcPr>
                  <w:tcW w:w="1485" w:type="dxa"/>
                  <w:gridSpan w:val="2"/>
                  <w:tcMar>
                    <w:top w:w="57" w:type="dxa"/>
                    <w:bottom w:w="57" w:type="dxa"/>
                  </w:tcMar>
                  <w:vAlign w:val="center"/>
                </w:tcPr>
                <w:p w14:paraId="37BC9B87">
                  <w:pPr>
                    <w:pStyle w:val="36"/>
                  </w:pPr>
                  <w:r>
                    <w:rPr>
                      <w:rFonts w:hint="eastAsia"/>
                      <w:lang w:eastAsia="zh-CN"/>
                    </w:rPr>
                    <w:t>其他</w:t>
                  </w:r>
                </w:p>
              </w:tc>
              <w:tc>
                <w:tcPr>
                  <w:tcW w:w="5543" w:type="dxa"/>
                  <w:tcMar>
                    <w:top w:w="57" w:type="dxa"/>
                    <w:bottom w:w="57" w:type="dxa"/>
                  </w:tcMar>
                  <w:vAlign w:val="center"/>
                </w:tcPr>
                <w:p w14:paraId="0F273520">
                  <w:pPr>
                    <w:pStyle w:val="36"/>
                  </w:pPr>
                  <w:r>
                    <w:t>加强环境管理，对作业人员开展生态环境保护宣传教育</w:t>
                  </w:r>
                </w:p>
              </w:tc>
              <w:tc>
                <w:tcPr>
                  <w:tcW w:w="1231" w:type="dxa"/>
                  <w:tcMar>
                    <w:top w:w="57" w:type="dxa"/>
                    <w:bottom w:w="57" w:type="dxa"/>
                  </w:tcMar>
                  <w:vAlign w:val="center"/>
                </w:tcPr>
                <w:p w14:paraId="08176CB6">
                  <w:pPr>
                    <w:pStyle w:val="36"/>
                    <w:rPr>
                      <w:rFonts w:hint="eastAsia" w:eastAsia="宋体"/>
                      <w:lang w:eastAsia="zh-CN"/>
                    </w:rPr>
                  </w:pPr>
                  <w:r>
                    <w:rPr>
                      <w:rFonts w:hint="eastAsia"/>
                      <w:lang w:val="en-US" w:eastAsia="zh-CN"/>
                    </w:rPr>
                    <w:t>2</w:t>
                  </w:r>
                </w:p>
              </w:tc>
            </w:tr>
            <w:tr w14:paraId="367627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cantSplit/>
                <w:trHeight w:val="271" w:hRule="atLeast"/>
                <w:jc w:val="center"/>
              </w:trPr>
              <w:tc>
                <w:tcPr>
                  <w:tcW w:w="7028" w:type="dxa"/>
                  <w:gridSpan w:val="3"/>
                </w:tcPr>
                <w:p w14:paraId="158418B3">
                  <w:pPr>
                    <w:pStyle w:val="36"/>
                  </w:pPr>
                  <w:r>
                    <w:t>合计</w:t>
                  </w:r>
                </w:p>
              </w:tc>
              <w:tc>
                <w:tcPr>
                  <w:tcW w:w="1231" w:type="dxa"/>
                  <w:tcMar>
                    <w:top w:w="57" w:type="dxa"/>
                    <w:bottom w:w="57" w:type="dxa"/>
                  </w:tcMar>
                  <w:vAlign w:val="center"/>
                </w:tcPr>
                <w:p w14:paraId="152066B4">
                  <w:pPr>
                    <w:pStyle w:val="36"/>
                  </w:pPr>
                  <w:r>
                    <w:rPr>
                      <w:rFonts w:hint="eastAsia"/>
                      <w:lang w:val="en-US" w:eastAsia="zh-CN"/>
                    </w:rPr>
                    <w:t>7</w:t>
                  </w:r>
                  <w:r>
                    <w:rPr>
                      <w:rFonts w:hint="eastAsia"/>
                    </w:rPr>
                    <w:t>3</w:t>
                  </w:r>
                </w:p>
              </w:tc>
            </w:tr>
          </w:tbl>
          <w:p w14:paraId="772E7E0A">
            <w:pPr>
              <w:ind w:firstLine="480"/>
              <w:rPr>
                <w:szCs w:val="32"/>
              </w:rPr>
            </w:pPr>
          </w:p>
          <w:p w14:paraId="5BFA19FD">
            <w:pPr>
              <w:ind w:firstLine="480"/>
              <w:rPr>
                <w:szCs w:val="32"/>
              </w:rPr>
            </w:pPr>
          </w:p>
          <w:p w14:paraId="5E9FCC8A">
            <w:pPr>
              <w:ind w:firstLine="480"/>
              <w:rPr>
                <w:szCs w:val="32"/>
              </w:rPr>
            </w:pPr>
          </w:p>
          <w:p w14:paraId="64BF2EEF">
            <w:pPr>
              <w:ind w:firstLine="480"/>
              <w:rPr>
                <w:szCs w:val="32"/>
              </w:rPr>
            </w:pPr>
          </w:p>
          <w:p w14:paraId="3B249409">
            <w:pPr>
              <w:ind w:firstLine="480"/>
              <w:rPr>
                <w:szCs w:val="32"/>
              </w:rPr>
            </w:pPr>
          </w:p>
          <w:p w14:paraId="1B520984">
            <w:pPr>
              <w:ind w:firstLine="480"/>
              <w:rPr>
                <w:szCs w:val="32"/>
              </w:rPr>
            </w:pPr>
          </w:p>
          <w:p w14:paraId="5E2E8390">
            <w:pPr>
              <w:ind w:firstLine="480"/>
              <w:rPr>
                <w:szCs w:val="32"/>
              </w:rPr>
            </w:pPr>
          </w:p>
          <w:p w14:paraId="5BED6F8F">
            <w:pPr>
              <w:ind w:firstLine="0" w:firstLineChars="0"/>
              <w:rPr>
                <w:szCs w:val="32"/>
              </w:rPr>
            </w:pPr>
          </w:p>
        </w:tc>
      </w:tr>
    </w:tbl>
    <w:p w14:paraId="356306F4">
      <w:pPr>
        <w:ind w:firstLine="480"/>
        <w:rPr>
          <w:snapToGrid w:val="0"/>
        </w:rPr>
      </w:pPr>
      <w:r>
        <w:rPr>
          <w:rFonts w:hint="eastAsia"/>
          <w:snapToGrid w:val="0"/>
        </w:rPr>
        <w:br w:type="page"/>
      </w:r>
    </w:p>
    <w:p w14:paraId="34159D13">
      <w:pPr>
        <w:pStyle w:val="4"/>
        <w:rPr>
          <w:snapToGrid w:val="0"/>
        </w:rPr>
      </w:pPr>
      <w:r>
        <w:rPr>
          <w:rFonts w:hint="eastAsia"/>
          <w:snapToGrid w:val="0"/>
        </w:rPr>
        <w:t>六、</w:t>
      </w:r>
      <w:bookmarkStart w:id="20" w:name="_Hlk54167917"/>
      <w:r>
        <w:rPr>
          <w:rFonts w:hint="eastAsia"/>
          <w:snapToGrid w:val="0"/>
        </w:rPr>
        <w:t>生态环境保护措施监督检查清单</w:t>
      </w:r>
      <w:bookmarkEnd w:id="20"/>
    </w:p>
    <w:tbl>
      <w:tblPr>
        <w:tblStyle w:val="23"/>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2294"/>
        <w:gridCol w:w="2481"/>
        <w:gridCol w:w="1525"/>
        <w:gridCol w:w="1130"/>
      </w:tblGrid>
      <w:tr w14:paraId="7BAD85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370" w:type="dxa"/>
            <w:vMerge w:val="restart"/>
            <w:tcBorders>
              <w:tl2br w:val="single" w:color="auto" w:sz="4" w:space="0"/>
            </w:tcBorders>
          </w:tcPr>
          <w:p w14:paraId="1DD35AB6">
            <w:pPr>
              <w:pStyle w:val="31"/>
            </w:pPr>
            <w:r>
              <w:rPr>
                <w:rFonts w:hint="eastAsia"/>
              </w:rPr>
              <w:t>内容</w:t>
            </w:r>
          </w:p>
          <w:p w14:paraId="2F7FF572">
            <w:pPr>
              <w:pStyle w:val="31"/>
            </w:pPr>
          </w:p>
          <w:p w14:paraId="7030CD7C">
            <w:pPr>
              <w:pStyle w:val="31"/>
              <w:jc w:val="both"/>
            </w:pPr>
            <w:r>
              <w:rPr>
                <w:rFonts w:hint="eastAsia"/>
              </w:rPr>
              <w:t>要素</w:t>
            </w:r>
          </w:p>
        </w:tc>
        <w:tc>
          <w:tcPr>
            <w:tcW w:w="4775" w:type="dxa"/>
            <w:gridSpan w:val="2"/>
            <w:vAlign w:val="center"/>
          </w:tcPr>
          <w:p w14:paraId="5CE643F3">
            <w:pPr>
              <w:pStyle w:val="31"/>
            </w:pPr>
            <w:r>
              <w:rPr>
                <w:rFonts w:hint="eastAsia"/>
              </w:rPr>
              <w:t>施工期</w:t>
            </w:r>
          </w:p>
        </w:tc>
        <w:tc>
          <w:tcPr>
            <w:tcW w:w="2655" w:type="dxa"/>
            <w:gridSpan w:val="2"/>
            <w:vAlign w:val="center"/>
          </w:tcPr>
          <w:p w14:paraId="4E4F4119">
            <w:pPr>
              <w:pStyle w:val="31"/>
            </w:pPr>
            <w:r>
              <w:rPr>
                <w:rFonts w:hint="eastAsia"/>
              </w:rPr>
              <w:t>运营期</w:t>
            </w:r>
          </w:p>
        </w:tc>
      </w:tr>
      <w:tr w14:paraId="69FEAD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370" w:type="dxa"/>
            <w:vMerge w:val="continue"/>
            <w:tcBorders>
              <w:tl2br w:val="single" w:color="auto" w:sz="4" w:space="0"/>
            </w:tcBorders>
          </w:tcPr>
          <w:p w14:paraId="7AA82232">
            <w:pPr>
              <w:pStyle w:val="31"/>
              <w:rPr>
                <w:rFonts w:hint="eastAsia" w:ascii="宋体" w:hAnsi="宋体" w:cs="宋体"/>
                <w:szCs w:val="21"/>
              </w:rPr>
            </w:pPr>
          </w:p>
        </w:tc>
        <w:tc>
          <w:tcPr>
            <w:tcW w:w="2294" w:type="dxa"/>
            <w:vAlign w:val="center"/>
          </w:tcPr>
          <w:p w14:paraId="08095D9E">
            <w:pPr>
              <w:pStyle w:val="31"/>
            </w:pPr>
            <w:r>
              <w:rPr>
                <w:rFonts w:hint="eastAsia"/>
              </w:rPr>
              <w:t>环境保护措施</w:t>
            </w:r>
          </w:p>
        </w:tc>
        <w:tc>
          <w:tcPr>
            <w:tcW w:w="2481" w:type="dxa"/>
            <w:vAlign w:val="center"/>
          </w:tcPr>
          <w:p w14:paraId="308A643F">
            <w:pPr>
              <w:pStyle w:val="31"/>
            </w:pPr>
            <w:r>
              <w:rPr>
                <w:rFonts w:hint="eastAsia"/>
              </w:rPr>
              <w:t>验收要求</w:t>
            </w:r>
          </w:p>
        </w:tc>
        <w:tc>
          <w:tcPr>
            <w:tcW w:w="1525" w:type="dxa"/>
            <w:vAlign w:val="center"/>
          </w:tcPr>
          <w:p w14:paraId="6234C87E">
            <w:pPr>
              <w:pStyle w:val="31"/>
            </w:pPr>
            <w:r>
              <w:rPr>
                <w:rFonts w:hint="eastAsia"/>
              </w:rPr>
              <w:t>环境保护措施</w:t>
            </w:r>
          </w:p>
        </w:tc>
        <w:tc>
          <w:tcPr>
            <w:tcW w:w="1130" w:type="dxa"/>
            <w:vAlign w:val="center"/>
          </w:tcPr>
          <w:p w14:paraId="2C991E53">
            <w:pPr>
              <w:pStyle w:val="31"/>
            </w:pPr>
            <w:r>
              <w:rPr>
                <w:rFonts w:hint="eastAsia"/>
              </w:rPr>
              <w:t>验收要求</w:t>
            </w:r>
          </w:p>
        </w:tc>
      </w:tr>
      <w:tr w14:paraId="41162D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0" w:type="dxa"/>
            <w:vAlign w:val="center"/>
          </w:tcPr>
          <w:p w14:paraId="6AD82FD9">
            <w:pPr>
              <w:pStyle w:val="31"/>
            </w:pPr>
            <w:r>
              <w:rPr>
                <w:rFonts w:hint="eastAsia"/>
              </w:rPr>
              <w:t>陆生生态</w:t>
            </w:r>
          </w:p>
        </w:tc>
        <w:tc>
          <w:tcPr>
            <w:tcW w:w="2294" w:type="dxa"/>
            <w:vAlign w:val="center"/>
          </w:tcPr>
          <w:p w14:paraId="0C95278A">
            <w:pPr>
              <w:pStyle w:val="31"/>
            </w:pPr>
            <w:r>
              <w:t>施工期间在项目用地范围内施工，严禁超范围施工，注意对</w:t>
            </w:r>
            <w:r>
              <w:rPr>
                <w:rFonts w:hint="eastAsia"/>
              </w:rPr>
              <w:t>项目周围</w:t>
            </w:r>
            <w:r>
              <w:t>植被的保护，施工结束后及时采取工程和植物措施对临时用地进行迹地恢复</w:t>
            </w:r>
          </w:p>
        </w:tc>
        <w:tc>
          <w:tcPr>
            <w:tcW w:w="2481" w:type="dxa"/>
            <w:vAlign w:val="center"/>
          </w:tcPr>
          <w:p w14:paraId="54DC7700">
            <w:pPr>
              <w:pStyle w:val="31"/>
              <w:rPr>
                <w:rFonts w:cs="宋体"/>
              </w:rPr>
            </w:pPr>
            <w:r>
              <w:t>严格限制施工作业范围，禁止破坏施工作业外的地表植被，临时占地复垦到原状态</w:t>
            </w:r>
          </w:p>
        </w:tc>
        <w:tc>
          <w:tcPr>
            <w:tcW w:w="1525" w:type="dxa"/>
            <w:vAlign w:val="center"/>
          </w:tcPr>
          <w:p w14:paraId="14D04D14">
            <w:pPr>
              <w:pStyle w:val="31"/>
            </w:pPr>
            <w:r>
              <w:rPr>
                <w:rFonts w:hint="eastAsia"/>
              </w:rPr>
              <w:t>/</w:t>
            </w:r>
          </w:p>
        </w:tc>
        <w:tc>
          <w:tcPr>
            <w:tcW w:w="1130" w:type="dxa"/>
            <w:vAlign w:val="center"/>
          </w:tcPr>
          <w:p w14:paraId="67155722">
            <w:pPr>
              <w:pStyle w:val="31"/>
            </w:pPr>
            <w:r>
              <w:rPr>
                <w:rFonts w:hint="eastAsia"/>
              </w:rPr>
              <w:t>/</w:t>
            </w:r>
          </w:p>
        </w:tc>
      </w:tr>
      <w:tr w14:paraId="51BAAB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0" w:type="dxa"/>
            <w:vAlign w:val="center"/>
          </w:tcPr>
          <w:p w14:paraId="0665C216">
            <w:pPr>
              <w:pStyle w:val="31"/>
            </w:pPr>
            <w:r>
              <w:rPr>
                <w:rFonts w:hint="eastAsia"/>
              </w:rPr>
              <w:t>水生生态</w:t>
            </w:r>
          </w:p>
        </w:tc>
        <w:tc>
          <w:tcPr>
            <w:tcW w:w="2294" w:type="dxa"/>
            <w:vAlign w:val="center"/>
          </w:tcPr>
          <w:p w14:paraId="4C0ADDFB">
            <w:pPr>
              <w:pStyle w:val="31"/>
              <w:rPr>
                <w:rFonts w:hint="eastAsia" w:ascii="宋体" w:hAnsi="宋体" w:cs="宋体"/>
                <w:szCs w:val="21"/>
              </w:rPr>
            </w:pPr>
            <w:r>
              <w:rPr>
                <w:rFonts w:hint="eastAsia" w:ascii="宋体" w:hAnsi="宋体" w:cs="宋体"/>
                <w:szCs w:val="21"/>
              </w:rPr>
              <w:t>/</w:t>
            </w:r>
          </w:p>
        </w:tc>
        <w:tc>
          <w:tcPr>
            <w:tcW w:w="2481" w:type="dxa"/>
            <w:vAlign w:val="center"/>
          </w:tcPr>
          <w:p w14:paraId="1B6F7A38">
            <w:pPr>
              <w:pStyle w:val="31"/>
              <w:rPr>
                <w:rFonts w:hint="eastAsia" w:ascii="宋体" w:hAnsi="宋体" w:cs="宋体"/>
                <w:szCs w:val="21"/>
              </w:rPr>
            </w:pPr>
            <w:r>
              <w:rPr>
                <w:rFonts w:hint="eastAsia" w:ascii="宋体" w:hAnsi="宋体" w:cs="宋体"/>
                <w:szCs w:val="21"/>
              </w:rPr>
              <w:t>/</w:t>
            </w:r>
          </w:p>
        </w:tc>
        <w:tc>
          <w:tcPr>
            <w:tcW w:w="1525" w:type="dxa"/>
            <w:vAlign w:val="center"/>
          </w:tcPr>
          <w:p w14:paraId="28FEB8F6">
            <w:pPr>
              <w:pStyle w:val="31"/>
              <w:rPr>
                <w:rFonts w:hint="eastAsia" w:ascii="宋体" w:hAnsi="宋体" w:cs="宋体"/>
                <w:szCs w:val="21"/>
              </w:rPr>
            </w:pPr>
            <w:r>
              <w:rPr>
                <w:rFonts w:hint="eastAsia" w:ascii="宋体" w:hAnsi="宋体" w:cs="宋体"/>
                <w:szCs w:val="21"/>
              </w:rPr>
              <w:t>/</w:t>
            </w:r>
          </w:p>
        </w:tc>
        <w:tc>
          <w:tcPr>
            <w:tcW w:w="1130" w:type="dxa"/>
            <w:vAlign w:val="center"/>
          </w:tcPr>
          <w:p w14:paraId="48457D77">
            <w:pPr>
              <w:pStyle w:val="31"/>
              <w:rPr>
                <w:rFonts w:hint="eastAsia" w:ascii="宋体" w:hAnsi="宋体" w:cs="宋体"/>
                <w:szCs w:val="21"/>
              </w:rPr>
            </w:pPr>
            <w:r>
              <w:rPr>
                <w:rFonts w:hint="eastAsia" w:ascii="宋体" w:hAnsi="宋体" w:cs="宋体"/>
                <w:szCs w:val="21"/>
              </w:rPr>
              <w:t>/</w:t>
            </w:r>
          </w:p>
        </w:tc>
      </w:tr>
      <w:tr w14:paraId="37C077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0" w:type="dxa"/>
            <w:vMerge w:val="restart"/>
            <w:vAlign w:val="center"/>
          </w:tcPr>
          <w:p w14:paraId="01EDE043">
            <w:pPr>
              <w:pStyle w:val="31"/>
            </w:pPr>
            <w:r>
              <w:rPr>
                <w:rFonts w:hint="eastAsia"/>
              </w:rPr>
              <w:t>地表水环境</w:t>
            </w:r>
          </w:p>
        </w:tc>
        <w:tc>
          <w:tcPr>
            <w:tcW w:w="2294" w:type="dxa"/>
            <w:vAlign w:val="center"/>
          </w:tcPr>
          <w:p w14:paraId="148ADB12">
            <w:pPr>
              <w:pStyle w:val="31"/>
              <w:rPr>
                <w:rFonts w:hint="eastAsia" w:ascii="宋体" w:hAnsi="宋体" w:cs="宋体"/>
                <w:szCs w:val="21"/>
              </w:rPr>
            </w:pPr>
            <w:r>
              <w:rPr>
                <w:bCs/>
                <w:szCs w:val="21"/>
              </w:rPr>
              <w:t>施工</w:t>
            </w:r>
            <w:r>
              <w:rPr>
                <w:rFonts w:hint="eastAsia"/>
                <w:bCs/>
                <w:szCs w:val="21"/>
              </w:rPr>
              <w:t>生产</w:t>
            </w:r>
            <w:r>
              <w:rPr>
                <w:bCs/>
                <w:szCs w:val="21"/>
              </w:rPr>
              <w:t>废水沉淀池（</w:t>
            </w:r>
            <w:r>
              <w:rPr>
                <w:rFonts w:hint="eastAsia"/>
                <w:bCs/>
                <w:szCs w:val="21"/>
              </w:rPr>
              <w:t>每个钻孔均</w:t>
            </w:r>
            <w:r>
              <w:rPr>
                <w:bCs/>
                <w:szCs w:val="21"/>
              </w:rPr>
              <w:t>约5</w:t>
            </w:r>
            <w:r>
              <w:rPr>
                <w:rFonts w:hint="eastAsia"/>
                <w:bCs/>
                <w:szCs w:val="21"/>
              </w:rPr>
              <w:t>m</w:t>
            </w:r>
            <w:r>
              <w:rPr>
                <w:rFonts w:hint="eastAsia"/>
                <w:bCs/>
                <w:szCs w:val="21"/>
                <w:vertAlign w:val="superscript"/>
              </w:rPr>
              <w:t>3</w:t>
            </w:r>
            <w:r>
              <w:rPr>
                <w:bCs/>
                <w:szCs w:val="21"/>
              </w:rPr>
              <w:t>）</w:t>
            </w:r>
          </w:p>
        </w:tc>
        <w:tc>
          <w:tcPr>
            <w:tcW w:w="2481" w:type="dxa"/>
            <w:vAlign w:val="center"/>
          </w:tcPr>
          <w:p w14:paraId="5E7989E1">
            <w:pPr>
              <w:pStyle w:val="31"/>
              <w:rPr>
                <w:rFonts w:hint="eastAsia" w:ascii="宋体" w:hAnsi="宋体" w:cs="宋体"/>
                <w:szCs w:val="21"/>
              </w:rPr>
            </w:pPr>
            <w:r>
              <w:rPr>
                <w:rFonts w:hint="eastAsia"/>
                <w:bCs/>
                <w:szCs w:val="21"/>
              </w:rPr>
              <w:t>循环利用，不外排</w:t>
            </w:r>
          </w:p>
        </w:tc>
        <w:tc>
          <w:tcPr>
            <w:tcW w:w="1525" w:type="dxa"/>
            <w:vAlign w:val="center"/>
          </w:tcPr>
          <w:p w14:paraId="0E7798E1">
            <w:pPr>
              <w:pStyle w:val="31"/>
              <w:rPr>
                <w:rFonts w:hint="eastAsia" w:ascii="宋体" w:hAnsi="宋体" w:cs="宋体"/>
                <w:szCs w:val="21"/>
              </w:rPr>
            </w:pPr>
            <w:r>
              <w:rPr>
                <w:rFonts w:hint="eastAsia" w:ascii="宋体" w:hAnsi="宋体" w:cs="宋体"/>
                <w:szCs w:val="21"/>
              </w:rPr>
              <w:t>/</w:t>
            </w:r>
          </w:p>
        </w:tc>
        <w:tc>
          <w:tcPr>
            <w:tcW w:w="1130" w:type="dxa"/>
            <w:vAlign w:val="center"/>
          </w:tcPr>
          <w:p w14:paraId="1D1D6234">
            <w:pPr>
              <w:pStyle w:val="31"/>
              <w:rPr>
                <w:rFonts w:hint="eastAsia" w:ascii="宋体" w:hAnsi="宋体" w:cs="宋体"/>
                <w:szCs w:val="21"/>
              </w:rPr>
            </w:pPr>
            <w:r>
              <w:rPr>
                <w:rFonts w:hint="eastAsia" w:ascii="宋体" w:hAnsi="宋体" w:cs="宋体"/>
                <w:szCs w:val="21"/>
              </w:rPr>
              <w:t>/</w:t>
            </w:r>
          </w:p>
        </w:tc>
      </w:tr>
      <w:tr w14:paraId="6A36C2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0" w:type="dxa"/>
            <w:vMerge w:val="continue"/>
            <w:vAlign w:val="center"/>
          </w:tcPr>
          <w:p w14:paraId="3C4B9409">
            <w:pPr>
              <w:pStyle w:val="31"/>
            </w:pPr>
          </w:p>
        </w:tc>
        <w:tc>
          <w:tcPr>
            <w:tcW w:w="2294" w:type="dxa"/>
            <w:vAlign w:val="center"/>
          </w:tcPr>
          <w:p w14:paraId="35BF53F5">
            <w:pPr>
              <w:pStyle w:val="31"/>
              <w:rPr>
                <w:bCs/>
                <w:szCs w:val="21"/>
              </w:rPr>
            </w:pPr>
            <w:r>
              <w:rPr>
                <w:rFonts w:hint="default"/>
                <w:lang w:val="en-US" w:eastAsia="zh-CN"/>
              </w:rPr>
              <w:t>生活污水排入一体化污水处理设施后，其出水标准可达到《农村生活污水处理排放标准》（DB654275-2019）表2中C级标准</w:t>
            </w:r>
            <w:r>
              <w:rPr>
                <w:rFonts w:hint="eastAsia"/>
                <w:lang w:val="en-US" w:eastAsia="zh-CN"/>
              </w:rPr>
              <w:t>，</w:t>
            </w:r>
            <w:r>
              <w:rPr>
                <w:rFonts w:hint="eastAsia"/>
                <w:shd w:val="clear" w:color="auto" w:fill="auto"/>
                <w:lang w:val="en-US" w:eastAsia="zh-CN"/>
              </w:rPr>
              <w:t>用于洒水降尘和周边绿化</w:t>
            </w:r>
            <w:r>
              <w:rPr>
                <w:rFonts w:hint="eastAsia"/>
              </w:rPr>
              <w:t>。</w:t>
            </w:r>
          </w:p>
        </w:tc>
        <w:tc>
          <w:tcPr>
            <w:tcW w:w="2481" w:type="dxa"/>
            <w:vAlign w:val="center"/>
          </w:tcPr>
          <w:p w14:paraId="5E682AF7">
            <w:pPr>
              <w:pStyle w:val="31"/>
              <w:rPr>
                <w:bCs/>
                <w:szCs w:val="21"/>
              </w:rPr>
            </w:pPr>
            <w:r>
              <w:rPr>
                <w:rFonts w:hint="default"/>
                <w:lang w:val="en-US" w:eastAsia="zh-CN"/>
              </w:rPr>
              <w:t>生活污水排入一体化污水处理设施后，其出水标准可达到《农村生活污水处理排放标准》（DB654275-2019）表2中C级标准</w:t>
            </w:r>
            <w:r>
              <w:rPr>
                <w:rFonts w:hint="eastAsia"/>
                <w:lang w:val="en-US" w:eastAsia="zh-CN"/>
              </w:rPr>
              <w:t>，</w:t>
            </w:r>
            <w:r>
              <w:rPr>
                <w:rFonts w:hint="eastAsia"/>
                <w:shd w:val="clear" w:color="auto" w:fill="auto"/>
                <w:lang w:val="en-US" w:eastAsia="zh-CN"/>
              </w:rPr>
              <w:t>用于洒水降尘和周边绿化</w:t>
            </w:r>
            <w:r>
              <w:rPr>
                <w:rFonts w:hint="eastAsia"/>
              </w:rPr>
              <w:t>。</w:t>
            </w:r>
            <w:r>
              <w:rPr>
                <w:rFonts w:hint="eastAsia"/>
                <w:bCs/>
                <w:szCs w:val="21"/>
              </w:rPr>
              <w:t>施工结束后拆除恢复。</w:t>
            </w:r>
          </w:p>
        </w:tc>
        <w:tc>
          <w:tcPr>
            <w:tcW w:w="1525" w:type="dxa"/>
            <w:vAlign w:val="center"/>
          </w:tcPr>
          <w:p w14:paraId="4F87DEC7">
            <w:pPr>
              <w:pStyle w:val="31"/>
              <w:rPr>
                <w:rFonts w:hint="eastAsia" w:ascii="宋体" w:hAnsi="宋体" w:cs="宋体"/>
                <w:szCs w:val="21"/>
              </w:rPr>
            </w:pPr>
          </w:p>
        </w:tc>
        <w:tc>
          <w:tcPr>
            <w:tcW w:w="1130" w:type="dxa"/>
            <w:vAlign w:val="center"/>
          </w:tcPr>
          <w:p w14:paraId="10D4D2C5">
            <w:pPr>
              <w:pStyle w:val="31"/>
              <w:rPr>
                <w:rFonts w:hint="eastAsia" w:ascii="宋体" w:hAnsi="宋体" w:cs="宋体"/>
                <w:szCs w:val="21"/>
              </w:rPr>
            </w:pPr>
          </w:p>
        </w:tc>
      </w:tr>
      <w:tr w14:paraId="0B1E6E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0" w:type="dxa"/>
            <w:vAlign w:val="center"/>
          </w:tcPr>
          <w:p w14:paraId="4133396F">
            <w:pPr>
              <w:pStyle w:val="31"/>
            </w:pPr>
            <w:r>
              <w:rPr>
                <w:rFonts w:hint="eastAsia"/>
              </w:rPr>
              <w:t>地下水及土壤环境</w:t>
            </w:r>
          </w:p>
        </w:tc>
        <w:tc>
          <w:tcPr>
            <w:tcW w:w="2294" w:type="dxa"/>
            <w:vAlign w:val="center"/>
          </w:tcPr>
          <w:p w14:paraId="25BAE0E6">
            <w:pPr>
              <w:pStyle w:val="31"/>
              <w:rPr>
                <w:rFonts w:hint="eastAsia" w:ascii="宋体" w:hAnsi="宋体" w:cs="宋体"/>
                <w:szCs w:val="21"/>
              </w:rPr>
            </w:pPr>
            <w:r>
              <w:rPr>
                <w:rFonts w:hint="eastAsia" w:ascii="宋体" w:hAnsi="宋体" w:cs="宋体"/>
                <w:szCs w:val="21"/>
              </w:rPr>
              <w:t>/</w:t>
            </w:r>
          </w:p>
        </w:tc>
        <w:tc>
          <w:tcPr>
            <w:tcW w:w="2481" w:type="dxa"/>
            <w:vAlign w:val="center"/>
          </w:tcPr>
          <w:p w14:paraId="445A2085">
            <w:pPr>
              <w:pStyle w:val="31"/>
              <w:rPr>
                <w:rFonts w:hint="eastAsia" w:ascii="宋体" w:hAnsi="宋体" w:cs="宋体"/>
                <w:szCs w:val="21"/>
              </w:rPr>
            </w:pPr>
            <w:r>
              <w:rPr>
                <w:rFonts w:hint="eastAsia" w:ascii="宋体" w:hAnsi="宋体" w:cs="宋体"/>
                <w:szCs w:val="21"/>
              </w:rPr>
              <w:t>/</w:t>
            </w:r>
          </w:p>
        </w:tc>
        <w:tc>
          <w:tcPr>
            <w:tcW w:w="1525" w:type="dxa"/>
            <w:vAlign w:val="center"/>
          </w:tcPr>
          <w:p w14:paraId="58DB4DBB">
            <w:pPr>
              <w:pStyle w:val="31"/>
              <w:rPr>
                <w:rFonts w:hint="eastAsia" w:ascii="宋体" w:hAnsi="宋体" w:cs="宋体"/>
                <w:szCs w:val="21"/>
              </w:rPr>
            </w:pPr>
            <w:r>
              <w:rPr>
                <w:rFonts w:hint="eastAsia" w:ascii="宋体" w:hAnsi="宋体" w:cs="宋体"/>
                <w:szCs w:val="21"/>
              </w:rPr>
              <w:t>/</w:t>
            </w:r>
          </w:p>
        </w:tc>
        <w:tc>
          <w:tcPr>
            <w:tcW w:w="1130" w:type="dxa"/>
            <w:vAlign w:val="center"/>
          </w:tcPr>
          <w:p w14:paraId="06ADAE6C">
            <w:pPr>
              <w:pStyle w:val="31"/>
              <w:rPr>
                <w:rFonts w:hint="eastAsia" w:ascii="宋体" w:hAnsi="宋体" w:cs="宋体"/>
                <w:szCs w:val="21"/>
              </w:rPr>
            </w:pPr>
          </w:p>
        </w:tc>
      </w:tr>
      <w:tr w14:paraId="49AA5D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0" w:type="dxa"/>
            <w:vAlign w:val="center"/>
          </w:tcPr>
          <w:p w14:paraId="4D0F03D1">
            <w:pPr>
              <w:pStyle w:val="31"/>
            </w:pPr>
            <w:r>
              <w:rPr>
                <w:rFonts w:hint="eastAsia"/>
              </w:rPr>
              <w:t>声环境</w:t>
            </w:r>
          </w:p>
        </w:tc>
        <w:tc>
          <w:tcPr>
            <w:tcW w:w="2294" w:type="dxa"/>
            <w:vAlign w:val="center"/>
          </w:tcPr>
          <w:p w14:paraId="0FAC96EE">
            <w:pPr>
              <w:pStyle w:val="31"/>
              <w:rPr>
                <w:rFonts w:hint="eastAsia" w:ascii="宋体" w:hAnsi="宋体" w:cs="宋体"/>
                <w:szCs w:val="21"/>
              </w:rPr>
            </w:pPr>
            <w:r>
              <w:rPr>
                <w:rFonts w:hint="eastAsia"/>
                <w:szCs w:val="21"/>
              </w:rPr>
              <w:t>夜间应禁止施工作业；合理进行施工总平布置；采用低噪声设备并做好施工机械的保养和维护；对高噪声设备采取隔声措施</w:t>
            </w:r>
          </w:p>
        </w:tc>
        <w:tc>
          <w:tcPr>
            <w:tcW w:w="2481" w:type="dxa"/>
            <w:vAlign w:val="center"/>
          </w:tcPr>
          <w:p w14:paraId="65D8B3BC">
            <w:pPr>
              <w:pStyle w:val="31"/>
              <w:rPr>
                <w:rFonts w:hint="eastAsia" w:ascii="宋体" w:hAnsi="宋体" w:cs="宋体"/>
                <w:szCs w:val="21"/>
              </w:rPr>
            </w:pPr>
            <w:r>
              <w:rPr>
                <w:szCs w:val="21"/>
              </w:rPr>
              <w:t>《建筑施工场界环境噪声排放</w:t>
            </w:r>
            <w:r>
              <w:rPr>
                <w:rFonts w:hint="eastAsia"/>
                <w:szCs w:val="21"/>
                <w:lang w:val="en-US" w:eastAsia="zh-CN"/>
              </w:rPr>
              <w:t>标准</w:t>
            </w:r>
            <w:r>
              <w:rPr>
                <w:szCs w:val="21"/>
              </w:rPr>
              <w:t>》（GB12523-2011）</w:t>
            </w:r>
            <w:r>
              <w:rPr>
                <w:rFonts w:hint="eastAsia"/>
                <w:szCs w:val="21"/>
              </w:rPr>
              <w:t>2类</w:t>
            </w:r>
            <w:r>
              <w:rPr>
                <w:szCs w:val="21"/>
              </w:rPr>
              <w:t>标准</w:t>
            </w:r>
          </w:p>
        </w:tc>
        <w:tc>
          <w:tcPr>
            <w:tcW w:w="1525" w:type="dxa"/>
            <w:vAlign w:val="center"/>
          </w:tcPr>
          <w:p w14:paraId="08CE8066">
            <w:pPr>
              <w:pStyle w:val="31"/>
              <w:rPr>
                <w:rFonts w:hint="eastAsia" w:ascii="宋体" w:hAnsi="宋体" w:cs="宋体"/>
                <w:szCs w:val="21"/>
              </w:rPr>
            </w:pPr>
            <w:r>
              <w:rPr>
                <w:rFonts w:hint="eastAsia" w:ascii="宋体" w:hAnsi="宋体" w:cs="宋体"/>
                <w:szCs w:val="21"/>
              </w:rPr>
              <w:t>/</w:t>
            </w:r>
          </w:p>
        </w:tc>
        <w:tc>
          <w:tcPr>
            <w:tcW w:w="1130" w:type="dxa"/>
            <w:vAlign w:val="center"/>
          </w:tcPr>
          <w:p w14:paraId="7C8DF1FB">
            <w:pPr>
              <w:pStyle w:val="31"/>
              <w:rPr>
                <w:rFonts w:hint="eastAsia" w:ascii="宋体" w:hAnsi="宋体" w:cs="宋体"/>
                <w:szCs w:val="21"/>
              </w:rPr>
            </w:pPr>
            <w:r>
              <w:rPr>
                <w:rFonts w:hint="eastAsia" w:ascii="宋体" w:hAnsi="宋体" w:cs="宋体"/>
                <w:szCs w:val="21"/>
              </w:rPr>
              <w:t>/</w:t>
            </w:r>
          </w:p>
        </w:tc>
      </w:tr>
      <w:tr w14:paraId="1CD90B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0" w:type="dxa"/>
            <w:vAlign w:val="center"/>
          </w:tcPr>
          <w:p w14:paraId="0DD33817">
            <w:pPr>
              <w:pStyle w:val="31"/>
            </w:pPr>
            <w:r>
              <w:rPr>
                <w:rFonts w:hint="eastAsia"/>
              </w:rPr>
              <w:t>振动</w:t>
            </w:r>
          </w:p>
        </w:tc>
        <w:tc>
          <w:tcPr>
            <w:tcW w:w="2294" w:type="dxa"/>
            <w:vAlign w:val="center"/>
          </w:tcPr>
          <w:p w14:paraId="514B7B48">
            <w:pPr>
              <w:pStyle w:val="31"/>
              <w:rPr>
                <w:rFonts w:hint="eastAsia" w:ascii="宋体" w:hAnsi="宋体" w:cs="宋体"/>
                <w:szCs w:val="21"/>
              </w:rPr>
            </w:pPr>
            <w:r>
              <w:rPr>
                <w:rFonts w:hint="eastAsia" w:ascii="宋体" w:hAnsi="宋体" w:cs="宋体"/>
                <w:szCs w:val="21"/>
              </w:rPr>
              <w:t>/</w:t>
            </w:r>
          </w:p>
        </w:tc>
        <w:tc>
          <w:tcPr>
            <w:tcW w:w="2481" w:type="dxa"/>
            <w:vAlign w:val="center"/>
          </w:tcPr>
          <w:p w14:paraId="0F41A33B">
            <w:pPr>
              <w:pStyle w:val="31"/>
              <w:rPr>
                <w:rFonts w:hint="eastAsia" w:ascii="宋体" w:hAnsi="宋体" w:cs="宋体"/>
                <w:szCs w:val="21"/>
              </w:rPr>
            </w:pPr>
            <w:r>
              <w:rPr>
                <w:rFonts w:hint="eastAsia" w:ascii="宋体" w:hAnsi="宋体" w:cs="宋体"/>
                <w:szCs w:val="21"/>
              </w:rPr>
              <w:t>/</w:t>
            </w:r>
          </w:p>
        </w:tc>
        <w:tc>
          <w:tcPr>
            <w:tcW w:w="1525" w:type="dxa"/>
            <w:vAlign w:val="center"/>
          </w:tcPr>
          <w:p w14:paraId="4D768981">
            <w:pPr>
              <w:pStyle w:val="31"/>
              <w:rPr>
                <w:rFonts w:hint="eastAsia" w:ascii="宋体" w:hAnsi="宋体" w:cs="宋体"/>
                <w:szCs w:val="21"/>
              </w:rPr>
            </w:pPr>
            <w:r>
              <w:rPr>
                <w:rFonts w:hint="eastAsia" w:ascii="宋体" w:hAnsi="宋体" w:cs="宋体"/>
                <w:szCs w:val="21"/>
              </w:rPr>
              <w:t>/</w:t>
            </w:r>
          </w:p>
        </w:tc>
        <w:tc>
          <w:tcPr>
            <w:tcW w:w="1130" w:type="dxa"/>
            <w:vAlign w:val="center"/>
          </w:tcPr>
          <w:p w14:paraId="4A3982D5">
            <w:pPr>
              <w:pStyle w:val="31"/>
              <w:rPr>
                <w:rFonts w:hint="eastAsia" w:ascii="宋体" w:hAnsi="宋体" w:cs="宋体"/>
                <w:szCs w:val="21"/>
              </w:rPr>
            </w:pPr>
            <w:r>
              <w:rPr>
                <w:rFonts w:hint="eastAsia" w:ascii="宋体" w:hAnsi="宋体" w:cs="宋体"/>
                <w:szCs w:val="21"/>
              </w:rPr>
              <w:t>/</w:t>
            </w:r>
          </w:p>
        </w:tc>
      </w:tr>
      <w:tr w14:paraId="353F8D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0" w:type="dxa"/>
            <w:vMerge w:val="restart"/>
            <w:vAlign w:val="center"/>
          </w:tcPr>
          <w:p w14:paraId="3354E247">
            <w:pPr>
              <w:pStyle w:val="31"/>
            </w:pPr>
            <w:r>
              <w:rPr>
                <w:rFonts w:hint="eastAsia"/>
              </w:rPr>
              <w:t>大气环境</w:t>
            </w:r>
          </w:p>
        </w:tc>
        <w:tc>
          <w:tcPr>
            <w:tcW w:w="2294" w:type="dxa"/>
            <w:vAlign w:val="center"/>
          </w:tcPr>
          <w:p w14:paraId="00AF831A">
            <w:pPr>
              <w:pStyle w:val="31"/>
              <w:rPr>
                <w:rFonts w:hint="eastAsia" w:ascii="宋体" w:hAnsi="宋体" w:cs="宋体"/>
                <w:szCs w:val="21"/>
              </w:rPr>
            </w:pPr>
            <w:r>
              <w:rPr>
                <w:rFonts w:hint="eastAsia" w:ascii="宋体" w:hAnsi="宋体" w:cs="宋体"/>
                <w:szCs w:val="21"/>
              </w:rPr>
              <w:t>施工扬尘设置围挡、洒水降尘</w:t>
            </w:r>
          </w:p>
        </w:tc>
        <w:tc>
          <w:tcPr>
            <w:tcW w:w="2481" w:type="dxa"/>
            <w:vAlign w:val="center"/>
          </w:tcPr>
          <w:p w14:paraId="504541EB">
            <w:pPr>
              <w:pStyle w:val="31"/>
              <w:rPr>
                <w:rFonts w:hint="eastAsia" w:ascii="宋体" w:hAnsi="宋体" w:cs="宋体"/>
                <w:szCs w:val="21"/>
              </w:rPr>
            </w:pPr>
            <w:r>
              <w:rPr>
                <w:szCs w:val="21"/>
              </w:rPr>
              <w:t>《大气污染物</w:t>
            </w:r>
            <w:r>
              <w:rPr>
                <w:rFonts w:hint="eastAsia"/>
                <w:szCs w:val="21"/>
              </w:rPr>
              <w:t>综合</w:t>
            </w:r>
            <w:r>
              <w:rPr>
                <w:szCs w:val="21"/>
              </w:rPr>
              <w:t>排放标准》（GB16297-1996）</w:t>
            </w:r>
            <w:r>
              <w:rPr>
                <w:rFonts w:hint="eastAsia"/>
                <w:szCs w:val="21"/>
              </w:rPr>
              <w:t>表2无组织排放监控浓度限值</w:t>
            </w:r>
          </w:p>
        </w:tc>
        <w:tc>
          <w:tcPr>
            <w:tcW w:w="1525" w:type="dxa"/>
            <w:vAlign w:val="center"/>
          </w:tcPr>
          <w:p w14:paraId="0B12AF73">
            <w:pPr>
              <w:pStyle w:val="31"/>
              <w:rPr>
                <w:rFonts w:hint="eastAsia" w:ascii="宋体" w:hAnsi="宋体" w:cs="宋体"/>
                <w:szCs w:val="21"/>
              </w:rPr>
            </w:pPr>
            <w:r>
              <w:rPr>
                <w:rFonts w:hint="eastAsia" w:ascii="宋体" w:hAnsi="宋体" w:cs="宋体"/>
                <w:szCs w:val="21"/>
              </w:rPr>
              <w:t>/</w:t>
            </w:r>
          </w:p>
        </w:tc>
        <w:tc>
          <w:tcPr>
            <w:tcW w:w="1130" w:type="dxa"/>
            <w:vAlign w:val="center"/>
          </w:tcPr>
          <w:p w14:paraId="1F96D52B">
            <w:pPr>
              <w:pStyle w:val="31"/>
              <w:rPr>
                <w:rFonts w:hint="eastAsia" w:ascii="宋体" w:hAnsi="宋体" w:cs="宋体"/>
                <w:szCs w:val="21"/>
              </w:rPr>
            </w:pPr>
            <w:r>
              <w:rPr>
                <w:rFonts w:hint="eastAsia" w:ascii="宋体" w:hAnsi="宋体" w:cs="宋体"/>
                <w:szCs w:val="21"/>
              </w:rPr>
              <w:t>/</w:t>
            </w:r>
          </w:p>
        </w:tc>
      </w:tr>
      <w:tr w14:paraId="74B66E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0" w:type="dxa"/>
            <w:vMerge w:val="continue"/>
            <w:vAlign w:val="center"/>
          </w:tcPr>
          <w:p w14:paraId="593C489F">
            <w:pPr>
              <w:pStyle w:val="31"/>
            </w:pPr>
          </w:p>
        </w:tc>
        <w:tc>
          <w:tcPr>
            <w:tcW w:w="2294" w:type="dxa"/>
            <w:vAlign w:val="center"/>
          </w:tcPr>
          <w:p w14:paraId="2632EDA7">
            <w:pPr>
              <w:pStyle w:val="31"/>
              <w:rPr>
                <w:rFonts w:hint="eastAsia" w:ascii="宋体" w:hAnsi="宋体" w:cs="宋体"/>
                <w:szCs w:val="21"/>
              </w:rPr>
            </w:pPr>
            <w:r>
              <w:rPr>
                <w:rFonts w:hint="eastAsia" w:ascii="宋体" w:hAnsi="宋体" w:cs="宋体"/>
                <w:szCs w:val="21"/>
              </w:rPr>
              <w:t>施工机械尾气自然扩散</w:t>
            </w:r>
          </w:p>
        </w:tc>
        <w:tc>
          <w:tcPr>
            <w:tcW w:w="2481" w:type="dxa"/>
            <w:vAlign w:val="center"/>
          </w:tcPr>
          <w:p w14:paraId="1E699A25">
            <w:pPr>
              <w:pStyle w:val="31"/>
              <w:rPr>
                <w:rFonts w:hint="eastAsia" w:ascii="宋体" w:hAnsi="宋体" w:cs="宋体"/>
                <w:szCs w:val="21"/>
              </w:rPr>
            </w:pPr>
            <w:r>
              <w:t>《非道路移动机械用柴油机排气污染物排放限值及测量方法（中国第三、四阶段）》（GB20891-2014）</w:t>
            </w:r>
            <w:r>
              <w:rPr>
                <w:rFonts w:hint="eastAsia"/>
              </w:rPr>
              <w:t>表2</w:t>
            </w:r>
          </w:p>
        </w:tc>
        <w:tc>
          <w:tcPr>
            <w:tcW w:w="1525" w:type="dxa"/>
            <w:vAlign w:val="center"/>
          </w:tcPr>
          <w:p w14:paraId="3A611A17">
            <w:pPr>
              <w:pStyle w:val="31"/>
              <w:rPr>
                <w:rFonts w:hint="eastAsia" w:ascii="宋体" w:hAnsi="宋体" w:cs="宋体"/>
                <w:szCs w:val="21"/>
              </w:rPr>
            </w:pPr>
          </w:p>
        </w:tc>
        <w:tc>
          <w:tcPr>
            <w:tcW w:w="1130" w:type="dxa"/>
            <w:vAlign w:val="center"/>
          </w:tcPr>
          <w:p w14:paraId="2D7D7BF3">
            <w:pPr>
              <w:pStyle w:val="31"/>
              <w:rPr>
                <w:rFonts w:hint="eastAsia" w:ascii="宋体" w:hAnsi="宋体" w:cs="宋体"/>
                <w:szCs w:val="21"/>
              </w:rPr>
            </w:pPr>
          </w:p>
        </w:tc>
      </w:tr>
      <w:tr w14:paraId="22345E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0" w:type="dxa"/>
            <w:vAlign w:val="center"/>
          </w:tcPr>
          <w:p w14:paraId="1EE42145">
            <w:pPr>
              <w:pStyle w:val="31"/>
            </w:pPr>
            <w:r>
              <w:rPr>
                <w:rFonts w:hint="eastAsia"/>
              </w:rPr>
              <w:t>固体废物</w:t>
            </w:r>
          </w:p>
        </w:tc>
        <w:tc>
          <w:tcPr>
            <w:tcW w:w="2294" w:type="dxa"/>
            <w:vAlign w:val="center"/>
          </w:tcPr>
          <w:p w14:paraId="26C47538">
            <w:pPr>
              <w:pStyle w:val="31"/>
              <w:rPr>
                <w:rFonts w:hint="eastAsia" w:ascii="宋体" w:hAnsi="宋体" w:cs="宋体"/>
                <w:szCs w:val="21"/>
              </w:rPr>
            </w:pPr>
            <w:r>
              <w:rPr>
                <w:rFonts w:hint="eastAsia"/>
                <w:szCs w:val="21"/>
              </w:rPr>
              <w:t>剥离的表土和挖出的土石方在临时堆场暂存后用于回填和土地恢复。</w:t>
            </w:r>
            <w:r>
              <w:rPr>
                <w:rFonts w:hint="eastAsia"/>
              </w:rPr>
              <w:t>钻孔岩屑用于</w:t>
            </w:r>
            <w:r>
              <w:rPr>
                <w:rFonts w:hint="eastAsia"/>
                <w:lang w:val="en-US" w:eastAsia="zh-CN"/>
              </w:rPr>
              <w:t>回填</w:t>
            </w:r>
            <w:r>
              <w:rPr>
                <w:rFonts w:hint="eastAsia"/>
              </w:rPr>
              <w:t>；生活垃圾</w:t>
            </w:r>
            <w:r>
              <w:rPr>
                <w:rFonts w:hint="eastAsia"/>
                <w:lang w:val="en-US" w:eastAsia="zh-CN"/>
              </w:rPr>
              <w:t>统一收集后送至和静县巴音布鲁克镇垃圾填埋场；污泥</w:t>
            </w:r>
            <w:r>
              <w:rPr>
                <w:rFonts w:hint="default"/>
                <w:lang w:val="en-US" w:eastAsia="zh-CN"/>
              </w:rPr>
              <w:t>勘探期结束后</w:t>
            </w:r>
            <w:r>
              <w:rPr>
                <w:rFonts w:hint="eastAsia"/>
                <w:lang w:val="en-US" w:eastAsia="zh-CN"/>
              </w:rPr>
              <w:t>就地填埋；废油桶集中收集后交有资质单位处理</w:t>
            </w:r>
          </w:p>
        </w:tc>
        <w:tc>
          <w:tcPr>
            <w:tcW w:w="2481" w:type="dxa"/>
            <w:vAlign w:val="center"/>
          </w:tcPr>
          <w:p w14:paraId="308FE782">
            <w:pPr>
              <w:pStyle w:val="31"/>
              <w:rPr>
                <w:rFonts w:hint="eastAsia" w:ascii="宋体" w:hAnsi="宋体" w:cs="宋体"/>
                <w:szCs w:val="21"/>
              </w:rPr>
            </w:pPr>
            <w:r>
              <w:rPr>
                <w:color w:val="000000"/>
                <w:szCs w:val="21"/>
              </w:rPr>
              <w:t>施工期的固废妥善的处理</w:t>
            </w:r>
            <w:r>
              <w:rPr>
                <w:rFonts w:hint="eastAsia"/>
                <w:color w:val="000000"/>
                <w:szCs w:val="21"/>
              </w:rPr>
              <w:t>，不随意堆弃</w:t>
            </w:r>
            <w:r>
              <w:rPr>
                <w:rFonts w:hint="eastAsia"/>
                <w:color w:val="000000"/>
                <w:szCs w:val="21"/>
                <w:lang w:eastAsia="zh-CN"/>
              </w:rPr>
              <w:t>。</w:t>
            </w:r>
            <w:r>
              <w:rPr>
                <w:rFonts w:hint="eastAsia"/>
                <w:color w:val="000000"/>
                <w:szCs w:val="21"/>
              </w:rPr>
              <w:t>一般废物执行《一般工业固体废物贮存和填埋污染控制标准》（GB18599-2020）中相关标准。</w:t>
            </w:r>
            <w:r>
              <w:rPr>
                <w:rFonts w:hint="eastAsia"/>
                <w:color w:val="000000"/>
                <w:szCs w:val="21"/>
                <w:lang w:val="en-US" w:eastAsia="zh-CN"/>
              </w:rPr>
              <w:t>危险废物满足《危险废物贮存污染控制标准》（GB18597—2023）中有关规定。</w:t>
            </w:r>
          </w:p>
        </w:tc>
        <w:tc>
          <w:tcPr>
            <w:tcW w:w="1525" w:type="dxa"/>
            <w:vAlign w:val="center"/>
          </w:tcPr>
          <w:p w14:paraId="13058990">
            <w:pPr>
              <w:pStyle w:val="31"/>
              <w:rPr>
                <w:rFonts w:hint="eastAsia" w:ascii="宋体" w:hAnsi="宋体" w:cs="宋体"/>
                <w:szCs w:val="21"/>
              </w:rPr>
            </w:pPr>
            <w:r>
              <w:rPr>
                <w:rFonts w:hint="eastAsia" w:ascii="宋体" w:hAnsi="宋体" w:cs="宋体"/>
                <w:szCs w:val="21"/>
              </w:rPr>
              <w:t>/</w:t>
            </w:r>
          </w:p>
        </w:tc>
        <w:tc>
          <w:tcPr>
            <w:tcW w:w="1130" w:type="dxa"/>
            <w:vAlign w:val="center"/>
          </w:tcPr>
          <w:p w14:paraId="25EE13A3">
            <w:pPr>
              <w:pStyle w:val="31"/>
              <w:rPr>
                <w:rFonts w:hint="eastAsia" w:ascii="宋体" w:hAnsi="宋体" w:cs="宋体"/>
                <w:szCs w:val="21"/>
              </w:rPr>
            </w:pPr>
            <w:r>
              <w:rPr>
                <w:rFonts w:hint="eastAsia" w:ascii="宋体" w:hAnsi="宋体" w:cs="宋体"/>
                <w:szCs w:val="21"/>
              </w:rPr>
              <w:t>/</w:t>
            </w:r>
          </w:p>
        </w:tc>
      </w:tr>
      <w:tr w14:paraId="1D658A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0" w:type="dxa"/>
            <w:vAlign w:val="center"/>
          </w:tcPr>
          <w:p w14:paraId="5C36178A">
            <w:pPr>
              <w:pStyle w:val="31"/>
            </w:pPr>
            <w:r>
              <w:rPr>
                <w:rFonts w:hint="eastAsia"/>
              </w:rPr>
              <w:t>电磁环境</w:t>
            </w:r>
          </w:p>
        </w:tc>
        <w:tc>
          <w:tcPr>
            <w:tcW w:w="2294" w:type="dxa"/>
            <w:vAlign w:val="center"/>
          </w:tcPr>
          <w:p w14:paraId="176FB9A3">
            <w:pPr>
              <w:pStyle w:val="31"/>
              <w:rPr>
                <w:rFonts w:hint="eastAsia" w:ascii="宋体" w:hAnsi="宋体" w:cs="宋体"/>
                <w:szCs w:val="21"/>
              </w:rPr>
            </w:pPr>
            <w:r>
              <w:rPr>
                <w:rFonts w:hint="eastAsia" w:ascii="宋体" w:hAnsi="宋体" w:cs="宋体"/>
                <w:szCs w:val="21"/>
              </w:rPr>
              <w:t>/</w:t>
            </w:r>
          </w:p>
        </w:tc>
        <w:tc>
          <w:tcPr>
            <w:tcW w:w="2481" w:type="dxa"/>
            <w:vAlign w:val="center"/>
          </w:tcPr>
          <w:p w14:paraId="3549E134">
            <w:pPr>
              <w:pStyle w:val="31"/>
              <w:rPr>
                <w:rFonts w:hint="eastAsia" w:ascii="宋体" w:hAnsi="宋体" w:cs="宋体"/>
                <w:szCs w:val="21"/>
              </w:rPr>
            </w:pPr>
            <w:r>
              <w:rPr>
                <w:rFonts w:hint="eastAsia" w:ascii="宋体" w:hAnsi="宋体" w:cs="宋体"/>
                <w:szCs w:val="21"/>
              </w:rPr>
              <w:t>/</w:t>
            </w:r>
          </w:p>
        </w:tc>
        <w:tc>
          <w:tcPr>
            <w:tcW w:w="1525" w:type="dxa"/>
            <w:vAlign w:val="center"/>
          </w:tcPr>
          <w:p w14:paraId="72F94672">
            <w:pPr>
              <w:pStyle w:val="31"/>
              <w:rPr>
                <w:rFonts w:hint="eastAsia" w:ascii="宋体" w:hAnsi="宋体" w:cs="宋体"/>
                <w:szCs w:val="21"/>
              </w:rPr>
            </w:pPr>
            <w:r>
              <w:rPr>
                <w:rFonts w:hint="eastAsia" w:ascii="宋体" w:hAnsi="宋体" w:cs="宋体"/>
                <w:szCs w:val="21"/>
              </w:rPr>
              <w:t>/</w:t>
            </w:r>
          </w:p>
        </w:tc>
        <w:tc>
          <w:tcPr>
            <w:tcW w:w="1130" w:type="dxa"/>
            <w:vAlign w:val="center"/>
          </w:tcPr>
          <w:p w14:paraId="0763CC36">
            <w:pPr>
              <w:pStyle w:val="31"/>
              <w:rPr>
                <w:rFonts w:hint="eastAsia" w:ascii="宋体" w:hAnsi="宋体" w:cs="宋体"/>
                <w:szCs w:val="21"/>
              </w:rPr>
            </w:pPr>
            <w:r>
              <w:rPr>
                <w:rFonts w:hint="eastAsia" w:ascii="宋体" w:hAnsi="宋体" w:cs="宋体"/>
                <w:szCs w:val="21"/>
              </w:rPr>
              <w:t>/</w:t>
            </w:r>
          </w:p>
        </w:tc>
      </w:tr>
      <w:tr w14:paraId="5B49F9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0" w:type="dxa"/>
            <w:vAlign w:val="center"/>
          </w:tcPr>
          <w:p w14:paraId="43067997">
            <w:pPr>
              <w:pStyle w:val="31"/>
            </w:pPr>
            <w:r>
              <w:rPr>
                <w:rFonts w:hint="eastAsia"/>
              </w:rPr>
              <w:t>环境风险</w:t>
            </w:r>
          </w:p>
        </w:tc>
        <w:tc>
          <w:tcPr>
            <w:tcW w:w="2294" w:type="dxa"/>
            <w:vAlign w:val="center"/>
          </w:tcPr>
          <w:p w14:paraId="5AED43BF">
            <w:pPr>
              <w:pStyle w:val="31"/>
              <w:rPr>
                <w:rFonts w:hint="eastAsia" w:ascii="宋体" w:hAnsi="宋体" w:cs="宋体"/>
                <w:szCs w:val="21"/>
              </w:rPr>
            </w:pPr>
            <w:r>
              <w:rPr>
                <w:rFonts w:hint="eastAsia" w:ascii="宋体" w:hAnsi="宋体" w:cs="宋体"/>
                <w:szCs w:val="21"/>
              </w:rPr>
              <w:t>本项目轻质柴油分期从</w:t>
            </w:r>
            <w:r>
              <w:rPr>
                <w:rFonts w:hint="eastAsia"/>
                <w:lang w:eastAsia="zh-CN"/>
              </w:rPr>
              <w:t>和静县巴音布鲁克镇</w:t>
            </w:r>
            <w:r>
              <w:rPr>
                <w:rFonts w:hint="eastAsia" w:ascii="宋体" w:hAnsi="宋体" w:cs="宋体"/>
                <w:szCs w:val="21"/>
              </w:rPr>
              <w:t>购买，本项目设置柴油储存区，由皮卡车进行拉运，储存量200L</w:t>
            </w:r>
          </w:p>
        </w:tc>
        <w:tc>
          <w:tcPr>
            <w:tcW w:w="2481" w:type="dxa"/>
            <w:vAlign w:val="center"/>
          </w:tcPr>
          <w:p w14:paraId="2455CE17">
            <w:pPr>
              <w:pStyle w:val="31"/>
              <w:rPr>
                <w:rFonts w:hint="eastAsia" w:ascii="宋体" w:hAnsi="宋体" w:cs="宋体"/>
                <w:szCs w:val="21"/>
              </w:rPr>
            </w:pPr>
            <w:r>
              <w:rPr>
                <w:rFonts w:hint="eastAsia" w:ascii="宋体" w:hAnsi="宋体" w:cs="宋体"/>
                <w:szCs w:val="21"/>
              </w:rPr>
              <w:t>加强劳动安全管理，制定完备、有效的安全防范措施</w:t>
            </w:r>
          </w:p>
        </w:tc>
        <w:tc>
          <w:tcPr>
            <w:tcW w:w="1525" w:type="dxa"/>
            <w:vAlign w:val="center"/>
          </w:tcPr>
          <w:p w14:paraId="12D9D0D5">
            <w:pPr>
              <w:pStyle w:val="31"/>
              <w:rPr>
                <w:rFonts w:hint="eastAsia" w:ascii="宋体" w:hAnsi="宋体" w:cs="宋体"/>
                <w:szCs w:val="21"/>
              </w:rPr>
            </w:pPr>
            <w:r>
              <w:rPr>
                <w:rFonts w:hint="eastAsia" w:ascii="宋体" w:hAnsi="宋体" w:cs="宋体"/>
                <w:szCs w:val="21"/>
              </w:rPr>
              <w:t>/</w:t>
            </w:r>
          </w:p>
        </w:tc>
        <w:tc>
          <w:tcPr>
            <w:tcW w:w="1130" w:type="dxa"/>
            <w:vAlign w:val="center"/>
          </w:tcPr>
          <w:p w14:paraId="0396EE16">
            <w:pPr>
              <w:pStyle w:val="31"/>
              <w:rPr>
                <w:rFonts w:hint="eastAsia" w:ascii="宋体" w:hAnsi="宋体" w:cs="宋体"/>
                <w:szCs w:val="21"/>
              </w:rPr>
            </w:pPr>
            <w:r>
              <w:rPr>
                <w:rFonts w:hint="eastAsia" w:ascii="宋体" w:hAnsi="宋体" w:cs="宋体"/>
                <w:szCs w:val="21"/>
              </w:rPr>
              <w:t>/</w:t>
            </w:r>
          </w:p>
        </w:tc>
      </w:tr>
      <w:tr w14:paraId="1C6FB7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0" w:type="dxa"/>
            <w:vAlign w:val="center"/>
          </w:tcPr>
          <w:p w14:paraId="509900B4">
            <w:pPr>
              <w:pStyle w:val="31"/>
            </w:pPr>
            <w:r>
              <w:rPr>
                <w:rFonts w:hint="eastAsia"/>
              </w:rPr>
              <w:t>环境监测</w:t>
            </w:r>
          </w:p>
        </w:tc>
        <w:tc>
          <w:tcPr>
            <w:tcW w:w="2294" w:type="dxa"/>
            <w:vAlign w:val="center"/>
          </w:tcPr>
          <w:p w14:paraId="4A1568DD">
            <w:pPr>
              <w:pStyle w:val="31"/>
              <w:rPr>
                <w:rFonts w:hint="eastAsia" w:ascii="宋体" w:hAnsi="宋体" w:cs="宋体"/>
                <w:szCs w:val="21"/>
              </w:rPr>
            </w:pPr>
            <w:r>
              <w:rPr>
                <w:rFonts w:hint="eastAsia" w:ascii="宋体" w:hAnsi="宋体" w:cs="宋体"/>
                <w:szCs w:val="21"/>
              </w:rPr>
              <w:t>/</w:t>
            </w:r>
          </w:p>
        </w:tc>
        <w:tc>
          <w:tcPr>
            <w:tcW w:w="2481" w:type="dxa"/>
            <w:vAlign w:val="center"/>
          </w:tcPr>
          <w:p w14:paraId="5BC6AAE8">
            <w:pPr>
              <w:pStyle w:val="31"/>
              <w:rPr>
                <w:rFonts w:hint="eastAsia" w:ascii="宋体" w:hAnsi="宋体" w:cs="宋体"/>
                <w:szCs w:val="21"/>
              </w:rPr>
            </w:pPr>
            <w:r>
              <w:rPr>
                <w:rFonts w:hint="eastAsia" w:ascii="宋体" w:hAnsi="宋体" w:cs="宋体"/>
                <w:szCs w:val="21"/>
              </w:rPr>
              <w:t>/</w:t>
            </w:r>
          </w:p>
        </w:tc>
        <w:tc>
          <w:tcPr>
            <w:tcW w:w="1525" w:type="dxa"/>
            <w:vAlign w:val="center"/>
          </w:tcPr>
          <w:p w14:paraId="665756BD">
            <w:pPr>
              <w:pStyle w:val="31"/>
              <w:rPr>
                <w:rFonts w:hint="eastAsia" w:ascii="宋体" w:hAnsi="宋体" w:cs="宋体"/>
                <w:szCs w:val="21"/>
              </w:rPr>
            </w:pPr>
            <w:r>
              <w:rPr>
                <w:rFonts w:hint="eastAsia" w:ascii="宋体" w:hAnsi="宋体" w:cs="宋体"/>
                <w:szCs w:val="21"/>
              </w:rPr>
              <w:t>/</w:t>
            </w:r>
          </w:p>
        </w:tc>
        <w:tc>
          <w:tcPr>
            <w:tcW w:w="1130" w:type="dxa"/>
            <w:vAlign w:val="center"/>
          </w:tcPr>
          <w:p w14:paraId="23EBFDAD">
            <w:pPr>
              <w:pStyle w:val="31"/>
              <w:rPr>
                <w:rFonts w:hint="eastAsia" w:ascii="宋体" w:hAnsi="宋体" w:cs="宋体"/>
                <w:szCs w:val="21"/>
              </w:rPr>
            </w:pPr>
            <w:r>
              <w:rPr>
                <w:rFonts w:hint="eastAsia" w:ascii="宋体" w:hAnsi="宋体" w:cs="宋体"/>
                <w:szCs w:val="21"/>
              </w:rPr>
              <w:t>/</w:t>
            </w:r>
          </w:p>
        </w:tc>
      </w:tr>
      <w:tr w14:paraId="7211FB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0" w:type="dxa"/>
            <w:vAlign w:val="center"/>
          </w:tcPr>
          <w:p w14:paraId="0AA11D30">
            <w:pPr>
              <w:pStyle w:val="31"/>
            </w:pPr>
            <w:r>
              <w:rPr>
                <w:rFonts w:hint="eastAsia"/>
              </w:rPr>
              <w:t>其他</w:t>
            </w:r>
          </w:p>
        </w:tc>
        <w:tc>
          <w:tcPr>
            <w:tcW w:w="2294" w:type="dxa"/>
            <w:vAlign w:val="center"/>
          </w:tcPr>
          <w:p w14:paraId="32EDBEE8">
            <w:pPr>
              <w:pStyle w:val="31"/>
              <w:rPr>
                <w:rFonts w:hint="eastAsia" w:ascii="宋体" w:hAnsi="宋体" w:cs="宋体"/>
                <w:szCs w:val="21"/>
              </w:rPr>
            </w:pPr>
            <w:r>
              <w:rPr>
                <w:rFonts w:hint="eastAsia" w:ascii="宋体" w:hAnsi="宋体" w:cs="宋体"/>
                <w:szCs w:val="21"/>
              </w:rPr>
              <w:t>/</w:t>
            </w:r>
          </w:p>
        </w:tc>
        <w:tc>
          <w:tcPr>
            <w:tcW w:w="2481" w:type="dxa"/>
            <w:vAlign w:val="center"/>
          </w:tcPr>
          <w:p w14:paraId="03D37F06">
            <w:pPr>
              <w:pStyle w:val="31"/>
              <w:rPr>
                <w:rFonts w:hint="eastAsia" w:ascii="宋体" w:hAnsi="宋体" w:cs="宋体"/>
                <w:szCs w:val="21"/>
              </w:rPr>
            </w:pPr>
            <w:r>
              <w:rPr>
                <w:rFonts w:hint="eastAsia" w:ascii="宋体" w:hAnsi="宋体" w:cs="宋体"/>
                <w:szCs w:val="21"/>
              </w:rPr>
              <w:t>/</w:t>
            </w:r>
          </w:p>
        </w:tc>
        <w:tc>
          <w:tcPr>
            <w:tcW w:w="1525" w:type="dxa"/>
            <w:vAlign w:val="center"/>
          </w:tcPr>
          <w:p w14:paraId="3A1CB58F">
            <w:pPr>
              <w:pStyle w:val="31"/>
              <w:rPr>
                <w:rFonts w:hint="eastAsia" w:ascii="宋体" w:hAnsi="宋体" w:cs="宋体"/>
                <w:szCs w:val="21"/>
              </w:rPr>
            </w:pPr>
            <w:r>
              <w:rPr>
                <w:rFonts w:hint="eastAsia" w:ascii="宋体" w:hAnsi="宋体" w:cs="宋体"/>
                <w:szCs w:val="21"/>
              </w:rPr>
              <w:t>/</w:t>
            </w:r>
          </w:p>
        </w:tc>
        <w:tc>
          <w:tcPr>
            <w:tcW w:w="1130" w:type="dxa"/>
            <w:vAlign w:val="center"/>
          </w:tcPr>
          <w:p w14:paraId="20A27D85">
            <w:pPr>
              <w:pStyle w:val="31"/>
              <w:rPr>
                <w:rFonts w:hint="eastAsia" w:ascii="宋体" w:hAnsi="宋体" w:cs="宋体"/>
                <w:szCs w:val="21"/>
              </w:rPr>
            </w:pPr>
            <w:r>
              <w:rPr>
                <w:rFonts w:hint="eastAsia" w:ascii="宋体" w:hAnsi="宋体" w:cs="宋体"/>
                <w:szCs w:val="21"/>
              </w:rPr>
              <w:t>/</w:t>
            </w:r>
          </w:p>
        </w:tc>
      </w:tr>
    </w:tbl>
    <w:p w14:paraId="08061DEC">
      <w:pPr>
        <w:ind w:firstLine="480"/>
        <w:rPr>
          <w:snapToGrid w:val="0"/>
        </w:rPr>
      </w:pPr>
    </w:p>
    <w:p w14:paraId="235EA860">
      <w:pPr>
        <w:ind w:firstLine="480"/>
        <w:rPr>
          <w:snapToGrid w:val="0"/>
        </w:rPr>
      </w:pPr>
      <w:r>
        <w:rPr>
          <w:snapToGrid w:val="0"/>
        </w:rPr>
        <w:br w:type="page"/>
      </w:r>
    </w:p>
    <w:p w14:paraId="7A9C069C">
      <w:pPr>
        <w:pStyle w:val="4"/>
        <w:rPr>
          <w:snapToGrid w:val="0"/>
        </w:rPr>
      </w:pPr>
      <w:r>
        <w:rPr>
          <w:rFonts w:hint="eastAsia"/>
          <w:snapToGrid w:val="0"/>
        </w:rPr>
        <w:t>七、结论</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56D81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1" w:hRule="atLeast"/>
          <w:jc w:val="center"/>
        </w:trPr>
        <w:tc>
          <w:tcPr>
            <w:tcW w:w="8865" w:type="dxa"/>
            <w:vAlign w:val="center"/>
          </w:tcPr>
          <w:p w14:paraId="3BAE5649">
            <w:pPr>
              <w:ind w:firstLine="482"/>
              <w:rPr>
                <w:rFonts w:ascii="宋体" w:cs="宋体"/>
              </w:rPr>
            </w:pPr>
            <w:r>
              <w:rPr>
                <w:rFonts w:hint="eastAsia" w:ascii="宋体" w:cs="宋体"/>
                <w:b/>
                <w:bCs/>
              </w:rPr>
              <w:t>1、建设项目环境可行性结论</w:t>
            </w:r>
          </w:p>
          <w:p w14:paraId="0CD9AA7B">
            <w:pPr>
              <w:ind w:firstLine="480"/>
              <w:rPr>
                <w:rFonts w:ascii="宋体" w:cs="宋体"/>
              </w:rPr>
            </w:pPr>
            <w:r>
              <w:rPr>
                <w:rFonts w:hint="eastAsia" w:ascii="宋体" w:cs="宋体"/>
              </w:rPr>
              <w:t>本项目符合国家产业政策。该项目工程区内不涉及集中式饮用水源保护区、不涉及保护文物、不涉及风景名胜区及生态敏感区，不会对当地城镇发展规划造成影响。项目拟采取的三废治理措施有效可行。勘探作业严格按照相关操作规程进行，做好防范措施。该项工程采取的环境风险措施及制定的应急预案切实可行。在落实风险防范措施及应急预案后，环境风险达到可以接受水平。</w:t>
            </w:r>
          </w:p>
          <w:p w14:paraId="558E4CC6">
            <w:pPr>
              <w:ind w:firstLine="480"/>
              <w:rPr>
                <w:rFonts w:ascii="宋体" w:cs="宋体"/>
              </w:rPr>
            </w:pPr>
            <w:r>
              <w:rPr>
                <w:rFonts w:hint="eastAsia" w:ascii="宋体" w:cs="宋体"/>
              </w:rPr>
              <w:t>综上所述，在施工过程中强化环保管理，落实各项环保措施，保证各项设施正常运行，从环境保护角度分析，本项目建设是可行的。</w:t>
            </w:r>
          </w:p>
          <w:p w14:paraId="2E7AB4E0">
            <w:pPr>
              <w:ind w:firstLine="480"/>
            </w:pPr>
          </w:p>
          <w:p w14:paraId="4A9636BD">
            <w:pPr>
              <w:ind w:firstLine="480"/>
              <w:rPr>
                <w:rFonts w:ascii="宋体" w:cs="宋体"/>
              </w:rPr>
            </w:pPr>
          </w:p>
          <w:p w14:paraId="41F35144">
            <w:pPr>
              <w:ind w:firstLine="480"/>
              <w:rPr>
                <w:rFonts w:ascii="宋体" w:cs="宋体"/>
              </w:rPr>
            </w:pPr>
          </w:p>
          <w:p w14:paraId="1FCA5D0A">
            <w:pPr>
              <w:ind w:firstLine="480"/>
              <w:rPr>
                <w:rFonts w:ascii="宋体" w:cs="宋体"/>
              </w:rPr>
            </w:pPr>
          </w:p>
          <w:p w14:paraId="6C9D0608">
            <w:pPr>
              <w:ind w:firstLine="480"/>
              <w:rPr>
                <w:rFonts w:ascii="宋体" w:cs="宋体"/>
              </w:rPr>
            </w:pPr>
          </w:p>
          <w:p w14:paraId="645697A7">
            <w:pPr>
              <w:ind w:firstLine="480"/>
              <w:rPr>
                <w:rFonts w:ascii="宋体" w:cs="宋体"/>
              </w:rPr>
            </w:pPr>
          </w:p>
          <w:p w14:paraId="01F1EE0C">
            <w:pPr>
              <w:ind w:firstLine="480"/>
              <w:rPr>
                <w:rFonts w:ascii="宋体" w:cs="宋体"/>
              </w:rPr>
            </w:pPr>
          </w:p>
          <w:p w14:paraId="634E1BCD">
            <w:pPr>
              <w:ind w:firstLine="480"/>
              <w:rPr>
                <w:rFonts w:ascii="宋体" w:cs="宋体"/>
              </w:rPr>
            </w:pPr>
          </w:p>
          <w:p w14:paraId="6AE721D1">
            <w:pPr>
              <w:ind w:firstLine="480"/>
              <w:rPr>
                <w:rFonts w:ascii="宋体" w:cs="宋体"/>
              </w:rPr>
            </w:pPr>
          </w:p>
          <w:p w14:paraId="1F3293DC">
            <w:pPr>
              <w:ind w:firstLine="480"/>
              <w:rPr>
                <w:rFonts w:ascii="宋体" w:cs="宋体"/>
              </w:rPr>
            </w:pPr>
          </w:p>
          <w:p w14:paraId="5D4B2654">
            <w:pPr>
              <w:ind w:firstLine="480"/>
              <w:rPr>
                <w:rFonts w:ascii="宋体" w:cs="宋体"/>
              </w:rPr>
            </w:pPr>
          </w:p>
          <w:p w14:paraId="7006148F">
            <w:pPr>
              <w:ind w:firstLine="480"/>
              <w:rPr>
                <w:rFonts w:ascii="宋体" w:cs="宋体"/>
              </w:rPr>
            </w:pPr>
          </w:p>
          <w:p w14:paraId="4D62D463">
            <w:pPr>
              <w:ind w:firstLine="480"/>
              <w:rPr>
                <w:rFonts w:ascii="宋体" w:cs="宋体"/>
              </w:rPr>
            </w:pPr>
          </w:p>
          <w:p w14:paraId="5AFF8E99">
            <w:pPr>
              <w:ind w:firstLine="480"/>
              <w:rPr>
                <w:rFonts w:ascii="宋体" w:cs="宋体"/>
              </w:rPr>
            </w:pPr>
          </w:p>
          <w:p w14:paraId="2CD291D6">
            <w:pPr>
              <w:ind w:firstLine="480"/>
              <w:rPr>
                <w:rFonts w:ascii="宋体" w:cs="宋体"/>
              </w:rPr>
            </w:pPr>
          </w:p>
        </w:tc>
      </w:tr>
    </w:tbl>
    <w:p w14:paraId="32EEAE13">
      <w:pPr>
        <w:ind w:firstLine="480"/>
        <w:rPr>
          <w:rFonts w:ascii="宋体" w:cs="宋体"/>
        </w:rPr>
      </w:pPr>
    </w:p>
    <w:p w14:paraId="29603AAE">
      <w:pPr>
        <w:ind w:firstLine="0" w:firstLineChars="0"/>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133C2">
    <w:pPr>
      <w:pStyle w:val="14"/>
      <w:ind w:firstLine="360"/>
      <w:jc w:val="center"/>
    </w:pPr>
    <w:r>
      <w:fldChar w:fldCharType="begin"/>
    </w:r>
    <w:r>
      <w:instrText xml:space="preserve">PAGE   \* MERGEFORMAT</w:instrText>
    </w:r>
    <w:r>
      <w:fldChar w:fldCharType="separate"/>
    </w:r>
    <w:r>
      <w:rPr>
        <w:lang w:val="zh-CN"/>
      </w:rPr>
      <w:t>2</w:t>
    </w:r>
    <w:r>
      <w:fldChar w:fldCharType="end"/>
    </w:r>
  </w:p>
  <w:p w14:paraId="4A149E05">
    <w:pPr>
      <w:pStyle w:val="14"/>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48577">
    <w:pPr>
      <w:pStyle w:val="1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EE5A40"/>
    <w:multiLevelType w:val="singleLevel"/>
    <w:tmpl w:val="CFEE5A40"/>
    <w:lvl w:ilvl="0" w:tentative="0">
      <w:start w:val="1"/>
      <w:numFmt w:val="bullet"/>
      <w:pStyle w:val="13"/>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FiMGMxZmYwZTYyNDQzMzU3ZmUyOTY0YmRmYjFhMGMifQ=="/>
  </w:docVars>
  <w:rsids>
    <w:rsidRoot w:val="00742A2F"/>
    <w:rsid w:val="000D5E34"/>
    <w:rsid w:val="00214DB9"/>
    <w:rsid w:val="00311FBC"/>
    <w:rsid w:val="0032577D"/>
    <w:rsid w:val="003D7447"/>
    <w:rsid w:val="004C05B8"/>
    <w:rsid w:val="005B1F5E"/>
    <w:rsid w:val="005D666F"/>
    <w:rsid w:val="00742A2F"/>
    <w:rsid w:val="008107FB"/>
    <w:rsid w:val="0098198E"/>
    <w:rsid w:val="00A904F0"/>
    <w:rsid w:val="00AC1B3C"/>
    <w:rsid w:val="00BE3E7B"/>
    <w:rsid w:val="00C626F0"/>
    <w:rsid w:val="00D17EBB"/>
    <w:rsid w:val="00FB6FA7"/>
    <w:rsid w:val="01040F3A"/>
    <w:rsid w:val="01927169"/>
    <w:rsid w:val="01F42A41"/>
    <w:rsid w:val="02180193"/>
    <w:rsid w:val="02355837"/>
    <w:rsid w:val="023A579D"/>
    <w:rsid w:val="02445541"/>
    <w:rsid w:val="02642D03"/>
    <w:rsid w:val="02664583"/>
    <w:rsid w:val="027543F0"/>
    <w:rsid w:val="027D02C4"/>
    <w:rsid w:val="02814F7F"/>
    <w:rsid w:val="028D7421"/>
    <w:rsid w:val="02D06B97"/>
    <w:rsid w:val="02E2376B"/>
    <w:rsid w:val="02EA6CAB"/>
    <w:rsid w:val="033477BB"/>
    <w:rsid w:val="037E6D6A"/>
    <w:rsid w:val="038A570F"/>
    <w:rsid w:val="03980E6F"/>
    <w:rsid w:val="03CB7B24"/>
    <w:rsid w:val="03D130C9"/>
    <w:rsid w:val="03DE3CAC"/>
    <w:rsid w:val="03E35ED3"/>
    <w:rsid w:val="03E4576F"/>
    <w:rsid w:val="03F20308"/>
    <w:rsid w:val="04267511"/>
    <w:rsid w:val="046837CA"/>
    <w:rsid w:val="0521768A"/>
    <w:rsid w:val="052F55BA"/>
    <w:rsid w:val="058542D8"/>
    <w:rsid w:val="05924C0F"/>
    <w:rsid w:val="05C20583"/>
    <w:rsid w:val="06020D60"/>
    <w:rsid w:val="060A7F0C"/>
    <w:rsid w:val="06292F10"/>
    <w:rsid w:val="064F0C33"/>
    <w:rsid w:val="0678312C"/>
    <w:rsid w:val="067F52D3"/>
    <w:rsid w:val="070457D8"/>
    <w:rsid w:val="070E48A8"/>
    <w:rsid w:val="07131EBF"/>
    <w:rsid w:val="071559B4"/>
    <w:rsid w:val="071F6AB6"/>
    <w:rsid w:val="07454E7C"/>
    <w:rsid w:val="078F4D2D"/>
    <w:rsid w:val="07BE62CF"/>
    <w:rsid w:val="07EC07E8"/>
    <w:rsid w:val="07FE3FF3"/>
    <w:rsid w:val="08142021"/>
    <w:rsid w:val="08147C9D"/>
    <w:rsid w:val="084E1B03"/>
    <w:rsid w:val="08836BD0"/>
    <w:rsid w:val="08AE4335"/>
    <w:rsid w:val="08D4742C"/>
    <w:rsid w:val="08DD243C"/>
    <w:rsid w:val="08E43B13"/>
    <w:rsid w:val="08F14341"/>
    <w:rsid w:val="08F57ACE"/>
    <w:rsid w:val="08FE0584"/>
    <w:rsid w:val="09A646EC"/>
    <w:rsid w:val="09D973F0"/>
    <w:rsid w:val="09E57B43"/>
    <w:rsid w:val="09EA5159"/>
    <w:rsid w:val="0A0420EC"/>
    <w:rsid w:val="0A0643B4"/>
    <w:rsid w:val="0A54652A"/>
    <w:rsid w:val="0A7603F4"/>
    <w:rsid w:val="0AA43F7D"/>
    <w:rsid w:val="0AC7123A"/>
    <w:rsid w:val="0AF75C1F"/>
    <w:rsid w:val="0AFB6211"/>
    <w:rsid w:val="0B2E5767"/>
    <w:rsid w:val="0B742E32"/>
    <w:rsid w:val="0B7D1FFD"/>
    <w:rsid w:val="0B82196E"/>
    <w:rsid w:val="0B906705"/>
    <w:rsid w:val="0B923CFA"/>
    <w:rsid w:val="0BA17A99"/>
    <w:rsid w:val="0BAC35AA"/>
    <w:rsid w:val="0BB21CA6"/>
    <w:rsid w:val="0BB7550F"/>
    <w:rsid w:val="0BDE6F3F"/>
    <w:rsid w:val="0BEE199C"/>
    <w:rsid w:val="0C822B22"/>
    <w:rsid w:val="0CAD246E"/>
    <w:rsid w:val="0CDF76AC"/>
    <w:rsid w:val="0D223AB8"/>
    <w:rsid w:val="0D29243C"/>
    <w:rsid w:val="0D6E49E4"/>
    <w:rsid w:val="0DF906F3"/>
    <w:rsid w:val="0E2064CE"/>
    <w:rsid w:val="0E5072C9"/>
    <w:rsid w:val="0E6012AA"/>
    <w:rsid w:val="0E716BB4"/>
    <w:rsid w:val="0E794CFD"/>
    <w:rsid w:val="0EB35674"/>
    <w:rsid w:val="0EE26D46"/>
    <w:rsid w:val="0F113188"/>
    <w:rsid w:val="0F205179"/>
    <w:rsid w:val="0F231E64"/>
    <w:rsid w:val="0F2643D8"/>
    <w:rsid w:val="0F352EF7"/>
    <w:rsid w:val="0F9D2C6D"/>
    <w:rsid w:val="0FDC3796"/>
    <w:rsid w:val="1034712E"/>
    <w:rsid w:val="104F11F2"/>
    <w:rsid w:val="104F5D4E"/>
    <w:rsid w:val="10571CDD"/>
    <w:rsid w:val="1059412C"/>
    <w:rsid w:val="10A92213"/>
    <w:rsid w:val="10AE197C"/>
    <w:rsid w:val="111E6245"/>
    <w:rsid w:val="11250BC0"/>
    <w:rsid w:val="11543C32"/>
    <w:rsid w:val="11C52008"/>
    <w:rsid w:val="11D67AF0"/>
    <w:rsid w:val="11E43BE6"/>
    <w:rsid w:val="12492D44"/>
    <w:rsid w:val="126611B5"/>
    <w:rsid w:val="12C16C73"/>
    <w:rsid w:val="12CD386A"/>
    <w:rsid w:val="12D40754"/>
    <w:rsid w:val="12E82DB2"/>
    <w:rsid w:val="12F8205D"/>
    <w:rsid w:val="12F94A82"/>
    <w:rsid w:val="13176A48"/>
    <w:rsid w:val="13961A52"/>
    <w:rsid w:val="13EE5846"/>
    <w:rsid w:val="13F90CA2"/>
    <w:rsid w:val="13FC2B54"/>
    <w:rsid w:val="142B3777"/>
    <w:rsid w:val="14702016"/>
    <w:rsid w:val="14D1683F"/>
    <w:rsid w:val="15030EF3"/>
    <w:rsid w:val="153F7D8B"/>
    <w:rsid w:val="15460D75"/>
    <w:rsid w:val="157845E8"/>
    <w:rsid w:val="15791A87"/>
    <w:rsid w:val="1580160C"/>
    <w:rsid w:val="158C17BA"/>
    <w:rsid w:val="1594066F"/>
    <w:rsid w:val="159C6653"/>
    <w:rsid w:val="159E18FB"/>
    <w:rsid w:val="15AF4671"/>
    <w:rsid w:val="15BB0D33"/>
    <w:rsid w:val="165F2A2B"/>
    <w:rsid w:val="166273FD"/>
    <w:rsid w:val="16AB687C"/>
    <w:rsid w:val="16B07C55"/>
    <w:rsid w:val="16DF0E96"/>
    <w:rsid w:val="17072F54"/>
    <w:rsid w:val="170944F3"/>
    <w:rsid w:val="175B7696"/>
    <w:rsid w:val="176D73C9"/>
    <w:rsid w:val="17A73DA0"/>
    <w:rsid w:val="17B267DF"/>
    <w:rsid w:val="17CB2B9E"/>
    <w:rsid w:val="180A4C18"/>
    <w:rsid w:val="185D1307"/>
    <w:rsid w:val="18781E0F"/>
    <w:rsid w:val="188C359B"/>
    <w:rsid w:val="1892740D"/>
    <w:rsid w:val="18952734"/>
    <w:rsid w:val="18B0018F"/>
    <w:rsid w:val="18B13D26"/>
    <w:rsid w:val="18BA4890"/>
    <w:rsid w:val="18DB79D7"/>
    <w:rsid w:val="19345AE7"/>
    <w:rsid w:val="19827DE5"/>
    <w:rsid w:val="1A0D6FD8"/>
    <w:rsid w:val="1A3F329F"/>
    <w:rsid w:val="1A4D4035"/>
    <w:rsid w:val="1A907FA2"/>
    <w:rsid w:val="1AAD645B"/>
    <w:rsid w:val="1ADE3924"/>
    <w:rsid w:val="1B1E1106"/>
    <w:rsid w:val="1B2B2D19"/>
    <w:rsid w:val="1B340431"/>
    <w:rsid w:val="1B486183"/>
    <w:rsid w:val="1B4A2C53"/>
    <w:rsid w:val="1B5B5EB7"/>
    <w:rsid w:val="1B6C448D"/>
    <w:rsid w:val="1B9A62B3"/>
    <w:rsid w:val="1BA662B7"/>
    <w:rsid w:val="1BC72EAC"/>
    <w:rsid w:val="1BE4346A"/>
    <w:rsid w:val="1C0B6C1C"/>
    <w:rsid w:val="1C34398E"/>
    <w:rsid w:val="1C5B5A42"/>
    <w:rsid w:val="1C685860"/>
    <w:rsid w:val="1C9B77F5"/>
    <w:rsid w:val="1C9C6D7D"/>
    <w:rsid w:val="1D7F4C82"/>
    <w:rsid w:val="1DBC7535"/>
    <w:rsid w:val="1DFE0F43"/>
    <w:rsid w:val="1E140EE8"/>
    <w:rsid w:val="1E3173A3"/>
    <w:rsid w:val="1E5137D0"/>
    <w:rsid w:val="1E6F19F0"/>
    <w:rsid w:val="1EC412E8"/>
    <w:rsid w:val="1EDB6B7A"/>
    <w:rsid w:val="1EFE1951"/>
    <w:rsid w:val="1F3233D2"/>
    <w:rsid w:val="1F5F5687"/>
    <w:rsid w:val="1F6F7089"/>
    <w:rsid w:val="1F741DA9"/>
    <w:rsid w:val="1F872FC8"/>
    <w:rsid w:val="1F903C55"/>
    <w:rsid w:val="1F9A0F77"/>
    <w:rsid w:val="1FD146C1"/>
    <w:rsid w:val="200E6725"/>
    <w:rsid w:val="201A79C2"/>
    <w:rsid w:val="20251073"/>
    <w:rsid w:val="20381C4F"/>
    <w:rsid w:val="205B0707"/>
    <w:rsid w:val="20B27232"/>
    <w:rsid w:val="20CE0ED9"/>
    <w:rsid w:val="20DD528F"/>
    <w:rsid w:val="21162DE8"/>
    <w:rsid w:val="21346507"/>
    <w:rsid w:val="21422738"/>
    <w:rsid w:val="217F3103"/>
    <w:rsid w:val="218C669E"/>
    <w:rsid w:val="21AF3493"/>
    <w:rsid w:val="222039B6"/>
    <w:rsid w:val="22235254"/>
    <w:rsid w:val="2235256D"/>
    <w:rsid w:val="223B259E"/>
    <w:rsid w:val="2250591D"/>
    <w:rsid w:val="22813D29"/>
    <w:rsid w:val="228D1FBC"/>
    <w:rsid w:val="22E03FC4"/>
    <w:rsid w:val="22E5491B"/>
    <w:rsid w:val="22F30A66"/>
    <w:rsid w:val="22FB1D2D"/>
    <w:rsid w:val="23056708"/>
    <w:rsid w:val="232E2CAD"/>
    <w:rsid w:val="234161D3"/>
    <w:rsid w:val="236B6EB3"/>
    <w:rsid w:val="236E69A3"/>
    <w:rsid w:val="2387457D"/>
    <w:rsid w:val="23C261F7"/>
    <w:rsid w:val="23CB7240"/>
    <w:rsid w:val="23DE2DD5"/>
    <w:rsid w:val="23E6478B"/>
    <w:rsid w:val="23E92278"/>
    <w:rsid w:val="2412155C"/>
    <w:rsid w:val="241B112E"/>
    <w:rsid w:val="24A81A41"/>
    <w:rsid w:val="24B6415E"/>
    <w:rsid w:val="24FB7DC2"/>
    <w:rsid w:val="25D23219"/>
    <w:rsid w:val="264766C6"/>
    <w:rsid w:val="2680281F"/>
    <w:rsid w:val="26891855"/>
    <w:rsid w:val="26977D36"/>
    <w:rsid w:val="26EB3E67"/>
    <w:rsid w:val="26F50BF6"/>
    <w:rsid w:val="270218DC"/>
    <w:rsid w:val="274243CE"/>
    <w:rsid w:val="274E4B21"/>
    <w:rsid w:val="2762122A"/>
    <w:rsid w:val="27B800C2"/>
    <w:rsid w:val="2830402E"/>
    <w:rsid w:val="28493AA6"/>
    <w:rsid w:val="2852369E"/>
    <w:rsid w:val="2866348C"/>
    <w:rsid w:val="28935D2E"/>
    <w:rsid w:val="289447B6"/>
    <w:rsid w:val="289D35C5"/>
    <w:rsid w:val="28E13773"/>
    <w:rsid w:val="28F968E4"/>
    <w:rsid w:val="291908FB"/>
    <w:rsid w:val="292F0025"/>
    <w:rsid w:val="2940049A"/>
    <w:rsid w:val="29453D02"/>
    <w:rsid w:val="295B4BE8"/>
    <w:rsid w:val="297D524A"/>
    <w:rsid w:val="29914AE9"/>
    <w:rsid w:val="299D5C5F"/>
    <w:rsid w:val="299F1664"/>
    <w:rsid w:val="29C27101"/>
    <w:rsid w:val="29F251ED"/>
    <w:rsid w:val="2A1A3417"/>
    <w:rsid w:val="2A1B39A1"/>
    <w:rsid w:val="2A6D6F5C"/>
    <w:rsid w:val="2A963A75"/>
    <w:rsid w:val="2AA1765E"/>
    <w:rsid w:val="2AB06293"/>
    <w:rsid w:val="2AE4105B"/>
    <w:rsid w:val="2AE71DF0"/>
    <w:rsid w:val="2AE85674"/>
    <w:rsid w:val="2B01299A"/>
    <w:rsid w:val="2B015C91"/>
    <w:rsid w:val="2B10296C"/>
    <w:rsid w:val="2B4C7596"/>
    <w:rsid w:val="2B6B7E4B"/>
    <w:rsid w:val="2B995497"/>
    <w:rsid w:val="2C1105D9"/>
    <w:rsid w:val="2C156FDF"/>
    <w:rsid w:val="2C844B41"/>
    <w:rsid w:val="2C86594D"/>
    <w:rsid w:val="2CA86A82"/>
    <w:rsid w:val="2CB36E69"/>
    <w:rsid w:val="2D41674C"/>
    <w:rsid w:val="2DAA682A"/>
    <w:rsid w:val="2DDA5646"/>
    <w:rsid w:val="2E182EB0"/>
    <w:rsid w:val="2E2900D5"/>
    <w:rsid w:val="2E564E35"/>
    <w:rsid w:val="2E7F0F38"/>
    <w:rsid w:val="2EC47989"/>
    <w:rsid w:val="2ED92E45"/>
    <w:rsid w:val="2EDE5274"/>
    <w:rsid w:val="2F0F586E"/>
    <w:rsid w:val="2F195BC6"/>
    <w:rsid w:val="2F4920C0"/>
    <w:rsid w:val="2F4B2025"/>
    <w:rsid w:val="2F4D1B62"/>
    <w:rsid w:val="2F4D56BE"/>
    <w:rsid w:val="2F9257C7"/>
    <w:rsid w:val="2FAC3343"/>
    <w:rsid w:val="2FAD43AF"/>
    <w:rsid w:val="2FC42004"/>
    <w:rsid w:val="2FF206FB"/>
    <w:rsid w:val="304F07E2"/>
    <w:rsid w:val="30520522"/>
    <w:rsid w:val="30647164"/>
    <w:rsid w:val="30BE5D98"/>
    <w:rsid w:val="30BF083E"/>
    <w:rsid w:val="30DB7244"/>
    <w:rsid w:val="313C1E8F"/>
    <w:rsid w:val="315D5D86"/>
    <w:rsid w:val="31610093"/>
    <w:rsid w:val="31660CB9"/>
    <w:rsid w:val="316E026D"/>
    <w:rsid w:val="31762CCE"/>
    <w:rsid w:val="317909ED"/>
    <w:rsid w:val="31E357BE"/>
    <w:rsid w:val="32003B98"/>
    <w:rsid w:val="320A1F29"/>
    <w:rsid w:val="321F664B"/>
    <w:rsid w:val="327B56DF"/>
    <w:rsid w:val="32AD7197"/>
    <w:rsid w:val="32B20B24"/>
    <w:rsid w:val="32D103B5"/>
    <w:rsid w:val="330D6E6B"/>
    <w:rsid w:val="339935C8"/>
    <w:rsid w:val="340D7B12"/>
    <w:rsid w:val="34515C51"/>
    <w:rsid w:val="347654A2"/>
    <w:rsid w:val="34DA795B"/>
    <w:rsid w:val="3509378F"/>
    <w:rsid w:val="3534133A"/>
    <w:rsid w:val="3595676D"/>
    <w:rsid w:val="35EA010B"/>
    <w:rsid w:val="3630439A"/>
    <w:rsid w:val="363B2715"/>
    <w:rsid w:val="36C06A28"/>
    <w:rsid w:val="36C56482"/>
    <w:rsid w:val="36DB3EF8"/>
    <w:rsid w:val="37024FE0"/>
    <w:rsid w:val="371C6EB1"/>
    <w:rsid w:val="373972A7"/>
    <w:rsid w:val="378239F1"/>
    <w:rsid w:val="37843EA3"/>
    <w:rsid w:val="37C92DF1"/>
    <w:rsid w:val="38CE5AC2"/>
    <w:rsid w:val="38DE2CAD"/>
    <w:rsid w:val="38E069CE"/>
    <w:rsid w:val="39026997"/>
    <w:rsid w:val="39157076"/>
    <w:rsid w:val="392B4CDE"/>
    <w:rsid w:val="39444203"/>
    <w:rsid w:val="397331E4"/>
    <w:rsid w:val="39C23BC1"/>
    <w:rsid w:val="39D37108"/>
    <w:rsid w:val="39DC7D6B"/>
    <w:rsid w:val="39DE576D"/>
    <w:rsid w:val="39FE3361"/>
    <w:rsid w:val="3A2368CB"/>
    <w:rsid w:val="3A401647"/>
    <w:rsid w:val="3A601A2D"/>
    <w:rsid w:val="3A69610B"/>
    <w:rsid w:val="3AC0143A"/>
    <w:rsid w:val="3AE710BD"/>
    <w:rsid w:val="3B0E664A"/>
    <w:rsid w:val="3B210644"/>
    <w:rsid w:val="3B762441"/>
    <w:rsid w:val="3BC7289E"/>
    <w:rsid w:val="3BC82C9D"/>
    <w:rsid w:val="3BFA097C"/>
    <w:rsid w:val="3C0255BF"/>
    <w:rsid w:val="3C0B2B89"/>
    <w:rsid w:val="3C3C2D43"/>
    <w:rsid w:val="3CD4773D"/>
    <w:rsid w:val="3D0F66A9"/>
    <w:rsid w:val="3D1A5B61"/>
    <w:rsid w:val="3D1F0390"/>
    <w:rsid w:val="3D311FE7"/>
    <w:rsid w:val="3D4225DB"/>
    <w:rsid w:val="3D6548C9"/>
    <w:rsid w:val="3DC65BE7"/>
    <w:rsid w:val="3DF75978"/>
    <w:rsid w:val="3E500D27"/>
    <w:rsid w:val="3E607FBB"/>
    <w:rsid w:val="3E637CD0"/>
    <w:rsid w:val="3E7D63D7"/>
    <w:rsid w:val="3E9A3641"/>
    <w:rsid w:val="3EB7273D"/>
    <w:rsid w:val="3F014834"/>
    <w:rsid w:val="3F1F35DD"/>
    <w:rsid w:val="3F2B2F30"/>
    <w:rsid w:val="3F2D1069"/>
    <w:rsid w:val="3F4168C2"/>
    <w:rsid w:val="3F84156E"/>
    <w:rsid w:val="3FA30B08"/>
    <w:rsid w:val="3FA76696"/>
    <w:rsid w:val="3FCA0793"/>
    <w:rsid w:val="40030A15"/>
    <w:rsid w:val="401F4E55"/>
    <w:rsid w:val="40210BCD"/>
    <w:rsid w:val="406F3488"/>
    <w:rsid w:val="40782951"/>
    <w:rsid w:val="40881AFB"/>
    <w:rsid w:val="40B065AF"/>
    <w:rsid w:val="40BE3171"/>
    <w:rsid w:val="40DE6906"/>
    <w:rsid w:val="412531D5"/>
    <w:rsid w:val="417A7DAB"/>
    <w:rsid w:val="418F0D2C"/>
    <w:rsid w:val="419E1DAA"/>
    <w:rsid w:val="41AA4248"/>
    <w:rsid w:val="42310E70"/>
    <w:rsid w:val="42366486"/>
    <w:rsid w:val="427D5863"/>
    <w:rsid w:val="42BB414C"/>
    <w:rsid w:val="42DA0BC0"/>
    <w:rsid w:val="43020552"/>
    <w:rsid w:val="43120317"/>
    <w:rsid w:val="43336506"/>
    <w:rsid w:val="4339622E"/>
    <w:rsid w:val="43733F52"/>
    <w:rsid w:val="4379487C"/>
    <w:rsid w:val="437E1F88"/>
    <w:rsid w:val="43B5111A"/>
    <w:rsid w:val="43C024AB"/>
    <w:rsid w:val="443A5AC8"/>
    <w:rsid w:val="44A771C7"/>
    <w:rsid w:val="44C27560"/>
    <w:rsid w:val="44E65F41"/>
    <w:rsid w:val="45181E73"/>
    <w:rsid w:val="452578C5"/>
    <w:rsid w:val="45350C77"/>
    <w:rsid w:val="454669E0"/>
    <w:rsid w:val="45634846"/>
    <w:rsid w:val="45903D88"/>
    <w:rsid w:val="45E5764C"/>
    <w:rsid w:val="46396545"/>
    <w:rsid w:val="465935F7"/>
    <w:rsid w:val="4675133E"/>
    <w:rsid w:val="46AC496B"/>
    <w:rsid w:val="46DA5672"/>
    <w:rsid w:val="46ED1809"/>
    <w:rsid w:val="473B16DA"/>
    <w:rsid w:val="478E39F4"/>
    <w:rsid w:val="47A53E92"/>
    <w:rsid w:val="47D863D9"/>
    <w:rsid w:val="47F46BC7"/>
    <w:rsid w:val="4801595B"/>
    <w:rsid w:val="48065BC2"/>
    <w:rsid w:val="480B4D86"/>
    <w:rsid w:val="481A798C"/>
    <w:rsid w:val="4831759E"/>
    <w:rsid w:val="48790E7B"/>
    <w:rsid w:val="48AD13CE"/>
    <w:rsid w:val="48DD765B"/>
    <w:rsid w:val="48EE1869"/>
    <w:rsid w:val="490E5A67"/>
    <w:rsid w:val="49902920"/>
    <w:rsid w:val="49C84218"/>
    <w:rsid w:val="49CE19A5"/>
    <w:rsid w:val="49F170F1"/>
    <w:rsid w:val="4A757BB4"/>
    <w:rsid w:val="4A8A7297"/>
    <w:rsid w:val="4A9D3546"/>
    <w:rsid w:val="4AC24D5B"/>
    <w:rsid w:val="4ADF1604"/>
    <w:rsid w:val="4AE65BCD"/>
    <w:rsid w:val="4AF773EF"/>
    <w:rsid w:val="4B82486E"/>
    <w:rsid w:val="4C105929"/>
    <w:rsid w:val="4C2F4672"/>
    <w:rsid w:val="4C400A25"/>
    <w:rsid w:val="4C426EAB"/>
    <w:rsid w:val="4C8229F4"/>
    <w:rsid w:val="4CDD7798"/>
    <w:rsid w:val="4D3161C8"/>
    <w:rsid w:val="4D44135A"/>
    <w:rsid w:val="4DEA6AA2"/>
    <w:rsid w:val="4E375A60"/>
    <w:rsid w:val="4E3B4A67"/>
    <w:rsid w:val="4E86277D"/>
    <w:rsid w:val="4E8E62DA"/>
    <w:rsid w:val="4EB253AC"/>
    <w:rsid w:val="4ECA55D0"/>
    <w:rsid w:val="4EE07EA5"/>
    <w:rsid w:val="4EFF2886"/>
    <w:rsid w:val="4F1101BD"/>
    <w:rsid w:val="4F163BF4"/>
    <w:rsid w:val="4F3B332E"/>
    <w:rsid w:val="4F46621E"/>
    <w:rsid w:val="4F5328C0"/>
    <w:rsid w:val="4F7716B4"/>
    <w:rsid w:val="4F812B80"/>
    <w:rsid w:val="503B1FAE"/>
    <w:rsid w:val="50440CC7"/>
    <w:rsid w:val="504D3319"/>
    <w:rsid w:val="50501F54"/>
    <w:rsid w:val="50526B81"/>
    <w:rsid w:val="505A5854"/>
    <w:rsid w:val="508B68AB"/>
    <w:rsid w:val="508D1967"/>
    <w:rsid w:val="50947199"/>
    <w:rsid w:val="509E4823"/>
    <w:rsid w:val="50A32F39"/>
    <w:rsid w:val="50C03AEB"/>
    <w:rsid w:val="50F10148"/>
    <w:rsid w:val="512C2DE9"/>
    <w:rsid w:val="51516E38"/>
    <w:rsid w:val="515B1A65"/>
    <w:rsid w:val="515E4346"/>
    <w:rsid w:val="51967A76"/>
    <w:rsid w:val="51C4498B"/>
    <w:rsid w:val="51E17D08"/>
    <w:rsid w:val="520A5C5E"/>
    <w:rsid w:val="5211253A"/>
    <w:rsid w:val="52401F20"/>
    <w:rsid w:val="52860C89"/>
    <w:rsid w:val="52A01E26"/>
    <w:rsid w:val="52A66D10"/>
    <w:rsid w:val="52C27FEE"/>
    <w:rsid w:val="530A434B"/>
    <w:rsid w:val="53114AD1"/>
    <w:rsid w:val="53153090"/>
    <w:rsid w:val="53165C44"/>
    <w:rsid w:val="53920987"/>
    <w:rsid w:val="53A70672"/>
    <w:rsid w:val="53B21580"/>
    <w:rsid w:val="54285B0B"/>
    <w:rsid w:val="543233B5"/>
    <w:rsid w:val="543C16DA"/>
    <w:rsid w:val="545E3D46"/>
    <w:rsid w:val="54622DED"/>
    <w:rsid w:val="548B2661"/>
    <w:rsid w:val="548E7DFC"/>
    <w:rsid w:val="549239F0"/>
    <w:rsid w:val="54C9124B"/>
    <w:rsid w:val="553F1336"/>
    <w:rsid w:val="554778F6"/>
    <w:rsid w:val="554959FB"/>
    <w:rsid w:val="558275C0"/>
    <w:rsid w:val="5584760D"/>
    <w:rsid w:val="55A1773E"/>
    <w:rsid w:val="55BF0815"/>
    <w:rsid w:val="55C44544"/>
    <w:rsid w:val="55F935FB"/>
    <w:rsid w:val="560519C8"/>
    <w:rsid w:val="56114C66"/>
    <w:rsid w:val="561F5757"/>
    <w:rsid w:val="562C39D0"/>
    <w:rsid w:val="564F2FC4"/>
    <w:rsid w:val="568554B7"/>
    <w:rsid w:val="56A61397"/>
    <w:rsid w:val="56DF6C95"/>
    <w:rsid w:val="57345D5A"/>
    <w:rsid w:val="577613A7"/>
    <w:rsid w:val="578A6C00"/>
    <w:rsid w:val="57A77F5C"/>
    <w:rsid w:val="57A90EE1"/>
    <w:rsid w:val="58164938"/>
    <w:rsid w:val="5822508B"/>
    <w:rsid w:val="583077A8"/>
    <w:rsid w:val="5856487D"/>
    <w:rsid w:val="58AC53B7"/>
    <w:rsid w:val="591250FF"/>
    <w:rsid w:val="59175C98"/>
    <w:rsid w:val="59554870"/>
    <w:rsid w:val="596A4F3B"/>
    <w:rsid w:val="59CD0866"/>
    <w:rsid w:val="5A3D6C9C"/>
    <w:rsid w:val="5A5B044A"/>
    <w:rsid w:val="5A6000EC"/>
    <w:rsid w:val="5A7C097F"/>
    <w:rsid w:val="5AB94067"/>
    <w:rsid w:val="5AF076C2"/>
    <w:rsid w:val="5B046CCA"/>
    <w:rsid w:val="5B10566E"/>
    <w:rsid w:val="5B1A029B"/>
    <w:rsid w:val="5B2D073B"/>
    <w:rsid w:val="5B5F03A4"/>
    <w:rsid w:val="5B977B3E"/>
    <w:rsid w:val="5BAF30D9"/>
    <w:rsid w:val="5BDD2470"/>
    <w:rsid w:val="5C8314F0"/>
    <w:rsid w:val="5CCE7ECF"/>
    <w:rsid w:val="5CF52D6E"/>
    <w:rsid w:val="5D9820EB"/>
    <w:rsid w:val="5DA463E6"/>
    <w:rsid w:val="5DE0757A"/>
    <w:rsid w:val="5E062D59"/>
    <w:rsid w:val="5E0A0A9B"/>
    <w:rsid w:val="5E2C48FC"/>
    <w:rsid w:val="5EBB7C0A"/>
    <w:rsid w:val="5ECB78DF"/>
    <w:rsid w:val="5EE00BB3"/>
    <w:rsid w:val="5EEC1F4F"/>
    <w:rsid w:val="5F103135"/>
    <w:rsid w:val="5F1F0576"/>
    <w:rsid w:val="5F3B162F"/>
    <w:rsid w:val="5F5046EA"/>
    <w:rsid w:val="5FE315A4"/>
    <w:rsid w:val="603407B6"/>
    <w:rsid w:val="605F0D74"/>
    <w:rsid w:val="606721D5"/>
    <w:rsid w:val="60AD7A22"/>
    <w:rsid w:val="60BB2D0B"/>
    <w:rsid w:val="60CC028A"/>
    <w:rsid w:val="60E6759D"/>
    <w:rsid w:val="612D16B6"/>
    <w:rsid w:val="617A7CE6"/>
    <w:rsid w:val="619D77B2"/>
    <w:rsid w:val="61A16AFC"/>
    <w:rsid w:val="61A17EA0"/>
    <w:rsid w:val="6204625D"/>
    <w:rsid w:val="6208223B"/>
    <w:rsid w:val="621D0A40"/>
    <w:rsid w:val="6223037D"/>
    <w:rsid w:val="623C59EC"/>
    <w:rsid w:val="624F1172"/>
    <w:rsid w:val="626119E0"/>
    <w:rsid w:val="626E4D39"/>
    <w:rsid w:val="62773DC1"/>
    <w:rsid w:val="62A56FE4"/>
    <w:rsid w:val="62AA0157"/>
    <w:rsid w:val="62B46BE7"/>
    <w:rsid w:val="62CD2097"/>
    <w:rsid w:val="62D1212E"/>
    <w:rsid w:val="62F15D85"/>
    <w:rsid w:val="633B02E7"/>
    <w:rsid w:val="633F4D43"/>
    <w:rsid w:val="634C1DD4"/>
    <w:rsid w:val="63590D8D"/>
    <w:rsid w:val="63DA25E0"/>
    <w:rsid w:val="63E31B72"/>
    <w:rsid w:val="63EF1280"/>
    <w:rsid w:val="64056A90"/>
    <w:rsid w:val="64185C0C"/>
    <w:rsid w:val="64700709"/>
    <w:rsid w:val="649279F8"/>
    <w:rsid w:val="65890C2E"/>
    <w:rsid w:val="659438DB"/>
    <w:rsid w:val="65A17F37"/>
    <w:rsid w:val="65A215B9"/>
    <w:rsid w:val="65B81B71"/>
    <w:rsid w:val="65C149FF"/>
    <w:rsid w:val="65C459D3"/>
    <w:rsid w:val="65C6174B"/>
    <w:rsid w:val="66880F45"/>
    <w:rsid w:val="66D20E22"/>
    <w:rsid w:val="67053D91"/>
    <w:rsid w:val="670C7632"/>
    <w:rsid w:val="67411519"/>
    <w:rsid w:val="674B515F"/>
    <w:rsid w:val="678278F4"/>
    <w:rsid w:val="679C7493"/>
    <w:rsid w:val="67BD25D5"/>
    <w:rsid w:val="67F26828"/>
    <w:rsid w:val="68B92244"/>
    <w:rsid w:val="69041767"/>
    <w:rsid w:val="69B30178"/>
    <w:rsid w:val="69BC6013"/>
    <w:rsid w:val="69D7085A"/>
    <w:rsid w:val="69DD1CCD"/>
    <w:rsid w:val="69E6019D"/>
    <w:rsid w:val="6A097E0C"/>
    <w:rsid w:val="6A4F3879"/>
    <w:rsid w:val="6A596387"/>
    <w:rsid w:val="6A5A4B58"/>
    <w:rsid w:val="6A750816"/>
    <w:rsid w:val="6A9F4B4A"/>
    <w:rsid w:val="6A9F6A3B"/>
    <w:rsid w:val="6AB724D3"/>
    <w:rsid w:val="6ABE0C43"/>
    <w:rsid w:val="6AC81AC2"/>
    <w:rsid w:val="6ADD00EE"/>
    <w:rsid w:val="6B364C7D"/>
    <w:rsid w:val="6B843B91"/>
    <w:rsid w:val="6BA5285E"/>
    <w:rsid w:val="6C3E1FF3"/>
    <w:rsid w:val="6C4007A6"/>
    <w:rsid w:val="6C836BD0"/>
    <w:rsid w:val="6C863C17"/>
    <w:rsid w:val="6C891725"/>
    <w:rsid w:val="6CDA646A"/>
    <w:rsid w:val="6CE12052"/>
    <w:rsid w:val="6D2F5EB0"/>
    <w:rsid w:val="6D6D6950"/>
    <w:rsid w:val="6D9A2A48"/>
    <w:rsid w:val="6DD16EDF"/>
    <w:rsid w:val="6DE90B5F"/>
    <w:rsid w:val="6E1D0376"/>
    <w:rsid w:val="6E281B1E"/>
    <w:rsid w:val="6E46733B"/>
    <w:rsid w:val="6E794BCD"/>
    <w:rsid w:val="6E912274"/>
    <w:rsid w:val="6E970129"/>
    <w:rsid w:val="6EBA5BC5"/>
    <w:rsid w:val="6EC25881"/>
    <w:rsid w:val="6EEB3730"/>
    <w:rsid w:val="6F3A720A"/>
    <w:rsid w:val="6F505FFA"/>
    <w:rsid w:val="6F812443"/>
    <w:rsid w:val="6FA80114"/>
    <w:rsid w:val="6FDB3510"/>
    <w:rsid w:val="70221706"/>
    <w:rsid w:val="705931BC"/>
    <w:rsid w:val="70767973"/>
    <w:rsid w:val="70787698"/>
    <w:rsid w:val="70845F27"/>
    <w:rsid w:val="70980188"/>
    <w:rsid w:val="70986CF7"/>
    <w:rsid w:val="70DA2AC8"/>
    <w:rsid w:val="70DA6E2A"/>
    <w:rsid w:val="70EB4FD1"/>
    <w:rsid w:val="70F16387"/>
    <w:rsid w:val="70F84783"/>
    <w:rsid w:val="7119710C"/>
    <w:rsid w:val="717E2EDA"/>
    <w:rsid w:val="71FA304E"/>
    <w:rsid w:val="722515A8"/>
    <w:rsid w:val="72A03C15"/>
    <w:rsid w:val="72A2709C"/>
    <w:rsid w:val="72A7258E"/>
    <w:rsid w:val="72A97C9E"/>
    <w:rsid w:val="72D3079D"/>
    <w:rsid w:val="72E620E9"/>
    <w:rsid w:val="733221CE"/>
    <w:rsid w:val="7340032B"/>
    <w:rsid w:val="73BB0ACF"/>
    <w:rsid w:val="7439203D"/>
    <w:rsid w:val="74404DBF"/>
    <w:rsid w:val="745E6FF3"/>
    <w:rsid w:val="749A63DC"/>
    <w:rsid w:val="74C4154C"/>
    <w:rsid w:val="74EB4D2A"/>
    <w:rsid w:val="751B4EE4"/>
    <w:rsid w:val="754601B3"/>
    <w:rsid w:val="7552336C"/>
    <w:rsid w:val="758A7EE3"/>
    <w:rsid w:val="75D237F5"/>
    <w:rsid w:val="75D27C98"/>
    <w:rsid w:val="760342F6"/>
    <w:rsid w:val="76225A69"/>
    <w:rsid w:val="762A7AD4"/>
    <w:rsid w:val="76484E1E"/>
    <w:rsid w:val="764D5571"/>
    <w:rsid w:val="768F1E30"/>
    <w:rsid w:val="76E12867"/>
    <w:rsid w:val="77017330"/>
    <w:rsid w:val="77161E07"/>
    <w:rsid w:val="7718792D"/>
    <w:rsid w:val="77B64A11"/>
    <w:rsid w:val="77CD33DD"/>
    <w:rsid w:val="77DD23FF"/>
    <w:rsid w:val="77EC65E9"/>
    <w:rsid w:val="7842345F"/>
    <w:rsid w:val="78774B27"/>
    <w:rsid w:val="78A647DD"/>
    <w:rsid w:val="792D59B7"/>
    <w:rsid w:val="792E39CE"/>
    <w:rsid w:val="79325A3E"/>
    <w:rsid w:val="79407103"/>
    <w:rsid w:val="7960176D"/>
    <w:rsid w:val="7A1646FB"/>
    <w:rsid w:val="7A462A03"/>
    <w:rsid w:val="7A682C83"/>
    <w:rsid w:val="7A731AAC"/>
    <w:rsid w:val="7AA34332"/>
    <w:rsid w:val="7AF52EC8"/>
    <w:rsid w:val="7B026A4C"/>
    <w:rsid w:val="7B0656A4"/>
    <w:rsid w:val="7B186E89"/>
    <w:rsid w:val="7B6A2721"/>
    <w:rsid w:val="7B8437E3"/>
    <w:rsid w:val="7BC60751"/>
    <w:rsid w:val="7BDE7C10"/>
    <w:rsid w:val="7C136915"/>
    <w:rsid w:val="7C3F595C"/>
    <w:rsid w:val="7C5E3333"/>
    <w:rsid w:val="7C881E81"/>
    <w:rsid w:val="7CA26617"/>
    <w:rsid w:val="7CB54620"/>
    <w:rsid w:val="7CF24CB1"/>
    <w:rsid w:val="7D1E1DE6"/>
    <w:rsid w:val="7D280A06"/>
    <w:rsid w:val="7D5316B2"/>
    <w:rsid w:val="7D590134"/>
    <w:rsid w:val="7DAA2BB1"/>
    <w:rsid w:val="7DE22770"/>
    <w:rsid w:val="7E057794"/>
    <w:rsid w:val="7E146EA1"/>
    <w:rsid w:val="7E236014"/>
    <w:rsid w:val="7E327E17"/>
    <w:rsid w:val="7E350DC4"/>
    <w:rsid w:val="7E3E2163"/>
    <w:rsid w:val="7E696CC0"/>
    <w:rsid w:val="7E6B037C"/>
    <w:rsid w:val="7E7019E6"/>
    <w:rsid w:val="7E75113B"/>
    <w:rsid w:val="7E7A711F"/>
    <w:rsid w:val="7EE4531F"/>
    <w:rsid w:val="7F1033A7"/>
    <w:rsid w:val="7F127358"/>
    <w:rsid w:val="7F640727"/>
    <w:rsid w:val="7F64544E"/>
    <w:rsid w:val="7F721BA4"/>
    <w:rsid w:val="7F8B25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4">
    <w:name w:val="heading 1"/>
    <w:basedOn w:val="1"/>
    <w:next w:val="1"/>
    <w:qFormat/>
    <w:uiPriority w:val="99"/>
    <w:pPr>
      <w:keepNext/>
      <w:overflowPunct w:val="0"/>
      <w:snapToGrid w:val="0"/>
      <w:spacing w:before="120" w:after="60" w:line="240" w:lineRule="auto"/>
      <w:ind w:firstLine="0" w:firstLineChars="0"/>
      <w:jc w:val="center"/>
      <w:outlineLvl w:val="0"/>
    </w:pPr>
    <w:rPr>
      <w:b/>
      <w:bCs/>
      <w:color w:val="000000"/>
      <w:kern w:val="44"/>
      <w:sz w:val="28"/>
      <w:szCs w:val="30"/>
    </w:rPr>
  </w:style>
  <w:style w:type="paragraph" w:styleId="5">
    <w:name w:val="heading 3"/>
    <w:basedOn w:val="1"/>
    <w:next w:val="1"/>
    <w:qFormat/>
    <w:uiPriority w:val="0"/>
    <w:pPr>
      <w:keepNext/>
      <w:keepLines/>
      <w:ind w:firstLine="0" w:firstLineChars="0"/>
      <w:jc w:val="center"/>
      <w:outlineLvl w:val="2"/>
    </w:pPr>
    <w:rPr>
      <w:sz w:val="30"/>
      <w:szCs w:val="20"/>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qFormat/>
    <w:uiPriority w:val="0"/>
    <w:pPr>
      <w:widowControl w:val="0"/>
      <w:autoSpaceDE w:val="0"/>
      <w:autoSpaceDN w:val="0"/>
      <w:adjustRightInd w:val="0"/>
    </w:pPr>
    <w:rPr>
      <w:rFonts w:cs="宋体"/>
      <w:color w:val="000000"/>
      <w:kern w:val="2"/>
      <w:sz w:val="24"/>
      <w:szCs w:val="24"/>
      <w:lang w:val="en-US" w:eastAsia="zh-CN" w:bidi="ar-SA"/>
    </w:rPr>
  </w:style>
  <w:style w:type="paragraph" w:customStyle="1" w:styleId="3">
    <w:name w:val="纯文本1"/>
    <w:qFormat/>
    <w:uiPriority w:val="0"/>
    <w:pPr>
      <w:widowControl w:val="0"/>
      <w:spacing w:line="360" w:lineRule="auto"/>
      <w:ind w:firstLine="200" w:firstLineChars="200"/>
    </w:pPr>
    <w:rPr>
      <w:rFonts w:ascii="宋体" w:hAnsi="Courier New" w:eastAsia="宋体" w:cs="Times New Roman"/>
      <w:kern w:val="2"/>
      <w:sz w:val="24"/>
      <w:szCs w:val="21"/>
      <w:lang w:val="en-US" w:eastAsia="zh-CN" w:bidi="ar-SA"/>
    </w:rPr>
  </w:style>
  <w:style w:type="paragraph" w:styleId="7">
    <w:name w:val="Normal Indent"/>
    <w:basedOn w:val="1"/>
    <w:next w:val="1"/>
    <w:qFormat/>
    <w:uiPriority w:val="0"/>
    <w:pPr>
      <w:widowControl/>
      <w:spacing w:line="240" w:lineRule="atLeast"/>
      <w:ind w:firstLine="420"/>
      <w:jc w:val="center"/>
    </w:pPr>
    <w:rPr>
      <w:rFonts w:eastAsia="Cambria Math"/>
      <w:sz w:val="20"/>
    </w:rPr>
  </w:style>
  <w:style w:type="paragraph" w:styleId="8">
    <w:name w:val="annotation text"/>
    <w:basedOn w:val="1"/>
    <w:link w:val="39"/>
    <w:qFormat/>
    <w:uiPriority w:val="0"/>
    <w:pPr>
      <w:jc w:val="left"/>
    </w:pPr>
  </w:style>
  <w:style w:type="paragraph" w:styleId="9">
    <w:name w:val="Body Text"/>
    <w:basedOn w:val="1"/>
    <w:next w:val="10"/>
    <w:qFormat/>
    <w:uiPriority w:val="0"/>
    <w:pPr>
      <w:widowControl/>
      <w:snapToGrid w:val="0"/>
      <w:spacing w:before="60" w:after="160" w:line="259" w:lineRule="auto"/>
      <w:ind w:right="113"/>
    </w:pPr>
    <w:rPr>
      <w:kern w:val="0"/>
      <w:sz w:val="18"/>
      <w:szCs w:val="20"/>
    </w:rPr>
  </w:style>
  <w:style w:type="paragraph" w:styleId="10">
    <w:name w:val="Body Text First Indent"/>
    <w:basedOn w:val="9"/>
    <w:qFormat/>
    <w:uiPriority w:val="0"/>
    <w:pPr>
      <w:spacing w:after="120" w:line="240" w:lineRule="auto"/>
      <w:ind w:firstLine="420"/>
    </w:pPr>
    <w:rPr>
      <w:sz w:val="21"/>
    </w:rPr>
  </w:style>
  <w:style w:type="paragraph" w:styleId="11">
    <w:name w:val="Body Text Indent"/>
    <w:basedOn w:val="1"/>
    <w:qFormat/>
    <w:uiPriority w:val="0"/>
    <w:pPr>
      <w:spacing w:after="120"/>
      <w:ind w:left="420" w:leftChars="200"/>
    </w:pPr>
  </w:style>
  <w:style w:type="paragraph" w:styleId="12">
    <w:name w:val="toc 3"/>
    <w:basedOn w:val="1"/>
    <w:next w:val="1"/>
    <w:semiHidden/>
    <w:qFormat/>
    <w:uiPriority w:val="0"/>
    <w:pPr>
      <w:ind w:left="420"/>
      <w:jc w:val="left"/>
    </w:pPr>
    <w:rPr>
      <w:i/>
      <w:iCs/>
      <w:sz w:val="20"/>
      <w:szCs w:val="20"/>
    </w:rPr>
  </w:style>
  <w:style w:type="paragraph" w:styleId="13">
    <w:name w:val="List Bullet 5"/>
    <w:basedOn w:val="1"/>
    <w:qFormat/>
    <w:uiPriority w:val="0"/>
    <w:pPr>
      <w:numPr>
        <w:ilvl w:val="0"/>
        <w:numId w:val="1"/>
      </w:numPr>
    </w:pPr>
  </w:style>
  <w:style w:type="paragraph" w:styleId="14">
    <w:name w:val="footer"/>
    <w:basedOn w:val="1"/>
    <w:qFormat/>
    <w:uiPriority w:val="99"/>
    <w:pPr>
      <w:tabs>
        <w:tab w:val="center" w:pos="4153"/>
        <w:tab w:val="right" w:pos="8306"/>
      </w:tabs>
      <w:snapToGrid w:val="0"/>
      <w:jc w:val="left"/>
    </w:pPr>
    <w:rPr>
      <w:kern w:val="0"/>
      <w:sz w:val="18"/>
      <w:szCs w:val="20"/>
    </w:rPr>
  </w:style>
  <w:style w:type="paragraph" w:styleId="15">
    <w:name w:val="header"/>
    <w:basedOn w:val="1"/>
    <w:next w:val="1"/>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List"/>
    <w:basedOn w:val="1"/>
    <w:qFormat/>
    <w:uiPriority w:val="0"/>
    <w:pPr>
      <w:ind w:left="200" w:hanging="200" w:hangingChars="200"/>
      <w:contextualSpacing/>
    </w:pPr>
  </w:style>
  <w:style w:type="paragraph" w:styleId="17">
    <w:name w:val="Body Text Indent 3"/>
    <w:basedOn w:val="1"/>
    <w:qFormat/>
    <w:uiPriority w:val="0"/>
    <w:pPr>
      <w:spacing w:line="480" w:lineRule="exact"/>
      <w:ind w:firstLine="588" w:firstLineChars="210"/>
    </w:pPr>
    <w:rPr>
      <w:rFonts w:ascii="仿宋_GB2312" w:hAnsi="宋体" w:eastAsia="仿宋_GB2312"/>
      <w:sz w:val="28"/>
    </w:rPr>
  </w:style>
  <w:style w:type="paragraph" w:styleId="18">
    <w:name w:val="table of figures"/>
    <w:basedOn w:val="1"/>
    <w:next w:val="1"/>
    <w:qFormat/>
    <w:uiPriority w:val="0"/>
    <w:pPr>
      <w:ind w:leftChars="200" w:hanging="200" w:hangingChars="200"/>
    </w:pPr>
  </w:style>
  <w:style w:type="paragraph" w:styleId="19">
    <w:name w:val="Normal (Web)"/>
    <w:basedOn w:val="1"/>
    <w:qFormat/>
    <w:uiPriority w:val="0"/>
    <w:pPr>
      <w:widowControl/>
      <w:spacing w:before="100" w:beforeAutospacing="1" w:after="100" w:afterAutospacing="1"/>
      <w:jc w:val="left"/>
    </w:pPr>
    <w:rPr>
      <w:rFonts w:ascii="宋体" w:hAnsi="宋体"/>
      <w:kern w:val="0"/>
      <w:szCs w:val="20"/>
    </w:rPr>
  </w:style>
  <w:style w:type="paragraph" w:styleId="20">
    <w:name w:val="Title"/>
    <w:basedOn w:val="1"/>
    <w:next w:val="1"/>
    <w:link w:val="37"/>
    <w:qFormat/>
    <w:uiPriority w:val="0"/>
    <w:pPr>
      <w:spacing w:before="120" w:after="120" w:line="240" w:lineRule="auto"/>
      <w:jc w:val="left"/>
      <w:outlineLvl w:val="1"/>
    </w:pPr>
    <w:rPr>
      <w:b/>
      <w:bCs/>
      <w:szCs w:val="32"/>
    </w:rPr>
  </w:style>
  <w:style w:type="paragraph" w:styleId="21">
    <w:name w:val="annotation subject"/>
    <w:basedOn w:val="8"/>
    <w:next w:val="8"/>
    <w:link w:val="40"/>
    <w:qFormat/>
    <w:uiPriority w:val="0"/>
    <w:rPr>
      <w:b/>
      <w:bCs/>
    </w:rPr>
  </w:style>
  <w:style w:type="paragraph" w:styleId="22">
    <w:name w:val="Body Text First Indent 2"/>
    <w:basedOn w:val="11"/>
    <w:next w:val="1"/>
    <w:qFormat/>
    <w:uiPriority w:val="0"/>
    <w:pPr>
      <w:ind w:firstLine="420"/>
    </w:p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page number"/>
    <w:basedOn w:val="25"/>
    <w:qFormat/>
    <w:uiPriority w:val="0"/>
  </w:style>
  <w:style w:type="character" w:styleId="28">
    <w:name w:val="annotation reference"/>
    <w:basedOn w:val="25"/>
    <w:qFormat/>
    <w:uiPriority w:val="0"/>
    <w:rPr>
      <w:sz w:val="21"/>
      <w:szCs w:val="21"/>
    </w:rPr>
  </w:style>
  <w:style w:type="paragraph" w:customStyle="1" w:styleId="29">
    <w:name w:val="正文格式"/>
    <w:basedOn w:val="10"/>
    <w:next w:val="30"/>
    <w:qFormat/>
    <w:uiPriority w:val="0"/>
    <w:pPr>
      <w:adjustRightInd w:val="0"/>
      <w:spacing w:line="360" w:lineRule="auto"/>
      <w:ind w:firstLine="560"/>
    </w:pPr>
    <w:rPr>
      <w:color w:val="000000"/>
      <w:lang w:val="zh-CN"/>
    </w:rPr>
  </w:style>
  <w:style w:type="paragraph" w:customStyle="1" w:styleId="30">
    <w:name w:val="_Style 5"/>
    <w:basedOn w:val="1"/>
    <w:qFormat/>
    <w:uiPriority w:val="0"/>
    <w:pPr>
      <w:ind w:firstLine="420"/>
    </w:pPr>
    <w:rPr>
      <w:rFonts w:ascii="Calibri" w:hAnsi="Calibri"/>
      <w:szCs w:val="22"/>
    </w:rPr>
  </w:style>
  <w:style w:type="paragraph" w:styleId="31">
    <w:name w:val="No Spacing"/>
    <w:basedOn w:val="16"/>
    <w:next w:val="1"/>
    <w:qFormat/>
    <w:uiPriority w:val="1"/>
    <w:pPr>
      <w:spacing w:line="240" w:lineRule="auto"/>
      <w:ind w:left="0" w:firstLine="0" w:firstLineChars="0"/>
      <w:jc w:val="center"/>
      <w:textAlignment w:val="center"/>
    </w:pPr>
    <w:rPr>
      <w:sz w:val="21"/>
      <w:szCs w:val="22"/>
    </w:rPr>
  </w:style>
  <w:style w:type="paragraph" w:customStyle="1" w:styleId="32">
    <w:name w:val="p0"/>
    <w:basedOn w:val="1"/>
    <w:qFormat/>
    <w:uiPriority w:val="0"/>
    <w:pPr>
      <w:widowControl/>
      <w:spacing w:before="100" w:beforeAutospacing="1" w:after="100" w:afterAutospacing="1"/>
      <w:jc w:val="left"/>
    </w:pPr>
    <w:rPr>
      <w:rFonts w:ascii="宋体" w:hAnsi="宋体" w:cs="宋体"/>
      <w:kern w:val="0"/>
    </w:rPr>
  </w:style>
  <w:style w:type="paragraph" w:customStyle="1" w:styleId="33">
    <w:name w:val="表头"/>
    <w:basedOn w:val="34"/>
    <w:next w:val="1"/>
    <w:qFormat/>
    <w:uiPriority w:val="0"/>
    <w:pPr>
      <w:spacing w:before="50" w:beforeLines="50" w:line="240" w:lineRule="auto"/>
      <w:ind w:firstLine="0" w:firstLineChars="0"/>
    </w:pPr>
    <w:rPr>
      <w:b/>
      <w:sz w:val="21"/>
    </w:rPr>
  </w:style>
  <w:style w:type="paragraph" w:customStyle="1" w:styleId="34">
    <w:name w:val="正文1"/>
    <w:basedOn w:val="7"/>
    <w:next w:val="7"/>
    <w:qFormat/>
    <w:uiPriority w:val="0"/>
    <w:pPr>
      <w:adjustRightInd w:val="0"/>
      <w:snapToGrid w:val="0"/>
      <w:spacing w:line="520" w:lineRule="exact"/>
      <w:ind w:firstLine="584"/>
      <w:textAlignment w:val="baseline"/>
    </w:pPr>
    <w:rPr>
      <w:rFonts w:ascii="宋体" w:hAnsi="宋体"/>
      <w:snapToGrid w:val="0"/>
      <w:color w:val="000000"/>
      <w:spacing w:val="6"/>
      <w:kern w:val="0"/>
      <w:sz w:val="28"/>
    </w:rPr>
  </w:style>
  <w:style w:type="paragraph" w:customStyle="1" w:styleId="35">
    <w:name w:val="报告表格"/>
    <w:basedOn w:val="1"/>
    <w:qFormat/>
    <w:uiPriority w:val="0"/>
    <w:pPr>
      <w:autoSpaceDE w:val="0"/>
      <w:autoSpaceDN w:val="0"/>
      <w:adjustRightInd w:val="0"/>
      <w:jc w:val="center"/>
      <w:textAlignment w:val="baseline"/>
    </w:pPr>
    <w:rPr>
      <w:kern w:val="0"/>
      <w:szCs w:val="20"/>
    </w:rPr>
  </w:style>
  <w:style w:type="paragraph" w:customStyle="1" w:styleId="36">
    <w:name w:val="表格5号居中"/>
    <w:basedOn w:val="1"/>
    <w:qFormat/>
    <w:uiPriority w:val="0"/>
    <w:pPr>
      <w:tabs>
        <w:tab w:val="left" w:pos="5400"/>
      </w:tabs>
      <w:adjustRightInd w:val="0"/>
      <w:spacing w:line="240" w:lineRule="auto"/>
      <w:ind w:firstLine="0" w:firstLineChars="0"/>
      <w:jc w:val="center"/>
      <w:textAlignment w:val="baseline"/>
    </w:pPr>
    <w:rPr>
      <w:iCs/>
      <w:spacing w:val="-6"/>
      <w:kern w:val="0"/>
      <w:sz w:val="21"/>
      <w:szCs w:val="21"/>
    </w:rPr>
  </w:style>
  <w:style w:type="character" w:customStyle="1" w:styleId="37">
    <w:name w:val="标题 字符"/>
    <w:link w:val="20"/>
    <w:qFormat/>
    <w:uiPriority w:val="0"/>
    <w:rPr>
      <w:rFonts w:cs="Times New Roman"/>
      <w:b/>
      <w:bCs/>
      <w:szCs w:val="32"/>
    </w:rPr>
  </w:style>
  <w:style w:type="paragraph" w:customStyle="1" w:styleId="38">
    <w:name w:val="表格"/>
    <w:basedOn w:val="1"/>
    <w:next w:val="1"/>
    <w:qFormat/>
    <w:uiPriority w:val="0"/>
    <w:pPr>
      <w:adjustRightInd w:val="0"/>
      <w:snapToGrid w:val="0"/>
      <w:spacing w:line="240" w:lineRule="auto"/>
      <w:ind w:firstLine="0" w:firstLineChars="0"/>
      <w:jc w:val="center"/>
    </w:pPr>
    <w:rPr>
      <w:kern w:val="0"/>
      <w:sz w:val="21"/>
      <w:szCs w:val="20"/>
    </w:rPr>
  </w:style>
  <w:style w:type="character" w:customStyle="1" w:styleId="39">
    <w:name w:val="批注文字 字符"/>
    <w:basedOn w:val="25"/>
    <w:link w:val="8"/>
    <w:qFormat/>
    <w:uiPriority w:val="0"/>
    <w:rPr>
      <w:kern w:val="2"/>
      <w:sz w:val="24"/>
      <w:szCs w:val="24"/>
    </w:rPr>
  </w:style>
  <w:style w:type="character" w:customStyle="1" w:styleId="40">
    <w:name w:val="批注主题 字符"/>
    <w:basedOn w:val="39"/>
    <w:link w:val="21"/>
    <w:qFormat/>
    <w:uiPriority w:val="0"/>
    <w:rPr>
      <w:b/>
      <w:bCs/>
      <w:kern w:val="2"/>
      <w:sz w:val="24"/>
      <w:szCs w:val="24"/>
    </w:rPr>
  </w:style>
  <w:style w:type="paragraph" w:customStyle="1" w:styleId="41">
    <w:name w:val="Table Text"/>
    <w:basedOn w:val="1"/>
    <w:semiHidden/>
    <w:qFormat/>
    <w:uiPriority w:val="0"/>
    <w:rPr>
      <w:rFonts w:ascii="宋体" w:hAnsi="宋体" w:cs="宋体"/>
      <w:sz w:val="20"/>
      <w:szCs w:val="20"/>
      <w:lang w:eastAsia="en-US"/>
    </w:rPr>
  </w:style>
  <w:style w:type="paragraph" w:customStyle="1" w:styleId="42">
    <w:name w:val="正文格式啊啊啊啊"/>
    <w:basedOn w:val="1"/>
    <w:qFormat/>
    <w:uiPriority w:val="0"/>
    <w:pPr>
      <w:wordWrap w:val="0"/>
      <w:adjustRightInd w:val="0"/>
      <w:snapToGrid w:val="0"/>
      <w:spacing w:line="520" w:lineRule="exact"/>
      <w:ind w:firstLine="720" w:firstLineChars="200"/>
      <w:jc w:val="left"/>
    </w:pPr>
    <w:rPr>
      <w:rFonts w:ascii="Times New Roman" w:hAnsi="Times New Roman" w:eastAsia="宋体" w:cs="宋体"/>
      <w:kern w:val="0"/>
      <w:sz w:val="24"/>
    </w:rPr>
  </w:style>
  <w:style w:type="paragraph" w:customStyle="1" w:styleId="43">
    <w:name w:val="表头啊啊啊啊啊"/>
    <w:basedOn w:val="1"/>
    <w:qFormat/>
    <w:uiPriority w:val="0"/>
    <w:pPr>
      <w:jc w:val="center"/>
    </w:pPr>
    <w:rPr>
      <w:rFonts w:ascii="Times New Roman" w:hAnsi="Times New Roman" w:eastAsia="宋体" w:cs="Times New Roman"/>
      <w:b/>
      <w:bCs/>
      <w:szCs w:val="21"/>
    </w:rPr>
  </w:style>
  <w:style w:type="paragraph" w:customStyle="1" w:styleId="44">
    <w:name w:val="表格里面啊啊啊啊"/>
    <w:basedOn w:val="1"/>
    <w:qFormat/>
    <w:uiPriority w:val="0"/>
    <w:pPr>
      <w:jc w:val="center"/>
    </w:pPr>
    <w:rPr>
      <w:rFonts w:ascii="Times New Roman" w:hAnsi="Times New Roman" w:eastAsia="宋体" w:cs="Times New Roman"/>
      <w:szCs w:val="21"/>
    </w:rPr>
  </w:style>
  <w:style w:type="paragraph" w:customStyle="1" w:styleId="45">
    <w:name w:val="表格内容"/>
    <w:basedOn w:val="1"/>
    <w:qFormat/>
    <w:uiPriority w:val="0"/>
    <w:pPr>
      <w:spacing w:line="240" w:lineRule="auto"/>
      <w:jc w:val="left"/>
      <w:textAlignment w:val="baseline"/>
    </w:pPr>
    <w:rPr>
      <w:rFonts w:hAnsi="Times New Roman"/>
      <w:snapToGrid/>
      <w:spacing w:val="-8"/>
      <w:sz w:val="21"/>
      <w:szCs w:val="15"/>
    </w:rPr>
  </w:style>
  <w:style w:type="paragraph" w:customStyle="1" w:styleId="46">
    <w:name w:val="表格内"/>
    <w:qFormat/>
    <w:uiPriority w:val="0"/>
    <w:pPr>
      <w:widowControl w:val="0"/>
      <w:adjustRightInd w:val="0"/>
      <w:snapToGrid w:val="0"/>
      <w:spacing w:line="360" w:lineRule="exact"/>
      <w:ind w:firstLine="420" w:firstLineChars="200"/>
      <w:jc w:val="center"/>
    </w:pPr>
    <w:rPr>
      <w:rFonts w:ascii="Times New Roman" w:hAnsi="Times New Roman" w:eastAsia="宋体" w:cs="Times New Roman"/>
      <w:snapToGrid w:val="0"/>
      <w:sz w:val="24"/>
      <w:szCs w:val="21"/>
      <w:lang w:val="en-US" w:eastAsia="zh-CN" w:bidi="ar-SA"/>
    </w:rPr>
  </w:style>
  <w:style w:type="character" w:customStyle="1" w:styleId="47">
    <w:name w:val="font31"/>
    <w:basedOn w:val="25"/>
    <w:qFormat/>
    <w:uiPriority w:val="0"/>
    <w:rPr>
      <w:rFonts w:hint="eastAsia" w:ascii="宋体" w:hAnsi="宋体" w:eastAsia="宋体" w:cs="宋体"/>
      <w:color w:val="000000"/>
      <w:sz w:val="22"/>
      <w:szCs w:val="22"/>
      <w:u w:val="none"/>
      <w:vertAlign w:val="subscript"/>
    </w:rPr>
  </w:style>
  <w:style w:type="character" w:customStyle="1" w:styleId="48">
    <w:name w:val="font11"/>
    <w:basedOn w:val="25"/>
    <w:qFormat/>
    <w:uiPriority w:val="0"/>
    <w:rPr>
      <w:rFonts w:hint="eastAsia" w:ascii="宋体" w:hAnsi="宋体" w:eastAsia="宋体" w:cs="宋体"/>
      <w:color w:val="000000"/>
      <w:sz w:val="22"/>
      <w:szCs w:val="22"/>
      <w:u w:val="none"/>
    </w:rPr>
  </w:style>
  <w:style w:type="character" w:customStyle="1" w:styleId="49">
    <w:name w:val="font41"/>
    <w:basedOn w:val="25"/>
    <w:qFormat/>
    <w:uiPriority w:val="0"/>
    <w:rPr>
      <w:rFonts w:hint="eastAsia" w:ascii="宋体" w:hAnsi="宋体" w:eastAsia="宋体" w:cs="宋体"/>
      <w:color w:val="000000"/>
      <w:sz w:val="22"/>
      <w:szCs w:val="22"/>
      <w:u w:val="none"/>
      <w:vertAlign w:val="superscript"/>
    </w:rPr>
  </w:style>
  <w:style w:type="character" w:customStyle="1" w:styleId="50">
    <w:name w:val="font21"/>
    <w:basedOn w:val="25"/>
    <w:qFormat/>
    <w:uiPriority w:val="0"/>
    <w:rPr>
      <w:rFonts w:hint="eastAsia" w:ascii="宋体" w:hAnsi="宋体" w:eastAsia="宋体" w:cs="宋体"/>
      <w:color w:val="000000"/>
      <w:sz w:val="22"/>
      <w:szCs w:val="22"/>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60f8ccaf-4618-4a18-9190-f4527cee15ef</errorID>
      <errorWord>2月29日</errorWord>
      <group>L1_Other</group>
      <groupName>其他问题</groupName>
      <ability>L2_UserTypo</ability>
      <abilityName>自定义错误</abilityName>
      <candidateList>
        <item>建议核实</item>
      </candidateList>
      <explain>来自自定义错词库。</explain>
      <paraID>1C30C7DD</paraID>
      <start>56</start>
      <end>61</end>
      <status>ignored</status>
      <modifiedWord/>
      <trackRevisions>false</trackRevisions>
    </reviewItem>
    <reviewItem>
      <errorID>c5cb4707-c74a-4f18-ad5f-ddbd160259f8</errorID>
      <errorWord>2月29日</errorWord>
      <group>L1_Other</group>
      <groupName>其他问题</groupName>
      <ability>L2_UserTypo</ability>
      <abilityName>自定义错误</abilityName>
      <candidateList>
        <item>建议核实</item>
      </candidateList>
      <explain>来自自定义错词库。</explain>
      <paraID>57AD4F1E</paraID>
      <start>163</start>
      <end>168</end>
      <status>ignored</status>
      <modifiedWord/>
      <trackRevisions>false</trackRevisions>
    </reviewItem>
    <reviewItem>
      <errorID>6aed7c80-7a55-4743-b931-1ea98b400981</errorID>
      <errorWord>新疆自治区</errorWord>
      <group>L1_Other</group>
      <groupName>其他问题</groupName>
      <ability>L2_UserTypo</ability>
      <abilityName>自定义错误</abilityName>
      <candidateList>
        <item>新疆维吾尔自治区</item>
      </candidateList>
      <explain>来自自定义错词库。</explain>
      <paraID>62DE4300</paraID>
      <start>150</start>
      <end>155</end>
      <status>ignored</status>
      <modifiedWord/>
      <trackRevisions>false</trackRevisions>
    </reviewItem>
    <reviewItem>
      <errorID>52c43485-3ef4-4905-840f-f182b3376357</errorID>
      <errorWord>新疆自治区</errorWord>
      <group>L1_Other</group>
      <groupName>其他问题</groupName>
      <ability>L2_UserTypo</ability>
      <abilityName>自定义错误</abilityName>
      <candidateList>
        <item>新疆维吾尔自治区</item>
      </candidateList>
      <explain>来自自定义错词库。</explain>
      <paraID>30C0BDBF</paraID>
      <start>178</start>
      <end>183</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648049-1cb4-4da4-8a2e-97cf98365912}">
  <ds:schemaRefs/>
</ds:datastoreItem>
</file>

<file path=docProps/app.xml><?xml version="1.0" encoding="utf-8"?>
<Properties xmlns="http://schemas.openxmlformats.org/officeDocument/2006/extended-properties" xmlns:vt="http://schemas.openxmlformats.org/officeDocument/2006/docPropsVTypes">
  <Template>Normal</Template>
  <Pages>87</Pages>
  <Words>17687</Words>
  <Characters>18478</Characters>
  <Lines>2479</Lines>
  <Paragraphs>1966</Paragraphs>
  <TotalTime>372</TotalTime>
  <ScaleCrop>false</ScaleCrop>
  <LinksUpToDate>false</LinksUpToDate>
  <CharactersWithSpaces>18478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2023-04-24T08:30:00Z</dcterms:created>
  <dc:creator>Administrator</dc:creator>
  <cp:lastModifiedBy>WPS_1562320662</cp:lastModifiedBy>
  <cp:lastPrinted>2025-08-22T02:30:00Z</cp:lastPrinted>
  <dcterms:modified xsi:type="dcterms:W3CDTF">2025-12-17T08:17:08Z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6AE0AC73091A4ABEAD6E9017E7FFE78F_13</vt:lpwstr>
  </property>
  <property fmtid="{D5CDD505-2E9C-101B-9397-08002B2CF9AE}" pid="4" name="KSOTemplateDocerSaveRecord">
    <vt:lpwstr>eyJoZGlkIjoiNGRhODgyNjQ5YTE5ZjFmYjE2NDEwOTU4OTE2MjU0N2MiLCJ1c2VySWQiOiI2MDE2NTE5NzkifQ==</vt:lpwstr>
  </property>
</Properties>
</file>